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417830</wp:posOffset>
            </wp:positionV>
            <wp:extent cx="70891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443230</wp:posOffset>
            </wp:positionV>
            <wp:extent cx="70891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9"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21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14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rPr>
              <w:t>WASHINGTON, D.C. 20549</w:t>
            </w:r>
          </w:p>
        </w:tc>
        <w:tc>
          <w:tcPr>
            <w:tcW w:w="3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2"/>
        </w:trPr>
        <w:tc>
          <w:tcPr>
            <w:tcW w:w="2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8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4"/>
        </w:trPr>
        <w:tc>
          <w:tcPr>
            <w:tcW w:w="2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140" w:type="dxa"/>
            <w:vAlign w:val="bottom"/>
            <w:gridSpan w:val="2"/>
          </w:tcPr>
          <w:p>
            <w:pPr>
              <w:jc w:val="center"/>
              <w:ind w:right="840"/>
              <w:spacing w:after="0"/>
              <w:rPr>
                <w:sz w:val="20"/>
                <w:szCs w:val="20"/>
                <w:color w:val="auto"/>
              </w:rPr>
            </w:pPr>
            <w:r>
              <w:rPr>
                <w:rFonts w:ascii="Arial" w:cs="Arial" w:eastAsia="Arial" w:hAnsi="Arial"/>
                <w:sz w:val="32"/>
                <w:szCs w:val="32"/>
                <w:b w:val="1"/>
                <w:bCs w:val="1"/>
                <w:color w:val="auto"/>
              </w:rPr>
              <w:t>Form 10-Q</w:t>
            </w: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0"/>
        </w:trPr>
        <w:tc>
          <w:tcPr>
            <w:tcW w:w="2120" w:type="dxa"/>
            <w:vAlign w:val="bottom"/>
            <w:vMerge w:val="restart"/>
          </w:tcPr>
          <w:p>
            <w:pPr>
              <w:ind w:left="460"/>
              <w:spacing w:after="0" w:line="201" w:lineRule="exact"/>
              <w:rPr>
                <w:sz w:val="20"/>
                <w:szCs w:val="20"/>
                <w:color w:val="auto"/>
              </w:rPr>
            </w:pPr>
            <w:r>
              <w:rPr>
                <w:rFonts w:ascii="MS PGothic" w:cs="MS PGothic" w:eastAsia="MS PGothic" w:hAnsi="MS PGothic"/>
                <w:sz w:val="20"/>
                <w:szCs w:val="20"/>
                <w:color w:val="auto"/>
              </w:rPr>
              <w:t>☒</w:t>
            </w:r>
          </w:p>
        </w:tc>
        <w:tc>
          <w:tcPr>
            <w:tcW w:w="2360" w:type="dxa"/>
            <w:vAlign w:val="bottom"/>
            <w:gridSpan w:val="2"/>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41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641"/>
        </w:trPr>
        <w:tc>
          <w:tcPr>
            <w:tcW w:w="2120" w:type="dxa"/>
            <w:vAlign w:val="bottom"/>
            <w:vMerge w:val="continue"/>
          </w:tcPr>
          <w:p>
            <w:pPr>
              <w:spacing w:after="0"/>
              <w:rPr>
                <w:sz w:val="24"/>
                <w:szCs w:val="24"/>
                <w:color w:val="auto"/>
              </w:rPr>
            </w:pPr>
          </w:p>
        </w:tc>
        <w:tc>
          <w:tcPr>
            <w:tcW w:w="8760" w:type="dxa"/>
            <w:vAlign w:val="bottom"/>
            <w:gridSpan w:val="5"/>
          </w:tcPr>
          <w:p>
            <w:pPr>
              <w:ind w:left="140"/>
              <w:spacing w:after="0"/>
              <w:rPr>
                <w:sz w:val="20"/>
                <w:szCs w:val="20"/>
                <w:color w:val="auto"/>
              </w:rPr>
            </w:pPr>
            <w:r>
              <w:rPr>
                <w:rFonts w:ascii="Arial" w:cs="Arial" w:eastAsia="Arial" w:hAnsi="Arial"/>
                <w:sz w:val="14"/>
                <w:szCs w:val="14"/>
                <w:b w:val="1"/>
                <w:bCs w:val="1"/>
                <w:color w:val="auto"/>
              </w:rPr>
              <w:t>QUARTERLY REPORT PURSUANT TO SECTION 13 OR 15(d) OF THE SECURITIES EXCHANGE ACT OF 1934</w:t>
            </w:r>
          </w:p>
        </w:tc>
        <w:tc>
          <w:tcPr>
            <w:tcW w:w="0" w:type="dxa"/>
            <w:vAlign w:val="bottom"/>
          </w:tcPr>
          <w:p>
            <w:pPr>
              <w:spacing w:after="0"/>
              <w:rPr>
                <w:sz w:val="1"/>
                <w:szCs w:val="1"/>
                <w:color w:val="auto"/>
              </w:rPr>
            </w:pPr>
          </w:p>
        </w:tc>
      </w:tr>
      <w:tr>
        <w:trPr>
          <w:trHeight w:val="259"/>
        </w:trPr>
        <w:tc>
          <w:tcPr>
            <w:tcW w:w="212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38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For the quarterly period ended March 31, 2021</w:t>
            </w:r>
          </w:p>
        </w:tc>
        <w:tc>
          <w:tcPr>
            <w:tcW w:w="3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05"/>
        </w:trPr>
        <w:tc>
          <w:tcPr>
            <w:tcW w:w="2120" w:type="dxa"/>
            <w:vAlign w:val="bottom"/>
            <w:vMerge w:val="restart"/>
          </w:tcPr>
          <w:p>
            <w:pPr>
              <w:ind w:left="460"/>
              <w:spacing w:after="0" w:line="221" w:lineRule="exact"/>
              <w:rPr>
                <w:sz w:val="20"/>
                <w:szCs w:val="20"/>
                <w:color w:val="auto"/>
              </w:rPr>
            </w:pPr>
            <w:r>
              <w:rPr>
                <w:rFonts w:ascii="MS PGothic" w:cs="MS PGothic" w:eastAsia="MS PGothic" w:hAnsi="MS PGothic"/>
                <w:sz w:val="22"/>
                <w:szCs w:val="22"/>
                <w:color w:val="auto"/>
              </w:rPr>
              <w:t>☐</w:t>
            </w:r>
          </w:p>
        </w:tc>
        <w:tc>
          <w:tcPr>
            <w:tcW w:w="1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14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rPr>
              <w:t>OR</w:t>
            </w: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120" w:type="dxa"/>
            <w:vAlign w:val="bottom"/>
            <w:vMerge w:val="continue"/>
          </w:tcPr>
          <w:p>
            <w:pPr>
              <w:spacing w:after="0"/>
              <w:rPr>
                <w:sz w:val="24"/>
                <w:szCs w:val="24"/>
                <w:color w:val="auto"/>
              </w:rPr>
            </w:pPr>
          </w:p>
        </w:tc>
        <w:tc>
          <w:tcPr>
            <w:tcW w:w="8760" w:type="dxa"/>
            <w:vAlign w:val="bottom"/>
            <w:gridSpan w:val="5"/>
          </w:tcPr>
          <w:p>
            <w:pPr>
              <w:ind w:left="140"/>
              <w:spacing w:after="0"/>
              <w:rPr>
                <w:sz w:val="20"/>
                <w:szCs w:val="20"/>
                <w:color w:val="auto"/>
              </w:rPr>
            </w:pPr>
            <w:r>
              <w:rPr>
                <w:rFonts w:ascii="Arial" w:cs="Arial" w:eastAsia="Arial" w:hAnsi="Arial"/>
                <w:sz w:val="14"/>
                <w:szCs w:val="14"/>
                <w:b w:val="1"/>
                <w:bCs w:val="1"/>
                <w:color w:val="auto"/>
              </w:rPr>
              <w:t>TRANSITION REPORT PURSUANT TO SECTION 13 OR 15(d) OF THE SECURITIES EXCHANGE ACT OF 1934</w:t>
            </w:r>
          </w:p>
        </w:tc>
        <w:tc>
          <w:tcPr>
            <w:tcW w:w="0" w:type="dxa"/>
            <w:vAlign w:val="bottom"/>
          </w:tcPr>
          <w:p>
            <w:pPr>
              <w:spacing w:after="0"/>
              <w:rPr>
                <w:sz w:val="1"/>
                <w:szCs w:val="1"/>
                <w:color w:val="auto"/>
              </w:rPr>
            </w:pPr>
          </w:p>
        </w:tc>
      </w:tr>
      <w:tr>
        <w:trPr>
          <w:trHeight w:val="264"/>
        </w:trPr>
        <w:tc>
          <w:tcPr>
            <w:tcW w:w="212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38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For the transition period from _____ to _____</w:t>
            </w:r>
          </w:p>
        </w:tc>
        <w:tc>
          <w:tcPr>
            <w:tcW w:w="3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05"/>
        </w:trPr>
        <w:tc>
          <w:tcPr>
            <w:tcW w:w="2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14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rPr>
              <w:t>Commission File No. 001-10308</w:t>
            </w: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0"/>
        </w:trPr>
        <w:tc>
          <w:tcPr>
            <w:tcW w:w="2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8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6"/>
        </w:trPr>
        <w:tc>
          <w:tcPr>
            <w:tcW w:w="2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880" w:type="dxa"/>
            <w:vAlign w:val="bottom"/>
            <w:gridSpan w:val="3"/>
          </w:tcPr>
          <w:p>
            <w:pPr>
              <w:jc w:val="center"/>
              <w:ind w:right="100"/>
              <w:spacing w:after="0"/>
              <w:rPr>
                <w:sz w:val="20"/>
                <w:szCs w:val="20"/>
                <w:color w:val="auto"/>
              </w:rPr>
            </w:pPr>
            <w:r>
              <w:rPr>
                <w:rFonts w:ascii="Arial" w:cs="Arial" w:eastAsia="Arial" w:hAnsi="Arial"/>
                <w:sz w:val="25"/>
                <w:szCs w:val="25"/>
                <w:b w:val="1"/>
                <w:bCs w:val="1"/>
                <w:color w:val="auto"/>
              </w:rPr>
              <w:t>Avis Budget Group, Inc.</w:t>
            </w: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2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880" w:type="dxa"/>
            <w:vAlign w:val="bottom"/>
            <w:gridSpan w:val="3"/>
          </w:tcPr>
          <w:p>
            <w:pPr>
              <w:jc w:val="center"/>
              <w:ind w:right="140"/>
              <w:spacing w:after="0"/>
              <w:rPr>
                <w:sz w:val="20"/>
                <w:szCs w:val="20"/>
                <w:color w:val="auto"/>
              </w:rPr>
            </w:pPr>
            <w:r>
              <w:rPr>
                <w:rFonts w:ascii="Arial" w:cs="Arial" w:eastAsia="Arial" w:hAnsi="Arial"/>
                <w:sz w:val="14"/>
                <w:szCs w:val="14"/>
                <w:b w:val="1"/>
                <w:bCs w:val="1"/>
                <w:i w:val="1"/>
                <w:iCs w:val="1"/>
                <w:color w:val="auto"/>
              </w:rPr>
              <w:t>(Exact name of registrant as specified in its charter)</w:t>
            </w: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120" w:type="dxa"/>
            <w:vAlign w:val="bottom"/>
          </w:tcPr>
          <w:p>
            <w:pPr>
              <w:jc w:val="center"/>
              <w:ind w:left="1102"/>
              <w:spacing w:after="0"/>
              <w:rPr>
                <w:sz w:val="20"/>
                <w:szCs w:val="20"/>
                <w:color w:val="auto"/>
              </w:rPr>
            </w:pPr>
            <w:r>
              <w:rPr>
                <w:rFonts w:ascii="Arial" w:cs="Arial" w:eastAsia="Arial" w:hAnsi="Arial"/>
                <w:sz w:val="14"/>
                <w:szCs w:val="14"/>
                <w:b w:val="1"/>
                <w:bCs w:val="1"/>
                <w:color w:val="auto"/>
              </w:rPr>
              <w:t>Delaware</w:t>
            </w:r>
          </w:p>
        </w:tc>
        <w:tc>
          <w:tcPr>
            <w:tcW w:w="1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60" w:type="dxa"/>
            <w:vAlign w:val="bottom"/>
          </w:tcPr>
          <w:p>
            <w:pPr>
              <w:jc w:val="right"/>
              <w:ind w:right="868"/>
              <w:spacing w:after="0"/>
              <w:rPr>
                <w:sz w:val="20"/>
                <w:szCs w:val="20"/>
                <w:color w:val="auto"/>
              </w:rPr>
            </w:pPr>
            <w:r>
              <w:rPr>
                <w:rFonts w:ascii="Arial" w:cs="Arial" w:eastAsia="Arial" w:hAnsi="Arial"/>
                <w:sz w:val="14"/>
                <w:szCs w:val="14"/>
                <w:b w:val="1"/>
                <w:bCs w:val="1"/>
                <w:color w:val="auto"/>
              </w:rPr>
              <w:t>06-0918165</w:t>
            </w:r>
          </w:p>
        </w:tc>
        <w:tc>
          <w:tcPr>
            <w:tcW w:w="0" w:type="dxa"/>
            <w:vAlign w:val="bottom"/>
          </w:tcPr>
          <w:p>
            <w:pPr>
              <w:spacing w:after="0"/>
              <w:rPr>
                <w:sz w:val="1"/>
                <w:szCs w:val="1"/>
                <w:color w:val="auto"/>
              </w:rPr>
            </w:pPr>
          </w:p>
        </w:tc>
      </w:tr>
      <w:tr>
        <w:trPr>
          <w:trHeight w:val="147"/>
        </w:trPr>
        <w:tc>
          <w:tcPr>
            <w:tcW w:w="3740" w:type="dxa"/>
            <w:vAlign w:val="bottom"/>
            <w:gridSpan w:val="2"/>
          </w:tcPr>
          <w:p>
            <w:pPr>
              <w:jc w:val="center"/>
              <w:ind w:right="148"/>
              <w:spacing w:after="0" w:line="147" w:lineRule="exact"/>
              <w:rPr>
                <w:sz w:val="20"/>
                <w:szCs w:val="20"/>
                <w:color w:val="auto"/>
              </w:rPr>
            </w:pPr>
            <w:r>
              <w:rPr>
                <w:rFonts w:ascii="Arial" w:cs="Arial" w:eastAsia="Arial" w:hAnsi="Arial"/>
                <w:sz w:val="14"/>
                <w:szCs w:val="14"/>
                <w:i w:val="1"/>
                <w:iCs w:val="1"/>
                <w:color w:val="auto"/>
              </w:rPr>
              <w:t>(State or other jurisdiction of</w:t>
            </w:r>
          </w:p>
        </w:tc>
        <w:tc>
          <w:tcPr>
            <w:tcW w:w="7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60" w:type="dxa"/>
            <w:vAlign w:val="bottom"/>
          </w:tcPr>
          <w:p>
            <w:pPr>
              <w:jc w:val="center"/>
              <w:ind w:left="548"/>
              <w:spacing w:after="0" w:line="147" w:lineRule="exact"/>
              <w:rPr>
                <w:sz w:val="20"/>
                <w:szCs w:val="20"/>
                <w:color w:val="auto"/>
              </w:rPr>
            </w:pPr>
            <w:r>
              <w:rPr>
                <w:rFonts w:ascii="Arial" w:cs="Arial" w:eastAsia="Arial" w:hAnsi="Arial"/>
                <w:sz w:val="14"/>
                <w:szCs w:val="14"/>
                <w:i w:val="1"/>
                <w:iCs w:val="1"/>
                <w:color w:val="auto"/>
              </w:rPr>
              <w:t>(I.R.S. Employer</w:t>
            </w:r>
          </w:p>
        </w:tc>
        <w:tc>
          <w:tcPr>
            <w:tcW w:w="0" w:type="dxa"/>
            <w:vAlign w:val="bottom"/>
          </w:tcPr>
          <w:p>
            <w:pPr>
              <w:spacing w:after="0"/>
              <w:rPr>
                <w:sz w:val="1"/>
                <w:szCs w:val="1"/>
                <w:color w:val="auto"/>
              </w:rPr>
            </w:pPr>
          </w:p>
        </w:tc>
      </w:tr>
      <w:tr>
        <w:trPr>
          <w:trHeight w:val="176"/>
        </w:trPr>
        <w:tc>
          <w:tcPr>
            <w:tcW w:w="3740" w:type="dxa"/>
            <w:vAlign w:val="bottom"/>
            <w:gridSpan w:val="2"/>
          </w:tcPr>
          <w:p>
            <w:pPr>
              <w:jc w:val="center"/>
              <w:ind w:right="148"/>
              <w:spacing w:after="0"/>
              <w:rPr>
                <w:sz w:val="20"/>
                <w:szCs w:val="20"/>
                <w:color w:val="auto"/>
              </w:rPr>
            </w:pPr>
            <w:r>
              <w:rPr>
                <w:rFonts w:ascii="Arial" w:cs="Arial" w:eastAsia="Arial" w:hAnsi="Arial"/>
                <w:sz w:val="14"/>
                <w:szCs w:val="14"/>
                <w:i w:val="1"/>
                <w:iCs w:val="1"/>
                <w:color w:val="auto"/>
              </w:rPr>
              <w:t>incorporation or organization)</w:t>
            </w:r>
          </w:p>
        </w:tc>
        <w:tc>
          <w:tcPr>
            <w:tcW w:w="74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60" w:type="dxa"/>
            <w:vAlign w:val="bottom"/>
          </w:tcPr>
          <w:p>
            <w:pPr>
              <w:jc w:val="center"/>
              <w:ind w:left="548"/>
              <w:spacing w:after="0"/>
              <w:rPr>
                <w:sz w:val="20"/>
                <w:szCs w:val="20"/>
                <w:color w:val="auto"/>
              </w:rPr>
            </w:pPr>
            <w:r>
              <w:rPr>
                <w:rFonts w:ascii="Arial" w:cs="Arial" w:eastAsia="Arial" w:hAnsi="Arial"/>
                <w:sz w:val="14"/>
                <w:szCs w:val="14"/>
                <w:i w:val="1"/>
                <w:iCs w:val="1"/>
                <w:color w:val="auto"/>
              </w:rPr>
              <w:t>Identification Number)</w:t>
            </w:r>
          </w:p>
        </w:tc>
        <w:tc>
          <w:tcPr>
            <w:tcW w:w="0" w:type="dxa"/>
            <w:vAlign w:val="bottom"/>
          </w:tcPr>
          <w:p>
            <w:pPr>
              <w:spacing w:after="0"/>
              <w:rPr>
                <w:sz w:val="1"/>
                <w:szCs w:val="1"/>
                <w:color w:val="auto"/>
              </w:rPr>
            </w:pPr>
          </w:p>
        </w:tc>
      </w:tr>
      <w:tr>
        <w:trPr>
          <w:trHeight w:val="189"/>
        </w:trPr>
        <w:tc>
          <w:tcPr>
            <w:tcW w:w="2120" w:type="dxa"/>
            <w:vAlign w:val="bottom"/>
          </w:tcPr>
          <w:p>
            <w:pPr>
              <w:jc w:val="center"/>
              <w:ind w:left="1102"/>
              <w:spacing w:after="0"/>
              <w:rPr>
                <w:sz w:val="20"/>
                <w:szCs w:val="20"/>
                <w:color w:val="auto"/>
              </w:rPr>
            </w:pPr>
            <w:r>
              <w:rPr>
                <w:rFonts w:ascii="Arial" w:cs="Arial" w:eastAsia="Arial" w:hAnsi="Arial"/>
                <w:sz w:val="14"/>
                <w:szCs w:val="14"/>
                <w:b w:val="1"/>
                <w:bCs w:val="1"/>
                <w:color w:val="auto"/>
              </w:rPr>
              <w:t>6 Sylvan Way</w:t>
            </w:r>
          </w:p>
        </w:tc>
        <w:tc>
          <w:tcPr>
            <w:tcW w:w="16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120" w:type="dxa"/>
            <w:vAlign w:val="bottom"/>
          </w:tcPr>
          <w:p>
            <w:pPr>
              <w:ind w:left="1060"/>
              <w:spacing w:after="0"/>
              <w:rPr>
                <w:sz w:val="20"/>
                <w:szCs w:val="20"/>
                <w:color w:val="auto"/>
              </w:rPr>
            </w:pPr>
            <w:r>
              <w:rPr>
                <w:rFonts w:ascii="Arial" w:cs="Arial" w:eastAsia="Arial" w:hAnsi="Arial"/>
                <w:sz w:val="14"/>
                <w:szCs w:val="14"/>
                <w:b w:val="1"/>
                <w:bCs w:val="1"/>
                <w:color w:val="auto"/>
              </w:rPr>
              <w:t>Parsippany,</w:t>
            </w:r>
          </w:p>
        </w:tc>
        <w:tc>
          <w:tcPr>
            <w:tcW w:w="1620" w:type="dxa"/>
            <w:vAlign w:val="bottom"/>
          </w:tcPr>
          <w:p>
            <w:pPr>
              <w:spacing w:after="0"/>
              <w:rPr>
                <w:sz w:val="20"/>
                <w:szCs w:val="20"/>
                <w:color w:val="auto"/>
              </w:rPr>
            </w:pPr>
            <w:r>
              <w:rPr>
                <w:rFonts w:ascii="Arial" w:cs="Arial" w:eastAsia="Arial" w:hAnsi="Arial"/>
                <w:sz w:val="14"/>
                <w:szCs w:val="14"/>
                <w:b w:val="1"/>
                <w:bCs w:val="1"/>
                <w:color w:val="auto"/>
              </w:rPr>
              <w:t>NJ</w:t>
            </w:r>
          </w:p>
        </w:tc>
        <w:tc>
          <w:tcPr>
            <w:tcW w:w="74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60" w:type="dxa"/>
            <w:vAlign w:val="bottom"/>
          </w:tcPr>
          <w:p>
            <w:pPr>
              <w:jc w:val="right"/>
              <w:ind w:right="1048"/>
              <w:spacing w:after="0"/>
              <w:rPr>
                <w:sz w:val="20"/>
                <w:szCs w:val="20"/>
                <w:color w:val="auto"/>
              </w:rPr>
            </w:pPr>
            <w:r>
              <w:rPr>
                <w:rFonts w:ascii="Arial" w:cs="Arial" w:eastAsia="Arial" w:hAnsi="Arial"/>
                <w:sz w:val="14"/>
                <w:szCs w:val="14"/>
                <w:b w:val="1"/>
                <w:bCs w:val="1"/>
                <w:color w:val="auto"/>
              </w:rPr>
              <w:t>07054</w:t>
            </w:r>
          </w:p>
        </w:tc>
        <w:tc>
          <w:tcPr>
            <w:tcW w:w="0" w:type="dxa"/>
            <w:vAlign w:val="bottom"/>
          </w:tcPr>
          <w:p>
            <w:pPr>
              <w:spacing w:after="0"/>
              <w:rPr>
                <w:sz w:val="1"/>
                <w:szCs w:val="1"/>
                <w:color w:val="auto"/>
              </w:rPr>
            </w:pPr>
          </w:p>
        </w:tc>
      </w:tr>
      <w:tr>
        <w:trPr>
          <w:trHeight w:val="189"/>
        </w:trPr>
        <w:tc>
          <w:tcPr>
            <w:tcW w:w="3740" w:type="dxa"/>
            <w:vAlign w:val="bottom"/>
            <w:gridSpan w:val="2"/>
          </w:tcPr>
          <w:p>
            <w:pPr>
              <w:jc w:val="center"/>
              <w:ind w:right="168"/>
              <w:spacing w:after="0"/>
              <w:rPr>
                <w:sz w:val="20"/>
                <w:szCs w:val="20"/>
                <w:color w:val="auto"/>
              </w:rPr>
            </w:pPr>
            <w:r>
              <w:rPr>
                <w:rFonts w:ascii="Arial" w:cs="Arial" w:eastAsia="Arial" w:hAnsi="Arial"/>
                <w:sz w:val="14"/>
                <w:szCs w:val="14"/>
                <w:i w:val="1"/>
                <w:iCs w:val="1"/>
                <w:color w:val="auto"/>
              </w:rPr>
              <w:t>(Address of principal executive offices)</w:t>
            </w:r>
          </w:p>
        </w:tc>
        <w:tc>
          <w:tcPr>
            <w:tcW w:w="3040" w:type="dxa"/>
            <w:vAlign w:val="bottom"/>
            <w:gridSpan w:val="2"/>
            <w:vMerge w:val="restart"/>
          </w:tcPr>
          <w:p>
            <w:pPr>
              <w:jc w:val="right"/>
              <w:ind w:right="453"/>
              <w:spacing w:after="0"/>
              <w:rPr>
                <w:sz w:val="20"/>
                <w:szCs w:val="20"/>
                <w:color w:val="auto"/>
              </w:rPr>
            </w:pPr>
            <w:r>
              <w:rPr>
                <w:rFonts w:ascii="Arial" w:cs="Arial" w:eastAsia="Arial" w:hAnsi="Arial"/>
                <w:sz w:val="14"/>
                <w:szCs w:val="14"/>
                <w:b w:val="1"/>
                <w:bCs w:val="1"/>
                <w:color w:val="auto"/>
              </w:rPr>
              <w:t>(973)   496-4700</w:t>
            </w:r>
          </w:p>
        </w:tc>
        <w:tc>
          <w:tcPr>
            <w:tcW w:w="840" w:type="dxa"/>
            <w:vAlign w:val="bottom"/>
          </w:tcPr>
          <w:p>
            <w:pPr>
              <w:spacing w:after="0"/>
              <w:rPr>
                <w:sz w:val="16"/>
                <w:szCs w:val="16"/>
                <w:color w:val="auto"/>
              </w:rPr>
            </w:pPr>
          </w:p>
        </w:tc>
        <w:tc>
          <w:tcPr>
            <w:tcW w:w="3260" w:type="dxa"/>
            <w:vAlign w:val="bottom"/>
          </w:tcPr>
          <w:p>
            <w:pPr>
              <w:jc w:val="center"/>
              <w:ind w:left="548"/>
              <w:spacing w:after="0"/>
              <w:rPr>
                <w:sz w:val="20"/>
                <w:szCs w:val="20"/>
                <w:color w:val="auto"/>
              </w:rPr>
            </w:pPr>
            <w:r>
              <w:rPr>
                <w:rFonts w:ascii="Arial" w:cs="Arial" w:eastAsia="Arial" w:hAnsi="Arial"/>
                <w:sz w:val="14"/>
                <w:szCs w:val="14"/>
                <w:i w:val="1"/>
                <w:iCs w:val="1"/>
                <w:color w:val="auto"/>
              </w:rPr>
              <w:t>(Zip Code)</w:t>
            </w:r>
          </w:p>
        </w:tc>
        <w:tc>
          <w:tcPr>
            <w:tcW w:w="0" w:type="dxa"/>
            <w:vAlign w:val="bottom"/>
          </w:tcPr>
          <w:p>
            <w:pPr>
              <w:spacing w:after="0"/>
              <w:rPr>
                <w:sz w:val="1"/>
                <w:szCs w:val="1"/>
                <w:color w:val="auto"/>
              </w:rPr>
            </w:pPr>
          </w:p>
        </w:tc>
      </w:tr>
      <w:tr>
        <w:trPr>
          <w:trHeight w:val="189"/>
        </w:trPr>
        <w:tc>
          <w:tcPr>
            <w:tcW w:w="21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3040" w:type="dxa"/>
            <w:vAlign w:val="bottom"/>
            <w:gridSpan w:val="2"/>
            <w:vMerge w:val="continue"/>
          </w:tcPr>
          <w:p>
            <w:pPr>
              <w:spacing w:after="0"/>
              <w:rPr>
                <w:sz w:val="16"/>
                <w:szCs w:val="16"/>
                <w:color w:val="auto"/>
              </w:rPr>
            </w:pPr>
          </w:p>
        </w:tc>
        <w:tc>
          <w:tcPr>
            <w:tcW w:w="84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1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3880" w:type="dxa"/>
            <w:vAlign w:val="bottom"/>
            <w:gridSpan w:val="3"/>
          </w:tcPr>
          <w:p>
            <w:pPr>
              <w:ind w:left="260"/>
              <w:spacing w:after="0"/>
              <w:rPr>
                <w:sz w:val="20"/>
                <w:szCs w:val="20"/>
                <w:color w:val="auto"/>
              </w:rPr>
            </w:pPr>
            <w:r>
              <w:rPr>
                <w:rFonts w:ascii="Arial" w:cs="Arial" w:eastAsia="Arial" w:hAnsi="Arial"/>
                <w:sz w:val="14"/>
                <w:szCs w:val="14"/>
                <w:color w:val="auto"/>
              </w:rPr>
              <w:t>(Registrant’s telephone number, including area code)</w:t>
            </w:r>
          </w:p>
        </w:tc>
        <w:tc>
          <w:tcPr>
            <w:tcW w:w="3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94"/>
        </w:trPr>
        <w:tc>
          <w:tcPr>
            <w:tcW w:w="3740" w:type="dxa"/>
            <w:vAlign w:val="bottom"/>
            <w:gridSpan w:val="2"/>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7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740" w:type="dxa"/>
            <w:vAlign w:val="bottom"/>
            <w:gridSpan w:val="2"/>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740" w:type="dxa"/>
            <w:vAlign w:val="bottom"/>
          </w:tcPr>
          <w:p>
            <w:pPr>
              <w:spacing w:after="0"/>
              <w:rPr>
                <w:sz w:val="17"/>
                <w:szCs w:val="17"/>
                <w:color w:val="auto"/>
              </w:rPr>
            </w:pPr>
          </w:p>
        </w:tc>
        <w:tc>
          <w:tcPr>
            <w:tcW w:w="3140" w:type="dxa"/>
            <w:vAlign w:val="bottom"/>
            <w:gridSpan w:val="2"/>
          </w:tcPr>
          <w:p>
            <w:pPr>
              <w:jc w:val="center"/>
              <w:ind w:right="880"/>
              <w:spacing w:after="0"/>
              <w:rPr>
                <w:sz w:val="20"/>
                <w:szCs w:val="20"/>
                <w:color w:val="auto"/>
              </w:rPr>
            </w:pPr>
            <w:r>
              <w:rPr>
                <w:rFonts w:ascii="Arial" w:cs="Arial" w:eastAsia="Arial" w:hAnsi="Arial"/>
                <w:sz w:val="14"/>
                <w:szCs w:val="14"/>
                <w:b w:val="1"/>
                <w:bCs w:val="1"/>
                <w:color w:val="auto"/>
              </w:rPr>
              <w:t>Trading Symbol(s)</w:t>
            </w:r>
          </w:p>
        </w:tc>
        <w:tc>
          <w:tcPr>
            <w:tcW w:w="3260" w:type="dxa"/>
            <w:vAlign w:val="bottom"/>
          </w:tcPr>
          <w:p>
            <w:pPr>
              <w:jc w:val="center"/>
              <w:ind w:left="148"/>
              <w:spacing w:after="0"/>
              <w:rPr>
                <w:sz w:val="20"/>
                <w:szCs w:val="20"/>
                <w:color w:val="auto"/>
              </w:rPr>
            </w:pPr>
            <w:r>
              <w:rPr>
                <w:rFonts w:ascii="Arial" w:cs="Arial" w:eastAsia="Arial" w:hAnsi="Arial"/>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9"/>
        </w:trPr>
        <w:tc>
          <w:tcPr>
            <w:tcW w:w="3740" w:type="dxa"/>
            <w:vAlign w:val="bottom"/>
            <w:gridSpan w:val="2"/>
          </w:tcPr>
          <w:p>
            <w:pPr>
              <w:jc w:val="center"/>
              <w:spacing w:after="0"/>
              <w:rPr>
                <w:sz w:val="20"/>
                <w:szCs w:val="20"/>
                <w:color w:val="auto"/>
              </w:rPr>
            </w:pPr>
            <w:r>
              <w:rPr>
                <w:rFonts w:ascii="Arial" w:cs="Arial" w:eastAsia="Arial" w:hAnsi="Arial"/>
                <w:sz w:val="14"/>
                <w:szCs w:val="14"/>
                <w:color w:val="auto"/>
              </w:rPr>
              <w:t>Common Stock, Par Value $0.01</w:t>
            </w:r>
          </w:p>
        </w:tc>
        <w:tc>
          <w:tcPr>
            <w:tcW w:w="740" w:type="dxa"/>
            <w:vAlign w:val="bottom"/>
          </w:tcPr>
          <w:p>
            <w:pPr>
              <w:spacing w:after="0"/>
              <w:rPr>
                <w:sz w:val="16"/>
                <w:szCs w:val="16"/>
                <w:color w:val="auto"/>
              </w:rPr>
            </w:pPr>
          </w:p>
        </w:tc>
        <w:tc>
          <w:tcPr>
            <w:tcW w:w="3140" w:type="dxa"/>
            <w:vAlign w:val="bottom"/>
            <w:gridSpan w:val="2"/>
          </w:tcPr>
          <w:p>
            <w:pPr>
              <w:jc w:val="center"/>
              <w:ind w:right="880"/>
              <w:spacing w:after="0"/>
              <w:rPr>
                <w:sz w:val="20"/>
                <w:szCs w:val="20"/>
                <w:color w:val="auto"/>
              </w:rPr>
            </w:pPr>
            <w:r>
              <w:rPr>
                <w:rFonts w:ascii="Arial" w:cs="Arial" w:eastAsia="Arial" w:hAnsi="Arial"/>
                <w:sz w:val="14"/>
                <w:szCs w:val="14"/>
                <w:color w:val="auto"/>
              </w:rPr>
              <w:t>CAR</w:t>
            </w:r>
          </w:p>
        </w:tc>
        <w:tc>
          <w:tcPr>
            <w:tcW w:w="3260" w:type="dxa"/>
            <w:vAlign w:val="bottom"/>
          </w:tcPr>
          <w:p>
            <w:pPr>
              <w:jc w:val="center"/>
              <w:ind w:left="148"/>
              <w:spacing w:after="0"/>
              <w:rPr>
                <w:sz w:val="20"/>
                <w:szCs w:val="20"/>
                <w:color w:val="auto"/>
              </w:rPr>
            </w:pPr>
            <w:r>
              <w:rPr>
                <w:rFonts w:ascii="Arial" w:cs="Arial" w:eastAsia="Arial" w:hAnsi="Arial"/>
                <w:sz w:val="14"/>
                <w:szCs w:val="14"/>
                <w:color w:val="auto"/>
              </w:rPr>
              <w:t>The NASDAQ Global Select Market</w:t>
            </w: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35" w:lineRule="exact"/>
        <w:rPr>
          <w:sz w:val="24"/>
          <w:szCs w:val="24"/>
          <w:color w:val="auto"/>
        </w:rPr>
      </w:pPr>
    </w:p>
    <w:p>
      <w:pPr>
        <w:ind w:right="80"/>
        <w:spacing w:after="0" w:line="236"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84" w:lineRule="exact"/>
        <w:tabs>
          <w:tab w:leader="none" w:pos="480" w:val="left"/>
          <w:tab w:leader="none" w:pos="1120" w:val="left"/>
        </w:tabs>
        <w:rPr>
          <w:sz w:val="20"/>
          <w:szCs w:val="20"/>
          <w:color w:val="auto"/>
        </w:rPr>
      </w:pPr>
      <w:r>
        <w:rPr>
          <w:rFonts w:ascii="Arial" w:cs="Arial" w:eastAsia="Arial" w:hAnsi="Arial"/>
          <w:sz w:val="14"/>
          <w:szCs w:val="14"/>
          <w:color w:val="auto"/>
        </w:rPr>
        <w:t>days.</w:t>
        <w:tab/>
        <w:t xml:space="preserve">Yes </w:t>
      </w:r>
      <w:r>
        <w:rPr>
          <w:rFonts w:ascii="MS PGothic" w:cs="MS PGothic" w:eastAsia="MS PGothic" w:hAnsi="MS PGothic"/>
          <w:sz w:val="16"/>
          <w:szCs w:val="16"/>
          <w:color w:val="auto"/>
        </w:rPr>
        <w:t>☒</w:t>
      </w:r>
      <w:r>
        <w:rPr>
          <w:rFonts w:ascii="Arial" w:cs="Arial" w:eastAsia="Arial" w:hAnsi="Arial"/>
          <w:sz w:val="14"/>
          <w:szCs w:val="14"/>
          <w:color w:val="auto"/>
        </w:rPr>
        <w:tab/>
        <w:t xml:space="preserve">No </w:t>
      </w:r>
      <w:r>
        <w:rPr>
          <w:rFonts w:ascii="MS PGothic" w:cs="MS PGothic" w:eastAsia="MS PGothic" w:hAnsi="MS PGothic"/>
          <w:sz w:val="16"/>
          <w:szCs w:val="16"/>
          <w:color w:val="auto"/>
        </w:rPr>
        <w:t>☐</w:t>
      </w:r>
    </w:p>
    <w:p>
      <w:pPr>
        <w:spacing w:after="0" w:line="174" w:lineRule="exact"/>
        <w:rPr>
          <w:sz w:val="24"/>
          <w:szCs w:val="24"/>
          <w:color w:val="auto"/>
        </w:rPr>
      </w:pPr>
    </w:p>
    <w:p>
      <w:pPr>
        <w:spacing w:after="0" w:line="186"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4"/>
          <w:szCs w:val="14"/>
          <w:color w:val="auto"/>
        </w:rPr>
        <w:t xml:space="preserve"> No </w:t>
      </w:r>
      <w:r>
        <w:rPr>
          <w:rFonts w:ascii="MS PGothic" w:cs="MS PGothic" w:eastAsia="MS PGothic" w:hAnsi="MS PGothic"/>
          <w:sz w:val="16"/>
          <w:szCs w:val="16"/>
          <w:color w:val="auto"/>
        </w:rPr>
        <w:t>☐</w:t>
      </w:r>
    </w:p>
    <w:p>
      <w:pPr>
        <w:spacing w:after="0" w:line="142"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emerging growth company.</w:t>
      </w:r>
    </w:p>
    <w:p>
      <w:pPr>
        <w:spacing w:after="0" w:line="1" w:lineRule="exact"/>
        <w:rPr>
          <w:sz w:val="24"/>
          <w:szCs w:val="24"/>
          <w:color w:val="auto"/>
        </w:rPr>
      </w:pPr>
    </w:p>
    <w:p>
      <w:pPr>
        <w:spacing w:after="0"/>
        <w:rPr>
          <w:sz w:val="20"/>
          <w:szCs w:val="20"/>
          <w:color w:val="auto"/>
        </w:rPr>
      </w:pPr>
      <w:r>
        <w:rPr>
          <w:rFonts w:ascii="Arial" w:cs="Arial" w:eastAsia="Arial" w:hAnsi="Arial"/>
          <w:sz w:val="14"/>
          <w:szCs w:val="14"/>
          <w:color w:val="auto"/>
        </w:rPr>
        <w:t>See the definitions of “large accelerated filer”, “accelerated filer”, “smaller reporting company”, and “emerging growth company” in Rule 12b-2 of the Exchange Act.</w:t>
      </w:r>
    </w:p>
    <w:p>
      <w:pPr>
        <w:sectPr>
          <w:pgSz w:w="11900" w:h="16838" w:orient="portrait"/>
          <w:cols w:equalWidth="0" w:num="1">
            <w:col w:w="11220"/>
          </w:cols>
          <w:pgMar w:left="320" w:top="247" w:right="359" w:bottom="1440" w:gutter="0" w:footer="0" w:header="0"/>
        </w:sectPr>
      </w:pPr>
    </w:p>
    <w:p>
      <w:pPr>
        <w:spacing w:after="0" w:line="96" w:lineRule="exact"/>
        <w:rPr>
          <w:sz w:val="24"/>
          <w:szCs w:val="24"/>
          <w:color w:val="auto"/>
        </w:rPr>
      </w:pPr>
    </w:p>
    <w:p>
      <w:pPr>
        <w:ind w:left="100" w:right="880"/>
        <w:spacing w:after="0" w:line="379" w:lineRule="auto"/>
        <w:rPr>
          <w:sz w:val="20"/>
          <w:szCs w:val="20"/>
          <w:color w:val="auto"/>
        </w:rPr>
      </w:pPr>
      <w:r>
        <w:rPr>
          <w:rFonts w:ascii="Arial" w:cs="Arial" w:eastAsia="Arial" w:hAnsi="Arial"/>
          <w:sz w:val="14"/>
          <w:szCs w:val="14"/>
          <w:color w:val="auto"/>
        </w:rPr>
        <w:t>Large Accelerated Filer Smaller Reporting Company</w:t>
      </w:r>
    </w:p>
    <w:p>
      <w:pPr>
        <w:spacing w:after="0" w:line="20" w:lineRule="exact"/>
        <w:rPr>
          <w:sz w:val="24"/>
          <w:szCs w:val="24"/>
          <w:color w:val="auto"/>
        </w:rPr>
      </w:pPr>
      <w:r>
        <w:rPr>
          <w:sz w:val="24"/>
          <w:szCs w:val="24"/>
          <w:color w:val="auto"/>
        </w:rPr>
        <w:br w:type="column"/>
      </w:r>
    </w:p>
    <w:p>
      <w:pPr>
        <w:spacing w:after="0" w:line="172" w:lineRule="exact"/>
        <w:rPr>
          <w:sz w:val="20"/>
          <w:szCs w:val="20"/>
          <w:color w:val="auto"/>
        </w:rPr>
      </w:pPr>
      <w:r>
        <w:rPr>
          <w:rFonts w:ascii="MS PGothic" w:cs="MS PGothic" w:eastAsia="MS PGothic" w:hAnsi="MS PGothic"/>
          <w:sz w:val="18"/>
          <w:szCs w:val="18"/>
          <w:color w:val="auto"/>
        </w:rPr>
        <w:t>☒</w:t>
      </w:r>
    </w:p>
    <w:p>
      <w:pPr>
        <w:spacing w:after="0" w:line="80"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76" w:lineRule="exact"/>
        <w:rPr>
          <w:sz w:val="24"/>
          <w:szCs w:val="24"/>
          <w:color w:val="auto"/>
        </w:rPr>
      </w:pPr>
    </w:p>
    <w:p>
      <w:pPr>
        <w:spacing w:after="0"/>
        <w:rPr>
          <w:sz w:val="20"/>
          <w:szCs w:val="20"/>
          <w:color w:val="auto"/>
        </w:rPr>
      </w:pPr>
      <w:r>
        <w:rPr>
          <w:rFonts w:ascii="Arial" w:cs="Arial" w:eastAsia="Arial" w:hAnsi="Arial"/>
          <w:sz w:val="14"/>
          <w:szCs w:val="14"/>
          <w:color w:val="auto"/>
        </w:rPr>
        <w:t>Accelerated Filer</w:t>
      </w:r>
    </w:p>
    <w:p>
      <w:pPr>
        <w:spacing w:after="0" w:line="82" w:lineRule="exact"/>
        <w:rPr>
          <w:sz w:val="24"/>
          <w:szCs w:val="24"/>
          <w:color w:val="auto"/>
        </w:rPr>
      </w:pPr>
    </w:p>
    <w:p>
      <w:pPr>
        <w:spacing w:after="0"/>
        <w:rPr>
          <w:sz w:val="20"/>
          <w:szCs w:val="20"/>
          <w:color w:val="auto"/>
        </w:rPr>
      </w:pPr>
      <w:r>
        <w:rPr>
          <w:rFonts w:ascii="Arial" w:cs="Arial" w:eastAsia="Arial" w:hAnsi="Arial"/>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172" w:lineRule="exact"/>
        <w:rPr>
          <w:sz w:val="20"/>
          <w:szCs w:val="20"/>
          <w:color w:val="auto"/>
        </w:rPr>
      </w:pPr>
      <w:r>
        <w:rPr>
          <w:rFonts w:ascii="MS PGothic" w:cs="MS PGothic" w:eastAsia="MS PGothic" w:hAnsi="MS PGothic"/>
          <w:sz w:val="18"/>
          <w:szCs w:val="18"/>
          <w:color w:val="auto"/>
        </w:rPr>
        <w:t>☐</w:t>
      </w:r>
    </w:p>
    <w:p>
      <w:pPr>
        <w:spacing w:after="0" w:line="80"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76" w:lineRule="exact"/>
        <w:rPr>
          <w:sz w:val="24"/>
          <w:szCs w:val="24"/>
          <w:color w:val="auto"/>
        </w:rPr>
      </w:pPr>
    </w:p>
    <w:p>
      <w:pPr>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72" w:lineRule="exact"/>
        <w:rPr>
          <w:sz w:val="20"/>
          <w:szCs w:val="20"/>
          <w:color w:val="auto"/>
        </w:rPr>
      </w:pPr>
      <w:r>
        <w:rPr>
          <w:rFonts w:ascii="MS PGothic" w:cs="MS PGothic" w:eastAsia="MS PGothic" w:hAnsi="MS PGothic"/>
          <w:sz w:val="18"/>
          <w:szCs w:val="18"/>
          <w:color w:val="auto"/>
        </w:rPr>
        <w:t>☐</w:t>
      </w:r>
    </w:p>
    <w:p>
      <w:pPr>
        <w:spacing w:after="0" w:line="430" w:lineRule="exact"/>
        <w:rPr>
          <w:sz w:val="24"/>
          <w:szCs w:val="24"/>
          <w:color w:val="auto"/>
        </w:rPr>
      </w:pPr>
    </w:p>
    <w:p>
      <w:pPr>
        <w:sectPr>
          <w:pgSz w:w="11900" w:h="16838" w:orient="portrait"/>
          <w:cols w:equalWidth="0" w:num="6">
            <w:col w:w="2780" w:space="720"/>
            <w:col w:w="180" w:space="100"/>
            <w:col w:w="2700" w:space="720"/>
            <w:col w:w="180" w:space="100"/>
            <w:col w:w="2700" w:space="720"/>
            <w:col w:w="320"/>
          </w:cols>
          <w:pgMar w:left="320" w:top="247" w:right="359" w:bottom="1440" w:gutter="0" w:footer="0" w:header="0"/>
          <w:type w:val="continuous"/>
        </w:sectPr>
      </w:pPr>
    </w:p>
    <w:p>
      <w:pPr>
        <w:ind w:right="280"/>
        <w:spacing w:after="0" w:line="18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79" w:lineRule="exact"/>
        <w:rPr>
          <w:sz w:val="24"/>
          <w:szCs w:val="24"/>
          <w:color w:val="auto"/>
        </w:rPr>
      </w:pPr>
    </w:p>
    <w:p>
      <w:pPr>
        <w:spacing w:after="0" w:line="184" w:lineRule="exact"/>
        <w:tabs>
          <w:tab w:leader="none" w:pos="7920" w:val="left"/>
        </w:tabs>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4"/>
          <w:szCs w:val="14"/>
          <w:color w:val="auto"/>
        </w:rPr>
        <w:tab/>
        <w:t xml:space="preserve">No </w:t>
      </w:r>
      <w:r>
        <w:rPr>
          <w:rFonts w:ascii="MS PGothic" w:cs="MS PGothic" w:eastAsia="MS PGothic" w:hAnsi="MS PGothic"/>
          <w:sz w:val="16"/>
          <w:szCs w:val="16"/>
          <w:color w:val="auto"/>
        </w:rPr>
        <w:t>☒</w:t>
      </w:r>
    </w:p>
    <w:p>
      <w:pPr>
        <w:spacing w:after="0" w:line="293" w:lineRule="exact"/>
        <w:rPr>
          <w:sz w:val="24"/>
          <w:szCs w:val="24"/>
          <w:color w:val="auto"/>
        </w:rPr>
      </w:pPr>
    </w:p>
    <w:p>
      <w:pPr>
        <w:spacing w:after="0"/>
        <w:rPr>
          <w:sz w:val="20"/>
          <w:szCs w:val="20"/>
          <w:color w:val="auto"/>
        </w:rPr>
      </w:pPr>
      <w:r>
        <w:rPr>
          <w:rFonts w:ascii="Arial" w:cs="Arial" w:eastAsia="Arial" w:hAnsi="Arial"/>
          <w:sz w:val="14"/>
          <w:szCs w:val="14"/>
          <w:color w:val="auto"/>
        </w:rPr>
        <w:t>The number of shares outstanding of the issuer’s common stock was 69,858,812 shares as of April 30,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704850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31750</wp:posOffset>
            </wp:positionV>
            <wp:extent cx="70891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57785</wp:posOffset>
            </wp:positionV>
            <wp:extent cx="70891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ectPr>
          <w:pgSz w:w="11900" w:h="16838" w:orient="portrait"/>
          <w:cols w:equalWidth="0" w:num="1">
            <w:col w:w="11220"/>
          </w:cols>
          <w:pgMar w:left="320" w:top="247" w:right="359" w:bottom="1440" w:gutter="0" w:footer="0" w:header="0"/>
          <w:type w:val="continuous"/>
        </w:sectPr>
      </w:pPr>
    </w:p>
    <w:bookmarkStart w:id="1" w:name="page2"/>
    <w:bookmarkEnd w:id="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PART I</w:t>
            </w: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6"/>
        </w:trPr>
        <w:tc>
          <w:tcPr>
            <w:tcW w:w="1020" w:type="dxa"/>
            <w:vAlign w:val="bottom"/>
            <w:vMerge w:val="continue"/>
          </w:tcPr>
          <w:p>
            <w:pPr>
              <w:spacing w:after="0"/>
              <w:rPr>
                <w:sz w:val="17"/>
                <w:szCs w:val="17"/>
                <w:color w:val="auto"/>
              </w:rPr>
            </w:pPr>
          </w:p>
        </w:tc>
        <w:tc>
          <w:tcPr>
            <w:tcW w:w="1680" w:type="dxa"/>
            <w:vAlign w:val="bottom"/>
            <w:tcBorders>
              <w:bottom w:val="single" w:sz="8" w:color="0000FF"/>
            </w:tcBorders>
            <w:gridSpan w:val="7"/>
          </w:tcPr>
          <w:p>
            <w:pPr>
              <w:spacing w:after="0" w:line="196" w:lineRule="exact"/>
              <w:rPr>
                <w:rFonts w:ascii="Arial" w:cs="Arial" w:eastAsia="Arial" w:hAnsi="Arial"/>
                <w:sz w:val="18"/>
                <w:szCs w:val="18"/>
                <w:color w:val="0000FF"/>
                <w:w w:val="99"/>
              </w:rPr>
            </w:pPr>
            <w:hyperlink w:anchor="page5">
              <w:r>
                <w:rPr>
                  <w:rFonts w:ascii="Arial" w:cs="Arial" w:eastAsia="Arial" w:hAnsi="Arial"/>
                  <w:sz w:val="18"/>
                  <w:szCs w:val="18"/>
                  <w:color w:val="0000FF"/>
                  <w:w w:val="99"/>
                </w:rPr>
                <w:t>Financial Information</w:t>
              </w:r>
            </w:hyperlink>
          </w:p>
        </w:tc>
        <w:tc>
          <w:tcPr>
            <w:tcW w:w="7760" w:type="dxa"/>
            <w:vAlign w:val="bottom"/>
            <w:gridSpan w:val="11"/>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020" w:type="dxa"/>
            <w:vAlign w:val="bottom"/>
          </w:tcPr>
          <w:p>
            <w:pPr>
              <w:ind w:left="20"/>
              <w:spacing w:after="0"/>
              <w:rPr>
                <w:sz w:val="20"/>
                <w:szCs w:val="20"/>
                <w:color w:val="auto"/>
              </w:rPr>
            </w:pPr>
            <w:r>
              <w:rPr>
                <w:rFonts w:ascii="Arial" w:cs="Arial" w:eastAsia="Arial" w:hAnsi="Arial"/>
                <w:sz w:val="18"/>
                <w:szCs w:val="18"/>
                <w:color w:val="auto"/>
              </w:rPr>
              <w:t>Item 1.</w:t>
            </w:r>
          </w:p>
        </w:tc>
        <w:tc>
          <w:tcPr>
            <w:tcW w:w="9440" w:type="dxa"/>
            <w:vAlign w:val="bottom"/>
            <w:gridSpan w:val="18"/>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Financial Statements</w:t>
              </w:r>
            </w:hyperlink>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gridSpan w:val="5"/>
            <w:vMerge w:val="restart"/>
          </w:tcPr>
          <w:p>
            <w:pPr>
              <w:jc w:val="right"/>
              <w:ind w:right="60"/>
              <w:spacing w:after="0"/>
              <w:rPr>
                <w:rFonts w:ascii="Arial" w:cs="Arial" w:eastAsia="Arial" w:hAnsi="Arial"/>
                <w:sz w:val="18"/>
                <w:szCs w:val="18"/>
                <w:color w:val="0000FF"/>
              </w:rPr>
            </w:pPr>
            <w:hyperlink w:anchor="page6">
              <w:r>
                <w:rPr>
                  <w:rFonts w:ascii="Arial" w:cs="Arial" w:eastAsia="Arial" w:hAnsi="Arial"/>
                  <w:sz w:val="18"/>
                  <w:szCs w:val="18"/>
                  <w:color w:val="0000FF"/>
                </w:rPr>
                <w:t>4</w:t>
              </w:r>
            </w:hyperlink>
          </w:p>
        </w:tc>
        <w:tc>
          <w:tcPr>
            <w:tcW w:w="0" w:type="dxa"/>
            <w:vAlign w:val="bottom"/>
          </w:tcPr>
          <w:p>
            <w:pPr>
              <w:spacing w:after="0" w:line="20" w:lineRule="exact"/>
              <w:rPr>
                <w:sz w:val="1"/>
                <w:szCs w:val="1"/>
                <w:color w:val="auto"/>
              </w:rPr>
            </w:pPr>
          </w:p>
        </w:tc>
      </w:tr>
      <w:tr>
        <w:trPr>
          <w:trHeight w:val="217"/>
        </w:trPr>
        <w:tc>
          <w:tcPr>
            <w:tcW w:w="1020" w:type="dxa"/>
            <w:vAlign w:val="bottom"/>
          </w:tcPr>
          <w:p>
            <w:pPr>
              <w:spacing w:after="0"/>
              <w:rPr>
                <w:sz w:val="18"/>
                <w:szCs w:val="18"/>
                <w:color w:val="auto"/>
              </w:rPr>
            </w:pPr>
          </w:p>
        </w:tc>
        <w:tc>
          <w:tcPr>
            <w:tcW w:w="9440" w:type="dxa"/>
            <w:vAlign w:val="bottom"/>
            <w:gridSpan w:val="18"/>
          </w:tcPr>
          <w:p>
            <w:pPr>
              <w:spacing w:after="0" w:line="196" w:lineRule="exact"/>
              <w:rPr>
                <w:rFonts w:ascii="Arial" w:cs="Arial" w:eastAsia="Arial" w:hAnsi="Arial"/>
                <w:sz w:val="18"/>
                <w:szCs w:val="18"/>
                <w:color w:val="0000FF"/>
              </w:rPr>
            </w:pPr>
            <w:hyperlink w:anchor="page6">
              <w:r>
                <w:rPr>
                  <w:rFonts w:ascii="Arial" w:cs="Arial" w:eastAsia="Arial" w:hAnsi="Arial"/>
                  <w:sz w:val="18"/>
                  <w:szCs w:val="18"/>
                  <w:color w:val="0000FF"/>
                </w:rPr>
                <w:t xml:space="preserve">Consolidated Condensed Statements of Comprehensive Income for the Three Months Ended March 31, </w:t>
              </w:r>
            </w:hyperlink>
            <w:r>
              <w:rPr>
                <w:rFonts w:ascii="Arial" w:cs="Arial" w:eastAsia="Arial" w:hAnsi="Arial"/>
                <w:sz w:val="18"/>
                <w:szCs w:val="18"/>
                <w:color w:val="0000FF"/>
              </w:rPr>
              <w:t>2021</w:t>
            </w:r>
          </w:p>
        </w:tc>
        <w:tc>
          <w:tcPr>
            <w:tcW w:w="78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020" w:type="dxa"/>
            <w:vAlign w:val="bottom"/>
          </w:tcPr>
          <w:p>
            <w:pPr>
              <w:spacing w:after="0"/>
              <w:rPr>
                <w:sz w:val="17"/>
                <w:szCs w:val="17"/>
                <w:color w:val="auto"/>
              </w:rPr>
            </w:pPr>
          </w:p>
        </w:tc>
        <w:tc>
          <w:tcPr>
            <w:tcW w:w="8720" w:type="dxa"/>
            <w:vAlign w:val="bottom"/>
            <w:tcBorders>
              <w:top w:val="single" w:sz="8" w:color="0000FF"/>
            </w:tcBorders>
            <w:gridSpan w:val="16"/>
          </w:tcPr>
          <w:p>
            <w:pPr>
              <w:spacing w:after="0" w:line="202" w:lineRule="exact"/>
              <w:rPr>
                <w:rFonts w:ascii="Arial" w:cs="Arial" w:eastAsia="Arial" w:hAnsi="Arial"/>
                <w:sz w:val="18"/>
                <w:szCs w:val="18"/>
                <w:color w:val="0000FF"/>
              </w:rPr>
            </w:pPr>
            <w:hyperlink w:anchor="page6">
              <w:r>
                <w:rPr>
                  <w:rFonts w:ascii="Arial" w:cs="Arial" w:eastAsia="Arial" w:hAnsi="Arial"/>
                  <w:sz w:val="18"/>
                  <w:szCs w:val="18"/>
                  <w:color w:val="0000FF"/>
                </w:rPr>
                <w:t xml:space="preserve">and </w:t>
              </w:r>
            </w:hyperlink>
            <w:r>
              <w:rPr>
                <w:rFonts w:ascii="Arial" w:cs="Arial" w:eastAsia="Arial" w:hAnsi="Arial"/>
                <w:sz w:val="18"/>
                <w:szCs w:val="18"/>
                <w:color w:val="0000FF"/>
              </w:rPr>
              <w:t xml:space="preserve">2020 </w:t>
            </w:r>
            <w:hyperlink w:anchor="page6">
              <w:r>
                <w:rPr>
                  <w:rFonts w:ascii="Arial" w:cs="Arial" w:eastAsia="Arial" w:hAnsi="Arial"/>
                  <w:sz w:val="18"/>
                  <w:szCs w:val="18"/>
                  <w:color w:val="0000FF"/>
                </w:rPr>
                <w:t>(Unaudited)</w:t>
              </w:r>
            </w:hyperlink>
          </w:p>
        </w:tc>
        <w:tc>
          <w:tcPr>
            <w:tcW w:w="720" w:type="dxa"/>
            <w:vAlign w:val="bottom"/>
            <w:gridSpan w:val="2"/>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gridSpan w:val="3"/>
            <w:vMerge w:val="restart"/>
          </w:tcPr>
          <w:p>
            <w:pPr>
              <w:spacing w:after="0" w:line="20" w:lineRule="exact"/>
              <w:rPr>
                <w:sz w:val="1"/>
                <w:szCs w:val="1"/>
                <w:color w:val="auto"/>
              </w:rPr>
            </w:pPr>
          </w:p>
        </w:tc>
        <w:tc>
          <w:tcPr>
            <w:tcW w:w="160" w:type="dxa"/>
            <w:vAlign w:val="bottom"/>
            <w:gridSpan w:val="2"/>
            <w:vMerge w:val="restart"/>
          </w:tcPr>
          <w:p>
            <w:pPr>
              <w:jc w:val="right"/>
              <w:ind w:right="60"/>
              <w:spacing w:after="0"/>
              <w:rPr>
                <w:rFonts w:ascii="Arial" w:cs="Arial" w:eastAsia="Arial" w:hAnsi="Arial"/>
                <w:sz w:val="18"/>
                <w:szCs w:val="18"/>
                <w:color w:val="0000FF"/>
                <w:w w:val="79"/>
              </w:rPr>
            </w:pPr>
            <w:hyperlink w:anchor="page6">
              <w:r>
                <w:rPr>
                  <w:rFonts w:ascii="Arial" w:cs="Arial" w:eastAsia="Arial" w:hAnsi="Arial"/>
                  <w:sz w:val="18"/>
                  <w:szCs w:val="18"/>
                  <w:color w:val="0000FF"/>
                  <w:w w:val="79"/>
                </w:rPr>
                <w:t>5</w:t>
              </w:r>
            </w:hyperlink>
          </w:p>
        </w:tc>
        <w:tc>
          <w:tcPr>
            <w:tcW w:w="0" w:type="dxa"/>
            <w:vAlign w:val="bottom"/>
          </w:tcPr>
          <w:p>
            <w:pPr>
              <w:spacing w:after="0" w:line="20" w:lineRule="exact"/>
              <w:rPr>
                <w:sz w:val="1"/>
                <w:szCs w:val="1"/>
                <w:color w:val="auto"/>
              </w:rPr>
            </w:pPr>
          </w:p>
        </w:tc>
      </w:tr>
      <w:tr>
        <w:trPr>
          <w:trHeight w:val="236"/>
        </w:trPr>
        <w:tc>
          <w:tcPr>
            <w:tcW w:w="1020" w:type="dxa"/>
            <w:vAlign w:val="bottom"/>
          </w:tcPr>
          <w:p>
            <w:pPr>
              <w:spacing w:after="0"/>
              <w:rPr>
                <w:sz w:val="20"/>
                <w:szCs w:val="20"/>
                <w:color w:val="auto"/>
              </w:rPr>
            </w:pPr>
          </w:p>
        </w:tc>
        <w:tc>
          <w:tcPr>
            <w:tcW w:w="9440" w:type="dxa"/>
            <w:vAlign w:val="bottom"/>
            <w:gridSpan w:val="18"/>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 xml:space="preserve">Consolidated Condensed Balance Sheets as of March </w:t>
              </w:r>
            </w:hyperlink>
            <w:r>
              <w:rPr>
                <w:rFonts w:ascii="Arial" w:cs="Arial" w:eastAsia="Arial" w:hAnsi="Arial"/>
                <w:sz w:val="18"/>
                <w:szCs w:val="18"/>
                <w:color w:val="0000FF"/>
              </w:rPr>
              <w:t xml:space="preserve">31, 2021 </w:t>
            </w:r>
            <w:hyperlink w:anchor="page6">
              <w:r>
                <w:rPr>
                  <w:rFonts w:ascii="Arial" w:cs="Arial" w:eastAsia="Arial" w:hAnsi="Arial"/>
                  <w:sz w:val="18"/>
                  <w:szCs w:val="18"/>
                  <w:color w:val="0000FF"/>
                </w:rPr>
                <w:t xml:space="preserve">and December 31, </w:t>
              </w:r>
            </w:hyperlink>
            <w:r>
              <w:rPr>
                <w:rFonts w:ascii="Arial" w:cs="Arial" w:eastAsia="Arial" w:hAnsi="Arial"/>
                <w:sz w:val="18"/>
                <w:szCs w:val="18"/>
                <w:color w:val="0000FF"/>
              </w:rPr>
              <w:t xml:space="preserve">2020 </w:t>
            </w:r>
            <w:hyperlink w:anchor="page6">
              <w:r>
                <w:rPr>
                  <w:rFonts w:ascii="Arial" w:cs="Arial" w:eastAsia="Arial" w:hAnsi="Arial"/>
                  <w:sz w:val="18"/>
                  <w:szCs w:val="18"/>
                  <w:color w:val="0000FF"/>
                </w:rPr>
                <w:t>(Unaudited)</w:t>
              </w:r>
            </w:hyperlink>
          </w:p>
        </w:tc>
        <w:tc>
          <w:tcPr>
            <w:tcW w:w="620" w:type="dxa"/>
            <w:vAlign w:val="bottom"/>
            <w:gridSpan w:val="3"/>
            <w:vMerge w:val="continue"/>
          </w:tcPr>
          <w:p>
            <w:pPr>
              <w:spacing w:after="0"/>
              <w:rPr>
                <w:sz w:val="20"/>
                <w:szCs w:val="20"/>
                <w:color w:val="auto"/>
              </w:rPr>
            </w:pPr>
          </w:p>
        </w:tc>
        <w:tc>
          <w:tcPr>
            <w:tcW w:w="1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tcBorders>
              <w:bottom w:val="single" w:sz="8" w:color="0000FF"/>
            </w:tcBorders>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40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500" w:type="dxa"/>
            <w:vAlign w:val="bottom"/>
            <w:tcBorders>
              <w:bottom w:val="single" w:sz="8" w:color="0000FF"/>
            </w:tcBorders>
            <w:gridSpan w:val="3"/>
          </w:tcPr>
          <w:p>
            <w:pPr>
              <w:spacing w:after="0" w:line="20" w:lineRule="exact"/>
              <w:rPr>
                <w:sz w:val="1"/>
                <w:szCs w:val="1"/>
                <w:color w:val="auto"/>
              </w:rPr>
            </w:pPr>
          </w:p>
        </w:tc>
        <w:tc>
          <w:tcPr>
            <w:tcW w:w="2700" w:type="dxa"/>
            <w:vAlign w:val="bottom"/>
            <w:tcBorders>
              <w:bottom w:val="single" w:sz="8" w:color="0000FF"/>
            </w:tcBorders>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600" w:type="dxa"/>
            <w:vAlign w:val="bottom"/>
            <w:tcBorders>
              <w:bottom w:val="single" w:sz="8" w:color="0000FF"/>
            </w:tcBorders>
          </w:tcPr>
          <w:p>
            <w:pPr>
              <w:spacing w:after="0" w:line="20" w:lineRule="exact"/>
              <w:rPr>
                <w:sz w:val="1"/>
                <w:szCs w:val="1"/>
                <w:color w:val="auto"/>
              </w:rPr>
            </w:pPr>
          </w:p>
        </w:tc>
        <w:tc>
          <w:tcPr>
            <w:tcW w:w="1620" w:type="dxa"/>
            <w:vAlign w:val="bottom"/>
            <w:tcBorders>
              <w:bottom w:val="single" w:sz="8" w:color="0000FF"/>
            </w:tcBorders>
          </w:tcPr>
          <w:p>
            <w:pPr>
              <w:spacing w:after="0" w:line="20" w:lineRule="exact"/>
              <w:rPr>
                <w:sz w:val="1"/>
                <w:szCs w:val="1"/>
                <w:color w:val="auto"/>
              </w:rPr>
            </w:pPr>
          </w:p>
        </w:tc>
        <w:tc>
          <w:tcPr>
            <w:tcW w:w="960" w:type="dxa"/>
            <w:vAlign w:val="bottom"/>
            <w:tcBorders>
              <w:bottom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p>
        </w:tc>
        <w:tc>
          <w:tcPr>
            <w:tcW w:w="9440" w:type="dxa"/>
            <w:vAlign w:val="bottom"/>
            <w:gridSpan w:val="18"/>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 xml:space="preserve">Consolidated Condensed Statements of Cash Flows for the Three Months Ended March </w:t>
              </w:r>
            </w:hyperlink>
            <w:r>
              <w:rPr>
                <w:rFonts w:ascii="Arial" w:cs="Arial" w:eastAsia="Arial" w:hAnsi="Arial"/>
                <w:sz w:val="18"/>
                <w:szCs w:val="18"/>
                <w:color w:val="0000FF"/>
              </w:rPr>
              <w:t xml:space="preserve">31, 2021 </w:t>
            </w:r>
            <w:hyperlink w:anchor="page7">
              <w:r>
                <w:rPr>
                  <w:rFonts w:ascii="Arial" w:cs="Arial" w:eastAsia="Arial" w:hAnsi="Arial"/>
                  <w:sz w:val="18"/>
                  <w:szCs w:val="18"/>
                  <w:color w:val="0000FF"/>
                </w:rPr>
                <w:t xml:space="preserve">and </w:t>
              </w:r>
            </w:hyperlink>
            <w:r>
              <w:rPr>
                <w:rFonts w:ascii="Arial" w:cs="Arial" w:eastAsia="Arial" w:hAnsi="Arial"/>
                <w:sz w:val="18"/>
                <w:szCs w:val="18"/>
                <w:color w:val="0000FF"/>
              </w:rPr>
              <w:t>2020</w:t>
            </w:r>
          </w:p>
        </w:tc>
        <w:tc>
          <w:tcPr>
            <w:tcW w:w="620" w:type="dxa"/>
            <w:vAlign w:val="bottom"/>
            <w:gridSpan w:val="3"/>
          </w:tcPr>
          <w:p>
            <w:pPr>
              <w:spacing w:after="0"/>
              <w:rPr>
                <w:sz w:val="20"/>
                <w:szCs w:val="20"/>
                <w:color w:val="auto"/>
              </w:rPr>
            </w:pPr>
          </w:p>
        </w:tc>
        <w:tc>
          <w:tcPr>
            <w:tcW w:w="160" w:type="dxa"/>
            <w:vAlign w:val="bottom"/>
            <w:gridSpan w:val="2"/>
          </w:tcPr>
          <w:p>
            <w:pPr>
              <w:jc w:val="right"/>
              <w:ind w:right="60"/>
              <w:spacing w:after="0"/>
              <w:rPr>
                <w:rFonts w:ascii="Arial" w:cs="Arial" w:eastAsia="Arial" w:hAnsi="Arial"/>
                <w:sz w:val="18"/>
                <w:szCs w:val="18"/>
                <w:color w:val="0000FF"/>
                <w:w w:val="79"/>
              </w:rPr>
            </w:pPr>
            <w:hyperlink w:anchor="page7">
              <w:r>
                <w:rPr>
                  <w:rFonts w:ascii="Arial" w:cs="Arial" w:eastAsia="Arial" w:hAnsi="Arial"/>
                  <w:sz w:val="18"/>
                  <w:szCs w:val="18"/>
                  <w:color w:val="0000FF"/>
                  <w:w w:val="79"/>
                </w:rPr>
                <w:t>6</w:t>
              </w:r>
            </w:hyperlink>
          </w:p>
        </w:tc>
        <w:tc>
          <w:tcPr>
            <w:tcW w:w="0" w:type="dxa"/>
            <w:vAlign w:val="bottom"/>
          </w:tcPr>
          <w:p>
            <w:pPr>
              <w:spacing w:after="0"/>
              <w:rPr>
                <w:sz w:val="1"/>
                <w:szCs w:val="1"/>
                <w:color w:val="auto"/>
              </w:rPr>
            </w:pPr>
          </w:p>
        </w:tc>
      </w:tr>
      <w:tr>
        <w:trPr>
          <w:trHeight w:val="202"/>
        </w:trPr>
        <w:tc>
          <w:tcPr>
            <w:tcW w:w="1020" w:type="dxa"/>
            <w:vAlign w:val="bottom"/>
          </w:tcPr>
          <w:p>
            <w:pPr>
              <w:spacing w:after="0"/>
              <w:rPr>
                <w:sz w:val="17"/>
                <w:szCs w:val="17"/>
                <w:color w:val="auto"/>
              </w:rPr>
            </w:pPr>
          </w:p>
        </w:tc>
        <w:tc>
          <w:tcPr>
            <w:tcW w:w="8560" w:type="dxa"/>
            <w:vAlign w:val="bottom"/>
            <w:tcBorders>
              <w:top w:val="single" w:sz="8" w:color="0000FF"/>
            </w:tcBorders>
            <w:gridSpan w:val="15"/>
          </w:tcPr>
          <w:p>
            <w:pPr>
              <w:spacing w:after="0" w:line="202" w:lineRule="exact"/>
              <w:rPr>
                <w:rFonts w:ascii="Arial" w:cs="Arial" w:eastAsia="Arial" w:hAnsi="Arial"/>
                <w:sz w:val="18"/>
                <w:szCs w:val="18"/>
                <w:color w:val="0000FF"/>
              </w:rPr>
            </w:pPr>
            <w:hyperlink w:anchor="page7">
              <w:r>
                <w:rPr>
                  <w:rFonts w:ascii="Arial" w:cs="Arial" w:eastAsia="Arial" w:hAnsi="Arial"/>
                  <w:sz w:val="18"/>
                  <w:szCs w:val="18"/>
                  <w:color w:val="0000FF"/>
                </w:rPr>
                <w:t>(Unaudited)</w:t>
              </w:r>
            </w:hyperlink>
          </w:p>
        </w:tc>
        <w:tc>
          <w:tcPr>
            <w:tcW w:w="880" w:type="dxa"/>
            <w:vAlign w:val="bottom"/>
            <w:gridSpan w:val="3"/>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72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gridSpan w:val="5"/>
            <w:vMerge w:val="restart"/>
          </w:tcPr>
          <w:p>
            <w:pPr>
              <w:jc w:val="right"/>
              <w:ind w:right="60"/>
              <w:spacing w:after="0"/>
              <w:rPr>
                <w:rFonts w:ascii="Arial" w:cs="Arial" w:eastAsia="Arial" w:hAnsi="Arial"/>
                <w:sz w:val="18"/>
                <w:szCs w:val="18"/>
                <w:color w:val="0000FF"/>
              </w:rPr>
            </w:pPr>
            <w:hyperlink w:anchor="page9">
              <w:r>
                <w:rPr>
                  <w:rFonts w:ascii="Arial" w:cs="Arial" w:eastAsia="Arial" w:hAnsi="Arial"/>
                  <w:sz w:val="18"/>
                  <w:szCs w:val="18"/>
                  <w:color w:val="0000FF"/>
                </w:rPr>
                <w:t>8</w:t>
              </w:r>
            </w:hyperlink>
          </w:p>
        </w:tc>
        <w:tc>
          <w:tcPr>
            <w:tcW w:w="0" w:type="dxa"/>
            <w:vAlign w:val="bottom"/>
          </w:tcPr>
          <w:p>
            <w:pPr>
              <w:spacing w:after="0" w:line="20" w:lineRule="exact"/>
              <w:rPr>
                <w:sz w:val="1"/>
                <w:szCs w:val="1"/>
                <w:color w:val="auto"/>
              </w:rPr>
            </w:pPr>
          </w:p>
        </w:tc>
      </w:tr>
      <w:tr>
        <w:trPr>
          <w:trHeight w:val="244"/>
        </w:trPr>
        <w:tc>
          <w:tcPr>
            <w:tcW w:w="1020" w:type="dxa"/>
            <w:vAlign w:val="bottom"/>
          </w:tcPr>
          <w:p>
            <w:pPr>
              <w:spacing w:after="0"/>
              <w:rPr>
                <w:sz w:val="21"/>
                <w:szCs w:val="21"/>
                <w:color w:val="auto"/>
              </w:rPr>
            </w:pPr>
          </w:p>
        </w:tc>
        <w:tc>
          <w:tcPr>
            <w:tcW w:w="9440" w:type="dxa"/>
            <w:vAlign w:val="bottom"/>
            <w:gridSpan w:val="18"/>
          </w:tcPr>
          <w:p>
            <w:pPr>
              <w:spacing w:after="0"/>
              <w:rPr>
                <w:rFonts w:ascii="Arial" w:cs="Arial" w:eastAsia="Arial" w:hAnsi="Arial"/>
                <w:sz w:val="18"/>
                <w:szCs w:val="18"/>
                <w:color w:val="0000FF"/>
              </w:rPr>
            </w:pPr>
            <w:hyperlink w:anchor="page9">
              <w:r>
                <w:rPr>
                  <w:rFonts w:ascii="Arial" w:cs="Arial" w:eastAsia="Arial" w:hAnsi="Arial"/>
                  <w:sz w:val="18"/>
                  <w:szCs w:val="18"/>
                  <w:color w:val="0000FF"/>
                </w:rPr>
                <w:t>Consolidated Condensed Statements of Stockholders’ Equity for the Three Months Ended March 31, 2021 and</w:t>
              </w:r>
            </w:hyperlink>
          </w:p>
        </w:tc>
        <w:tc>
          <w:tcPr>
            <w:tcW w:w="780" w:type="dxa"/>
            <w:vAlign w:val="bottom"/>
            <w:gridSpan w:val="5"/>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020" w:type="dxa"/>
            <w:vAlign w:val="bottom"/>
          </w:tcPr>
          <w:p>
            <w:pPr>
              <w:spacing w:after="0"/>
              <w:rPr>
                <w:sz w:val="17"/>
                <w:szCs w:val="17"/>
                <w:color w:val="auto"/>
              </w:rPr>
            </w:pPr>
          </w:p>
        </w:tc>
        <w:tc>
          <w:tcPr>
            <w:tcW w:w="1400" w:type="dxa"/>
            <w:vAlign w:val="bottom"/>
            <w:tcBorders>
              <w:top w:val="single" w:sz="8" w:color="0000FF"/>
              <w:bottom w:val="single" w:sz="8" w:color="0000FF"/>
            </w:tcBorders>
            <w:gridSpan w:val="5"/>
          </w:tcPr>
          <w:p>
            <w:pPr>
              <w:spacing w:after="0" w:line="202" w:lineRule="exact"/>
              <w:rPr>
                <w:rFonts w:ascii="Arial" w:cs="Arial" w:eastAsia="Arial" w:hAnsi="Arial"/>
                <w:sz w:val="18"/>
                <w:szCs w:val="18"/>
                <w:color w:val="0000FF"/>
                <w:w w:val="99"/>
              </w:rPr>
            </w:pPr>
            <w:hyperlink w:anchor="page9">
              <w:r>
                <w:rPr>
                  <w:rFonts w:ascii="Arial" w:cs="Arial" w:eastAsia="Arial" w:hAnsi="Arial"/>
                  <w:sz w:val="18"/>
                  <w:szCs w:val="18"/>
                  <w:color w:val="0000FF"/>
                  <w:w w:val="99"/>
                </w:rPr>
                <w:t>2020 (Unaudited)</w:t>
              </w:r>
            </w:hyperlink>
          </w:p>
        </w:tc>
        <w:tc>
          <w:tcPr>
            <w:tcW w:w="7400" w:type="dxa"/>
            <w:vAlign w:val="bottom"/>
            <w:tcBorders>
              <w:top w:val="single" w:sz="8" w:color="0000FF"/>
            </w:tcBorders>
            <w:gridSpan w:val="12"/>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1020" w:type="dxa"/>
            <w:vAlign w:val="bottom"/>
          </w:tcPr>
          <w:p>
            <w:pPr>
              <w:spacing w:after="0"/>
              <w:rPr>
                <w:sz w:val="20"/>
                <w:szCs w:val="20"/>
                <w:color w:val="auto"/>
              </w:rPr>
            </w:pPr>
          </w:p>
        </w:tc>
        <w:tc>
          <w:tcPr>
            <w:tcW w:w="9440" w:type="dxa"/>
            <w:vAlign w:val="bottom"/>
            <w:gridSpan w:val="18"/>
          </w:tcPr>
          <w:p>
            <w:pPr>
              <w:spacing w:after="0"/>
              <w:rPr>
                <w:rFonts w:ascii="Arial" w:cs="Arial" w:eastAsia="Arial" w:hAnsi="Arial"/>
                <w:sz w:val="18"/>
                <w:szCs w:val="18"/>
                <w:color w:val="0000FF"/>
              </w:rPr>
            </w:pPr>
            <w:hyperlink w:anchor="page10">
              <w:r>
                <w:rPr>
                  <w:rFonts w:ascii="Arial" w:cs="Arial" w:eastAsia="Arial" w:hAnsi="Arial"/>
                  <w:sz w:val="18"/>
                  <w:szCs w:val="18"/>
                  <w:color w:val="0000FF"/>
                </w:rPr>
                <w:t>Notes to Consolidated Condensed Financial Statements (Unaudited)</w:t>
              </w:r>
            </w:hyperlink>
          </w:p>
        </w:tc>
        <w:tc>
          <w:tcPr>
            <w:tcW w:w="780" w:type="dxa"/>
            <w:vAlign w:val="bottom"/>
            <w:gridSpan w:val="5"/>
          </w:tcPr>
          <w:p>
            <w:pPr>
              <w:jc w:val="right"/>
              <w:ind w:right="60"/>
              <w:spacing w:after="0"/>
              <w:rPr>
                <w:rFonts w:ascii="Arial" w:cs="Arial" w:eastAsia="Arial" w:hAnsi="Arial"/>
                <w:sz w:val="18"/>
                <w:szCs w:val="18"/>
                <w:color w:val="0000FF"/>
              </w:rPr>
            </w:pPr>
            <w:hyperlink w:anchor="page10">
              <w:r>
                <w:rPr>
                  <w:rFonts w:ascii="Arial" w:cs="Arial" w:eastAsia="Arial" w:hAnsi="Arial"/>
                  <w:sz w:val="18"/>
                  <w:szCs w:val="18"/>
                  <w:color w:val="0000FF"/>
                </w:rPr>
                <w:t>9</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7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Pr>
          <w:p>
            <w:pPr>
              <w:ind w:left="20"/>
              <w:spacing w:after="0"/>
              <w:rPr>
                <w:sz w:val="20"/>
                <w:szCs w:val="20"/>
                <w:color w:val="auto"/>
              </w:rPr>
            </w:pPr>
            <w:r>
              <w:rPr>
                <w:rFonts w:ascii="Arial" w:cs="Arial" w:eastAsia="Arial" w:hAnsi="Arial"/>
                <w:sz w:val="18"/>
                <w:szCs w:val="18"/>
                <w:color w:val="auto"/>
              </w:rPr>
              <w:t>Item 2.</w:t>
            </w:r>
          </w:p>
        </w:tc>
        <w:tc>
          <w:tcPr>
            <w:tcW w:w="9440" w:type="dxa"/>
            <w:vAlign w:val="bottom"/>
            <w:gridSpan w:val="18"/>
          </w:tcPr>
          <w:p>
            <w:pPr>
              <w:spacing w:after="0"/>
              <w:rPr>
                <w:rFonts w:ascii="Arial" w:cs="Arial" w:eastAsia="Arial" w:hAnsi="Arial"/>
                <w:sz w:val="18"/>
                <w:szCs w:val="18"/>
                <w:color w:val="0000FF"/>
              </w:rPr>
            </w:pPr>
            <w:hyperlink w:anchor="page27">
              <w:r>
                <w:rPr>
                  <w:rFonts w:ascii="Arial" w:cs="Arial" w:eastAsia="Arial" w:hAnsi="Arial"/>
                  <w:sz w:val="18"/>
                  <w:szCs w:val="18"/>
                  <w:color w:val="0000FF"/>
                </w:rPr>
                <w:t>Management’s Discussion and Analysis of Financial Condition and Results of Operations</w:t>
              </w:r>
            </w:hyperlink>
          </w:p>
        </w:tc>
        <w:tc>
          <w:tcPr>
            <w:tcW w:w="780" w:type="dxa"/>
            <w:vAlign w:val="bottom"/>
            <w:gridSpan w:val="5"/>
          </w:tcPr>
          <w:p>
            <w:pPr>
              <w:jc w:val="right"/>
              <w:ind w:right="60"/>
              <w:spacing w:after="0"/>
              <w:rPr>
                <w:rFonts w:ascii="Arial" w:cs="Arial" w:eastAsia="Arial" w:hAnsi="Arial"/>
                <w:sz w:val="18"/>
                <w:szCs w:val="18"/>
                <w:color w:val="0000FF"/>
              </w:rPr>
            </w:pPr>
            <w:hyperlink w:anchor="page27">
              <w:r>
                <w:rPr>
                  <w:rFonts w:ascii="Arial" w:cs="Arial" w:eastAsia="Arial" w:hAnsi="Arial"/>
                  <w:sz w:val="18"/>
                  <w:szCs w:val="18"/>
                  <w:color w:val="0000FF"/>
                </w:rPr>
                <w:t>26</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7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tcPr>
          <w:p>
            <w:pPr>
              <w:ind w:left="20"/>
              <w:spacing w:after="0"/>
              <w:rPr>
                <w:sz w:val="20"/>
                <w:szCs w:val="20"/>
                <w:color w:val="auto"/>
              </w:rPr>
            </w:pPr>
            <w:r>
              <w:rPr>
                <w:rFonts w:ascii="Arial" w:cs="Arial" w:eastAsia="Arial" w:hAnsi="Arial"/>
                <w:sz w:val="18"/>
                <w:szCs w:val="18"/>
                <w:color w:val="auto"/>
              </w:rPr>
              <w:t>Item 3.</w:t>
            </w:r>
          </w:p>
        </w:tc>
        <w:tc>
          <w:tcPr>
            <w:tcW w:w="4700" w:type="dxa"/>
            <w:vAlign w:val="bottom"/>
            <w:gridSpan w:val="10"/>
          </w:tcPr>
          <w:p>
            <w:pPr>
              <w:spacing w:after="0"/>
              <w:rPr>
                <w:rFonts w:ascii="Arial" w:cs="Arial" w:eastAsia="Arial" w:hAnsi="Arial"/>
                <w:sz w:val="18"/>
                <w:szCs w:val="18"/>
                <w:color w:val="0000FF"/>
                <w:w w:val="99"/>
              </w:rPr>
            </w:pPr>
            <w:hyperlink w:anchor="page35">
              <w:r>
                <w:rPr>
                  <w:rFonts w:ascii="Arial" w:cs="Arial" w:eastAsia="Arial" w:hAnsi="Arial"/>
                  <w:sz w:val="18"/>
                  <w:szCs w:val="18"/>
                  <w:color w:val="0000FF"/>
                  <w:w w:val="99"/>
                </w:rPr>
                <w:t>Quantitative and Qualitative Disclosures about Market Risk</w:t>
              </w:r>
            </w:hyperlink>
          </w:p>
        </w:tc>
        <w:tc>
          <w:tcPr>
            <w:tcW w:w="2380" w:type="dxa"/>
            <w:vAlign w:val="bottom"/>
            <w:gridSpan w:val="3"/>
          </w:tcPr>
          <w:p>
            <w:pPr>
              <w:spacing w:after="0"/>
              <w:rPr>
                <w:sz w:val="18"/>
                <w:szCs w:val="18"/>
                <w:color w:val="auto"/>
              </w:rPr>
            </w:pPr>
          </w:p>
        </w:tc>
        <w:tc>
          <w:tcPr>
            <w:tcW w:w="2360" w:type="dxa"/>
            <w:vAlign w:val="bottom"/>
            <w:gridSpan w:val="5"/>
          </w:tcPr>
          <w:p>
            <w:pPr>
              <w:spacing w:after="0"/>
              <w:rPr>
                <w:sz w:val="18"/>
                <w:szCs w:val="18"/>
                <w:color w:val="auto"/>
              </w:rPr>
            </w:pPr>
          </w:p>
        </w:tc>
        <w:tc>
          <w:tcPr>
            <w:tcW w:w="520" w:type="dxa"/>
            <w:vAlign w:val="bottom"/>
            <w:gridSpan w:val="2"/>
          </w:tcPr>
          <w:p>
            <w:pPr>
              <w:spacing w:after="0"/>
              <w:rPr>
                <w:sz w:val="18"/>
                <w:szCs w:val="18"/>
                <w:color w:val="auto"/>
              </w:rPr>
            </w:pPr>
          </w:p>
        </w:tc>
        <w:tc>
          <w:tcPr>
            <w:tcW w:w="260" w:type="dxa"/>
            <w:vAlign w:val="bottom"/>
            <w:gridSpan w:val="3"/>
          </w:tcPr>
          <w:p>
            <w:pPr>
              <w:jc w:val="right"/>
              <w:ind w:right="60"/>
              <w:spacing w:after="0"/>
              <w:rPr>
                <w:rFonts w:ascii="Arial" w:cs="Arial" w:eastAsia="Arial" w:hAnsi="Arial"/>
                <w:sz w:val="18"/>
                <w:szCs w:val="18"/>
                <w:color w:val="0000FF"/>
                <w:w w:val="89"/>
              </w:rPr>
            </w:pPr>
            <w:hyperlink w:anchor="page35">
              <w:r>
                <w:rPr>
                  <w:rFonts w:ascii="Arial" w:cs="Arial" w:eastAsia="Arial" w:hAnsi="Arial"/>
                  <w:sz w:val="18"/>
                  <w:szCs w:val="18"/>
                  <w:color w:val="0000FF"/>
                  <w:w w:val="89"/>
                </w:rPr>
                <w:t>33</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27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580" w:type="dxa"/>
            <w:vAlign w:val="bottom"/>
            <w:gridSpan w:val="7"/>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tcPr>
          <w:p>
            <w:pPr>
              <w:ind w:left="20"/>
              <w:spacing w:after="0"/>
              <w:rPr>
                <w:sz w:val="20"/>
                <w:szCs w:val="20"/>
                <w:color w:val="auto"/>
              </w:rPr>
            </w:pPr>
            <w:r>
              <w:rPr>
                <w:rFonts w:ascii="Arial" w:cs="Arial" w:eastAsia="Arial" w:hAnsi="Arial"/>
                <w:sz w:val="18"/>
                <w:szCs w:val="18"/>
                <w:color w:val="auto"/>
              </w:rPr>
              <w:t>Item 4.</w:t>
            </w:r>
          </w:p>
        </w:tc>
        <w:tc>
          <w:tcPr>
            <w:tcW w:w="2000" w:type="dxa"/>
            <w:vAlign w:val="bottom"/>
            <w:gridSpan w:val="9"/>
          </w:tcPr>
          <w:p>
            <w:pPr>
              <w:spacing w:after="0"/>
              <w:rPr>
                <w:rFonts w:ascii="Arial" w:cs="Arial" w:eastAsia="Arial" w:hAnsi="Arial"/>
                <w:sz w:val="18"/>
                <w:szCs w:val="18"/>
                <w:color w:val="0000FF"/>
                <w:w w:val="99"/>
              </w:rPr>
            </w:pPr>
            <w:hyperlink w:anchor="page35">
              <w:r>
                <w:rPr>
                  <w:rFonts w:ascii="Arial" w:cs="Arial" w:eastAsia="Arial" w:hAnsi="Arial"/>
                  <w:sz w:val="18"/>
                  <w:szCs w:val="18"/>
                  <w:color w:val="0000FF"/>
                  <w:w w:val="99"/>
                </w:rPr>
                <w:t>Controls and Procedures</w:t>
              </w:r>
            </w:hyperlink>
          </w:p>
        </w:tc>
        <w:tc>
          <w:tcPr>
            <w:tcW w:w="2700" w:type="dxa"/>
            <w:vAlign w:val="bottom"/>
          </w:tcPr>
          <w:p>
            <w:pPr>
              <w:spacing w:after="0"/>
              <w:rPr>
                <w:sz w:val="18"/>
                <w:szCs w:val="18"/>
                <w:color w:val="auto"/>
              </w:rPr>
            </w:pPr>
          </w:p>
        </w:tc>
        <w:tc>
          <w:tcPr>
            <w:tcW w:w="4740" w:type="dxa"/>
            <w:vAlign w:val="bottom"/>
            <w:gridSpan w:val="8"/>
          </w:tcPr>
          <w:p>
            <w:pPr>
              <w:spacing w:after="0"/>
              <w:rPr>
                <w:sz w:val="18"/>
                <w:szCs w:val="18"/>
                <w:color w:val="auto"/>
              </w:rPr>
            </w:pPr>
          </w:p>
        </w:tc>
        <w:tc>
          <w:tcPr>
            <w:tcW w:w="520" w:type="dxa"/>
            <w:vAlign w:val="bottom"/>
            <w:gridSpan w:val="2"/>
          </w:tcPr>
          <w:p>
            <w:pPr>
              <w:spacing w:after="0"/>
              <w:rPr>
                <w:sz w:val="18"/>
                <w:szCs w:val="18"/>
                <w:color w:val="auto"/>
              </w:rPr>
            </w:pPr>
          </w:p>
        </w:tc>
        <w:tc>
          <w:tcPr>
            <w:tcW w:w="260" w:type="dxa"/>
            <w:vAlign w:val="bottom"/>
            <w:gridSpan w:val="3"/>
          </w:tcPr>
          <w:p>
            <w:pPr>
              <w:jc w:val="right"/>
              <w:ind w:right="60"/>
              <w:spacing w:after="0"/>
              <w:rPr>
                <w:rFonts w:ascii="Arial" w:cs="Arial" w:eastAsia="Arial" w:hAnsi="Arial"/>
                <w:sz w:val="18"/>
                <w:szCs w:val="18"/>
                <w:color w:val="0000FF"/>
                <w:w w:val="89"/>
              </w:rPr>
            </w:pPr>
            <w:hyperlink w:anchor="page35">
              <w:r>
                <w:rPr>
                  <w:rFonts w:ascii="Arial" w:cs="Arial" w:eastAsia="Arial" w:hAnsi="Arial"/>
                  <w:sz w:val="18"/>
                  <w:szCs w:val="18"/>
                  <w:color w:val="0000FF"/>
                  <w:w w:val="89"/>
                </w:rPr>
                <w:t>33</w:t>
              </w:r>
            </w:hyperlink>
          </w:p>
        </w:tc>
        <w:tc>
          <w:tcPr>
            <w:tcW w:w="0" w:type="dxa"/>
            <w:vAlign w:val="bottom"/>
          </w:tcPr>
          <w:p>
            <w:pPr>
              <w:spacing w:after="0"/>
              <w:rPr>
                <w:sz w:val="1"/>
                <w:szCs w:val="1"/>
                <w:color w:val="auto"/>
              </w:rPr>
            </w:pPr>
          </w:p>
        </w:tc>
      </w:tr>
      <w:tr>
        <w:trPr>
          <w:trHeight w:val="209"/>
        </w:trPr>
        <w:tc>
          <w:tcPr>
            <w:tcW w:w="1020" w:type="dxa"/>
            <w:vAlign w:val="bottom"/>
          </w:tcPr>
          <w:p>
            <w:pPr>
              <w:ind w:left="20"/>
              <w:spacing w:after="0"/>
              <w:rPr>
                <w:sz w:val="20"/>
                <w:szCs w:val="20"/>
                <w:color w:val="auto"/>
              </w:rPr>
            </w:pPr>
            <w:r>
              <w:rPr>
                <w:rFonts w:ascii="Arial" w:cs="Arial" w:eastAsia="Arial" w:hAnsi="Arial"/>
                <w:sz w:val="18"/>
                <w:szCs w:val="18"/>
                <w:b w:val="1"/>
                <w:bCs w:val="1"/>
                <w:color w:val="auto"/>
              </w:rPr>
              <w:t>PART II</w:t>
            </w:r>
          </w:p>
        </w:tc>
        <w:tc>
          <w:tcPr>
            <w:tcW w:w="2000" w:type="dxa"/>
            <w:vAlign w:val="bottom"/>
            <w:tcBorders>
              <w:top w:val="single" w:sz="8" w:color="0000FF"/>
            </w:tcBorders>
            <w:gridSpan w:val="9"/>
          </w:tcPr>
          <w:p>
            <w:pPr>
              <w:spacing w:after="0"/>
              <w:rPr>
                <w:rFonts w:ascii="Arial" w:cs="Arial" w:eastAsia="Arial" w:hAnsi="Arial"/>
                <w:sz w:val="18"/>
                <w:szCs w:val="18"/>
                <w:color w:val="0000FF"/>
              </w:rPr>
            </w:pPr>
            <w:hyperlink w:anchor="page35">
              <w:r>
                <w:rPr>
                  <w:rFonts w:ascii="Arial" w:cs="Arial" w:eastAsia="Arial" w:hAnsi="Arial"/>
                  <w:sz w:val="18"/>
                  <w:szCs w:val="18"/>
                  <w:color w:val="0000FF"/>
                </w:rPr>
                <w:t>Other Information</w:t>
              </w:r>
            </w:hyperlink>
          </w:p>
        </w:tc>
        <w:tc>
          <w:tcPr>
            <w:tcW w:w="7440" w:type="dxa"/>
            <w:vAlign w:val="bottom"/>
            <w:gridSpan w:val="9"/>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60" w:type="dxa"/>
            <w:vAlign w:val="bottom"/>
            <w:gridSpan w:val="5"/>
          </w:tcPr>
          <w:p>
            <w:pPr>
              <w:spacing w:after="0" w:line="20" w:lineRule="exact"/>
              <w:rPr>
                <w:sz w:val="1"/>
                <w:szCs w:val="1"/>
                <w:color w:val="auto"/>
              </w:rPr>
            </w:pPr>
          </w:p>
        </w:tc>
        <w:tc>
          <w:tcPr>
            <w:tcW w:w="4580" w:type="dxa"/>
            <w:vAlign w:val="bottom"/>
            <w:gridSpan w:val="7"/>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Pr>
          <w:p>
            <w:pPr>
              <w:ind w:left="20"/>
              <w:spacing w:after="0"/>
              <w:rPr>
                <w:sz w:val="20"/>
                <w:szCs w:val="20"/>
                <w:color w:val="auto"/>
              </w:rPr>
            </w:pPr>
            <w:r>
              <w:rPr>
                <w:rFonts w:ascii="Arial" w:cs="Arial" w:eastAsia="Arial" w:hAnsi="Arial"/>
                <w:sz w:val="18"/>
                <w:szCs w:val="18"/>
                <w:color w:val="auto"/>
              </w:rPr>
              <w:t>Item 1.</w:t>
            </w:r>
          </w:p>
        </w:tc>
        <w:tc>
          <w:tcPr>
            <w:tcW w:w="1500" w:type="dxa"/>
            <w:vAlign w:val="bottom"/>
            <w:gridSpan w:val="6"/>
          </w:tcPr>
          <w:p>
            <w:pPr>
              <w:spacing w:after="0"/>
              <w:rPr>
                <w:rFonts w:ascii="Arial" w:cs="Arial" w:eastAsia="Arial" w:hAnsi="Arial"/>
                <w:sz w:val="18"/>
                <w:szCs w:val="18"/>
                <w:color w:val="0000FF"/>
                <w:w w:val="99"/>
              </w:rPr>
            </w:pPr>
            <w:hyperlink w:anchor="page36">
              <w:r>
                <w:rPr>
                  <w:rFonts w:ascii="Arial" w:cs="Arial" w:eastAsia="Arial" w:hAnsi="Arial"/>
                  <w:sz w:val="18"/>
                  <w:szCs w:val="18"/>
                  <w:color w:val="0000FF"/>
                  <w:w w:val="99"/>
                </w:rPr>
                <w:t>Legal Proceedings</w:t>
              </w:r>
            </w:hyperlink>
          </w:p>
        </w:tc>
        <w:tc>
          <w:tcPr>
            <w:tcW w:w="7940" w:type="dxa"/>
            <w:vAlign w:val="bottom"/>
            <w:gridSpan w:val="12"/>
          </w:tcPr>
          <w:p>
            <w:pPr>
              <w:spacing w:after="0"/>
              <w:rPr>
                <w:sz w:val="18"/>
                <w:szCs w:val="18"/>
                <w:color w:val="auto"/>
              </w:rPr>
            </w:pPr>
          </w:p>
        </w:tc>
        <w:tc>
          <w:tcPr>
            <w:tcW w:w="520" w:type="dxa"/>
            <w:vAlign w:val="bottom"/>
            <w:gridSpan w:val="2"/>
          </w:tcPr>
          <w:p>
            <w:pPr>
              <w:spacing w:after="0"/>
              <w:rPr>
                <w:sz w:val="18"/>
                <w:szCs w:val="18"/>
                <w:color w:val="auto"/>
              </w:rPr>
            </w:pPr>
          </w:p>
        </w:tc>
        <w:tc>
          <w:tcPr>
            <w:tcW w:w="260" w:type="dxa"/>
            <w:vAlign w:val="bottom"/>
            <w:gridSpan w:val="3"/>
          </w:tcPr>
          <w:p>
            <w:pPr>
              <w:jc w:val="right"/>
              <w:ind w:right="60"/>
              <w:spacing w:after="0"/>
              <w:rPr>
                <w:rFonts w:ascii="Arial" w:cs="Arial" w:eastAsia="Arial" w:hAnsi="Arial"/>
                <w:sz w:val="18"/>
                <w:szCs w:val="18"/>
                <w:color w:val="0000FF"/>
                <w:w w:val="89"/>
              </w:rPr>
            </w:pPr>
            <w:hyperlink w:anchor="page36">
              <w:r>
                <w:rPr>
                  <w:rFonts w:ascii="Arial" w:cs="Arial" w:eastAsia="Arial" w:hAnsi="Arial"/>
                  <w:sz w:val="18"/>
                  <w:szCs w:val="18"/>
                  <w:color w:val="0000FF"/>
                  <w:w w:val="89"/>
                </w:rPr>
                <w:t>34</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tcPr>
          <w:p>
            <w:pPr>
              <w:ind w:left="20"/>
              <w:spacing w:after="0"/>
              <w:rPr>
                <w:sz w:val="20"/>
                <w:szCs w:val="20"/>
                <w:color w:val="auto"/>
              </w:rPr>
            </w:pPr>
            <w:r>
              <w:rPr>
                <w:rFonts w:ascii="Arial" w:cs="Arial" w:eastAsia="Arial" w:hAnsi="Arial"/>
                <w:sz w:val="18"/>
                <w:szCs w:val="18"/>
                <w:color w:val="auto"/>
              </w:rPr>
              <w:t>Item 1A.</w:t>
            </w:r>
          </w:p>
        </w:tc>
        <w:tc>
          <w:tcPr>
            <w:tcW w:w="1500" w:type="dxa"/>
            <w:vAlign w:val="bottom"/>
            <w:gridSpan w:val="6"/>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Risk Factors</w:t>
              </w:r>
            </w:hyperlink>
          </w:p>
        </w:tc>
        <w:tc>
          <w:tcPr>
            <w:tcW w:w="7940" w:type="dxa"/>
            <w:vAlign w:val="bottom"/>
            <w:gridSpan w:val="12"/>
          </w:tcPr>
          <w:p>
            <w:pPr>
              <w:spacing w:after="0"/>
              <w:rPr>
                <w:sz w:val="18"/>
                <w:szCs w:val="18"/>
                <w:color w:val="auto"/>
              </w:rPr>
            </w:pPr>
          </w:p>
        </w:tc>
        <w:tc>
          <w:tcPr>
            <w:tcW w:w="520" w:type="dxa"/>
            <w:vAlign w:val="bottom"/>
            <w:gridSpan w:val="2"/>
          </w:tcPr>
          <w:p>
            <w:pPr>
              <w:spacing w:after="0"/>
              <w:rPr>
                <w:sz w:val="18"/>
                <w:szCs w:val="18"/>
                <w:color w:val="auto"/>
              </w:rPr>
            </w:pPr>
          </w:p>
        </w:tc>
        <w:tc>
          <w:tcPr>
            <w:tcW w:w="260" w:type="dxa"/>
            <w:vAlign w:val="bottom"/>
            <w:gridSpan w:val="3"/>
          </w:tcPr>
          <w:p>
            <w:pPr>
              <w:jc w:val="right"/>
              <w:ind w:right="60"/>
              <w:spacing w:after="0"/>
              <w:rPr>
                <w:rFonts w:ascii="Arial" w:cs="Arial" w:eastAsia="Arial" w:hAnsi="Arial"/>
                <w:sz w:val="18"/>
                <w:szCs w:val="18"/>
                <w:color w:val="0000FF"/>
                <w:w w:val="89"/>
              </w:rPr>
            </w:pPr>
            <w:hyperlink w:anchor="page36">
              <w:r>
                <w:rPr>
                  <w:rFonts w:ascii="Arial" w:cs="Arial" w:eastAsia="Arial" w:hAnsi="Arial"/>
                  <w:sz w:val="18"/>
                  <w:szCs w:val="18"/>
                  <w:color w:val="0000FF"/>
                  <w:w w:val="89"/>
                </w:rPr>
                <w:t>34</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860" w:type="dxa"/>
            <w:vAlign w:val="bottom"/>
            <w:gridSpan w:val="7"/>
          </w:tcPr>
          <w:p>
            <w:pPr>
              <w:spacing w:after="0" w:line="20" w:lineRule="exact"/>
              <w:rPr>
                <w:sz w:val="1"/>
                <w:szCs w:val="1"/>
                <w:color w:val="auto"/>
              </w:rPr>
            </w:pPr>
          </w:p>
        </w:tc>
        <w:tc>
          <w:tcPr>
            <w:tcW w:w="4580" w:type="dxa"/>
            <w:vAlign w:val="bottom"/>
            <w:gridSpan w:val="7"/>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Pr>
          <w:p>
            <w:pPr>
              <w:ind w:left="20"/>
              <w:spacing w:after="0"/>
              <w:rPr>
                <w:sz w:val="20"/>
                <w:szCs w:val="20"/>
                <w:color w:val="auto"/>
              </w:rPr>
            </w:pPr>
            <w:r>
              <w:rPr>
                <w:rFonts w:ascii="Arial" w:cs="Arial" w:eastAsia="Arial" w:hAnsi="Arial"/>
                <w:sz w:val="18"/>
                <w:szCs w:val="18"/>
                <w:color w:val="auto"/>
              </w:rPr>
              <w:t>Item 2.</w:t>
            </w:r>
          </w:p>
        </w:tc>
        <w:tc>
          <w:tcPr>
            <w:tcW w:w="4860" w:type="dxa"/>
            <w:vAlign w:val="bottom"/>
            <w:gridSpan w:val="11"/>
          </w:tcPr>
          <w:p>
            <w:pPr>
              <w:spacing w:after="0"/>
              <w:rPr>
                <w:rFonts w:ascii="Arial" w:cs="Arial" w:eastAsia="Arial" w:hAnsi="Arial"/>
                <w:sz w:val="18"/>
                <w:szCs w:val="18"/>
                <w:color w:val="0000FF"/>
                <w:w w:val="99"/>
              </w:rPr>
            </w:pPr>
            <w:hyperlink w:anchor="page36">
              <w:r>
                <w:rPr>
                  <w:rFonts w:ascii="Arial" w:cs="Arial" w:eastAsia="Arial" w:hAnsi="Arial"/>
                  <w:sz w:val="18"/>
                  <w:szCs w:val="18"/>
                  <w:color w:val="0000FF"/>
                  <w:w w:val="99"/>
                </w:rPr>
                <w:t>Unregistered Sales of Equity Securities and Use of Proceeds</w:t>
              </w:r>
            </w:hyperlink>
          </w:p>
        </w:tc>
        <w:tc>
          <w:tcPr>
            <w:tcW w:w="4580" w:type="dxa"/>
            <w:vAlign w:val="bottom"/>
            <w:gridSpan w:val="7"/>
          </w:tcPr>
          <w:p>
            <w:pPr>
              <w:spacing w:after="0"/>
              <w:rPr>
                <w:sz w:val="18"/>
                <w:szCs w:val="18"/>
                <w:color w:val="auto"/>
              </w:rPr>
            </w:pPr>
          </w:p>
        </w:tc>
        <w:tc>
          <w:tcPr>
            <w:tcW w:w="520" w:type="dxa"/>
            <w:vAlign w:val="bottom"/>
            <w:gridSpan w:val="2"/>
          </w:tcPr>
          <w:p>
            <w:pPr>
              <w:spacing w:after="0"/>
              <w:rPr>
                <w:sz w:val="18"/>
                <w:szCs w:val="18"/>
                <w:color w:val="auto"/>
              </w:rPr>
            </w:pPr>
          </w:p>
        </w:tc>
        <w:tc>
          <w:tcPr>
            <w:tcW w:w="260" w:type="dxa"/>
            <w:vAlign w:val="bottom"/>
            <w:gridSpan w:val="3"/>
          </w:tcPr>
          <w:p>
            <w:pPr>
              <w:jc w:val="right"/>
              <w:ind w:right="60"/>
              <w:spacing w:after="0"/>
              <w:rPr>
                <w:rFonts w:ascii="Arial" w:cs="Arial" w:eastAsia="Arial" w:hAnsi="Arial"/>
                <w:sz w:val="18"/>
                <w:szCs w:val="18"/>
                <w:color w:val="0000FF"/>
                <w:w w:val="89"/>
              </w:rPr>
            </w:pPr>
            <w:hyperlink w:anchor="page36">
              <w:r>
                <w:rPr>
                  <w:rFonts w:ascii="Arial" w:cs="Arial" w:eastAsia="Arial" w:hAnsi="Arial"/>
                  <w:sz w:val="18"/>
                  <w:szCs w:val="18"/>
                  <w:color w:val="0000FF"/>
                  <w:w w:val="89"/>
                </w:rPr>
                <w:t>34</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0" w:type="dxa"/>
            <w:vAlign w:val="bottom"/>
            <w:gridSpan w:val="9"/>
            <w:shd w:val="clear" w:color="auto" w:fill="0000FF"/>
          </w:tcPr>
          <w:p>
            <w:pPr>
              <w:spacing w:after="0" w:line="20" w:lineRule="exact"/>
              <w:rPr>
                <w:sz w:val="1"/>
                <w:szCs w:val="1"/>
                <w:color w:val="auto"/>
              </w:rPr>
            </w:pPr>
          </w:p>
        </w:tc>
        <w:tc>
          <w:tcPr>
            <w:tcW w:w="4580" w:type="dxa"/>
            <w:vAlign w:val="bottom"/>
            <w:gridSpan w:val="7"/>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tcPr>
          <w:p>
            <w:pPr>
              <w:ind w:left="20"/>
              <w:spacing w:after="0"/>
              <w:rPr>
                <w:sz w:val="20"/>
                <w:szCs w:val="20"/>
                <w:color w:val="auto"/>
              </w:rPr>
            </w:pPr>
            <w:r>
              <w:rPr>
                <w:rFonts w:ascii="Arial" w:cs="Arial" w:eastAsia="Arial" w:hAnsi="Arial"/>
                <w:sz w:val="18"/>
                <w:szCs w:val="18"/>
                <w:color w:val="auto"/>
              </w:rPr>
              <w:t>Item 6.</w:t>
            </w:r>
          </w:p>
        </w:tc>
        <w:tc>
          <w:tcPr>
            <w:tcW w:w="640" w:type="dxa"/>
            <w:vAlign w:val="bottom"/>
          </w:tcPr>
          <w:p>
            <w:pPr>
              <w:spacing w:after="0"/>
              <w:rPr>
                <w:rFonts w:ascii="Arial" w:cs="Arial" w:eastAsia="Arial" w:hAnsi="Arial"/>
                <w:sz w:val="18"/>
                <w:szCs w:val="18"/>
                <w:color w:val="0000FF"/>
                <w:w w:val="98"/>
              </w:rPr>
            </w:pPr>
            <w:hyperlink w:anchor="page36">
              <w:r>
                <w:rPr>
                  <w:rFonts w:ascii="Arial" w:cs="Arial" w:eastAsia="Arial" w:hAnsi="Arial"/>
                  <w:sz w:val="18"/>
                  <w:szCs w:val="18"/>
                  <w:color w:val="0000FF"/>
                  <w:w w:val="98"/>
                </w:rPr>
                <w:t>Exhibits</w:t>
              </w:r>
            </w:hyperlink>
          </w:p>
        </w:tc>
        <w:tc>
          <w:tcPr>
            <w:tcW w:w="4220" w:type="dxa"/>
            <w:vAlign w:val="bottom"/>
            <w:gridSpan w:val="10"/>
          </w:tcPr>
          <w:p>
            <w:pPr>
              <w:spacing w:after="0"/>
              <w:rPr>
                <w:sz w:val="18"/>
                <w:szCs w:val="18"/>
                <w:color w:val="auto"/>
              </w:rPr>
            </w:pPr>
          </w:p>
        </w:tc>
        <w:tc>
          <w:tcPr>
            <w:tcW w:w="4580" w:type="dxa"/>
            <w:vAlign w:val="bottom"/>
            <w:gridSpan w:val="7"/>
          </w:tcPr>
          <w:p>
            <w:pPr>
              <w:spacing w:after="0"/>
              <w:rPr>
                <w:sz w:val="18"/>
                <w:szCs w:val="18"/>
                <w:color w:val="auto"/>
              </w:rPr>
            </w:pPr>
          </w:p>
        </w:tc>
        <w:tc>
          <w:tcPr>
            <w:tcW w:w="520" w:type="dxa"/>
            <w:vAlign w:val="bottom"/>
            <w:gridSpan w:val="2"/>
          </w:tcPr>
          <w:p>
            <w:pPr>
              <w:spacing w:after="0"/>
              <w:rPr>
                <w:sz w:val="18"/>
                <w:szCs w:val="18"/>
                <w:color w:val="auto"/>
              </w:rPr>
            </w:pPr>
          </w:p>
        </w:tc>
        <w:tc>
          <w:tcPr>
            <w:tcW w:w="260" w:type="dxa"/>
            <w:vAlign w:val="bottom"/>
            <w:gridSpan w:val="3"/>
          </w:tcPr>
          <w:p>
            <w:pPr>
              <w:jc w:val="right"/>
              <w:ind w:right="60"/>
              <w:spacing w:after="0"/>
              <w:rPr>
                <w:rFonts w:ascii="Arial" w:cs="Arial" w:eastAsia="Arial" w:hAnsi="Arial"/>
                <w:sz w:val="18"/>
                <w:szCs w:val="18"/>
                <w:color w:val="0000FF"/>
                <w:w w:val="89"/>
              </w:rPr>
            </w:pPr>
            <w:hyperlink w:anchor="page36">
              <w:r>
                <w:rPr>
                  <w:rFonts w:ascii="Arial" w:cs="Arial" w:eastAsia="Arial" w:hAnsi="Arial"/>
                  <w:sz w:val="18"/>
                  <w:szCs w:val="18"/>
                  <w:color w:val="0000FF"/>
                  <w:w w:val="89"/>
                </w:rPr>
                <w:t>34</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580" w:type="dxa"/>
            <w:vAlign w:val="bottom"/>
            <w:gridSpan w:val="16"/>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Pr>
          <w:p>
            <w:pPr>
              <w:spacing w:after="0"/>
              <w:rPr>
                <w:sz w:val="18"/>
                <w:szCs w:val="18"/>
                <w:color w:val="auto"/>
              </w:rPr>
            </w:pPr>
          </w:p>
        </w:tc>
        <w:tc>
          <w:tcPr>
            <w:tcW w:w="9440" w:type="dxa"/>
            <w:vAlign w:val="bottom"/>
            <w:gridSpan w:val="18"/>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Signatures</w:t>
              </w:r>
            </w:hyperlink>
          </w:p>
        </w:tc>
        <w:tc>
          <w:tcPr>
            <w:tcW w:w="780" w:type="dxa"/>
            <w:vAlign w:val="bottom"/>
            <w:gridSpan w:val="5"/>
          </w:tcPr>
          <w:p>
            <w:pPr>
              <w:jc w:val="right"/>
              <w:ind w:right="60"/>
              <w:spacing w:after="0"/>
              <w:rPr>
                <w:rFonts w:ascii="Arial" w:cs="Arial" w:eastAsia="Arial" w:hAnsi="Arial"/>
                <w:sz w:val="18"/>
                <w:szCs w:val="18"/>
                <w:color w:val="0000FF"/>
              </w:rPr>
            </w:pPr>
            <w:hyperlink w:anchor="page36">
              <w:r>
                <w:rPr>
                  <w:rFonts w:ascii="Arial" w:cs="Arial" w:eastAsia="Arial" w:hAnsi="Arial"/>
                  <w:sz w:val="18"/>
                  <w:szCs w:val="18"/>
                  <w:color w:val="0000FF"/>
                </w:rPr>
                <w:t>35</w:t>
              </w:r>
            </w:hyperlink>
          </w:p>
        </w:tc>
        <w:tc>
          <w:tcPr>
            <w:tcW w:w="0" w:type="dxa"/>
            <w:vAlign w:val="bottom"/>
          </w:tcPr>
          <w:p>
            <w:pPr>
              <w:spacing w:after="0"/>
              <w:rPr>
                <w:sz w:val="1"/>
                <w:szCs w:val="1"/>
                <w:color w:val="auto"/>
              </w:rPr>
            </w:pPr>
          </w:p>
        </w:tc>
      </w:tr>
      <w:tr>
        <w:trPr>
          <w:trHeight w:val="1053"/>
        </w:trPr>
        <w:tc>
          <w:tcPr>
            <w:tcW w:w="1020" w:type="dxa"/>
            <w:vAlign w:val="bottom"/>
            <w:tcBorders>
              <w:bottom w:val="single" w:sz="8" w:color="9A9A9A"/>
            </w:tcBorders>
          </w:tcPr>
          <w:p>
            <w:pPr>
              <w:spacing w:after="0"/>
              <w:rPr>
                <w:sz w:val="24"/>
                <w:szCs w:val="24"/>
                <w:color w:val="auto"/>
              </w:rPr>
            </w:pPr>
          </w:p>
        </w:tc>
        <w:tc>
          <w:tcPr>
            <w:tcW w:w="64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7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FORWARD-LOOKING STATEMENTS</w:t>
      </w:r>
    </w:p>
    <w:p>
      <w:pPr>
        <w:spacing w:after="0" w:line="274"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Certain statements contained in this Quarterly Report on Form 10-Q may be considered “forward-looking statements” as that term is defined in the Private Securities Litigation Reform Act of 1995. The forward-looking statements contained herein are subject to known and unknown risks, uncertainties, assumptions and other factors that may cause our actual results, performance or achievements to be materially different from those expressed or implied by any such forward-looking statements. Forward-looking statements include information concerning our future financial performance, business strategy, projected plans and objectives. These statements may be identified by the fact that they do not relate to historical or current facts and may use words such as “believes,” “expects,” “anticipates,” “will,” “should,” “could,” “may,” “would,” “intends,” “projects,” “estimates,” “plans,” and similar words, expressions or phrases. The following important factors and assumptions could affect our future results and could cause actual results to differ materially from those expressed in such forward-looking statements. Additionally, many of these risks and uncertainties are currently amplified by and will continue to be amplified by, or in the future may be amplified by, the Coronavirus (“COVID-19”) outbreak, and the continued restrictions that have been placed on travel in many countries as a result of the outbreak and the adverse impact on the global economy from the outbreak. These factors include, but are not limited to:</w:t>
      </w:r>
    </w:p>
    <w:p>
      <w:pPr>
        <w:spacing w:after="0" w:line="227" w:lineRule="exact"/>
        <w:rPr>
          <w:sz w:val="20"/>
          <w:szCs w:val="20"/>
          <w:color w:val="auto"/>
        </w:rPr>
      </w:pPr>
    </w:p>
    <w:p>
      <w:pPr>
        <w:ind w:left="660" w:right="100" w:hanging="328"/>
        <w:spacing w:after="0" w:line="254"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COVID-19 outbreak and resulting economic conditions, which had, and is expected to continue to have, a significant impact on our operations, including an unprecedented decline in demand, as well as its current, and uncertain future impact, including, but not limited to, its effect on the ability or desire of people to travel due to travel restrictions, and other restrictions and orders, which may continue to impact our results, operations, outlooks, plans, goals, growth, cash flows, liquidity, and stock price;</w:t>
      </w:r>
    </w:p>
    <w:p>
      <w:pPr>
        <w:spacing w:after="0" w:line="230" w:lineRule="exact"/>
        <w:rPr>
          <w:rFonts w:ascii="Arial" w:cs="Arial" w:eastAsia="Arial" w:hAnsi="Arial"/>
          <w:sz w:val="18"/>
          <w:szCs w:val="18"/>
          <w:color w:val="auto"/>
        </w:rPr>
      </w:pPr>
    </w:p>
    <w:p>
      <w:pPr>
        <w:ind w:left="660" w:right="180" w:hanging="328"/>
        <w:spacing w:after="0" w:line="261"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high level of competition in the mobility industry, including from new companies or technology, and the impact such competition may have on pricing and rental volume;</w:t>
      </w:r>
    </w:p>
    <w:p>
      <w:pPr>
        <w:spacing w:after="0" w:line="224" w:lineRule="exact"/>
        <w:rPr>
          <w:rFonts w:ascii="Arial" w:cs="Arial" w:eastAsia="Arial" w:hAnsi="Arial"/>
          <w:sz w:val="18"/>
          <w:szCs w:val="18"/>
          <w:color w:val="auto"/>
        </w:rPr>
      </w:pPr>
    </w:p>
    <w:p>
      <w:pPr>
        <w:jc w:val="both"/>
        <w:ind w:left="660" w:right="520" w:hanging="328"/>
        <w:spacing w:after="0" w:line="278" w:lineRule="auto"/>
        <w:tabs>
          <w:tab w:leader="none" w:pos="655" w:val="left"/>
        </w:tabs>
        <w:numPr>
          <w:ilvl w:val="0"/>
          <w:numId w:val="1"/>
        </w:numPr>
        <w:rPr>
          <w:rFonts w:ascii="Arial" w:cs="Arial" w:eastAsia="Arial" w:hAnsi="Arial"/>
          <w:sz w:val="17"/>
          <w:szCs w:val="17"/>
          <w:color w:val="auto"/>
        </w:rPr>
      </w:pPr>
      <w:r>
        <w:rPr>
          <w:rFonts w:ascii="Arial" w:cs="Arial" w:eastAsia="Arial" w:hAnsi="Arial"/>
          <w:sz w:val="17"/>
          <w:szCs w:val="17"/>
          <w:color w:val="auto"/>
        </w:rPr>
        <w:t>a change in our fleet costs, including as a result of a change in the cost of new vehicles, manufacturer recalls, disruption in the supply of new vehicles, shortages in semiconductors used in new vehicle production, and/or a change in the price at which we dispose of used vehicles either in the used vehicle market or under repurchase or guaranteed depreciation programs;</w:t>
      </w:r>
    </w:p>
    <w:p>
      <w:pPr>
        <w:spacing w:after="0" w:line="211" w:lineRule="exact"/>
        <w:rPr>
          <w:rFonts w:ascii="Arial" w:cs="Arial" w:eastAsia="Arial" w:hAnsi="Arial"/>
          <w:sz w:val="17"/>
          <w:szCs w:val="17"/>
          <w:color w:val="auto"/>
        </w:rPr>
      </w:pPr>
    </w:p>
    <w:p>
      <w:pPr>
        <w:ind w:left="660" w:hanging="328"/>
        <w:spacing w:after="0" w:line="254"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results of operations or financial condition of the manufacturers of our vehicles, which could impact their ability to perform their payment obligations under our agreements with them, including repurchase and/or guaranteed depreciation arrangements, and/or their willingness or ability to make vehicles available to us or the mobility industry as a whole on commercially reasonable terms or at all particularly when COVID-19 related restrictions are lifted and travel demand increases;</w:t>
      </w:r>
    </w:p>
    <w:p>
      <w:pPr>
        <w:spacing w:after="0" w:line="230" w:lineRule="exact"/>
        <w:rPr>
          <w:rFonts w:ascii="Arial" w:cs="Arial" w:eastAsia="Arial" w:hAnsi="Arial"/>
          <w:sz w:val="18"/>
          <w:szCs w:val="18"/>
          <w:color w:val="auto"/>
        </w:rPr>
      </w:pPr>
    </w:p>
    <w:p>
      <w:pPr>
        <w:ind w:left="660" w:right="40" w:hanging="328"/>
        <w:spacing w:after="0" w:line="261"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significant decline in travel demand as a result of COVID-19, including the current and any future disruptions in airline passenger traffic;</w:t>
      </w:r>
    </w:p>
    <w:p>
      <w:pPr>
        <w:spacing w:after="0" w:line="224" w:lineRule="exact"/>
        <w:rPr>
          <w:rFonts w:ascii="Arial" w:cs="Arial" w:eastAsia="Arial" w:hAnsi="Arial"/>
          <w:sz w:val="18"/>
          <w:szCs w:val="18"/>
          <w:color w:val="auto"/>
        </w:rPr>
      </w:pPr>
    </w:p>
    <w:p>
      <w:pPr>
        <w:ind w:left="660" w:right="400" w:hanging="328"/>
        <w:spacing w:after="0" w:line="261"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absence of an improvement in, or further deterioration of, economic conditions, particularly during our peak season or in key market segments;</w:t>
      </w:r>
    </w:p>
    <w:p>
      <w:pPr>
        <w:spacing w:after="0" w:line="224" w:lineRule="exact"/>
        <w:rPr>
          <w:rFonts w:ascii="Arial" w:cs="Arial" w:eastAsia="Arial" w:hAnsi="Arial"/>
          <w:sz w:val="18"/>
          <w:szCs w:val="18"/>
          <w:color w:val="auto"/>
        </w:rPr>
      </w:pPr>
    </w:p>
    <w:p>
      <w:pPr>
        <w:ind w:left="660" w:right="120" w:hanging="328"/>
        <w:spacing w:after="0" w:line="261"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an occurrence or threat of terrorism, the current and any future pandemic diseases, natural disasters, military conflict, civil unrest or political instability in the locations in which we operate;</w:t>
      </w:r>
    </w:p>
    <w:p>
      <w:pPr>
        <w:spacing w:after="0" w:line="224" w:lineRule="exact"/>
        <w:rPr>
          <w:rFonts w:ascii="Arial" w:cs="Arial" w:eastAsia="Arial" w:hAnsi="Arial"/>
          <w:sz w:val="18"/>
          <w:szCs w:val="18"/>
          <w:color w:val="auto"/>
        </w:rPr>
      </w:pPr>
    </w:p>
    <w:p>
      <w:pPr>
        <w:ind w:left="660" w:right="120" w:hanging="328"/>
        <w:spacing w:after="0" w:line="261"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any substantial changes in the cost or supply of fuel, vehicle parts, energy, labor or other resources on which we depend to operate our business including the current and any future impacts as a result of COVID-19;</w:t>
      </w:r>
    </w:p>
    <w:p>
      <w:pPr>
        <w:spacing w:after="0" w:line="224" w:lineRule="exact"/>
        <w:rPr>
          <w:rFonts w:ascii="Arial" w:cs="Arial" w:eastAsia="Arial" w:hAnsi="Arial"/>
          <w:sz w:val="18"/>
          <w:szCs w:val="18"/>
          <w:color w:val="auto"/>
        </w:rPr>
      </w:pPr>
    </w:p>
    <w:p>
      <w:pPr>
        <w:ind w:left="660" w:right="80" w:hanging="328"/>
        <w:spacing w:after="0" w:line="261"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continue to successfully implement our business strategies, achieve and maintain cost savings and adapt our business to changes in mobility;</w:t>
      </w:r>
    </w:p>
    <w:p>
      <w:pPr>
        <w:spacing w:after="0" w:line="224"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political, economic or commercial instability in the countries in which we operate, and our ability to conform to multiple and conflicting laws or regulations in those countries;</w:t>
      </w:r>
    </w:p>
    <w:p>
      <w:pPr>
        <w:spacing w:after="0" w:line="224"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dependence on third-party distribution channels, third-party suppliers of other services and co-marketing arrangements with third parties;</w:t>
      </w:r>
    </w:p>
    <w:p>
      <w:pPr>
        <w:spacing w:after="0" w:line="200" w:lineRule="exact"/>
        <w:rPr>
          <w:sz w:val="20"/>
          <w:szCs w:val="20"/>
          <w:color w:val="auto"/>
        </w:rPr>
      </w:pPr>
    </w:p>
    <w:p>
      <w:pPr>
        <w:spacing w:after="0" w:line="37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dependence on the performance and retention of our senior management and key employees;</w:t>
      </w:r>
    </w:p>
    <w:p>
      <w:pPr>
        <w:spacing w:after="0" w:line="252" w:lineRule="exact"/>
        <w:rPr>
          <w:rFonts w:ascii="Arial" w:cs="Arial" w:eastAsia="Arial" w:hAnsi="Arial"/>
          <w:sz w:val="18"/>
          <w:szCs w:val="18"/>
          <w:color w:val="auto"/>
        </w:rPr>
      </w:pPr>
    </w:p>
    <w:p>
      <w:pPr>
        <w:jc w:val="both"/>
        <w:ind w:left="660" w:right="760" w:hanging="328"/>
        <w:spacing w:after="0" w:line="256"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related to completed or future acquisitions or investments that we may pursue, including the incurrence of incremental indebtedness to help fund such transactions and our ability to promptly and effectively integrate any acquired businesses or capitalize on joint ventures, partnerships and other investments;</w:t>
      </w:r>
    </w:p>
    <w:p>
      <w:pPr>
        <w:spacing w:after="0" w:line="228"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utilize derivative instruments, and the impact of derivative instruments we utilize, which can be affected by fluctuations in interest rates, gasoline prices and exchange rates, changes in government regulations and other factors;</w:t>
      </w:r>
    </w:p>
    <w:p>
      <w:pPr>
        <w:spacing w:after="0" w:line="224" w:lineRule="exact"/>
        <w:rPr>
          <w:rFonts w:ascii="Arial" w:cs="Arial" w:eastAsia="Arial" w:hAnsi="Arial"/>
          <w:sz w:val="18"/>
          <w:szCs w:val="18"/>
          <w:color w:val="auto"/>
        </w:rPr>
      </w:pPr>
    </w:p>
    <w:p>
      <w:pPr>
        <w:ind w:left="660" w:right="100" w:hanging="328"/>
        <w:spacing w:after="0" w:line="261"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exposure to uninsured or unpaid claims in excess of historical levels and our ability to obtain insurance at desired levels and the cost of that insurance;</w:t>
      </w:r>
    </w:p>
    <w:p>
      <w:pPr>
        <w:spacing w:after="0" w:line="224" w:lineRule="exact"/>
        <w:rPr>
          <w:rFonts w:ascii="Arial" w:cs="Arial" w:eastAsia="Arial" w:hAnsi="Arial"/>
          <w:sz w:val="18"/>
          <w:szCs w:val="18"/>
          <w:color w:val="auto"/>
        </w:rPr>
      </w:pPr>
    </w:p>
    <w:p>
      <w:pPr>
        <w:ind w:left="660" w:right="60" w:hanging="328"/>
        <w:spacing w:after="0" w:line="256"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associated with litigation, governmental or regulatory inquiries, or any failure or inability to comply with laws, regulations or contractual obligations or any changes in laws, regulations or contractual obligations, including with respect to personally identifiable information and consumer privacy, labor and employment, and tax;</w:t>
      </w:r>
    </w:p>
    <w:p>
      <w:pPr>
        <w:spacing w:after="0" w:line="228" w:lineRule="exact"/>
        <w:rPr>
          <w:rFonts w:ascii="Arial" w:cs="Arial" w:eastAsia="Arial" w:hAnsi="Arial"/>
          <w:sz w:val="18"/>
          <w:szCs w:val="18"/>
          <w:color w:val="auto"/>
        </w:rPr>
      </w:pPr>
    </w:p>
    <w:p>
      <w:pPr>
        <w:jc w:val="both"/>
        <w:ind w:left="660" w:right="40" w:hanging="328"/>
        <w:spacing w:after="0" w:line="278" w:lineRule="auto"/>
        <w:tabs>
          <w:tab w:leader="none" w:pos="655" w:val="left"/>
        </w:tabs>
        <w:numPr>
          <w:ilvl w:val="0"/>
          <w:numId w:val="2"/>
        </w:numPr>
        <w:rPr>
          <w:rFonts w:ascii="Arial" w:cs="Arial" w:eastAsia="Arial" w:hAnsi="Arial"/>
          <w:sz w:val="17"/>
          <w:szCs w:val="17"/>
          <w:color w:val="auto"/>
        </w:rPr>
      </w:pPr>
      <w:r>
        <w:rPr>
          <w:rFonts w:ascii="Arial" w:cs="Arial" w:eastAsia="Arial" w:hAnsi="Arial"/>
          <w:sz w:val="17"/>
          <w:szCs w:val="17"/>
          <w:color w:val="auto"/>
        </w:rPr>
        <w:t>risks related to protecting the integrity of, and preventing unauthorized access to, our information technology systems or those of our third-party vendors, and protecting the confidential information of our employees and customers against security breaches, including physical or cybersecurity breaches, attacks, or other disruptions, and compliance with privacy and data protection regulation;</w:t>
      </w:r>
    </w:p>
    <w:p>
      <w:pPr>
        <w:spacing w:after="0" w:line="211" w:lineRule="exact"/>
        <w:rPr>
          <w:rFonts w:ascii="Arial" w:cs="Arial" w:eastAsia="Arial" w:hAnsi="Arial"/>
          <w:sz w:val="17"/>
          <w:szCs w:val="17"/>
          <w:color w:val="auto"/>
        </w:rPr>
      </w:pPr>
    </w:p>
    <w:p>
      <w:pPr>
        <w:ind w:left="660" w:right="680" w:hanging="328"/>
        <w:spacing w:after="0" w:line="261"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impact on us from the actions of our licensees, dealers, third-party vendors and independent operators and independent contractors and/or disputes that may arise out of our agreements with such parties;</w:t>
      </w:r>
    </w:p>
    <w:p>
      <w:pPr>
        <w:spacing w:after="0" w:line="224"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major disruptions in our communication networks or information systems;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related to tax obligations and the effect of future changes in tax laws and accounting standards;</w:t>
      </w:r>
    </w:p>
    <w:p>
      <w:pPr>
        <w:spacing w:after="0" w:line="252" w:lineRule="exact"/>
        <w:rPr>
          <w:rFonts w:ascii="Arial" w:cs="Arial" w:eastAsia="Arial" w:hAnsi="Arial"/>
          <w:sz w:val="18"/>
          <w:szCs w:val="18"/>
          <w:color w:val="auto"/>
        </w:rPr>
      </w:pPr>
    </w:p>
    <w:p>
      <w:pPr>
        <w:ind w:left="660" w:right="100" w:hanging="328"/>
        <w:spacing w:after="0" w:line="261"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related to our indebtedness, including our substantial outstanding debt obligations, potential interest rate increases, recent and potential further downgrades by rating agencies and our ability to incur substantially more debt;</w:t>
      </w:r>
    </w:p>
    <w:p>
      <w:pPr>
        <w:spacing w:after="0" w:line="224"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obtain financing for our global operations, including the funding of our vehicle fleet through the issuance of asset-backed securities and use of the global lending markets;</w:t>
      </w:r>
    </w:p>
    <w:p>
      <w:pPr>
        <w:spacing w:after="0" w:line="224" w:lineRule="exact"/>
        <w:rPr>
          <w:rFonts w:ascii="Arial" w:cs="Arial" w:eastAsia="Arial" w:hAnsi="Arial"/>
          <w:sz w:val="18"/>
          <w:szCs w:val="18"/>
          <w:color w:val="auto"/>
        </w:rPr>
      </w:pPr>
    </w:p>
    <w:p>
      <w:pPr>
        <w:ind w:left="660" w:right="140" w:hanging="328"/>
        <w:spacing w:after="0" w:line="261"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meet the financial and other covenants contained in the agreements governing our indebtedness, or to obtain a waiver or amendment of such covenants should we be unable to meet such covenants;</w:t>
      </w:r>
    </w:p>
    <w:p>
      <w:pPr>
        <w:spacing w:after="0" w:line="224"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accurately estimate our future results;</w:t>
      </w:r>
    </w:p>
    <w:p>
      <w:pPr>
        <w:spacing w:after="0" w:line="252" w:lineRule="exact"/>
        <w:rPr>
          <w:rFonts w:ascii="Arial" w:cs="Arial" w:eastAsia="Arial" w:hAnsi="Arial"/>
          <w:sz w:val="18"/>
          <w:szCs w:val="18"/>
          <w:color w:val="auto"/>
        </w:rPr>
      </w:pPr>
    </w:p>
    <w:p>
      <w:pPr>
        <w:jc w:val="both"/>
        <w:ind w:left="660" w:right="80" w:hanging="328"/>
        <w:spacing w:after="0" w:line="256"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failure to achieve our business plans, a further deterioration in general economic conditions of the countries in which we operate, or significant changes in the assumptions and estimates that are used in our impairment testing for goodwill or intangible assets, which could result in a significant impairment of our goodwill; and</w:t>
      </w:r>
    </w:p>
    <w:p>
      <w:pPr>
        <w:spacing w:after="0" w:line="228" w:lineRule="exact"/>
        <w:rPr>
          <w:rFonts w:ascii="Arial" w:cs="Arial" w:eastAsia="Arial" w:hAnsi="Arial"/>
          <w:sz w:val="18"/>
          <w:szCs w:val="18"/>
          <w:color w:val="auto"/>
        </w:rPr>
      </w:pPr>
    </w:p>
    <w:p>
      <w:pPr>
        <w:ind w:left="660" w:right="80" w:hanging="328"/>
        <w:spacing w:after="0" w:line="261"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other business, economic, competitive, governmental, regulatory, political or technological factors affecting our operations, pricing or services.</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operate in a continuously changing business environment and new risk factors emerge from time to time. New risk factors, factors beyond our control, or changes in the impact of identified risk factors may cause actual results to differ materially from those set forth in any forward-looking statements. Accordingly, forward-looking statements should not be relied upon as a prediction of actual results. Moreover, we do not assume responsibility for the</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accuracy and completeness of those statements. Other factors and assumptions not identified above, including those discussed in “Management’s Discussion and Analysis of Financial Condition and Results of Operations,” in Item 2 and “Risk Factors” in Item 1A and in similarly titled sections set forth in Item 7 and in Item 1A and in other portions of our 2020 Annual Report on Form 10-K filed with the Securities and Exchange Commission on February 17, 2021 (the “2020 Form 10-K”), may cause actual results to differ materially from those projected in any forward-looking statements.</w:t>
      </w:r>
    </w:p>
    <w:p>
      <w:pPr>
        <w:spacing w:after="0" w:line="232"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Although we believe that our assumptions are reasonable, any or all of our forward-looking statements may prove to be inaccurate and we can make no guarantees about our future performance. Should unknown risks or uncertainties materialize or underlying assumptions prove inaccurate, actual results could differ materially from past results and/or those anticipated, estimated or projected. We undertake no obligation to release any revisions to any forward-looking statements, to report events or to report the occurrence of unanticipated events. For any forward-looking statements contained in any document, we claim the protection of the safe harbor for forward-looking statements contained in the Private Securities Litigation Reform Act of 1995.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0" w:right="4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104"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Avis Budget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1" w:lineRule="exact"/>
        <w:rPr>
          <w:sz w:val="20"/>
          <w:szCs w:val="20"/>
          <w:color w:val="auto"/>
        </w:rPr>
      </w:pPr>
    </w:p>
    <w:p>
      <w:pPr>
        <w:jc w:val="center"/>
        <w:ind w:left="8260"/>
        <w:spacing w:after="0"/>
        <w:rPr>
          <w:sz w:val="20"/>
          <w:szCs w:val="20"/>
          <w:color w:val="auto"/>
        </w:rPr>
      </w:pPr>
      <w:r>
        <w:rPr>
          <w:rFonts w:ascii="Arial" w:cs="Arial" w:eastAsia="Arial" w:hAnsi="Arial"/>
          <w:sz w:val="18"/>
          <w:szCs w:val="18"/>
          <w:b w:val="1"/>
          <w:bCs w:val="1"/>
          <w:color w:val="auto"/>
        </w:rPr>
        <w:t>Three Months Ended</w:t>
      </w:r>
    </w:p>
    <w:p>
      <w:pPr>
        <w:jc w:val="center"/>
        <w:ind w:left="8300"/>
        <w:spacing w:after="0"/>
        <w:rPr>
          <w:sz w:val="20"/>
          <w:szCs w:val="20"/>
          <w:color w:val="auto"/>
        </w:rPr>
      </w:pPr>
      <w:r>
        <w:rPr>
          <w:rFonts w:ascii="Arial" w:cs="Arial" w:eastAsia="Arial" w:hAnsi="Arial"/>
          <w:sz w:val="18"/>
          <w:szCs w:val="18"/>
          <w:b w:val="1"/>
          <w:bCs w:val="1"/>
          <w:color w:val="auto"/>
        </w:rPr>
        <w:t>March 31,</w:t>
      </w:r>
    </w:p>
    <w:p>
      <w:pPr>
        <w:spacing w:after="0" w:line="10"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8300" w:type="dxa"/>
            <w:vAlign w:val="bottom"/>
            <w:vMerge w:val="restart"/>
          </w:tcPr>
          <w:p>
            <w:pPr>
              <w:spacing w:after="0"/>
              <w:rPr>
                <w:sz w:val="20"/>
                <w:szCs w:val="20"/>
                <w:color w:val="auto"/>
              </w:rPr>
            </w:pPr>
            <w:r>
              <w:rPr>
                <w:rFonts w:ascii="Arial" w:cs="Arial" w:eastAsia="Arial" w:hAnsi="Arial"/>
                <w:sz w:val="18"/>
                <w:szCs w:val="18"/>
                <w:b w:val="1"/>
                <w:bCs w:val="1"/>
                <w:color w:val="auto"/>
              </w:rPr>
              <w:t>Revenues</w:t>
            </w: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8300" w:type="dxa"/>
            <w:vAlign w:val="bottom"/>
            <w:vMerge w:val="continue"/>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1,372</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1,753</w:t>
            </w:r>
          </w:p>
        </w:tc>
        <w:tc>
          <w:tcPr>
            <w:tcW w:w="0" w:type="dxa"/>
            <w:vAlign w:val="bottom"/>
          </w:tcPr>
          <w:p>
            <w:pPr>
              <w:spacing w:after="0"/>
              <w:rPr>
                <w:sz w:val="1"/>
                <w:szCs w:val="1"/>
                <w:color w:val="auto"/>
              </w:rPr>
            </w:pPr>
          </w:p>
        </w:tc>
      </w:tr>
      <w:tr>
        <w:trPr>
          <w:trHeight w:val="466"/>
        </w:trPr>
        <w:tc>
          <w:tcPr>
            <w:tcW w:w="830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8300" w:type="dxa"/>
            <w:vAlign w:val="bottom"/>
          </w:tcPr>
          <w:p>
            <w:pPr>
              <w:ind w:left="120"/>
              <w:spacing w:after="0"/>
              <w:rPr>
                <w:sz w:val="20"/>
                <w:szCs w:val="20"/>
                <w:color w:val="auto"/>
              </w:rPr>
            </w:pPr>
            <w:r>
              <w:rPr>
                <w:rFonts w:ascii="Arial" w:cs="Arial" w:eastAsia="Arial" w:hAnsi="Arial"/>
                <w:sz w:val="18"/>
                <w:szCs w:val="18"/>
                <w:color w:val="auto"/>
              </w:rPr>
              <w:t>Operating</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832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1,058</w:t>
            </w:r>
          </w:p>
        </w:tc>
        <w:tc>
          <w:tcPr>
            <w:tcW w:w="0" w:type="dxa"/>
            <w:vAlign w:val="bottom"/>
          </w:tcPr>
          <w:p>
            <w:pPr>
              <w:spacing w:after="0"/>
              <w:rPr>
                <w:sz w:val="1"/>
                <w:szCs w:val="1"/>
                <w:color w:val="auto"/>
              </w:rPr>
            </w:pPr>
          </w:p>
        </w:tc>
      </w:tr>
      <w:tr>
        <w:trPr>
          <w:trHeight w:val="229"/>
        </w:trPr>
        <w:tc>
          <w:tcPr>
            <w:tcW w:w="8300" w:type="dxa"/>
            <w:vAlign w:val="bottom"/>
          </w:tcPr>
          <w:p>
            <w:pPr>
              <w:ind w:left="120"/>
              <w:spacing w:after="0"/>
              <w:rPr>
                <w:sz w:val="20"/>
                <w:szCs w:val="20"/>
                <w:color w:val="auto"/>
              </w:rPr>
            </w:pPr>
            <w:r>
              <w:rPr>
                <w:rFonts w:ascii="Arial" w:cs="Arial" w:eastAsia="Arial" w:hAnsi="Arial"/>
                <w:sz w:val="18"/>
                <w:szCs w:val="18"/>
                <w:color w:val="auto"/>
              </w:rPr>
              <w:t>Vehicle depreciation and lease charges, net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30"/>
        </w:trPr>
        <w:tc>
          <w:tcPr>
            <w:tcW w:w="8300" w:type="dxa"/>
            <w:vAlign w:val="bottom"/>
          </w:tcPr>
          <w:p>
            <w:pPr>
              <w:ind w:left="12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29"/>
        </w:trPr>
        <w:tc>
          <w:tcPr>
            <w:tcW w:w="8300" w:type="dxa"/>
            <w:vAlign w:val="bottom"/>
          </w:tcPr>
          <w:p>
            <w:pPr>
              <w:ind w:left="120"/>
              <w:spacing w:after="0"/>
              <w:rPr>
                <w:sz w:val="20"/>
                <w:szCs w:val="20"/>
                <w:color w:val="auto"/>
              </w:rPr>
            </w:pPr>
            <w:r>
              <w:rPr>
                <w:rFonts w:ascii="Arial" w:cs="Arial" w:eastAsia="Arial" w:hAnsi="Arial"/>
                <w:sz w:val="18"/>
                <w:szCs w:val="18"/>
                <w:color w:val="auto"/>
              </w:rPr>
              <w:t>Vehicle interest, net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30"/>
        </w:trPr>
        <w:tc>
          <w:tcPr>
            <w:tcW w:w="8300" w:type="dxa"/>
            <w:vAlign w:val="bottom"/>
          </w:tcPr>
          <w:p>
            <w:pPr>
              <w:ind w:left="120"/>
              <w:spacing w:after="0"/>
              <w:rPr>
                <w:sz w:val="20"/>
                <w:szCs w:val="20"/>
                <w:color w:val="auto"/>
              </w:rPr>
            </w:pPr>
            <w:r>
              <w:rPr>
                <w:rFonts w:ascii="Arial" w:cs="Arial" w:eastAsia="Arial" w:hAnsi="Arial"/>
                <w:sz w:val="18"/>
                <w:szCs w:val="18"/>
                <w:color w:val="auto"/>
              </w:rPr>
              <w:t>Non-vehicle related depreciation and amortization</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9"/>
        </w:trPr>
        <w:tc>
          <w:tcPr>
            <w:tcW w:w="8300" w:type="dxa"/>
            <w:vAlign w:val="bottom"/>
          </w:tcPr>
          <w:p>
            <w:pPr>
              <w:ind w:left="120"/>
              <w:spacing w:after="0"/>
              <w:rPr>
                <w:sz w:val="20"/>
                <w:szCs w:val="20"/>
                <w:color w:val="auto"/>
              </w:rPr>
            </w:pPr>
            <w:r>
              <w:rPr>
                <w:rFonts w:ascii="Arial" w:cs="Arial" w:eastAsia="Arial" w:hAnsi="Arial"/>
                <w:sz w:val="18"/>
                <w:szCs w:val="18"/>
                <w:color w:val="auto"/>
              </w:rPr>
              <w:t>Interest expense related to corporate debt, net:</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00" w:type="dxa"/>
            <w:vAlign w:val="bottom"/>
          </w:tcPr>
          <w:p>
            <w:pPr>
              <w:ind w:left="34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30"/>
        </w:trPr>
        <w:tc>
          <w:tcPr>
            <w:tcW w:w="8300" w:type="dxa"/>
            <w:vAlign w:val="bottom"/>
          </w:tcPr>
          <w:p>
            <w:pPr>
              <w:ind w:left="340"/>
              <w:spacing w:after="0"/>
              <w:rPr>
                <w:sz w:val="20"/>
                <w:szCs w:val="20"/>
                <w:color w:val="auto"/>
              </w:rPr>
            </w:pPr>
            <w:r>
              <w:rPr>
                <w:rFonts w:ascii="Arial" w:cs="Arial" w:eastAsia="Arial" w:hAnsi="Arial"/>
                <w:sz w:val="18"/>
                <w:szCs w:val="18"/>
                <w:color w:val="auto"/>
              </w:rPr>
              <w:t>Early extinguishment of debt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8300" w:type="dxa"/>
            <w:vAlign w:val="bottom"/>
          </w:tcPr>
          <w:p>
            <w:pPr>
              <w:ind w:left="120"/>
              <w:spacing w:after="0"/>
              <w:rPr>
                <w:sz w:val="20"/>
                <w:szCs w:val="20"/>
                <w:color w:val="auto"/>
              </w:rPr>
            </w:pPr>
            <w:r>
              <w:rPr>
                <w:rFonts w:ascii="Arial" w:cs="Arial" w:eastAsia="Arial" w:hAnsi="Arial"/>
                <w:sz w:val="18"/>
                <w:szCs w:val="18"/>
                <w:color w:val="auto"/>
              </w:rPr>
              <w:t>Restructuring and other related charges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9"/>
        </w:trPr>
        <w:tc>
          <w:tcPr>
            <w:tcW w:w="8300" w:type="dxa"/>
            <w:vAlign w:val="bottom"/>
          </w:tcPr>
          <w:p>
            <w:pPr>
              <w:ind w:left="120"/>
              <w:spacing w:after="0"/>
              <w:rPr>
                <w:sz w:val="20"/>
                <w:szCs w:val="20"/>
                <w:color w:val="auto"/>
              </w:rPr>
            </w:pPr>
            <w:r>
              <w:rPr>
                <w:rFonts w:ascii="Arial" w:cs="Arial" w:eastAsia="Arial" w:hAnsi="Arial"/>
                <w:sz w:val="18"/>
                <w:szCs w:val="18"/>
                <w:color w:val="auto"/>
              </w:rPr>
              <w:t>Transaction-related costs, net</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8300" w:type="dxa"/>
            <w:vAlign w:val="bottom"/>
          </w:tcPr>
          <w:p>
            <w:pPr>
              <w:spacing w:after="0"/>
              <w:rPr>
                <w:sz w:val="20"/>
                <w:szCs w:val="20"/>
                <w:color w:val="auto"/>
              </w:rPr>
            </w:pPr>
            <w:r>
              <w:rPr>
                <w:rFonts w:ascii="Arial" w:cs="Arial" w:eastAsia="Arial" w:hAnsi="Arial"/>
                <w:sz w:val="18"/>
                <w:szCs w:val="18"/>
                <w:color w:val="auto"/>
              </w:rPr>
              <w:t>Total expenses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1,622</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466"/>
        </w:trPr>
        <w:tc>
          <w:tcPr>
            <w:tcW w:w="8300" w:type="dxa"/>
            <w:vAlign w:val="bottom"/>
          </w:tcPr>
          <w:p>
            <w:pPr>
              <w:spacing w:after="0"/>
              <w:rPr>
                <w:sz w:val="20"/>
                <w:szCs w:val="20"/>
                <w:color w:val="auto"/>
              </w:rPr>
            </w:pPr>
            <w:r>
              <w:rPr>
                <w:rFonts w:ascii="Arial" w:cs="Arial" w:eastAsia="Arial" w:hAnsi="Arial"/>
                <w:sz w:val="18"/>
                <w:szCs w:val="18"/>
                <w:b w:val="1"/>
                <w:bCs w:val="1"/>
                <w:color w:val="auto"/>
              </w:rPr>
              <w:t>Loss before income taxes</w:t>
            </w: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30"/>
        </w:trPr>
        <w:tc>
          <w:tcPr>
            <w:tcW w:w="8300" w:type="dxa"/>
            <w:vAlign w:val="bottom"/>
          </w:tcPr>
          <w:p>
            <w:pPr>
              <w:spacing w:after="0"/>
              <w:rPr>
                <w:sz w:val="20"/>
                <w:szCs w:val="20"/>
                <w:color w:val="auto"/>
              </w:rPr>
            </w:pPr>
            <w:r>
              <w:rPr>
                <w:rFonts w:ascii="Arial" w:cs="Arial" w:eastAsia="Arial" w:hAnsi="Arial"/>
                <w:sz w:val="18"/>
                <w:szCs w:val="18"/>
                <w:color w:val="auto"/>
              </w:rPr>
              <w:t>Benefit from income taxes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466"/>
        </w:trPr>
        <w:tc>
          <w:tcPr>
            <w:tcW w:w="830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0"/>
        </w:trPr>
        <w:tc>
          <w:tcPr>
            <w:tcW w:w="8300" w:type="dxa"/>
            <w:vAlign w:val="bottom"/>
            <w:vMerge w:val="restart"/>
          </w:tcPr>
          <w:p>
            <w:pPr>
              <w:spacing w:after="0"/>
              <w:rPr>
                <w:sz w:val="20"/>
                <w:szCs w:val="20"/>
                <w:color w:val="auto"/>
              </w:rPr>
            </w:pPr>
            <w:r>
              <w:rPr>
                <w:rFonts w:ascii="Arial" w:cs="Arial" w:eastAsia="Arial" w:hAnsi="Arial"/>
                <w:sz w:val="18"/>
                <w:szCs w:val="18"/>
                <w:b w:val="1"/>
                <w:bCs w:val="1"/>
                <w:color w:val="auto"/>
              </w:rPr>
              <w:t>Comprehensive loss</w:t>
            </w: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8300" w:type="dxa"/>
            <w:vAlign w:val="bottom"/>
            <w:vMerge w:val="continue"/>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466"/>
        </w:trPr>
        <w:tc>
          <w:tcPr>
            <w:tcW w:w="8300" w:type="dxa"/>
            <w:vAlign w:val="bottom"/>
          </w:tcPr>
          <w:p>
            <w:pPr>
              <w:spacing w:after="0"/>
              <w:rPr>
                <w:sz w:val="20"/>
                <w:szCs w:val="20"/>
                <w:color w:val="auto"/>
              </w:rPr>
            </w:pPr>
            <w:r>
              <w:rPr>
                <w:rFonts w:ascii="Arial" w:cs="Arial" w:eastAsia="Arial" w:hAnsi="Arial"/>
                <w:sz w:val="18"/>
                <w:szCs w:val="18"/>
                <w:b w:val="1"/>
                <w:bCs w:val="1"/>
                <w:color w:val="auto"/>
              </w:rPr>
              <w:t>Loss per share</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300" w:type="dxa"/>
            <w:vAlign w:val="bottom"/>
          </w:tcPr>
          <w:p>
            <w:pPr>
              <w:ind w:left="120"/>
              <w:spacing w:after="0"/>
              <w:rPr>
                <w:sz w:val="20"/>
                <w:szCs w:val="20"/>
                <w:color w:val="auto"/>
              </w:rPr>
            </w:pPr>
            <w:r>
              <w:rPr>
                <w:rFonts w:ascii="Arial" w:cs="Arial" w:eastAsia="Arial" w:hAnsi="Arial"/>
                <w:sz w:val="18"/>
                <w:szCs w:val="18"/>
                <w:color w:val="auto"/>
              </w:rPr>
              <w:t>Basic</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(2.43)</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29"/>
        </w:trPr>
        <w:tc>
          <w:tcPr>
            <w:tcW w:w="8300" w:type="dxa"/>
            <w:vAlign w:val="bottom"/>
          </w:tcPr>
          <w:p>
            <w:pPr>
              <w:ind w:left="120"/>
              <w:spacing w:after="0"/>
              <w:rPr>
                <w:sz w:val="20"/>
                <w:szCs w:val="20"/>
                <w:color w:val="auto"/>
              </w:rPr>
            </w:pPr>
            <w:r>
              <w:rPr>
                <w:rFonts w:ascii="Arial" w:cs="Arial" w:eastAsia="Arial" w:hAnsi="Arial"/>
                <w:sz w:val="18"/>
                <w:szCs w:val="18"/>
                <w:color w:val="auto"/>
              </w:rPr>
              <w:t>Diluted</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(2.43)</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Condensed Financial Statements (Unaudited).</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Avis Budget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par value)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8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4"/>
                <w:szCs w:val="14"/>
                <w:color w:val="auto"/>
              </w:rPr>
            </w:pPr>
          </w:p>
        </w:tc>
        <w:tc>
          <w:tcPr>
            <w:tcW w:w="154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75"/>
        </w:trPr>
        <w:tc>
          <w:tcPr>
            <w:tcW w:w="7760" w:type="dxa"/>
            <w:vAlign w:val="bottom"/>
            <w:vMerge w:val="restart"/>
          </w:tcPr>
          <w:p>
            <w:pPr>
              <w:spacing w:after="0"/>
              <w:rPr>
                <w:sz w:val="20"/>
                <w:szCs w:val="20"/>
                <w:color w:val="auto"/>
              </w:rPr>
            </w:pPr>
            <w:r>
              <w:rPr>
                <w:rFonts w:ascii="Arial" w:cs="Arial" w:eastAsia="Arial" w:hAnsi="Arial"/>
                <w:sz w:val="14"/>
                <w:szCs w:val="14"/>
                <w:b w:val="1"/>
                <w:bCs w:val="1"/>
                <w:color w:val="auto"/>
              </w:rPr>
              <w:t>Assets</w:t>
            </w:r>
          </w:p>
        </w:tc>
        <w:tc>
          <w:tcPr>
            <w:tcW w:w="3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77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760" w:type="dxa"/>
            <w:vAlign w:val="bottom"/>
          </w:tcPr>
          <w:p>
            <w:pPr>
              <w:spacing w:after="0"/>
              <w:rPr>
                <w:sz w:val="20"/>
                <w:szCs w:val="20"/>
                <w:color w:val="auto"/>
              </w:rPr>
            </w:pPr>
            <w:r>
              <w:rPr>
                <w:rFonts w:ascii="Arial" w:cs="Arial" w:eastAsia="Arial" w:hAnsi="Arial"/>
                <w:sz w:val="14"/>
                <w:szCs w:val="14"/>
                <w:color w:val="auto"/>
              </w:rPr>
              <w:t>Current assets:</w:t>
            </w:r>
          </w:p>
        </w:tc>
        <w:tc>
          <w:tcPr>
            <w:tcW w:w="3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60" w:type="dxa"/>
            <w:vAlign w:val="bottom"/>
          </w:tcPr>
          <w:p>
            <w:pPr>
              <w:ind w:left="220"/>
              <w:spacing w:after="0"/>
              <w:rPr>
                <w:sz w:val="20"/>
                <w:szCs w:val="20"/>
                <w:color w:val="auto"/>
              </w:rPr>
            </w:pPr>
            <w:r>
              <w:rPr>
                <w:rFonts w:ascii="Arial" w:cs="Arial" w:eastAsia="Arial" w:hAnsi="Arial"/>
                <w:sz w:val="14"/>
                <w:szCs w:val="14"/>
                <w:color w:val="auto"/>
              </w:rPr>
              <w:t>Cash and cash equivalents</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576</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540" w:type="dxa"/>
            <w:vAlign w:val="bottom"/>
          </w:tcPr>
          <w:p>
            <w:pPr>
              <w:jc w:val="right"/>
              <w:spacing w:after="0"/>
              <w:rPr>
                <w:sz w:val="20"/>
                <w:szCs w:val="20"/>
                <w:color w:val="auto"/>
              </w:rPr>
            </w:pPr>
            <w:r>
              <w:rPr>
                <w:rFonts w:ascii="Arial" w:cs="Arial" w:eastAsia="Arial" w:hAnsi="Arial"/>
                <w:sz w:val="14"/>
                <w:szCs w:val="14"/>
                <w:color w:val="auto"/>
              </w:rPr>
              <w:t>692</w:t>
            </w:r>
          </w:p>
        </w:tc>
        <w:tc>
          <w:tcPr>
            <w:tcW w:w="0" w:type="dxa"/>
            <w:vAlign w:val="bottom"/>
          </w:tcPr>
          <w:p>
            <w:pPr>
              <w:spacing w:after="0"/>
              <w:rPr>
                <w:sz w:val="1"/>
                <w:szCs w:val="1"/>
                <w:color w:val="auto"/>
              </w:rPr>
            </w:pPr>
          </w:p>
        </w:tc>
      </w:tr>
      <w:tr>
        <w:trPr>
          <w:trHeight w:val="189"/>
        </w:trPr>
        <w:tc>
          <w:tcPr>
            <w:tcW w:w="7760" w:type="dxa"/>
            <w:vAlign w:val="bottom"/>
          </w:tcPr>
          <w:p>
            <w:pPr>
              <w:ind w:left="220"/>
              <w:spacing w:after="0"/>
              <w:rPr>
                <w:sz w:val="20"/>
                <w:szCs w:val="20"/>
                <w:color w:val="auto"/>
              </w:rPr>
            </w:pPr>
            <w:r>
              <w:rPr>
                <w:rFonts w:ascii="Arial" w:cs="Arial" w:eastAsia="Arial" w:hAnsi="Arial"/>
                <w:sz w:val="14"/>
                <w:szCs w:val="14"/>
                <w:color w:val="auto"/>
              </w:rPr>
              <w:t>Receivables, net</w:t>
            </w:r>
          </w:p>
        </w:tc>
        <w:tc>
          <w:tcPr>
            <w:tcW w:w="3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786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647</w:t>
            </w:r>
          </w:p>
        </w:tc>
        <w:tc>
          <w:tcPr>
            <w:tcW w:w="0" w:type="dxa"/>
            <w:vAlign w:val="bottom"/>
          </w:tcPr>
          <w:p>
            <w:pPr>
              <w:spacing w:after="0"/>
              <w:rPr>
                <w:sz w:val="1"/>
                <w:szCs w:val="1"/>
                <w:color w:val="auto"/>
              </w:rPr>
            </w:pPr>
          </w:p>
        </w:tc>
      </w:tr>
      <w:tr>
        <w:trPr>
          <w:trHeight w:val="188"/>
        </w:trPr>
        <w:tc>
          <w:tcPr>
            <w:tcW w:w="7760" w:type="dxa"/>
            <w:vAlign w:val="bottom"/>
          </w:tcPr>
          <w:p>
            <w:pPr>
              <w:ind w:left="220"/>
              <w:spacing w:after="0"/>
              <w:rPr>
                <w:sz w:val="20"/>
                <w:szCs w:val="20"/>
                <w:color w:val="auto"/>
              </w:rPr>
            </w:pPr>
            <w:r>
              <w:rPr>
                <w:rFonts w:ascii="Arial" w:cs="Arial" w:eastAsia="Arial" w:hAnsi="Arial"/>
                <w:sz w:val="14"/>
                <w:szCs w:val="14"/>
                <w:color w:val="auto"/>
              </w:rPr>
              <w:t>Other current assets</w:t>
            </w:r>
          </w:p>
        </w:tc>
        <w:tc>
          <w:tcPr>
            <w:tcW w:w="3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506</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456</w:t>
            </w:r>
          </w:p>
        </w:tc>
        <w:tc>
          <w:tcPr>
            <w:tcW w:w="0" w:type="dxa"/>
            <w:vAlign w:val="bottom"/>
          </w:tcPr>
          <w:p>
            <w:pPr>
              <w:spacing w:after="0"/>
              <w:rPr>
                <w:sz w:val="1"/>
                <w:szCs w:val="1"/>
                <w:color w:val="auto"/>
              </w:rPr>
            </w:pPr>
          </w:p>
        </w:tc>
      </w:tr>
      <w:tr>
        <w:trPr>
          <w:trHeight w:val="184"/>
        </w:trPr>
        <w:tc>
          <w:tcPr>
            <w:tcW w:w="7760" w:type="dxa"/>
            <w:vAlign w:val="bottom"/>
          </w:tcPr>
          <w:p>
            <w:pPr>
              <w:spacing w:after="0"/>
              <w:rPr>
                <w:sz w:val="20"/>
                <w:szCs w:val="20"/>
                <w:color w:val="auto"/>
              </w:rPr>
            </w:pPr>
            <w:r>
              <w:rPr>
                <w:rFonts w:ascii="Arial" w:cs="Arial" w:eastAsia="Arial" w:hAnsi="Arial"/>
                <w:sz w:val="14"/>
                <w:szCs w:val="14"/>
                <w:color w:val="auto"/>
              </w:rPr>
              <w:t>Total current assets</w:t>
            </w:r>
          </w:p>
        </w:tc>
        <w:tc>
          <w:tcPr>
            <w:tcW w:w="3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1,868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1,795</w:t>
            </w:r>
          </w:p>
        </w:tc>
        <w:tc>
          <w:tcPr>
            <w:tcW w:w="0" w:type="dxa"/>
            <w:vAlign w:val="bottom"/>
          </w:tcPr>
          <w:p>
            <w:pPr>
              <w:spacing w:after="0"/>
              <w:rPr>
                <w:sz w:val="1"/>
                <w:szCs w:val="1"/>
                <w:color w:val="auto"/>
              </w:rPr>
            </w:pPr>
          </w:p>
        </w:tc>
      </w:tr>
      <w:tr>
        <w:trPr>
          <w:trHeight w:val="338"/>
        </w:trPr>
        <w:tc>
          <w:tcPr>
            <w:tcW w:w="7760" w:type="dxa"/>
            <w:vAlign w:val="bottom"/>
          </w:tcPr>
          <w:p>
            <w:pPr>
              <w:spacing w:after="0"/>
              <w:rPr>
                <w:sz w:val="20"/>
                <w:szCs w:val="20"/>
                <w:color w:val="auto"/>
              </w:rPr>
            </w:pPr>
            <w:r>
              <w:rPr>
                <w:rFonts w:ascii="Arial" w:cs="Arial" w:eastAsia="Arial" w:hAnsi="Arial"/>
                <w:sz w:val="14"/>
                <w:szCs w:val="14"/>
                <w:color w:val="auto"/>
              </w:rPr>
              <w:t>Property and equipment, net</w:t>
            </w:r>
          </w:p>
        </w:tc>
        <w:tc>
          <w:tcPr>
            <w:tcW w:w="3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611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657</w:t>
            </w:r>
          </w:p>
        </w:tc>
        <w:tc>
          <w:tcPr>
            <w:tcW w:w="0" w:type="dxa"/>
            <w:vAlign w:val="bottom"/>
          </w:tcPr>
          <w:p>
            <w:pPr>
              <w:spacing w:after="0"/>
              <w:rPr>
                <w:sz w:val="1"/>
                <w:szCs w:val="1"/>
                <w:color w:val="auto"/>
              </w:rPr>
            </w:pPr>
          </w:p>
        </w:tc>
      </w:tr>
      <w:tr>
        <w:trPr>
          <w:trHeight w:val="189"/>
        </w:trPr>
        <w:tc>
          <w:tcPr>
            <w:tcW w:w="7760" w:type="dxa"/>
            <w:vAlign w:val="bottom"/>
          </w:tcPr>
          <w:p>
            <w:pPr>
              <w:spacing w:after="0"/>
              <w:rPr>
                <w:sz w:val="20"/>
                <w:szCs w:val="20"/>
                <w:color w:val="auto"/>
              </w:rPr>
            </w:pPr>
            <w:r>
              <w:rPr>
                <w:rFonts w:ascii="Arial" w:cs="Arial" w:eastAsia="Arial" w:hAnsi="Arial"/>
                <w:sz w:val="14"/>
                <w:szCs w:val="14"/>
                <w:color w:val="auto"/>
              </w:rPr>
              <w:t>Operating lease right-of-use assets</w:t>
            </w:r>
          </w:p>
        </w:tc>
        <w:tc>
          <w:tcPr>
            <w:tcW w:w="3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2,510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2,560</w:t>
            </w:r>
          </w:p>
        </w:tc>
        <w:tc>
          <w:tcPr>
            <w:tcW w:w="0" w:type="dxa"/>
            <w:vAlign w:val="bottom"/>
          </w:tcPr>
          <w:p>
            <w:pPr>
              <w:spacing w:after="0"/>
              <w:rPr>
                <w:sz w:val="1"/>
                <w:szCs w:val="1"/>
                <w:color w:val="auto"/>
              </w:rPr>
            </w:pPr>
          </w:p>
        </w:tc>
      </w:tr>
      <w:tr>
        <w:trPr>
          <w:trHeight w:val="189"/>
        </w:trPr>
        <w:tc>
          <w:tcPr>
            <w:tcW w:w="7760" w:type="dxa"/>
            <w:vAlign w:val="bottom"/>
          </w:tcPr>
          <w:p>
            <w:pPr>
              <w:spacing w:after="0"/>
              <w:rPr>
                <w:sz w:val="20"/>
                <w:szCs w:val="20"/>
                <w:color w:val="auto"/>
              </w:rPr>
            </w:pPr>
            <w:r>
              <w:rPr>
                <w:rFonts w:ascii="Arial" w:cs="Arial" w:eastAsia="Arial" w:hAnsi="Arial"/>
                <w:sz w:val="14"/>
                <w:szCs w:val="14"/>
                <w:color w:val="auto"/>
              </w:rPr>
              <w:t>Deferred income taxes</w:t>
            </w:r>
          </w:p>
        </w:tc>
        <w:tc>
          <w:tcPr>
            <w:tcW w:w="3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1,348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1,198</w:t>
            </w:r>
          </w:p>
        </w:tc>
        <w:tc>
          <w:tcPr>
            <w:tcW w:w="0" w:type="dxa"/>
            <w:vAlign w:val="bottom"/>
          </w:tcPr>
          <w:p>
            <w:pPr>
              <w:spacing w:after="0"/>
              <w:rPr>
                <w:sz w:val="1"/>
                <w:szCs w:val="1"/>
                <w:color w:val="auto"/>
              </w:rPr>
            </w:pPr>
          </w:p>
        </w:tc>
      </w:tr>
      <w:tr>
        <w:trPr>
          <w:trHeight w:val="189"/>
        </w:trPr>
        <w:tc>
          <w:tcPr>
            <w:tcW w:w="7760" w:type="dxa"/>
            <w:vAlign w:val="bottom"/>
          </w:tcPr>
          <w:p>
            <w:pPr>
              <w:spacing w:after="0"/>
              <w:rPr>
                <w:sz w:val="20"/>
                <w:szCs w:val="20"/>
                <w:color w:val="auto"/>
              </w:rPr>
            </w:pPr>
            <w:r>
              <w:rPr>
                <w:rFonts w:ascii="Arial" w:cs="Arial" w:eastAsia="Arial" w:hAnsi="Arial"/>
                <w:sz w:val="14"/>
                <w:szCs w:val="14"/>
                <w:color w:val="auto"/>
              </w:rPr>
              <w:t>Goodwill</w:t>
            </w:r>
          </w:p>
        </w:tc>
        <w:tc>
          <w:tcPr>
            <w:tcW w:w="3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1,121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1,137</w:t>
            </w:r>
          </w:p>
        </w:tc>
        <w:tc>
          <w:tcPr>
            <w:tcW w:w="0" w:type="dxa"/>
            <w:vAlign w:val="bottom"/>
          </w:tcPr>
          <w:p>
            <w:pPr>
              <w:spacing w:after="0"/>
              <w:rPr>
                <w:sz w:val="1"/>
                <w:szCs w:val="1"/>
                <w:color w:val="auto"/>
              </w:rPr>
            </w:pPr>
          </w:p>
        </w:tc>
      </w:tr>
      <w:tr>
        <w:trPr>
          <w:trHeight w:val="189"/>
        </w:trPr>
        <w:tc>
          <w:tcPr>
            <w:tcW w:w="7760" w:type="dxa"/>
            <w:vAlign w:val="bottom"/>
          </w:tcPr>
          <w:p>
            <w:pPr>
              <w:spacing w:after="0"/>
              <w:rPr>
                <w:sz w:val="20"/>
                <w:szCs w:val="20"/>
                <w:color w:val="auto"/>
              </w:rPr>
            </w:pPr>
            <w:r>
              <w:rPr>
                <w:rFonts w:ascii="Arial" w:cs="Arial" w:eastAsia="Arial" w:hAnsi="Arial"/>
                <w:sz w:val="14"/>
                <w:szCs w:val="14"/>
                <w:color w:val="auto"/>
              </w:rPr>
              <w:t>Other intangibles, net</w:t>
            </w:r>
          </w:p>
        </w:tc>
        <w:tc>
          <w:tcPr>
            <w:tcW w:w="3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750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774</w:t>
            </w:r>
          </w:p>
        </w:tc>
        <w:tc>
          <w:tcPr>
            <w:tcW w:w="0" w:type="dxa"/>
            <w:vAlign w:val="bottom"/>
          </w:tcPr>
          <w:p>
            <w:pPr>
              <w:spacing w:after="0"/>
              <w:rPr>
                <w:sz w:val="1"/>
                <w:szCs w:val="1"/>
                <w:color w:val="auto"/>
              </w:rPr>
            </w:pPr>
          </w:p>
        </w:tc>
      </w:tr>
      <w:tr>
        <w:trPr>
          <w:trHeight w:val="188"/>
        </w:trPr>
        <w:tc>
          <w:tcPr>
            <w:tcW w:w="7760" w:type="dxa"/>
            <w:vAlign w:val="bottom"/>
          </w:tcPr>
          <w:p>
            <w:pPr>
              <w:spacing w:after="0"/>
              <w:rPr>
                <w:sz w:val="20"/>
                <w:szCs w:val="20"/>
                <w:color w:val="auto"/>
              </w:rPr>
            </w:pPr>
            <w:r>
              <w:rPr>
                <w:rFonts w:ascii="Arial" w:cs="Arial" w:eastAsia="Arial" w:hAnsi="Arial"/>
                <w:sz w:val="14"/>
                <w:szCs w:val="14"/>
                <w:color w:val="auto"/>
              </w:rPr>
              <w:t>Other non-current assets</w:t>
            </w:r>
          </w:p>
        </w:tc>
        <w:tc>
          <w:tcPr>
            <w:tcW w:w="3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266</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244</w:t>
            </w:r>
          </w:p>
        </w:tc>
        <w:tc>
          <w:tcPr>
            <w:tcW w:w="0" w:type="dxa"/>
            <w:vAlign w:val="bottom"/>
          </w:tcPr>
          <w:p>
            <w:pPr>
              <w:spacing w:after="0"/>
              <w:rPr>
                <w:sz w:val="1"/>
                <w:szCs w:val="1"/>
                <w:color w:val="auto"/>
              </w:rPr>
            </w:pPr>
          </w:p>
        </w:tc>
      </w:tr>
      <w:tr>
        <w:trPr>
          <w:trHeight w:val="183"/>
        </w:trPr>
        <w:tc>
          <w:tcPr>
            <w:tcW w:w="7760" w:type="dxa"/>
            <w:vAlign w:val="bottom"/>
          </w:tcPr>
          <w:p>
            <w:pPr>
              <w:spacing w:after="0"/>
              <w:rPr>
                <w:sz w:val="20"/>
                <w:szCs w:val="20"/>
                <w:color w:val="auto"/>
              </w:rPr>
            </w:pPr>
            <w:r>
              <w:rPr>
                <w:rFonts w:ascii="Arial" w:cs="Arial" w:eastAsia="Arial" w:hAnsi="Arial"/>
                <w:sz w:val="14"/>
                <w:szCs w:val="14"/>
                <w:color w:val="auto"/>
              </w:rPr>
              <w:t>Total assets exclusive of assets under vehicle programs</w:t>
            </w:r>
          </w:p>
        </w:tc>
        <w:tc>
          <w:tcPr>
            <w:tcW w:w="3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8,474</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8,365</w:t>
            </w:r>
          </w:p>
        </w:tc>
        <w:tc>
          <w:tcPr>
            <w:tcW w:w="0" w:type="dxa"/>
            <w:vAlign w:val="bottom"/>
          </w:tcPr>
          <w:p>
            <w:pPr>
              <w:spacing w:after="0"/>
              <w:rPr>
                <w:sz w:val="1"/>
                <w:szCs w:val="1"/>
                <w:color w:val="auto"/>
              </w:rPr>
            </w:pPr>
          </w:p>
        </w:tc>
      </w:tr>
      <w:tr>
        <w:trPr>
          <w:trHeight w:val="319"/>
        </w:trPr>
        <w:tc>
          <w:tcPr>
            <w:tcW w:w="7760" w:type="dxa"/>
            <w:vAlign w:val="bottom"/>
          </w:tcPr>
          <w:p>
            <w:pPr>
              <w:spacing w:after="0"/>
              <w:rPr>
                <w:sz w:val="20"/>
                <w:szCs w:val="20"/>
                <w:color w:val="auto"/>
              </w:rPr>
            </w:pPr>
            <w:r>
              <w:rPr>
                <w:rFonts w:ascii="Arial" w:cs="Arial" w:eastAsia="Arial" w:hAnsi="Arial"/>
                <w:sz w:val="14"/>
                <w:szCs w:val="14"/>
                <w:color w:val="auto"/>
              </w:rPr>
              <w:t>Assets under vehicle programs:</w:t>
            </w: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7760" w:type="dxa"/>
            <w:vAlign w:val="bottom"/>
          </w:tcPr>
          <w:p>
            <w:pPr>
              <w:ind w:left="220"/>
              <w:spacing w:after="0"/>
              <w:rPr>
                <w:sz w:val="20"/>
                <w:szCs w:val="20"/>
                <w:color w:val="auto"/>
              </w:rPr>
            </w:pPr>
            <w:r>
              <w:rPr>
                <w:rFonts w:ascii="Arial" w:cs="Arial" w:eastAsia="Arial" w:hAnsi="Arial"/>
                <w:sz w:val="14"/>
                <w:szCs w:val="14"/>
                <w:color w:val="auto"/>
              </w:rPr>
              <w:t>Program cash</w:t>
            </w:r>
          </w:p>
        </w:tc>
        <w:tc>
          <w:tcPr>
            <w:tcW w:w="3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61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189"/>
        </w:trPr>
        <w:tc>
          <w:tcPr>
            <w:tcW w:w="7760" w:type="dxa"/>
            <w:vAlign w:val="bottom"/>
          </w:tcPr>
          <w:p>
            <w:pPr>
              <w:ind w:left="220"/>
              <w:spacing w:after="0"/>
              <w:rPr>
                <w:sz w:val="20"/>
                <w:szCs w:val="20"/>
                <w:color w:val="auto"/>
              </w:rPr>
            </w:pPr>
            <w:r>
              <w:rPr>
                <w:rFonts w:ascii="Arial" w:cs="Arial" w:eastAsia="Arial" w:hAnsi="Arial"/>
                <w:sz w:val="14"/>
                <w:szCs w:val="14"/>
                <w:color w:val="auto"/>
              </w:rPr>
              <w:t>Vehicles, net</w:t>
            </w:r>
          </w:p>
        </w:tc>
        <w:tc>
          <w:tcPr>
            <w:tcW w:w="3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9,101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8,153</w:t>
            </w:r>
          </w:p>
        </w:tc>
        <w:tc>
          <w:tcPr>
            <w:tcW w:w="0" w:type="dxa"/>
            <w:vAlign w:val="bottom"/>
          </w:tcPr>
          <w:p>
            <w:pPr>
              <w:spacing w:after="0"/>
              <w:rPr>
                <w:sz w:val="1"/>
                <w:szCs w:val="1"/>
                <w:color w:val="auto"/>
              </w:rPr>
            </w:pPr>
          </w:p>
        </w:tc>
      </w:tr>
      <w:tr>
        <w:trPr>
          <w:trHeight w:val="189"/>
        </w:trPr>
        <w:tc>
          <w:tcPr>
            <w:tcW w:w="7760" w:type="dxa"/>
            <w:vAlign w:val="bottom"/>
          </w:tcPr>
          <w:p>
            <w:pPr>
              <w:ind w:left="220"/>
              <w:spacing w:after="0"/>
              <w:rPr>
                <w:sz w:val="20"/>
                <w:szCs w:val="20"/>
                <w:color w:val="auto"/>
              </w:rPr>
            </w:pPr>
            <w:r>
              <w:rPr>
                <w:rFonts w:ascii="Arial" w:cs="Arial" w:eastAsia="Arial" w:hAnsi="Arial"/>
                <w:sz w:val="14"/>
                <w:szCs w:val="14"/>
                <w:color w:val="auto"/>
              </w:rPr>
              <w:t>Receivables from vehicle manufacturers and other</w:t>
            </w:r>
          </w:p>
        </w:tc>
        <w:tc>
          <w:tcPr>
            <w:tcW w:w="3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307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281</w:t>
            </w:r>
          </w:p>
        </w:tc>
        <w:tc>
          <w:tcPr>
            <w:tcW w:w="0" w:type="dxa"/>
            <w:vAlign w:val="bottom"/>
          </w:tcPr>
          <w:p>
            <w:pPr>
              <w:spacing w:after="0"/>
              <w:rPr>
                <w:sz w:val="1"/>
                <w:szCs w:val="1"/>
                <w:color w:val="auto"/>
              </w:rPr>
            </w:pPr>
          </w:p>
        </w:tc>
      </w:tr>
      <w:tr>
        <w:trPr>
          <w:trHeight w:val="188"/>
        </w:trPr>
        <w:tc>
          <w:tcPr>
            <w:tcW w:w="7760" w:type="dxa"/>
            <w:vAlign w:val="bottom"/>
          </w:tcPr>
          <w:p>
            <w:pPr>
              <w:ind w:left="220"/>
              <w:spacing w:after="0"/>
              <w:rPr>
                <w:sz w:val="20"/>
                <w:szCs w:val="20"/>
                <w:color w:val="auto"/>
              </w:rPr>
            </w:pPr>
            <w:r>
              <w:rPr>
                <w:rFonts w:ascii="Arial" w:cs="Arial" w:eastAsia="Arial" w:hAnsi="Arial"/>
                <w:sz w:val="14"/>
                <w:szCs w:val="14"/>
                <w:color w:val="auto"/>
              </w:rPr>
              <w:t>Investment in Avis Budget Rental Car Funding (AESOP) LLC—related party</w:t>
            </w:r>
          </w:p>
        </w:tc>
        <w:tc>
          <w:tcPr>
            <w:tcW w:w="3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666</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667</w:t>
            </w:r>
          </w:p>
        </w:tc>
        <w:tc>
          <w:tcPr>
            <w:tcW w:w="0" w:type="dxa"/>
            <w:vAlign w:val="bottom"/>
          </w:tcPr>
          <w:p>
            <w:pPr>
              <w:spacing w:after="0"/>
              <w:rPr>
                <w:sz w:val="1"/>
                <w:szCs w:val="1"/>
                <w:color w:val="auto"/>
              </w:rPr>
            </w:pPr>
          </w:p>
        </w:tc>
      </w:tr>
      <w:tr>
        <w:trPr>
          <w:trHeight w:val="183"/>
        </w:trPr>
        <w:tc>
          <w:tcPr>
            <w:tcW w:w="7760" w:type="dxa"/>
            <w:vAlign w:val="bottom"/>
            <w:vMerge w:val="restart"/>
          </w:tcPr>
          <w:p>
            <w:pPr>
              <w:spacing w:after="0"/>
              <w:rPr>
                <w:sz w:val="20"/>
                <w:szCs w:val="20"/>
                <w:color w:val="auto"/>
              </w:rPr>
            </w:pPr>
            <w:r>
              <w:rPr>
                <w:rFonts w:ascii="Arial" w:cs="Arial" w:eastAsia="Arial" w:hAnsi="Arial"/>
                <w:sz w:val="14"/>
                <w:szCs w:val="14"/>
                <w:b w:val="1"/>
                <w:bCs w:val="1"/>
                <w:color w:val="auto"/>
              </w:rPr>
              <w:t>Total assets</w:t>
            </w:r>
          </w:p>
        </w:tc>
        <w:tc>
          <w:tcPr>
            <w:tcW w:w="3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10,135</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9,173</w:t>
            </w:r>
          </w:p>
        </w:tc>
        <w:tc>
          <w:tcPr>
            <w:tcW w:w="0" w:type="dxa"/>
            <w:vAlign w:val="bottom"/>
          </w:tcPr>
          <w:p>
            <w:pPr>
              <w:spacing w:after="0"/>
              <w:rPr>
                <w:sz w:val="1"/>
                <w:szCs w:val="1"/>
                <w:color w:val="auto"/>
              </w:rPr>
            </w:pPr>
          </w:p>
        </w:tc>
      </w:tr>
      <w:tr>
        <w:trPr>
          <w:trHeight w:val="183"/>
        </w:trPr>
        <w:tc>
          <w:tcPr>
            <w:tcW w:w="7760" w:type="dxa"/>
            <w:vAlign w:val="bottom"/>
            <w:vMerge w:val="continue"/>
          </w:tcPr>
          <w:p>
            <w:pPr>
              <w:spacing w:after="0"/>
              <w:rPr>
                <w:sz w:val="15"/>
                <w:szCs w:val="15"/>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18,609</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17,538</w:t>
            </w:r>
          </w:p>
        </w:tc>
        <w:tc>
          <w:tcPr>
            <w:tcW w:w="0" w:type="dxa"/>
            <w:vAlign w:val="bottom"/>
          </w:tcPr>
          <w:p>
            <w:pPr>
              <w:spacing w:after="0"/>
              <w:rPr>
                <w:sz w:val="1"/>
                <w:szCs w:val="1"/>
                <w:color w:val="auto"/>
              </w:rPr>
            </w:pPr>
          </w:p>
        </w:tc>
      </w:tr>
      <w:tr>
        <w:trPr>
          <w:trHeight w:val="21"/>
        </w:trPr>
        <w:tc>
          <w:tcPr>
            <w:tcW w:w="7760" w:type="dxa"/>
            <w:vAlign w:val="bottom"/>
            <w:vMerge w:val="restart"/>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5"/>
        </w:trPr>
        <w:tc>
          <w:tcPr>
            <w:tcW w:w="77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7760" w:type="dxa"/>
            <w:vAlign w:val="bottom"/>
          </w:tcPr>
          <w:p>
            <w:pPr>
              <w:spacing w:after="0"/>
              <w:rPr>
                <w:sz w:val="20"/>
                <w:szCs w:val="20"/>
                <w:color w:val="auto"/>
              </w:rPr>
            </w:pPr>
            <w:r>
              <w:rPr>
                <w:rFonts w:ascii="Arial" w:cs="Arial" w:eastAsia="Arial" w:hAnsi="Arial"/>
                <w:sz w:val="14"/>
                <w:szCs w:val="14"/>
                <w:color w:val="auto"/>
              </w:rPr>
              <w:t>Current liabilities:</w:t>
            </w:r>
          </w:p>
        </w:tc>
        <w:tc>
          <w:tcPr>
            <w:tcW w:w="3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60" w:type="dxa"/>
            <w:vAlign w:val="bottom"/>
          </w:tcPr>
          <w:p>
            <w:pPr>
              <w:ind w:left="220"/>
              <w:spacing w:after="0"/>
              <w:rPr>
                <w:sz w:val="20"/>
                <w:szCs w:val="20"/>
                <w:color w:val="auto"/>
              </w:rPr>
            </w:pPr>
            <w:r>
              <w:rPr>
                <w:rFonts w:ascii="Arial" w:cs="Arial" w:eastAsia="Arial" w:hAnsi="Arial"/>
                <w:sz w:val="14"/>
                <w:szCs w:val="14"/>
                <w:color w:val="auto"/>
              </w:rPr>
              <w:t>Accounts payable and other current liabilities</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2,171</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540" w:type="dxa"/>
            <w:vAlign w:val="bottom"/>
          </w:tcPr>
          <w:p>
            <w:pPr>
              <w:jc w:val="right"/>
              <w:spacing w:after="0"/>
              <w:rPr>
                <w:sz w:val="20"/>
                <w:szCs w:val="20"/>
                <w:color w:val="auto"/>
              </w:rPr>
            </w:pPr>
            <w:r>
              <w:rPr>
                <w:rFonts w:ascii="Arial" w:cs="Arial" w:eastAsia="Arial" w:hAnsi="Arial"/>
                <w:sz w:val="14"/>
                <w:szCs w:val="14"/>
                <w:color w:val="auto"/>
              </w:rPr>
              <w:t>2,034</w:t>
            </w:r>
          </w:p>
        </w:tc>
        <w:tc>
          <w:tcPr>
            <w:tcW w:w="0" w:type="dxa"/>
            <w:vAlign w:val="bottom"/>
          </w:tcPr>
          <w:p>
            <w:pPr>
              <w:spacing w:after="0"/>
              <w:rPr>
                <w:sz w:val="1"/>
                <w:szCs w:val="1"/>
                <w:color w:val="auto"/>
              </w:rPr>
            </w:pPr>
          </w:p>
        </w:tc>
      </w:tr>
      <w:tr>
        <w:trPr>
          <w:trHeight w:val="188"/>
        </w:trPr>
        <w:tc>
          <w:tcPr>
            <w:tcW w:w="7760" w:type="dxa"/>
            <w:vAlign w:val="bottom"/>
          </w:tcPr>
          <w:p>
            <w:pPr>
              <w:ind w:left="220"/>
              <w:spacing w:after="0"/>
              <w:rPr>
                <w:sz w:val="20"/>
                <w:szCs w:val="20"/>
                <w:color w:val="auto"/>
              </w:rPr>
            </w:pPr>
            <w:r>
              <w:rPr>
                <w:rFonts w:ascii="Arial" w:cs="Arial" w:eastAsia="Arial" w:hAnsi="Arial"/>
                <w:sz w:val="14"/>
                <w:szCs w:val="14"/>
                <w:color w:val="auto"/>
              </w:rPr>
              <w:t>Short-term debt and current portion of long-term debt</w:t>
            </w:r>
          </w:p>
        </w:tc>
        <w:tc>
          <w:tcPr>
            <w:tcW w:w="3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84"/>
        </w:trPr>
        <w:tc>
          <w:tcPr>
            <w:tcW w:w="7760" w:type="dxa"/>
            <w:vAlign w:val="bottom"/>
          </w:tcPr>
          <w:p>
            <w:pPr>
              <w:spacing w:after="0"/>
              <w:rPr>
                <w:sz w:val="20"/>
                <w:szCs w:val="20"/>
                <w:color w:val="auto"/>
              </w:rPr>
            </w:pPr>
            <w:r>
              <w:rPr>
                <w:rFonts w:ascii="Arial" w:cs="Arial" w:eastAsia="Arial" w:hAnsi="Arial"/>
                <w:sz w:val="14"/>
                <w:szCs w:val="14"/>
                <w:color w:val="auto"/>
              </w:rPr>
              <w:t>Total current liabilities</w:t>
            </w:r>
          </w:p>
        </w:tc>
        <w:tc>
          <w:tcPr>
            <w:tcW w:w="3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2,190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2,053</w:t>
            </w:r>
          </w:p>
        </w:tc>
        <w:tc>
          <w:tcPr>
            <w:tcW w:w="0" w:type="dxa"/>
            <w:vAlign w:val="bottom"/>
          </w:tcPr>
          <w:p>
            <w:pPr>
              <w:spacing w:after="0"/>
              <w:rPr>
                <w:sz w:val="1"/>
                <w:szCs w:val="1"/>
                <w:color w:val="auto"/>
              </w:rPr>
            </w:pPr>
          </w:p>
        </w:tc>
      </w:tr>
      <w:tr>
        <w:trPr>
          <w:trHeight w:val="338"/>
        </w:trPr>
        <w:tc>
          <w:tcPr>
            <w:tcW w:w="7760" w:type="dxa"/>
            <w:vAlign w:val="bottom"/>
          </w:tcPr>
          <w:p>
            <w:pPr>
              <w:spacing w:after="0"/>
              <w:rPr>
                <w:sz w:val="20"/>
                <w:szCs w:val="20"/>
                <w:color w:val="auto"/>
              </w:rPr>
            </w:pPr>
            <w:r>
              <w:rPr>
                <w:rFonts w:ascii="Arial" w:cs="Arial" w:eastAsia="Arial" w:hAnsi="Arial"/>
                <w:sz w:val="14"/>
                <w:szCs w:val="14"/>
                <w:color w:val="auto"/>
              </w:rPr>
              <w:t>Long-term debt</w:t>
            </w:r>
          </w:p>
        </w:tc>
        <w:tc>
          <w:tcPr>
            <w:tcW w:w="3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4,264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4,191</w:t>
            </w:r>
          </w:p>
        </w:tc>
        <w:tc>
          <w:tcPr>
            <w:tcW w:w="0" w:type="dxa"/>
            <w:vAlign w:val="bottom"/>
          </w:tcPr>
          <w:p>
            <w:pPr>
              <w:spacing w:after="0"/>
              <w:rPr>
                <w:sz w:val="1"/>
                <w:szCs w:val="1"/>
                <w:color w:val="auto"/>
              </w:rPr>
            </w:pPr>
          </w:p>
        </w:tc>
      </w:tr>
      <w:tr>
        <w:trPr>
          <w:trHeight w:val="189"/>
        </w:trPr>
        <w:tc>
          <w:tcPr>
            <w:tcW w:w="7760" w:type="dxa"/>
            <w:vAlign w:val="bottom"/>
          </w:tcPr>
          <w:p>
            <w:pPr>
              <w:spacing w:after="0"/>
              <w:rPr>
                <w:sz w:val="20"/>
                <w:szCs w:val="20"/>
                <w:color w:val="auto"/>
              </w:rPr>
            </w:pPr>
            <w:r>
              <w:rPr>
                <w:rFonts w:ascii="Arial" w:cs="Arial" w:eastAsia="Arial" w:hAnsi="Arial"/>
                <w:sz w:val="14"/>
                <w:szCs w:val="14"/>
                <w:color w:val="auto"/>
              </w:rPr>
              <w:t>Long-term operating lease liabilities</w:t>
            </w:r>
          </w:p>
        </w:tc>
        <w:tc>
          <w:tcPr>
            <w:tcW w:w="3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2,025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2,078</w:t>
            </w:r>
          </w:p>
        </w:tc>
        <w:tc>
          <w:tcPr>
            <w:tcW w:w="0" w:type="dxa"/>
            <w:vAlign w:val="bottom"/>
          </w:tcPr>
          <w:p>
            <w:pPr>
              <w:spacing w:after="0"/>
              <w:rPr>
                <w:sz w:val="1"/>
                <w:szCs w:val="1"/>
                <w:color w:val="auto"/>
              </w:rPr>
            </w:pPr>
          </w:p>
        </w:tc>
      </w:tr>
      <w:tr>
        <w:trPr>
          <w:trHeight w:val="188"/>
        </w:trPr>
        <w:tc>
          <w:tcPr>
            <w:tcW w:w="7760" w:type="dxa"/>
            <w:vAlign w:val="bottom"/>
          </w:tcPr>
          <w:p>
            <w:pPr>
              <w:spacing w:after="0"/>
              <w:rPr>
                <w:sz w:val="20"/>
                <w:szCs w:val="20"/>
                <w:color w:val="auto"/>
              </w:rPr>
            </w:pPr>
            <w:r>
              <w:rPr>
                <w:rFonts w:ascii="Arial" w:cs="Arial" w:eastAsia="Arial" w:hAnsi="Arial"/>
                <w:sz w:val="14"/>
                <w:szCs w:val="14"/>
                <w:color w:val="auto"/>
              </w:rPr>
              <w:t>Other non-current liabilities</w:t>
            </w:r>
          </w:p>
        </w:tc>
        <w:tc>
          <w:tcPr>
            <w:tcW w:w="3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681</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731</w:t>
            </w:r>
          </w:p>
        </w:tc>
        <w:tc>
          <w:tcPr>
            <w:tcW w:w="0" w:type="dxa"/>
            <w:vAlign w:val="bottom"/>
          </w:tcPr>
          <w:p>
            <w:pPr>
              <w:spacing w:after="0"/>
              <w:rPr>
                <w:sz w:val="1"/>
                <w:szCs w:val="1"/>
                <w:color w:val="auto"/>
              </w:rPr>
            </w:pPr>
          </w:p>
        </w:tc>
      </w:tr>
      <w:tr>
        <w:trPr>
          <w:trHeight w:val="183"/>
        </w:trPr>
        <w:tc>
          <w:tcPr>
            <w:tcW w:w="7760" w:type="dxa"/>
            <w:vAlign w:val="bottom"/>
          </w:tcPr>
          <w:p>
            <w:pPr>
              <w:spacing w:after="0"/>
              <w:rPr>
                <w:sz w:val="20"/>
                <w:szCs w:val="20"/>
                <w:color w:val="auto"/>
              </w:rPr>
            </w:pPr>
            <w:r>
              <w:rPr>
                <w:rFonts w:ascii="Arial" w:cs="Arial" w:eastAsia="Arial" w:hAnsi="Arial"/>
                <w:sz w:val="14"/>
                <w:szCs w:val="14"/>
                <w:color w:val="auto"/>
              </w:rPr>
              <w:t>Total liabilities exclusive of liabilities under vehicle programs</w:t>
            </w:r>
          </w:p>
        </w:tc>
        <w:tc>
          <w:tcPr>
            <w:tcW w:w="3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9,160</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9,053</w:t>
            </w:r>
          </w:p>
        </w:tc>
        <w:tc>
          <w:tcPr>
            <w:tcW w:w="0" w:type="dxa"/>
            <w:vAlign w:val="bottom"/>
          </w:tcPr>
          <w:p>
            <w:pPr>
              <w:spacing w:after="0"/>
              <w:rPr>
                <w:sz w:val="1"/>
                <w:szCs w:val="1"/>
                <w:color w:val="auto"/>
              </w:rPr>
            </w:pPr>
          </w:p>
        </w:tc>
      </w:tr>
      <w:tr>
        <w:trPr>
          <w:trHeight w:val="319"/>
        </w:trPr>
        <w:tc>
          <w:tcPr>
            <w:tcW w:w="7760" w:type="dxa"/>
            <w:vAlign w:val="bottom"/>
          </w:tcPr>
          <w:p>
            <w:pPr>
              <w:spacing w:after="0"/>
              <w:rPr>
                <w:sz w:val="20"/>
                <w:szCs w:val="20"/>
                <w:color w:val="auto"/>
              </w:rPr>
            </w:pPr>
            <w:r>
              <w:rPr>
                <w:rFonts w:ascii="Arial" w:cs="Arial" w:eastAsia="Arial" w:hAnsi="Arial"/>
                <w:sz w:val="14"/>
                <w:szCs w:val="14"/>
                <w:color w:val="auto"/>
              </w:rPr>
              <w:t>Liabilities under vehicle programs:</w:t>
            </w: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7760" w:type="dxa"/>
            <w:vAlign w:val="bottom"/>
          </w:tcPr>
          <w:p>
            <w:pPr>
              <w:ind w:left="220"/>
              <w:spacing w:after="0"/>
              <w:rPr>
                <w:sz w:val="20"/>
                <w:szCs w:val="20"/>
                <w:color w:val="auto"/>
              </w:rPr>
            </w:pPr>
            <w:r>
              <w:rPr>
                <w:rFonts w:ascii="Arial" w:cs="Arial" w:eastAsia="Arial" w:hAnsi="Arial"/>
                <w:sz w:val="14"/>
                <w:szCs w:val="14"/>
                <w:color w:val="auto"/>
              </w:rPr>
              <w:t>Debt</w:t>
            </w:r>
          </w:p>
        </w:tc>
        <w:tc>
          <w:tcPr>
            <w:tcW w:w="3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1,652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1,777</w:t>
            </w:r>
          </w:p>
        </w:tc>
        <w:tc>
          <w:tcPr>
            <w:tcW w:w="0" w:type="dxa"/>
            <w:vAlign w:val="bottom"/>
          </w:tcPr>
          <w:p>
            <w:pPr>
              <w:spacing w:after="0"/>
              <w:rPr>
                <w:sz w:val="1"/>
                <w:szCs w:val="1"/>
                <w:color w:val="auto"/>
              </w:rPr>
            </w:pPr>
          </w:p>
        </w:tc>
      </w:tr>
      <w:tr>
        <w:trPr>
          <w:trHeight w:val="189"/>
        </w:trPr>
        <w:tc>
          <w:tcPr>
            <w:tcW w:w="7760" w:type="dxa"/>
            <w:vAlign w:val="bottom"/>
          </w:tcPr>
          <w:p>
            <w:pPr>
              <w:ind w:left="220"/>
              <w:spacing w:after="0"/>
              <w:rPr>
                <w:sz w:val="20"/>
                <w:szCs w:val="20"/>
                <w:color w:val="auto"/>
              </w:rPr>
            </w:pPr>
            <w:r>
              <w:rPr>
                <w:rFonts w:ascii="Arial" w:cs="Arial" w:eastAsia="Arial" w:hAnsi="Arial"/>
                <w:sz w:val="14"/>
                <w:szCs w:val="14"/>
                <w:color w:val="auto"/>
              </w:rPr>
              <w:t>Debt due to Avis Budget Rental Car Funding (AESOP) LLC—related party</w:t>
            </w:r>
          </w:p>
        </w:tc>
        <w:tc>
          <w:tcPr>
            <w:tcW w:w="3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6,149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5,080</w:t>
            </w:r>
          </w:p>
        </w:tc>
        <w:tc>
          <w:tcPr>
            <w:tcW w:w="0" w:type="dxa"/>
            <w:vAlign w:val="bottom"/>
          </w:tcPr>
          <w:p>
            <w:pPr>
              <w:spacing w:after="0"/>
              <w:rPr>
                <w:sz w:val="1"/>
                <w:szCs w:val="1"/>
                <w:color w:val="auto"/>
              </w:rPr>
            </w:pPr>
          </w:p>
        </w:tc>
      </w:tr>
      <w:tr>
        <w:trPr>
          <w:trHeight w:val="189"/>
        </w:trPr>
        <w:tc>
          <w:tcPr>
            <w:tcW w:w="7760" w:type="dxa"/>
            <w:vAlign w:val="bottom"/>
          </w:tcPr>
          <w:p>
            <w:pPr>
              <w:ind w:left="220"/>
              <w:spacing w:after="0"/>
              <w:rPr>
                <w:sz w:val="20"/>
                <w:szCs w:val="20"/>
                <w:color w:val="auto"/>
              </w:rPr>
            </w:pPr>
            <w:r>
              <w:rPr>
                <w:rFonts w:ascii="Arial" w:cs="Arial" w:eastAsia="Arial" w:hAnsi="Arial"/>
                <w:sz w:val="14"/>
                <w:szCs w:val="14"/>
                <w:color w:val="auto"/>
              </w:rPr>
              <w:t>Deferred income taxes</w:t>
            </w:r>
          </w:p>
        </w:tc>
        <w:tc>
          <w:tcPr>
            <w:tcW w:w="3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1,470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1,383</w:t>
            </w:r>
          </w:p>
        </w:tc>
        <w:tc>
          <w:tcPr>
            <w:tcW w:w="0" w:type="dxa"/>
            <w:vAlign w:val="bottom"/>
          </w:tcPr>
          <w:p>
            <w:pPr>
              <w:spacing w:after="0"/>
              <w:rPr>
                <w:sz w:val="1"/>
                <w:szCs w:val="1"/>
                <w:color w:val="auto"/>
              </w:rPr>
            </w:pPr>
          </w:p>
        </w:tc>
      </w:tr>
      <w:tr>
        <w:trPr>
          <w:trHeight w:val="188"/>
        </w:trPr>
        <w:tc>
          <w:tcPr>
            <w:tcW w:w="7760" w:type="dxa"/>
            <w:vAlign w:val="bottom"/>
          </w:tcPr>
          <w:p>
            <w:pPr>
              <w:ind w:left="220"/>
              <w:spacing w:after="0"/>
              <w:rPr>
                <w:sz w:val="20"/>
                <w:szCs w:val="20"/>
                <w:color w:val="auto"/>
              </w:rPr>
            </w:pPr>
            <w:r>
              <w:rPr>
                <w:rFonts w:ascii="Arial" w:cs="Arial" w:eastAsia="Arial" w:hAnsi="Arial"/>
                <w:sz w:val="14"/>
                <w:szCs w:val="14"/>
                <w:color w:val="auto"/>
              </w:rPr>
              <w:t>Other</w:t>
            </w:r>
          </w:p>
        </w:tc>
        <w:tc>
          <w:tcPr>
            <w:tcW w:w="3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494</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83"/>
        </w:trPr>
        <w:tc>
          <w:tcPr>
            <w:tcW w:w="77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9,765</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8,640</w:t>
            </w:r>
          </w:p>
        </w:tc>
        <w:tc>
          <w:tcPr>
            <w:tcW w:w="0" w:type="dxa"/>
            <w:vAlign w:val="bottom"/>
          </w:tcPr>
          <w:p>
            <w:pPr>
              <w:spacing w:after="0"/>
              <w:rPr>
                <w:sz w:val="1"/>
                <w:szCs w:val="1"/>
                <w:color w:val="auto"/>
              </w:rPr>
            </w:pPr>
          </w:p>
        </w:tc>
      </w:tr>
      <w:tr>
        <w:trPr>
          <w:trHeight w:val="170"/>
        </w:trPr>
        <w:tc>
          <w:tcPr>
            <w:tcW w:w="7760" w:type="dxa"/>
            <w:vAlign w:val="bottom"/>
          </w:tcPr>
          <w:p>
            <w:pPr>
              <w:spacing w:after="0"/>
              <w:rPr>
                <w:sz w:val="20"/>
                <w:szCs w:val="20"/>
                <w:color w:val="auto"/>
              </w:rPr>
            </w:pPr>
            <w:r>
              <w:rPr>
                <w:rFonts w:ascii="Arial" w:cs="Arial" w:eastAsia="Arial" w:hAnsi="Arial"/>
                <w:sz w:val="14"/>
                <w:szCs w:val="14"/>
                <w:color w:val="auto"/>
              </w:rPr>
              <w:t>Commitments and contingencies (Note 12)</w:t>
            </w:r>
          </w:p>
        </w:tc>
        <w:tc>
          <w:tcPr>
            <w:tcW w:w="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8"/>
        </w:trPr>
        <w:tc>
          <w:tcPr>
            <w:tcW w:w="7760" w:type="dxa"/>
            <w:vAlign w:val="bottom"/>
          </w:tcPr>
          <w:p>
            <w:pPr>
              <w:spacing w:after="0"/>
              <w:rPr>
                <w:sz w:val="20"/>
                <w:szCs w:val="20"/>
                <w:color w:val="auto"/>
              </w:rPr>
            </w:pPr>
            <w:r>
              <w:rPr>
                <w:rFonts w:ascii="Arial" w:cs="Arial" w:eastAsia="Arial" w:hAnsi="Arial"/>
                <w:sz w:val="14"/>
                <w:szCs w:val="14"/>
                <w:color w:val="auto"/>
              </w:rPr>
              <w:t>Stockholders’ equity:</w:t>
            </w: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7760" w:type="dxa"/>
            <w:vAlign w:val="bottom"/>
          </w:tcPr>
          <w:p>
            <w:pPr>
              <w:ind w:left="220"/>
              <w:spacing w:after="0"/>
              <w:rPr>
                <w:sz w:val="20"/>
                <w:szCs w:val="20"/>
                <w:color w:val="auto"/>
              </w:rPr>
            </w:pPr>
            <w:r>
              <w:rPr>
                <w:rFonts w:ascii="Arial" w:cs="Arial" w:eastAsia="Arial" w:hAnsi="Arial"/>
                <w:sz w:val="14"/>
                <w:szCs w:val="14"/>
                <w:color w:val="auto"/>
              </w:rPr>
              <w:t>Preferred stock, $0.01 par value—authorized 10 shares; none issued and outstanding, respectively</w:t>
            </w:r>
          </w:p>
        </w:tc>
        <w:tc>
          <w:tcPr>
            <w:tcW w:w="300" w:type="dxa"/>
            <w:vAlign w:val="bottom"/>
          </w:tcPr>
          <w:p>
            <w:pPr>
              <w:spacing w:after="0"/>
              <w:rPr>
                <w:sz w:val="16"/>
                <w:szCs w:val="16"/>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7760" w:type="dxa"/>
            <w:vAlign w:val="bottom"/>
          </w:tcPr>
          <w:p>
            <w:pPr>
              <w:ind w:left="220"/>
              <w:spacing w:after="0"/>
              <w:rPr>
                <w:sz w:val="20"/>
                <w:szCs w:val="20"/>
                <w:color w:val="auto"/>
              </w:rPr>
            </w:pPr>
            <w:r>
              <w:rPr>
                <w:rFonts w:ascii="Arial" w:cs="Arial" w:eastAsia="Arial" w:hAnsi="Arial"/>
                <w:sz w:val="14"/>
                <w:szCs w:val="14"/>
                <w:color w:val="auto"/>
              </w:rPr>
              <w:t>Common stock, $0.01 par value—authorized 250 shares; issued 137 shares, respectively</w:t>
            </w:r>
          </w:p>
        </w:tc>
        <w:tc>
          <w:tcPr>
            <w:tcW w:w="3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9"/>
        </w:trPr>
        <w:tc>
          <w:tcPr>
            <w:tcW w:w="7760" w:type="dxa"/>
            <w:vAlign w:val="bottom"/>
          </w:tcPr>
          <w:p>
            <w:pPr>
              <w:ind w:left="220"/>
              <w:spacing w:after="0"/>
              <w:rPr>
                <w:sz w:val="20"/>
                <w:szCs w:val="20"/>
                <w:color w:val="auto"/>
              </w:rPr>
            </w:pPr>
            <w:r>
              <w:rPr>
                <w:rFonts w:ascii="Arial" w:cs="Arial" w:eastAsia="Arial" w:hAnsi="Arial"/>
                <w:sz w:val="14"/>
                <w:szCs w:val="14"/>
                <w:color w:val="auto"/>
              </w:rPr>
              <w:t>Additional paid-in capital</w:t>
            </w:r>
          </w:p>
        </w:tc>
        <w:tc>
          <w:tcPr>
            <w:tcW w:w="3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6,642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6,668</w:t>
            </w:r>
          </w:p>
        </w:tc>
        <w:tc>
          <w:tcPr>
            <w:tcW w:w="0" w:type="dxa"/>
            <w:vAlign w:val="bottom"/>
          </w:tcPr>
          <w:p>
            <w:pPr>
              <w:spacing w:after="0"/>
              <w:rPr>
                <w:sz w:val="1"/>
                <w:szCs w:val="1"/>
                <w:color w:val="auto"/>
              </w:rPr>
            </w:pPr>
          </w:p>
        </w:tc>
      </w:tr>
      <w:tr>
        <w:trPr>
          <w:trHeight w:val="189"/>
        </w:trPr>
        <w:tc>
          <w:tcPr>
            <w:tcW w:w="7760" w:type="dxa"/>
            <w:vAlign w:val="bottom"/>
          </w:tcPr>
          <w:p>
            <w:pPr>
              <w:ind w:left="220"/>
              <w:spacing w:after="0"/>
              <w:rPr>
                <w:sz w:val="20"/>
                <w:szCs w:val="20"/>
                <w:color w:val="auto"/>
              </w:rPr>
            </w:pPr>
            <w:r>
              <w:rPr>
                <w:rFonts w:ascii="Arial" w:cs="Arial" w:eastAsia="Arial" w:hAnsi="Arial"/>
                <w:sz w:val="14"/>
                <w:szCs w:val="14"/>
                <w:color w:val="auto"/>
              </w:rPr>
              <w:t>Accumulated deficit</w:t>
            </w:r>
          </w:p>
        </w:tc>
        <w:tc>
          <w:tcPr>
            <w:tcW w:w="3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(1,640)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(1,470)</w:t>
            </w:r>
          </w:p>
        </w:tc>
        <w:tc>
          <w:tcPr>
            <w:tcW w:w="0" w:type="dxa"/>
            <w:vAlign w:val="bottom"/>
          </w:tcPr>
          <w:p>
            <w:pPr>
              <w:spacing w:after="0"/>
              <w:rPr>
                <w:sz w:val="1"/>
                <w:szCs w:val="1"/>
                <w:color w:val="auto"/>
              </w:rPr>
            </w:pPr>
          </w:p>
        </w:tc>
      </w:tr>
      <w:tr>
        <w:trPr>
          <w:trHeight w:val="189"/>
        </w:trPr>
        <w:tc>
          <w:tcPr>
            <w:tcW w:w="7760" w:type="dxa"/>
            <w:vAlign w:val="bottom"/>
          </w:tcPr>
          <w:p>
            <w:pPr>
              <w:ind w:left="220"/>
              <w:spacing w:after="0"/>
              <w:rPr>
                <w:sz w:val="20"/>
                <w:szCs w:val="20"/>
                <w:color w:val="auto"/>
              </w:rPr>
            </w:pPr>
            <w:r>
              <w:rPr>
                <w:rFonts w:ascii="Arial" w:cs="Arial" w:eastAsia="Arial" w:hAnsi="Arial"/>
                <w:sz w:val="14"/>
                <w:szCs w:val="14"/>
                <w:color w:val="auto"/>
              </w:rPr>
              <w:t>Accumulated other comprehensive loss</w:t>
            </w:r>
          </w:p>
        </w:tc>
        <w:tc>
          <w:tcPr>
            <w:tcW w:w="3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(163)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(187)</w:t>
            </w:r>
          </w:p>
        </w:tc>
        <w:tc>
          <w:tcPr>
            <w:tcW w:w="0" w:type="dxa"/>
            <w:vAlign w:val="bottom"/>
          </w:tcPr>
          <w:p>
            <w:pPr>
              <w:spacing w:after="0"/>
              <w:rPr>
                <w:sz w:val="1"/>
                <w:szCs w:val="1"/>
                <w:color w:val="auto"/>
              </w:rPr>
            </w:pPr>
          </w:p>
        </w:tc>
      </w:tr>
      <w:tr>
        <w:trPr>
          <w:trHeight w:val="188"/>
        </w:trPr>
        <w:tc>
          <w:tcPr>
            <w:tcW w:w="7760" w:type="dxa"/>
            <w:vAlign w:val="bottom"/>
          </w:tcPr>
          <w:p>
            <w:pPr>
              <w:ind w:left="220"/>
              <w:spacing w:after="0"/>
              <w:rPr>
                <w:sz w:val="20"/>
                <w:szCs w:val="20"/>
                <w:color w:val="auto"/>
              </w:rPr>
            </w:pPr>
            <w:r>
              <w:rPr>
                <w:rFonts w:ascii="Arial" w:cs="Arial" w:eastAsia="Arial" w:hAnsi="Arial"/>
                <w:sz w:val="14"/>
                <w:szCs w:val="14"/>
                <w:color w:val="auto"/>
              </w:rPr>
              <w:t>Treasury stock, at cost— 67 shares, respectively</w:t>
            </w:r>
          </w:p>
        </w:tc>
        <w:tc>
          <w:tcPr>
            <w:tcW w:w="3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(5,156)</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(5,167)</w:t>
            </w:r>
          </w:p>
        </w:tc>
        <w:tc>
          <w:tcPr>
            <w:tcW w:w="0" w:type="dxa"/>
            <w:vAlign w:val="bottom"/>
          </w:tcPr>
          <w:p>
            <w:pPr>
              <w:spacing w:after="0"/>
              <w:rPr>
                <w:sz w:val="1"/>
                <w:szCs w:val="1"/>
                <w:color w:val="auto"/>
              </w:rPr>
            </w:pPr>
          </w:p>
        </w:tc>
      </w:tr>
      <w:tr>
        <w:trPr>
          <w:trHeight w:val="183"/>
        </w:trPr>
        <w:tc>
          <w:tcPr>
            <w:tcW w:w="7760" w:type="dxa"/>
            <w:vAlign w:val="bottom"/>
          </w:tcPr>
          <w:p>
            <w:pPr>
              <w:spacing w:after="0"/>
              <w:rPr>
                <w:sz w:val="20"/>
                <w:szCs w:val="20"/>
                <w:color w:val="auto"/>
              </w:rPr>
            </w:pPr>
            <w:r>
              <w:rPr>
                <w:rFonts w:ascii="Arial" w:cs="Arial" w:eastAsia="Arial" w:hAnsi="Arial"/>
                <w:sz w:val="14"/>
                <w:szCs w:val="14"/>
                <w:color w:val="auto"/>
              </w:rPr>
              <w:t>Total stockholders’ equity</w:t>
            </w:r>
          </w:p>
        </w:tc>
        <w:tc>
          <w:tcPr>
            <w:tcW w:w="3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(316)</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w:t>
            </w:r>
          </w:p>
        </w:tc>
        <w:tc>
          <w:tcPr>
            <w:tcW w:w="0" w:type="dxa"/>
            <w:vAlign w:val="bottom"/>
          </w:tcPr>
          <w:p>
            <w:pPr>
              <w:spacing w:after="0"/>
              <w:rPr>
                <w:sz w:val="1"/>
                <w:szCs w:val="1"/>
                <w:color w:val="auto"/>
              </w:rPr>
            </w:pPr>
          </w:p>
        </w:tc>
      </w:tr>
      <w:tr>
        <w:trPr>
          <w:trHeight w:val="183"/>
        </w:trPr>
        <w:tc>
          <w:tcPr>
            <w:tcW w:w="7760" w:type="dxa"/>
            <w:vAlign w:val="bottom"/>
          </w:tcPr>
          <w:p>
            <w:pPr>
              <w:spacing w:after="0"/>
              <w:rPr>
                <w:sz w:val="20"/>
                <w:szCs w:val="20"/>
                <w:color w:val="auto"/>
              </w:rPr>
            </w:pPr>
            <w:r>
              <w:rPr>
                <w:rFonts w:ascii="Arial" w:cs="Arial" w:eastAsia="Arial" w:hAnsi="Arial"/>
                <w:sz w:val="14"/>
                <w:szCs w:val="14"/>
                <w:b w:val="1"/>
                <w:bCs w:val="1"/>
                <w:color w:val="auto"/>
              </w:rPr>
              <w:t>Total liabilities and stockholders’ equity</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18,609</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17,538</w:t>
            </w: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Condensed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822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8"/>
        </w:trPr>
        <w:tc>
          <w:tcPr>
            <w:tcW w:w="1400" w:type="dxa"/>
            <w:vAlign w:val="bottom"/>
            <w:tcBorders>
              <w:top w:val="single" w:sz="8" w:color="0000FF"/>
            </w:tcBorders>
          </w:tcPr>
          <w:p>
            <w:pPr>
              <w:spacing w:after="0"/>
              <w:rPr>
                <w:sz w:val="24"/>
                <w:szCs w:val="24"/>
                <w:color w:val="auto"/>
              </w:rPr>
            </w:pPr>
          </w:p>
        </w:tc>
        <w:tc>
          <w:tcPr>
            <w:tcW w:w="6820" w:type="dxa"/>
            <w:vAlign w:val="bottom"/>
          </w:tcPr>
          <w:p>
            <w:pPr>
              <w:ind w:left="3520"/>
              <w:spacing w:after="0"/>
              <w:rPr>
                <w:sz w:val="20"/>
                <w:szCs w:val="20"/>
                <w:color w:val="auto"/>
              </w:rPr>
            </w:pPr>
            <w:r>
              <w:rPr>
                <w:rFonts w:ascii="Arial" w:cs="Arial" w:eastAsia="Arial" w:hAnsi="Arial"/>
                <w:sz w:val="18"/>
                <w:szCs w:val="18"/>
                <w:b w:val="1"/>
                <w:bCs w:val="1"/>
                <w:color w:val="auto"/>
              </w:rPr>
              <w:t>Avis Budget Group, Inc.</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7140" w:type="dxa"/>
            <w:vAlign w:val="bottom"/>
            <w:gridSpan w:val="2"/>
          </w:tcPr>
          <w:p>
            <w:pPr>
              <w:jc w:val="center"/>
              <w:ind w:left="1230"/>
              <w:spacing w:after="0"/>
              <w:rPr>
                <w:sz w:val="20"/>
                <w:szCs w:val="20"/>
                <w:color w:val="auto"/>
              </w:rPr>
            </w:pPr>
            <w:r>
              <w:rPr>
                <w:rFonts w:ascii="Arial" w:cs="Arial" w:eastAsia="Arial" w:hAnsi="Arial"/>
                <w:sz w:val="18"/>
                <w:szCs w:val="18"/>
                <w:b w:val="1"/>
                <w:bCs w:val="1"/>
                <w:color w:val="auto"/>
                <w:w w:val="99"/>
              </w:rPr>
              <w:t>CONSOLIDATED CONDENSED STATEMENTS OF CASH FLOWS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6820" w:type="dxa"/>
            <w:vAlign w:val="bottom"/>
          </w:tcPr>
          <w:p>
            <w:pPr>
              <w:jc w:val="center"/>
              <w:ind w:left="1530"/>
              <w:spacing w:after="0"/>
              <w:rPr>
                <w:sz w:val="20"/>
                <w:szCs w:val="20"/>
                <w:color w:val="auto"/>
              </w:rPr>
            </w:pPr>
            <w:r>
              <w:rPr>
                <w:rFonts w:ascii="Arial" w:cs="Arial" w:eastAsia="Arial" w:hAnsi="Arial"/>
                <w:sz w:val="18"/>
                <w:szCs w:val="18"/>
                <w:b w:val="1"/>
                <w:bCs w:val="1"/>
                <w:color w:val="auto"/>
                <w:w w:val="98"/>
              </w:rPr>
              <w:t>(In millions)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1400" w:type="dxa"/>
            <w:vAlign w:val="bottom"/>
          </w:tcPr>
          <w:p>
            <w:pPr>
              <w:spacing w:after="0"/>
              <w:rPr>
                <w:sz w:val="20"/>
                <w:szCs w:val="20"/>
                <w:color w:val="auto"/>
              </w:rPr>
            </w:pPr>
          </w:p>
        </w:tc>
        <w:tc>
          <w:tcPr>
            <w:tcW w:w="6820" w:type="dxa"/>
            <w:vAlign w:val="bottom"/>
          </w:tcPr>
          <w:p>
            <w:pPr>
              <w:jc w:val="center"/>
              <w:ind w:left="1490"/>
              <w:spacing w:after="0"/>
              <w:rPr>
                <w:sz w:val="20"/>
                <w:szCs w:val="20"/>
                <w:color w:val="auto"/>
              </w:rPr>
            </w:pPr>
            <w:r>
              <w:rPr>
                <w:rFonts w:ascii="Arial" w:cs="Arial" w:eastAsia="Arial" w:hAnsi="Arial"/>
                <w:sz w:val="18"/>
                <w:szCs w:val="18"/>
                <w:b w:val="1"/>
                <w:bCs w:val="1"/>
                <w:color w:val="auto"/>
                <w:w w:val="99"/>
              </w:rPr>
              <w:t>(Unaudited)</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1400" w:type="dxa"/>
            <w:vAlign w:val="bottom"/>
          </w:tcPr>
          <w:p>
            <w:pPr>
              <w:spacing w:after="0"/>
              <w:rPr>
                <w:sz w:val="17"/>
                <w:szCs w:val="17"/>
                <w:color w:val="auto"/>
              </w:rPr>
            </w:pPr>
          </w:p>
        </w:tc>
        <w:tc>
          <w:tcPr>
            <w:tcW w:w="6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80" w:type="dxa"/>
            <w:vAlign w:val="bottom"/>
            <w:gridSpan w:val="4"/>
          </w:tcPr>
          <w:p>
            <w:pPr>
              <w:jc w:val="center"/>
              <w:ind w:right="290"/>
              <w:spacing w:after="0" w:line="202" w:lineRule="exact"/>
              <w:rPr>
                <w:sz w:val="20"/>
                <w:szCs w:val="20"/>
                <w:color w:val="auto"/>
              </w:rPr>
            </w:pPr>
            <w:r>
              <w:rPr>
                <w:rFonts w:ascii="Arial" w:cs="Arial" w:eastAsia="Arial" w:hAnsi="Arial"/>
                <w:sz w:val="18"/>
                <w:szCs w:val="18"/>
                <w:b w:val="1"/>
                <w:bCs w:val="1"/>
                <w:color w:val="auto"/>
                <w:w w:val="99"/>
              </w:rPr>
              <w:t>Three Months Ended</w:t>
            </w:r>
          </w:p>
        </w:tc>
        <w:tc>
          <w:tcPr>
            <w:tcW w:w="0" w:type="dxa"/>
            <w:vAlign w:val="bottom"/>
          </w:tcPr>
          <w:p>
            <w:pPr>
              <w:spacing w:after="0"/>
              <w:rPr>
                <w:sz w:val="1"/>
                <w:szCs w:val="1"/>
                <w:color w:val="auto"/>
              </w:rPr>
            </w:pPr>
          </w:p>
        </w:tc>
      </w:tr>
      <w:tr>
        <w:trPr>
          <w:trHeight w:val="230"/>
        </w:trPr>
        <w:tc>
          <w:tcPr>
            <w:tcW w:w="1400" w:type="dxa"/>
            <w:vAlign w:val="bottom"/>
          </w:tcPr>
          <w:p>
            <w:pPr>
              <w:spacing w:after="0"/>
              <w:rPr>
                <w:sz w:val="19"/>
                <w:szCs w:val="19"/>
                <w:color w:val="auto"/>
              </w:rPr>
            </w:pPr>
          </w:p>
        </w:tc>
        <w:tc>
          <w:tcPr>
            <w:tcW w:w="68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3"/>
          </w:tcPr>
          <w:p>
            <w:pPr>
              <w:jc w:val="center"/>
              <w:ind w:left="570"/>
              <w:spacing w:after="0"/>
              <w:rPr>
                <w:sz w:val="20"/>
                <w:szCs w:val="20"/>
                <w:color w:val="auto"/>
              </w:rPr>
            </w:pPr>
            <w:r>
              <w:rPr>
                <w:rFonts w:ascii="Arial" w:cs="Arial" w:eastAsia="Arial" w:hAnsi="Arial"/>
                <w:sz w:val="18"/>
                <w:szCs w:val="18"/>
                <w:b w:val="1"/>
                <w:bCs w:val="1"/>
                <w:color w:val="auto"/>
                <w:w w:val="98"/>
              </w:rPr>
              <w:t>March 31,</w:t>
            </w:r>
          </w:p>
        </w:tc>
        <w:tc>
          <w:tcPr>
            <w:tcW w:w="10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2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10"/>
        </w:trPr>
        <w:tc>
          <w:tcPr>
            <w:tcW w:w="822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29"/>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20" w:type="dxa"/>
            <w:vAlign w:val="bottom"/>
            <w:gridSpan w:val="2"/>
          </w:tcPr>
          <w:p>
            <w:pPr>
              <w:ind w:left="180"/>
              <w:spacing w:after="0"/>
              <w:rPr>
                <w:sz w:val="20"/>
                <w:szCs w:val="20"/>
                <w:color w:val="auto"/>
              </w:rPr>
            </w:pPr>
            <w:r>
              <w:rPr>
                <w:rFonts w:ascii="Arial" w:cs="Arial" w:eastAsia="Arial" w:hAnsi="Arial"/>
                <w:sz w:val="18"/>
                <w:szCs w:val="18"/>
                <w:color w:val="auto"/>
              </w:rPr>
              <w:t>Vehicle depreciation</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29"/>
        </w:trPr>
        <w:tc>
          <w:tcPr>
            <w:tcW w:w="8220" w:type="dxa"/>
            <w:vAlign w:val="bottom"/>
            <w:gridSpan w:val="2"/>
          </w:tcPr>
          <w:p>
            <w:pPr>
              <w:ind w:left="180"/>
              <w:spacing w:after="0"/>
              <w:rPr>
                <w:sz w:val="20"/>
                <w:szCs w:val="20"/>
                <w:color w:val="auto"/>
              </w:rPr>
            </w:pPr>
            <w:r>
              <w:rPr>
                <w:rFonts w:ascii="Arial" w:cs="Arial" w:eastAsia="Arial" w:hAnsi="Arial"/>
                <w:sz w:val="18"/>
                <w:szCs w:val="18"/>
                <w:color w:val="auto"/>
              </w:rPr>
              <w:t>Amortization of right-of-use assets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30"/>
        </w:trPr>
        <w:tc>
          <w:tcPr>
            <w:tcW w:w="8220" w:type="dxa"/>
            <w:vAlign w:val="bottom"/>
            <w:gridSpan w:val="2"/>
          </w:tcPr>
          <w:p>
            <w:pPr>
              <w:ind w:left="180"/>
              <w:spacing w:after="0"/>
              <w:rPr>
                <w:sz w:val="20"/>
                <w:szCs w:val="20"/>
                <w:color w:val="auto"/>
              </w:rPr>
            </w:pPr>
            <w:r>
              <w:rPr>
                <w:rFonts w:ascii="Arial" w:cs="Arial" w:eastAsia="Arial" w:hAnsi="Arial"/>
                <w:sz w:val="18"/>
                <w:szCs w:val="18"/>
                <w:color w:val="auto"/>
              </w:rPr>
              <w:t>(Gain) loss on sale of vehicles, net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9"/>
        </w:trPr>
        <w:tc>
          <w:tcPr>
            <w:tcW w:w="8220" w:type="dxa"/>
            <w:vAlign w:val="bottom"/>
            <w:gridSpan w:val="2"/>
          </w:tcPr>
          <w:p>
            <w:pPr>
              <w:ind w:left="180"/>
              <w:spacing w:after="0"/>
              <w:rPr>
                <w:sz w:val="20"/>
                <w:szCs w:val="20"/>
                <w:color w:val="auto"/>
              </w:rPr>
            </w:pPr>
            <w:r>
              <w:rPr>
                <w:rFonts w:ascii="Arial" w:cs="Arial" w:eastAsia="Arial" w:hAnsi="Arial"/>
                <w:sz w:val="18"/>
                <w:szCs w:val="18"/>
                <w:color w:val="auto"/>
              </w:rPr>
              <w:t>Non-vehicle related depreciation and amortization</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9"/>
        </w:trPr>
        <w:tc>
          <w:tcPr>
            <w:tcW w:w="8220" w:type="dxa"/>
            <w:vAlign w:val="bottom"/>
            <w:gridSpan w:val="2"/>
          </w:tcPr>
          <w:p>
            <w:pPr>
              <w:ind w:left="180"/>
              <w:spacing w:after="0"/>
              <w:rPr>
                <w:sz w:val="20"/>
                <w:szCs w:val="20"/>
                <w:color w:val="auto"/>
              </w:rPr>
            </w:pPr>
            <w:r>
              <w:rPr>
                <w:rFonts w:ascii="Arial" w:cs="Arial" w:eastAsia="Arial" w:hAnsi="Arial"/>
                <w:sz w:val="18"/>
                <w:szCs w:val="18"/>
                <w:color w:val="auto"/>
              </w:rPr>
              <w:t>Stock-based compensation</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8220" w:type="dxa"/>
            <w:vAlign w:val="bottom"/>
            <w:gridSpan w:val="2"/>
          </w:tcPr>
          <w:p>
            <w:pPr>
              <w:ind w:left="180"/>
              <w:spacing w:after="0"/>
              <w:rPr>
                <w:sz w:val="20"/>
                <w:szCs w:val="20"/>
                <w:color w:val="auto"/>
              </w:rPr>
            </w:pPr>
            <w:r>
              <w:rPr>
                <w:rFonts w:ascii="Arial" w:cs="Arial" w:eastAsia="Arial" w:hAnsi="Arial"/>
                <w:sz w:val="18"/>
                <w:szCs w:val="18"/>
                <w:color w:val="auto"/>
              </w:rPr>
              <w:t>Amortization of debt financing fees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9"/>
        </w:trPr>
        <w:tc>
          <w:tcPr>
            <w:tcW w:w="8220" w:type="dxa"/>
            <w:vAlign w:val="bottom"/>
            <w:gridSpan w:val="2"/>
          </w:tcPr>
          <w:p>
            <w:pPr>
              <w:ind w:left="180"/>
              <w:spacing w:after="0"/>
              <w:rPr>
                <w:sz w:val="20"/>
                <w:szCs w:val="20"/>
                <w:color w:val="auto"/>
              </w:rPr>
            </w:pPr>
            <w:r>
              <w:rPr>
                <w:rFonts w:ascii="Arial" w:cs="Arial" w:eastAsia="Arial" w:hAnsi="Arial"/>
                <w:sz w:val="18"/>
                <w:szCs w:val="18"/>
                <w:color w:val="auto"/>
              </w:rPr>
              <w:t>Early extinguishment of debt costs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8220" w:type="dxa"/>
            <w:vAlign w:val="bottom"/>
            <w:gridSpan w:val="2"/>
          </w:tcPr>
          <w:p>
            <w:pPr>
              <w:ind w:left="180"/>
              <w:spacing w:after="0"/>
              <w:rPr>
                <w:sz w:val="20"/>
                <w:szCs w:val="20"/>
                <w:color w:val="auto"/>
              </w:rPr>
            </w:pPr>
            <w:r>
              <w:rPr>
                <w:rFonts w:ascii="Arial" w:cs="Arial" w:eastAsia="Arial" w:hAnsi="Arial"/>
                <w:sz w:val="18"/>
                <w:szCs w:val="18"/>
                <w:color w:val="auto"/>
              </w:rPr>
              <w:t>Net change in assets and liabilities: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20" w:type="dxa"/>
            <w:vAlign w:val="bottom"/>
            <w:gridSpan w:val="2"/>
          </w:tcPr>
          <w:p>
            <w:pPr>
              <w:ind w:left="340"/>
              <w:spacing w:after="0"/>
              <w:rPr>
                <w:sz w:val="20"/>
                <w:szCs w:val="20"/>
                <w:color w:val="auto"/>
              </w:rPr>
            </w:pPr>
            <w:r>
              <w:rPr>
                <w:rFonts w:ascii="Arial" w:cs="Arial" w:eastAsia="Arial" w:hAnsi="Arial"/>
                <w:sz w:val="18"/>
                <w:szCs w:val="18"/>
                <w:color w:val="auto"/>
              </w:rPr>
              <w:t>Receivables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29"/>
        </w:trPr>
        <w:tc>
          <w:tcPr>
            <w:tcW w:w="8220" w:type="dxa"/>
            <w:vAlign w:val="bottom"/>
            <w:gridSpan w:val="2"/>
          </w:tcPr>
          <w:p>
            <w:pPr>
              <w:ind w:left="340"/>
              <w:spacing w:after="0"/>
              <w:rPr>
                <w:sz w:val="20"/>
                <w:szCs w:val="20"/>
                <w:color w:val="auto"/>
              </w:rPr>
            </w:pPr>
            <w:r>
              <w:rPr>
                <w:rFonts w:ascii="Arial" w:cs="Arial" w:eastAsia="Arial" w:hAnsi="Arial"/>
                <w:sz w:val="18"/>
                <w:szCs w:val="18"/>
                <w:color w:val="auto"/>
              </w:rPr>
              <w:t>Income taxes and deferred income taxes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30"/>
        </w:trPr>
        <w:tc>
          <w:tcPr>
            <w:tcW w:w="8220" w:type="dxa"/>
            <w:vAlign w:val="bottom"/>
            <w:gridSpan w:val="2"/>
          </w:tcPr>
          <w:p>
            <w:pPr>
              <w:ind w:left="340"/>
              <w:spacing w:after="0"/>
              <w:rPr>
                <w:sz w:val="20"/>
                <w:szCs w:val="20"/>
                <w:color w:val="auto"/>
              </w:rPr>
            </w:pPr>
            <w:r>
              <w:rPr>
                <w:rFonts w:ascii="Arial" w:cs="Arial" w:eastAsia="Arial" w:hAnsi="Arial"/>
                <w:sz w:val="18"/>
                <w:szCs w:val="18"/>
                <w:color w:val="auto"/>
              </w:rPr>
              <w:t>Accounts payable and other current liabilities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29"/>
        </w:trPr>
        <w:tc>
          <w:tcPr>
            <w:tcW w:w="8220" w:type="dxa"/>
            <w:vAlign w:val="bottom"/>
            <w:gridSpan w:val="2"/>
          </w:tcPr>
          <w:p>
            <w:pPr>
              <w:ind w:left="180"/>
              <w:spacing w:after="0"/>
              <w:rPr>
                <w:sz w:val="20"/>
                <w:szCs w:val="20"/>
                <w:color w:val="auto"/>
              </w:rPr>
            </w:pPr>
            <w:r>
              <w:rPr>
                <w:rFonts w:ascii="Arial" w:cs="Arial" w:eastAsia="Arial" w:hAnsi="Arial"/>
                <w:sz w:val="18"/>
                <w:szCs w:val="18"/>
                <w:color w:val="auto"/>
              </w:rPr>
              <w:t>Operating lease liabilities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29"/>
        </w:trPr>
        <w:tc>
          <w:tcPr>
            <w:tcW w:w="8220" w:type="dxa"/>
            <w:vAlign w:val="bottom"/>
            <w:gridSpan w:val="2"/>
          </w:tcPr>
          <w:p>
            <w:pPr>
              <w:ind w:left="180"/>
              <w:spacing w:after="0"/>
              <w:rPr>
                <w:sz w:val="20"/>
                <w:szCs w:val="20"/>
                <w:color w:val="auto"/>
              </w:rPr>
            </w:pPr>
            <w:r>
              <w:rPr>
                <w:rFonts w:ascii="Arial" w:cs="Arial" w:eastAsia="Arial" w:hAnsi="Arial"/>
                <w:sz w:val="18"/>
                <w:szCs w:val="18"/>
                <w:color w:val="auto"/>
              </w:rPr>
              <w:t>Other, net</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23"/>
        </w:trPr>
        <w:tc>
          <w:tcPr>
            <w:tcW w:w="822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cash provided by operating activities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w:t>
            </w:r>
          </w:p>
        </w:tc>
        <w:tc>
          <w:tcPr>
            <w:tcW w:w="1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466"/>
        </w:trPr>
        <w:tc>
          <w:tcPr>
            <w:tcW w:w="8220" w:type="dxa"/>
            <w:vAlign w:val="bottom"/>
            <w:gridSpan w:val="2"/>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Property and equipment additions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30"/>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Proceeds received on asset sales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Net assets acquired (net of cash acquired)</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3"/>
        </w:trPr>
        <w:tc>
          <w:tcPr>
            <w:tcW w:w="822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cash used in investing activities exclusive of vehicle programs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466"/>
        </w:trPr>
        <w:tc>
          <w:tcPr>
            <w:tcW w:w="8220" w:type="dxa"/>
            <w:vAlign w:val="bottom"/>
            <w:gridSpan w:val="2"/>
          </w:tcPr>
          <w:p>
            <w:pPr>
              <w:ind w:left="20"/>
              <w:spacing w:after="0"/>
              <w:rPr>
                <w:sz w:val="20"/>
                <w:szCs w:val="20"/>
                <w:color w:val="auto"/>
              </w:rPr>
            </w:pPr>
            <w:r>
              <w:rPr>
                <w:rFonts w:ascii="Arial" w:cs="Arial" w:eastAsia="Arial" w:hAnsi="Arial"/>
                <w:sz w:val="18"/>
                <w:szCs w:val="18"/>
                <w:i w:val="1"/>
                <w:iCs w:val="1"/>
                <w:color w:val="auto"/>
              </w:rPr>
              <w:t>Vehicle programs:</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220" w:type="dxa"/>
            <w:vAlign w:val="bottom"/>
            <w:gridSpan w:val="2"/>
          </w:tcPr>
          <w:p>
            <w:pPr>
              <w:ind w:left="180"/>
              <w:spacing w:after="0"/>
              <w:rPr>
                <w:sz w:val="20"/>
                <w:szCs w:val="20"/>
                <w:color w:val="auto"/>
              </w:rPr>
            </w:pPr>
            <w:r>
              <w:rPr>
                <w:rFonts w:ascii="Arial" w:cs="Arial" w:eastAsia="Arial" w:hAnsi="Arial"/>
                <w:sz w:val="18"/>
                <w:szCs w:val="18"/>
                <w:color w:val="auto"/>
              </w:rPr>
              <w:t>Investment in vehicles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(3,032)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(3,751)</w:t>
            </w:r>
          </w:p>
        </w:tc>
        <w:tc>
          <w:tcPr>
            <w:tcW w:w="0" w:type="dxa"/>
            <w:vAlign w:val="bottom"/>
          </w:tcPr>
          <w:p>
            <w:pPr>
              <w:spacing w:after="0"/>
              <w:rPr>
                <w:sz w:val="1"/>
                <w:szCs w:val="1"/>
                <w:color w:val="auto"/>
              </w:rPr>
            </w:pPr>
          </w:p>
        </w:tc>
      </w:tr>
      <w:tr>
        <w:trPr>
          <w:trHeight w:val="229"/>
        </w:trPr>
        <w:tc>
          <w:tcPr>
            <w:tcW w:w="8220" w:type="dxa"/>
            <w:vAlign w:val="bottom"/>
            <w:gridSpan w:val="2"/>
          </w:tcPr>
          <w:p>
            <w:pPr>
              <w:ind w:left="180"/>
              <w:spacing w:after="0"/>
              <w:rPr>
                <w:sz w:val="20"/>
                <w:szCs w:val="20"/>
                <w:color w:val="auto"/>
              </w:rPr>
            </w:pPr>
            <w:r>
              <w:rPr>
                <w:rFonts w:ascii="Arial" w:cs="Arial" w:eastAsia="Arial" w:hAnsi="Arial"/>
                <w:sz w:val="18"/>
                <w:szCs w:val="18"/>
                <w:color w:val="auto"/>
              </w:rPr>
              <w:t>Proceeds received on disposition of vehicles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1,679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2,497</w:t>
            </w:r>
          </w:p>
        </w:tc>
        <w:tc>
          <w:tcPr>
            <w:tcW w:w="0" w:type="dxa"/>
            <w:vAlign w:val="bottom"/>
          </w:tcPr>
          <w:p>
            <w:pPr>
              <w:spacing w:after="0"/>
              <w:rPr>
                <w:sz w:val="1"/>
                <w:szCs w:val="1"/>
                <w:color w:val="auto"/>
              </w:rPr>
            </w:pPr>
          </w:p>
        </w:tc>
      </w:tr>
      <w:tr>
        <w:trPr>
          <w:trHeight w:val="230"/>
        </w:trPr>
        <w:tc>
          <w:tcPr>
            <w:tcW w:w="8220" w:type="dxa"/>
            <w:vAlign w:val="bottom"/>
            <w:gridSpan w:val="2"/>
          </w:tcPr>
          <w:p>
            <w:pPr>
              <w:ind w:left="180"/>
              <w:spacing w:after="0"/>
              <w:rPr>
                <w:sz w:val="20"/>
                <w:szCs w:val="20"/>
                <w:color w:val="auto"/>
              </w:rPr>
            </w:pPr>
            <w:r>
              <w:rPr>
                <w:rFonts w:ascii="Arial" w:cs="Arial" w:eastAsia="Arial" w:hAnsi="Arial"/>
                <w:sz w:val="18"/>
                <w:szCs w:val="18"/>
                <w:color w:val="auto"/>
              </w:rPr>
              <w:t>Investment in debt securities of Avis Budget Rental Car Funding (AESOP) LLC—related party</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30"/>
        </w:trPr>
        <w:tc>
          <w:tcPr>
            <w:tcW w:w="8220" w:type="dxa"/>
            <w:vAlign w:val="bottom"/>
            <w:gridSpan w:val="2"/>
          </w:tcPr>
          <w:p>
            <w:pPr>
              <w:ind w:left="180"/>
              <w:spacing w:after="0"/>
              <w:rPr>
                <w:sz w:val="20"/>
                <w:szCs w:val="20"/>
                <w:color w:val="auto"/>
              </w:rPr>
            </w:pPr>
            <w:r>
              <w:rPr>
                <w:rFonts w:ascii="Arial" w:cs="Arial" w:eastAsia="Arial" w:hAnsi="Arial"/>
                <w:sz w:val="18"/>
                <w:szCs w:val="18"/>
                <w:color w:val="auto"/>
              </w:rPr>
              <w:t>Proceeds from debt securities of Avis Budget Rental Car Funding (AESOP) LLC—related party</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3"/>
        </w:trPr>
        <w:tc>
          <w:tcPr>
            <w:tcW w:w="82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Net cash used in investing activities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(1,352)</w:t>
            </w:r>
          </w:p>
        </w:tc>
        <w:tc>
          <w:tcPr>
            <w:tcW w:w="1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(1,390)</w:t>
            </w:r>
          </w:p>
        </w:tc>
        <w:tc>
          <w:tcPr>
            <w:tcW w:w="0" w:type="dxa"/>
            <w:vAlign w:val="bottom"/>
          </w:tcPr>
          <w:p>
            <w:pPr>
              <w:spacing w:after="0"/>
              <w:rPr>
                <w:sz w:val="1"/>
                <w:szCs w:val="1"/>
                <w:color w:val="auto"/>
              </w:rPr>
            </w:pPr>
          </w:p>
        </w:tc>
      </w:tr>
      <w:tr>
        <w:trPr>
          <w:trHeight w:val="223"/>
        </w:trPr>
        <w:tc>
          <w:tcPr>
            <w:tcW w:w="8220" w:type="dxa"/>
            <w:vAlign w:val="bottom"/>
            <w:gridSpan w:val="2"/>
            <w:vMerge w:val="continue"/>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(1,366)</w:t>
            </w:r>
          </w:p>
        </w:tc>
        <w:tc>
          <w:tcPr>
            <w:tcW w:w="1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822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8"/>
        </w:trPr>
        <w:tc>
          <w:tcPr>
            <w:tcW w:w="1400" w:type="dxa"/>
            <w:vAlign w:val="bottom"/>
            <w:tcBorders>
              <w:top w:val="single" w:sz="8" w:color="0000FF"/>
            </w:tcBorders>
          </w:tcPr>
          <w:p>
            <w:pPr>
              <w:spacing w:after="0"/>
              <w:rPr>
                <w:sz w:val="24"/>
                <w:szCs w:val="24"/>
                <w:color w:val="auto"/>
              </w:rPr>
            </w:pPr>
          </w:p>
        </w:tc>
        <w:tc>
          <w:tcPr>
            <w:tcW w:w="6820" w:type="dxa"/>
            <w:vAlign w:val="bottom"/>
          </w:tcPr>
          <w:p>
            <w:pPr>
              <w:jc w:val="center"/>
              <w:ind w:left="1530"/>
              <w:spacing w:after="0"/>
              <w:rPr>
                <w:sz w:val="20"/>
                <w:szCs w:val="20"/>
                <w:color w:val="auto"/>
              </w:rPr>
            </w:pPr>
            <w:r>
              <w:rPr>
                <w:rFonts w:ascii="Arial" w:cs="Arial" w:eastAsia="Arial" w:hAnsi="Arial"/>
                <w:sz w:val="18"/>
                <w:szCs w:val="18"/>
                <w:b w:val="1"/>
                <w:bCs w:val="1"/>
                <w:color w:val="auto"/>
                <w:w w:val="99"/>
              </w:rPr>
              <w:t>Avis Budget Group, Inc.</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8360" w:type="dxa"/>
            <w:vAlign w:val="bottom"/>
            <w:gridSpan w:val="4"/>
          </w:tcPr>
          <w:p>
            <w:pPr>
              <w:jc w:val="center"/>
              <w:spacing w:after="0"/>
              <w:rPr>
                <w:sz w:val="20"/>
                <w:szCs w:val="20"/>
                <w:color w:val="auto"/>
              </w:rPr>
            </w:pPr>
            <w:r>
              <w:rPr>
                <w:rFonts w:ascii="Arial" w:cs="Arial" w:eastAsia="Arial" w:hAnsi="Arial"/>
                <w:sz w:val="18"/>
                <w:szCs w:val="18"/>
                <w:b w:val="1"/>
                <w:bCs w:val="1"/>
                <w:color w:val="auto"/>
                <w:w w:val="99"/>
              </w:rPr>
              <w:t>CONSOLIDATED CONDENSED STATEMENTS OF CASH FLOWS (Continued)</w:t>
            </w: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6820" w:type="dxa"/>
            <w:vAlign w:val="bottom"/>
          </w:tcPr>
          <w:p>
            <w:pPr>
              <w:jc w:val="center"/>
              <w:ind w:left="1530"/>
              <w:spacing w:after="0"/>
              <w:rPr>
                <w:sz w:val="20"/>
                <w:szCs w:val="20"/>
                <w:color w:val="auto"/>
              </w:rPr>
            </w:pPr>
            <w:r>
              <w:rPr>
                <w:rFonts w:ascii="Arial" w:cs="Arial" w:eastAsia="Arial" w:hAnsi="Arial"/>
                <w:sz w:val="18"/>
                <w:szCs w:val="18"/>
                <w:b w:val="1"/>
                <w:bCs w:val="1"/>
                <w:color w:val="auto"/>
                <w:w w:val="98"/>
              </w:rPr>
              <w:t>(In millions)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1400" w:type="dxa"/>
            <w:vAlign w:val="bottom"/>
          </w:tcPr>
          <w:p>
            <w:pPr>
              <w:spacing w:after="0"/>
              <w:rPr>
                <w:sz w:val="20"/>
                <w:szCs w:val="20"/>
                <w:color w:val="auto"/>
              </w:rPr>
            </w:pPr>
          </w:p>
        </w:tc>
        <w:tc>
          <w:tcPr>
            <w:tcW w:w="6820" w:type="dxa"/>
            <w:vAlign w:val="bottom"/>
          </w:tcPr>
          <w:p>
            <w:pPr>
              <w:jc w:val="center"/>
              <w:ind w:left="1530"/>
              <w:spacing w:after="0"/>
              <w:rPr>
                <w:sz w:val="20"/>
                <w:szCs w:val="20"/>
                <w:color w:val="auto"/>
              </w:rPr>
            </w:pPr>
            <w:r>
              <w:rPr>
                <w:rFonts w:ascii="Arial" w:cs="Arial" w:eastAsia="Arial" w:hAnsi="Arial"/>
                <w:sz w:val="18"/>
                <w:szCs w:val="18"/>
                <w:b w:val="1"/>
                <w:bCs w:val="1"/>
                <w:color w:val="auto"/>
                <w:w w:val="99"/>
              </w:rPr>
              <w:t>(Unaudited)</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1400" w:type="dxa"/>
            <w:vAlign w:val="bottom"/>
          </w:tcPr>
          <w:p>
            <w:pPr>
              <w:spacing w:after="0"/>
              <w:rPr>
                <w:sz w:val="17"/>
                <w:szCs w:val="17"/>
                <w:color w:val="auto"/>
              </w:rPr>
            </w:pPr>
          </w:p>
        </w:tc>
        <w:tc>
          <w:tcPr>
            <w:tcW w:w="6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80" w:type="dxa"/>
            <w:vAlign w:val="bottom"/>
            <w:gridSpan w:val="4"/>
          </w:tcPr>
          <w:p>
            <w:pPr>
              <w:jc w:val="center"/>
              <w:ind w:right="290"/>
              <w:spacing w:after="0" w:line="202" w:lineRule="exact"/>
              <w:rPr>
                <w:sz w:val="20"/>
                <w:szCs w:val="20"/>
                <w:color w:val="auto"/>
              </w:rPr>
            </w:pPr>
            <w:r>
              <w:rPr>
                <w:rFonts w:ascii="Arial" w:cs="Arial" w:eastAsia="Arial" w:hAnsi="Arial"/>
                <w:sz w:val="18"/>
                <w:szCs w:val="18"/>
                <w:b w:val="1"/>
                <w:bCs w:val="1"/>
                <w:color w:val="auto"/>
                <w:w w:val="99"/>
              </w:rPr>
              <w:t>Three Months Ended</w:t>
            </w:r>
          </w:p>
        </w:tc>
        <w:tc>
          <w:tcPr>
            <w:tcW w:w="0" w:type="dxa"/>
            <w:vAlign w:val="bottom"/>
          </w:tcPr>
          <w:p>
            <w:pPr>
              <w:spacing w:after="0"/>
              <w:rPr>
                <w:sz w:val="1"/>
                <w:szCs w:val="1"/>
                <w:color w:val="auto"/>
              </w:rPr>
            </w:pPr>
          </w:p>
        </w:tc>
      </w:tr>
      <w:tr>
        <w:trPr>
          <w:trHeight w:val="230"/>
        </w:trPr>
        <w:tc>
          <w:tcPr>
            <w:tcW w:w="1400" w:type="dxa"/>
            <w:vAlign w:val="bottom"/>
          </w:tcPr>
          <w:p>
            <w:pPr>
              <w:spacing w:after="0"/>
              <w:rPr>
                <w:sz w:val="19"/>
                <w:szCs w:val="19"/>
                <w:color w:val="auto"/>
              </w:rPr>
            </w:pPr>
          </w:p>
        </w:tc>
        <w:tc>
          <w:tcPr>
            <w:tcW w:w="68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3"/>
          </w:tcPr>
          <w:p>
            <w:pPr>
              <w:jc w:val="center"/>
              <w:ind w:left="570"/>
              <w:spacing w:after="0"/>
              <w:rPr>
                <w:sz w:val="20"/>
                <w:szCs w:val="20"/>
                <w:color w:val="auto"/>
              </w:rPr>
            </w:pPr>
            <w:r>
              <w:rPr>
                <w:rFonts w:ascii="Arial" w:cs="Arial" w:eastAsia="Arial" w:hAnsi="Arial"/>
                <w:sz w:val="18"/>
                <w:szCs w:val="18"/>
                <w:b w:val="1"/>
                <w:bCs w:val="1"/>
                <w:color w:val="auto"/>
                <w:w w:val="98"/>
              </w:rPr>
              <w:t>March 31,</w:t>
            </w:r>
          </w:p>
        </w:tc>
        <w:tc>
          <w:tcPr>
            <w:tcW w:w="10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2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10"/>
        </w:trPr>
        <w:tc>
          <w:tcPr>
            <w:tcW w:w="822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Proceeds from long-term borrowings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1,100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29"/>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Payments on long-term borrowings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(1,101)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30"/>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Issuance of common stock</w:t>
            </w: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9"/>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Repurchases of common stock</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29"/>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Debt financing fees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822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cash used in financing activities exclusive of vehicle programs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466"/>
        </w:trPr>
        <w:tc>
          <w:tcPr>
            <w:tcW w:w="8220" w:type="dxa"/>
            <w:vAlign w:val="bottom"/>
            <w:gridSpan w:val="2"/>
          </w:tcPr>
          <w:p>
            <w:pPr>
              <w:ind w:left="20"/>
              <w:spacing w:after="0"/>
              <w:rPr>
                <w:sz w:val="20"/>
                <w:szCs w:val="20"/>
                <w:color w:val="auto"/>
              </w:rPr>
            </w:pPr>
            <w:r>
              <w:rPr>
                <w:rFonts w:ascii="Arial" w:cs="Arial" w:eastAsia="Arial" w:hAnsi="Arial"/>
                <w:sz w:val="18"/>
                <w:szCs w:val="18"/>
                <w:i w:val="1"/>
                <w:iCs w:val="1"/>
                <w:color w:val="auto"/>
              </w:rPr>
              <w:t>Vehicle programs:</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220" w:type="dxa"/>
            <w:vAlign w:val="bottom"/>
            <w:gridSpan w:val="2"/>
          </w:tcPr>
          <w:p>
            <w:pPr>
              <w:ind w:left="180"/>
              <w:spacing w:after="0"/>
              <w:rPr>
                <w:sz w:val="20"/>
                <w:szCs w:val="20"/>
                <w:color w:val="auto"/>
              </w:rPr>
            </w:pPr>
            <w:r>
              <w:rPr>
                <w:rFonts w:ascii="Arial" w:cs="Arial" w:eastAsia="Arial" w:hAnsi="Arial"/>
                <w:sz w:val="18"/>
                <w:szCs w:val="18"/>
                <w:color w:val="auto"/>
              </w:rPr>
              <w:t>Proceeds from borrowings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3,481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5,461</w:t>
            </w:r>
          </w:p>
        </w:tc>
        <w:tc>
          <w:tcPr>
            <w:tcW w:w="0" w:type="dxa"/>
            <w:vAlign w:val="bottom"/>
          </w:tcPr>
          <w:p>
            <w:pPr>
              <w:spacing w:after="0"/>
              <w:rPr>
                <w:sz w:val="1"/>
                <w:szCs w:val="1"/>
                <w:color w:val="auto"/>
              </w:rPr>
            </w:pPr>
          </w:p>
        </w:tc>
      </w:tr>
      <w:tr>
        <w:trPr>
          <w:trHeight w:val="229"/>
        </w:trPr>
        <w:tc>
          <w:tcPr>
            <w:tcW w:w="8220" w:type="dxa"/>
            <w:vAlign w:val="bottom"/>
            <w:gridSpan w:val="2"/>
          </w:tcPr>
          <w:p>
            <w:pPr>
              <w:ind w:left="180"/>
              <w:spacing w:after="0"/>
              <w:rPr>
                <w:sz w:val="20"/>
                <w:szCs w:val="20"/>
                <w:color w:val="auto"/>
              </w:rPr>
            </w:pPr>
            <w:r>
              <w:rPr>
                <w:rFonts w:ascii="Arial" w:cs="Arial" w:eastAsia="Arial" w:hAnsi="Arial"/>
                <w:sz w:val="18"/>
                <w:szCs w:val="18"/>
                <w:color w:val="auto"/>
              </w:rPr>
              <w:t>Payments on borrowings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(2,535)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(4,479)</w:t>
            </w:r>
          </w:p>
        </w:tc>
        <w:tc>
          <w:tcPr>
            <w:tcW w:w="0" w:type="dxa"/>
            <w:vAlign w:val="bottom"/>
          </w:tcPr>
          <w:p>
            <w:pPr>
              <w:spacing w:after="0"/>
              <w:rPr>
                <w:sz w:val="1"/>
                <w:szCs w:val="1"/>
                <w:color w:val="auto"/>
              </w:rPr>
            </w:pPr>
          </w:p>
        </w:tc>
      </w:tr>
      <w:tr>
        <w:trPr>
          <w:trHeight w:val="229"/>
        </w:trPr>
        <w:tc>
          <w:tcPr>
            <w:tcW w:w="8220" w:type="dxa"/>
            <w:vAlign w:val="bottom"/>
            <w:gridSpan w:val="2"/>
          </w:tcPr>
          <w:p>
            <w:pPr>
              <w:ind w:left="180"/>
              <w:spacing w:after="0"/>
              <w:rPr>
                <w:sz w:val="20"/>
                <w:szCs w:val="20"/>
                <w:color w:val="auto"/>
              </w:rPr>
            </w:pPr>
            <w:r>
              <w:rPr>
                <w:rFonts w:ascii="Arial" w:cs="Arial" w:eastAsia="Arial" w:hAnsi="Arial"/>
                <w:sz w:val="18"/>
                <w:szCs w:val="18"/>
                <w:color w:val="auto"/>
              </w:rPr>
              <w:t>Debt financing fees</w:t>
            </w: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82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Net cash provided by financing activities</w:t>
            </w: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946</w:t>
            </w:r>
          </w:p>
        </w:tc>
        <w:tc>
          <w:tcPr>
            <w:tcW w:w="100" w:type="dxa"/>
            <w:vAlign w:val="bottom"/>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976</w:t>
            </w:r>
          </w:p>
        </w:tc>
        <w:tc>
          <w:tcPr>
            <w:tcW w:w="0" w:type="dxa"/>
            <w:vAlign w:val="bottom"/>
          </w:tcPr>
          <w:p>
            <w:pPr>
              <w:spacing w:after="0"/>
              <w:rPr>
                <w:sz w:val="1"/>
                <w:szCs w:val="1"/>
                <w:color w:val="auto"/>
              </w:rPr>
            </w:pPr>
          </w:p>
        </w:tc>
      </w:tr>
      <w:tr>
        <w:trPr>
          <w:trHeight w:val="223"/>
        </w:trPr>
        <w:tc>
          <w:tcPr>
            <w:tcW w:w="8220" w:type="dxa"/>
            <w:vAlign w:val="bottom"/>
            <w:gridSpan w:val="2"/>
            <w:vMerge w:val="continue"/>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914</w:t>
            </w:r>
          </w:p>
        </w:tc>
        <w:tc>
          <w:tcPr>
            <w:tcW w:w="1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962</w:t>
            </w:r>
          </w:p>
        </w:tc>
        <w:tc>
          <w:tcPr>
            <w:tcW w:w="0" w:type="dxa"/>
            <w:vAlign w:val="bottom"/>
          </w:tcPr>
          <w:p>
            <w:pPr>
              <w:spacing w:after="0"/>
              <w:rPr>
                <w:sz w:val="1"/>
                <w:szCs w:val="1"/>
                <w:color w:val="auto"/>
              </w:rPr>
            </w:pPr>
          </w:p>
        </w:tc>
      </w:tr>
      <w:tr>
        <w:trPr>
          <w:trHeight w:val="466"/>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Effect of changes in exchange rates on cash and cash equivalents, program and restricted cash</w:t>
            </w: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466"/>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Net decrease in cash and cash equivalents, program and restricted cash</w:t>
            </w:r>
          </w:p>
        </w:tc>
        <w:tc>
          <w:tcPr>
            <w:tcW w:w="3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29"/>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Cash and cash equivalents, program and restricted cash, beginning of period</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765</w:t>
            </w:r>
          </w:p>
        </w:tc>
        <w:tc>
          <w:tcPr>
            <w:tcW w:w="1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23"/>
        </w:trPr>
        <w:tc>
          <w:tcPr>
            <w:tcW w:w="8220" w:type="dxa"/>
            <w:vAlign w:val="bottom"/>
            <w:gridSpan w:val="2"/>
          </w:tcPr>
          <w:p>
            <w:pPr>
              <w:ind w:left="20"/>
              <w:spacing w:after="0"/>
              <w:rPr>
                <w:sz w:val="20"/>
                <w:szCs w:val="20"/>
                <w:color w:val="auto"/>
              </w:rPr>
            </w:pPr>
            <w:r>
              <w:rPr>
                <w:rFonts w:ascii="Arial" w:cs="Arial" w:eastAsia="Arial" w:hAnsi="Arial"/>
                <w:sz w:val="18"/>
                <w:szCs w:val="18"/>
                <w:b w:val="1"/>
                <w:bCs w:val="1"/>
                <w:color w:val="auto"/>
              </w:rPr>
              <w:t>Cash and cash equivalents, program and restricted cash, end of period</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w:t>
            </w:r>
          </w:p>
        </w:tc>
        <w:tc>
          <w:tcPr>
            <w:tcW w:w="0" w:type="dxa"/>
            <w:vAlign w:val="bottom"/>
          </w:tcPr>
          <w:p>
            <w:pPr>
              <w:spacing w:after="0"/>
              <w:rPr>
                <w:sz w:val="1"/>
                <w:szCs w:val="1"/>
                <w:color w:val="auto"/>
              </w:rPr>
            </w:pPr>
          </w:p>
        </w:tc>
      </w:tr>
      <w:tr>
        <w:trPr>
          <w:trHeight w:val="21"/>
        </w:trPr>
        <w:tc>
          <w:tcPr>
            <w:tcW w:w="140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Consolidated Condensed Financial Statements (Unaudited).</w:t>
      </w:r>
    </w:p>
    <w:p>
      <w:pPr>
        <w:sectPr>
          <w:pgSz w:w="11900" w:h="16838" w:orient="portrait"/>
          <w:cols w:equalWidth="0" w:num="1">
            <w:col w:w="11220"/>
          </w:cols>
          <w:pgMar w:left="320" w:top="10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type w:val="continuous"/>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Avis Budget Group, Inc.</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CONDENSED STATEMENTS OF STOCKHOLDERS’ EQUITY</w:t>
      </w:r>
    </w:p>
    <w:p>
      <w:pPr>
        <w:spacing w:after="0" w:line="9"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2560" w:type="dxa"/>
            <w:vAlign w:val="bottom"/>
          </w:tcPr>
          <w:p>
            <w:pPr>
              <w:spacing w:after="0"/>
              <w:rPr>
                <w:sz w:val="10"/>
                <w:szCs w:val="10"/>
                <w:color w:val="auto"/>
              </w:rPr>
            </w:pPr>
          </w:p>
        </w:tc>
        <w:tc>
          <w:tcPr>
            <w:tcW w:w="1740" w:type="dxa"/>
            <w:vAlign w:val="bottom"/>
            <w:gridSpan w:val="5"/>
            <w:vMerge w:val="restart"/>
          </w:tcPr>
          <w:p>
            <w:pPr>
              <w:ind w:left="420"/>
              <w:spacing w:after="0"/>
              <w:rPr>
                <w:sz w:val="20"/>
                <w:szCs w:val="20"/>
                <w:color w:val="auto"/>
              </w:rPr>
            </w:pPr>
            <w:r>
              <w:rPr>
                <w:rFonts w:ascii="Arial" w:cs="Arial" w:eastAsia="Arial" w:hAnsi="Arial"/>
                <w:sz w:val="11"/>
                <w:szCs w:val="11"/>
                <w:b w:val="1"/>
                <w:bCs w:val="1"/>
                <w:color w:val="auto"/>
              </w:rPr>
              <w:t>Common Stock</w:t>
            </w: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8"/>
              </w:rPr>
              <w:t>Accumulated Other</w:t>
            </w:r>
          </w:p>
        </w:tc>
        <w:tc>
          <w:tcPr>
            <w:tcW w:w="1760" w:type="dxa"/>
            <w:vAlign w:val="bottom"/>
            <w:gridSpan w:val="5"/>
            <w:vMerge w:val="restart"/>
          </w:tcPr>
          <w:p>
            <w:pPr>
              <w:ind w:left="440"/>
              <w:spacing w:after="0"/>
              <w:rPr>
                <w:sz w:val="20"/>
                <w:szCs w:val="20"/>
                <w:color w:val="auto"/>
              </w:rPr>
            </w:pPr>
            <w:r>
              <w:rPr>
                <w:rFonts w:ascii="Arial" w:cs="Arial" w:eastAsia="Arial" w:hAnsi="Arial"/>
                <w:sz w:val="11"/>
                <w:szCs w:val="11"/>
                <w:b w:val="1"/>
                <w:bCs w:val="1"/>
                <w:color w:val="auto"/>
              </w:rPr>
              <w:t>Treasury Stock</w:t>
            </w:r>
          </w:p>
        </w:tc>
        <w:tc>
          <w:tcPr>
            <w:tcW w:w="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2560" w:type="dxa"/>
            <w:vAlign w:val="bottom"/>
          </w:tcPr>
          <w:p>
            <w:pPr>
              <w:spacing w:after="0"/>
              <w:rPr>
                <w:sz w:val="6"/>
                <w:szCs w:val="6"/>
                <w:color w:val="auto"/>
              </w:rPr>
            </w:pPr>
          </w:p>
        </w:tc>
        <w:tc>
          <w:tcPr>
            <w:tcW w:w="1740" w:type="dxa"/>
            <w:vAlign w:val="bottom"/>
            <w:gridSpan w:val="5"/>
            <w:vMerge w:val="continue"/>
          </w:tcPr>
          <w:p>
            <w:pPr>
              <w:spacing w:after="0"/>
              <w:rPr>
                <w:sz w:val="6"/>
                <w:szCs w:val="6"/>
                <w:color w:val="auto"/>
              </w:rPr>
            </w:pPr>
          </w:p>
        </w:tc>
        <w:tc>
          <w:tcPr>
            <w:tcW w:w="80" w:type="dxa"/>
            <w:vAlign w:val="bottom"/>
          </w:tcPr>
          <w:p>
            <w:pPr>
              <w:spacing w:after="0"/>
              <w:rPr>
                <w:sz w:val="6"/>
                <w:szCs w:val="6"/>
                <w:color w:val="auto"/>
              </w:rPr>
            </w:pPr>
          </w:p>
        </w:tc>
        <w:tc>
          <w:tcPr>
            <w:tcW w:w="1140" w:type="dxa"/>
            <w:vAlign w:val="bottom"/>
            <w:gridSpan w:val="2"/>
            <w:vMerge w:val="restart"/>
          </w:tcPr>
          <w:p>
            <w:pPr>
              <w:jc w:val="center"/>
              <w:ind w:right="180"/>
              <w:spacing w:after="0" w:line="88" w:lineRule="exact"/>
              <w:rPr>
                <w:sz w:val="20"/>
                <w:szCs w:val="20"/>
                <w:color w:val="auto"/>
              </w:rPr>
            </w:pPr>
            <w:r>
              <w:rPr>
                <w:rFonts w:ascii="Arial" w:cs="Arial" w:eastAsia="Arial" w:hAnsi="Arial"/>
                <w:sz w:val="10"/>
                <w:szCs w:val="10"/>
                <w:b w:val="1"/>
                <w:bCs w:val="1"/>
                <w:color w:val="auto"/>
              </w:rPr>
              <w:t>Additional Paid-in</w:t>
            </w: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20" w:type="dxa"/>
            <w:vAlign w:val="bottom"/>
            <w:gridSpan w:val="3"/>
            <w:vMerge w:val="restart"/>
          </w:tcPr>
          <w:p>
            <w:pPr>
              <w:jc w:val="center"/>
              <w:ind w:right="100"/>
              <w:spacing w:after="0" w:line="88" w:lineRule="exact"/>
              <w:rPr>
                <w:sz w:val="20"/>
                <w:szCs w:val="20"/>
                <w:color w:val="auto"/>
              </w:rPr>
            </w:pPr>
            <w:r>
              <w:rPr>
                <w:rFonts w:ascii="Arial" w:cs="Arial" w:eastAsia="Arial" w:hAnsi="Arial"/>
                <w:sz w:val="10"/>
                <w:szCs w:val="10"/>
                <w:b w:val="1"/>
                <w:bCs w:val="1"/>
                <w:color w:val="auto"/>
              </w:rPr>
              <w:t>Comprehensive Income</w:t>
            </w:r>
          </w:p>
        </w:tc>
        <w:tc>
          <w:tcPr>
            <w:tcW w:w="1760" w:type="dxa"/>
            <w:vAlign w:val="bottom"/>
            <w:gridSpan w:val="5"/>
            <w:vMerge w:val="continue"/>
          </w:tcPr>
          <w:p>
            <w:pPr>
              <w:spacing w:after="0"/>
              <w:rPr>
                <w:sz w:val="6"/>
                <w:szCs w:val="6"/>
                <w:color w:val="auto"/>
              </w:rPr>
            </w:pPr>
          </w:p>
        </w:tc>
        <w:tc>
          <w:tcPr>
            <w:tcW w:w="80" w:type="dxa"/>
            <w:vAlign w:val="bottom"/>
          </w:tcPr>
          <w:p>
            <w:pPr>
              <w:spacing w:after="0"/>
              <w:rPr>
                <w:sz w:val="6"/>
                <w:szCs w:val="6"/>
                <w:color w:val="auto"/>
              </w:rPr>
            </w:pPr>
          </w:p>
        </w:tc>
        <w:tc>
          <w:tcPr>
            <w:tcW w:w="1120" w:type="dxa"/>
            <w:vAlign w:val="bottom"/>
            <w:vMerge w:val="restart"/>
          </w:tcPr>
          <w:p>
            <w:pPr>
              <w:jc w:val="right"/>
              <w:ind w:right="46"/>
              <w:spacing w:after="0" w:line="88" w:lineRule="exact"/>
              <w:rPr>
                <w:sz w:val="20"/>
                <w:szCs w:val="20"/>
                <w:color w:val="auto"/>
              </w:rPr>
            </w:pPr>
            <w:r>
              <w:rPr>
                <w:rFonts w:ascii="Arial" w:cs="Arial" w:eastAsia="Arial" w:hAnsi="Arial"/>
                <w:sz w:val="10"/>
                <w:szCs w:val="10"/>
                <w:b w:val="1"/>
                <w:bCs w:val="1"/>
                <w:color w:val="auto"/>
              </w:rPr>
              <w:t>Total Stockholders’</w:t>
            </w:r>
          </w:p>
        </w:tc>
        <w:tc>
          <w:tcPr>
            <w:tcW w:w="0" w:type="dxa"/>
            <w:vAlign w:val="bottom"/>
          </w:tcPr>
          <w:p>
            <w:pPr>
              <w:spacing w:after="0"/>
              <w:rPr>
                <w:sz w:val="1"/>
                <w:szCs w:val="1"/>
                <w:color w:val="auto"/>
              </w:rPr>
            </w:pPr>
          </w:p>
        </w:tc>
      </w:tr>
      <w:tr>
        <w:trPr>
          <w:trHeight w:val="22"/>
        </w:trPr>
        <w:tc>
          <w:tcPr>
            <w:tcW w:w="25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gridSpan w:val="2"/>
            <w:vMerge w:val="continue"/>
          </w:tcPr>
          <w:p>
            <w:pPr>
              <w:spacing w:after="0" w:line="20" w:lineRule="exact"/>
              <w:rPr>
                <w:sz w:val="1"/>
                <w:szCs w:val="1"/>
                <w:color w:val="auto"/>
              </w:rPr>
            </w:pPr>
          </w:p>
        </w:tc>
        <w:tc>
          <w:tcPr>
            <w:tcW w:w="1280" w:type="dxa"/>
            <w:vAlign w:val="bottom"/>
            <w:gridSpan w:val="3"/>
            <w:vMerge w:val="restart"/>
          </w:tcPr>
          <w:p>
            <w:pPr>
              <w:ind w:left="80"/>
              <w:spacing w:after="0"/>
              <w:rPr>
                <w:sz w:val="20"/>
                <w:szCs w:val="20"/>
                <w:color w:val="auto"/>
              </w:rPr>
            </w:pPr>
            <w:r>
              <w:rPr>
                <w:rFonts w:ascii="Arial" w:cs="Arial" w:eastAsia="Arial" w:hAnsi="Arial"/>
                <w:sz w:val="11"/>
                <w:szCs w:val="11"/>
                <w:b w:val="1"/>
                <w:bCs w:val="1"/>
                <w:color w:val="auto"/>
              </w:rPr>
              <w:t>Accumulated Deficit</w:t>
            </w:r>
          </w:p>
        </w:tc>
        <w:tc>
          <w:tcPr>
            <w:tcW w:w="1420" w:type="dxa"/>
            <w:vAlign w:val="bottom"/>
            <w:gridSpan w:val="3"/>
            <w:vMerge w:val="continue"/>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2560" w:type="dxa"/>
            <w:vAlign w:val="bottom"/>
          </w:tcPr>
          <w:p>
            <w:pPr>
              <w:spacing w:after="0"/>
              <w:rPr>
                <w:sz w:val="11"/>
                <w:szCs w:val="11"/>
                <w:color w:val="auto"/>
              </w:rPr>
            </w:pPr>
          </w:p>
        </w:tc>
        <w:tc>
          <w:tcPr>
            <w:tcW w:w="820" w:type="dxa"/>
            <w:vAlign w:val="bottom"/>
            <w:gridSpan w:val="2"/>
          </w:tcPr>
          <w:p>
            <w:pPr>
              <w:ind w:left="180"/>
              <w:spacing w:after="0"/>
              <w:rPr>
                <w:sz w:val="20"/>
                <w:szCs w:val="20"/>
                <w:color w:val="auto"/>
              </w:rPr>
            </w:pPr>
            <w:r>
              <w:rPr>
                <w:rFonts w:ascii="Arial" w:cs="Arial" w:eastAsia="Arial" w:hAnsi="Arial"/>
                <w:sz w:val="11"/>
                <w:szCs w:val="11"/>
                <w:b w:val="1"/>
                <w:bCs w:val="1"/>
                <w:color w:val="auto"/>
              </w:rPr>
              <w:t>Shares</w:t>
            </w:r>
          </w:p>
        </w:tc>
        <w:tc>
          <w:tcPr>
            <w:tcW w:w="140" w:type="dxa"/>
            <w:vAlign w:val="bottom"/>
          </w:tcPr>
          <w:p>
            <w:pPr>
              <w:spacing w:after="0"/>
              <w:rPr>
                <w:sz w:val="11"/>
                <w:szCs w:val="11"/>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1"/>
                <w:szCs w:val="11"/>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8"/>
              </w:rPr>
              <w:t>Capital</w:t>
            </w:r>
          </w:p>
        </w:tc>
        <w:tc>
          <w:tcPr>
            <w:tcW w:w="128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6"/>
              </w:rPr>
              <w:t>(Loss)</w:t>
            </w:r>
          </w:p>
        </w:tc>
        <w:tc>
          <w:tcPr>
            <w:tcW w:w="840" w:type="dxa"/>
            <w:vAlign w:val="bottom"/>
            <w:gridSpan w:val="2"/>
          </w:tcPr>
          <w:p>
            <w:pPr>
              <w:ind w:left="180"/>
              <w:spacing w:after="0"/>
              <w:rPr>
                <w:sz w:val="20"/>
                <w:szCs w:val="20"/>
                <w:color w:val="auto"/>
              </w:rPr>
            </w:pPr>
            <w:r>
              <w:rPr>
                <w:rFonts w:ascii="Arial" w:cs="Arial" w:eastAsia="Arial" w:hAnsi="Arial"/>
                <w:sz w:val="11"/>
                <w:szCs w:val="11"/>
                <w:b w:val="1"/>
                <w:bCs w:val="1"/>
                <w:color w:val="auto"/>
              </w:rPr>
              <w:t>Shares</w:t>
            </w:r>
          </w:p>
        </w:tc>
        <w:tc>
          <w:tcPr>
            <w:tcW w:w="140" w:type="dxa"/>
            <w:vAlign w:val="bottom"/>
          </w:tcPr>
          <w:p>
            <w:pPr>
              <w:spacing w:after="0"/>
              <w:rPr>
                <w:sz w:val="11"/>
                <w:szCs w:val="11"/>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1"/>
                <w:szCs w:val="11"/>
                <w:color w:val="auto"/>
              </w:rPr>
            </w:pPr>
          </w:p>
        </w:tc>
        <w:tc>
          <w:tcPr>
            <w:tcW w:w="1120" w:type="dxa"/>
            <w:vAlign w:val="bottom"/>
          </w:tcPr>
          <w:p>
            <w:pPr>
              <w:jc w:val="right"/>
              <w:ind w:right="386"/>
              <w:spacing w:after="0"/>
              <w:rPr>
                <w:sz w:val="20"/>
                <w:szCs w:val="20"/>
                <w:color w:val="auto"/>
              </w:rPr>
            </w:pPr>
            <w:r>
              <w:rPr>
                <w:rFonts w:ascii="Arial" w:cs="Arial" w:eastAsia="Arial" w:hAnsi="Arial"/>
                <w:sz w:val="11"/>
                <w:szCs w:val="11"/>
                <w:b w:val="1"/>
                <w:bCs w:val="1"/>
                <w:color w:val="auto"/>
              </w:rPr>
              <w:t>Equity</w:t>
            </w:r>
          </w:p>
        </w:tc>
        <w:tc>
          <w:tcPr>
            <w:tcW w:w="0" w:type="dxa"/>
            <w:vAlign w:val="bottom"/>
          </w:tcPr>
          <w:p>
            <w:pPr>
              <w:spacing w:after="0"/>
              <w:rPr>
                <w:sz w:val="1"/>
                <w:szCs w:val="1"/>
                <w:color w:val="auto"/>
              </w:rPr>
            </w:pPr>
          </w:p>
        </w:tc>
      </w:tr>
      <w:tr>
        <w:trPr>
          <w:trHeight w:val="20"/>
        </w:trPr>
        <w:tc>
          <w:tcPr>
            <w:tcW w:w="2560" w:type="dxa"/>
            <w:vAlign w:val="bottom"/>
            <w:vMerge w:val="restart"/>
          </w:tcPr>
          <w:p>
            <w:pPr>
              <w:spacing w:after="0"/>
              <w:rPr>
                <w:sz w:val="20"/>
                <w:szCs w:val="20"/>
                <w:color w:val="auto"/>
              </w:rPr>
            </w:pPr>
            <w:r>
              <w:rPr>
                <w:rFonts w:ascii="Arial" w:cs="Arial" w:eastAsia="Arial" w:hAnsi="Arial"/>
                <w:sz w:val="11"/>
                <w:szCs w:val="11"/>
                <w:b w:val="1"/>
                <w:bCs w:val="1"/>
                <w:color w:val="auto"/>
              </w:rPr>
              <w:t>Balance at December 31, 2020</w:t>
            </w: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3"/>
        </w:trPr>
        <w:tc>
          <w:tcPr>
            <w:tcW w:w="2560" w:type="dxa"/>
            <w:vAlign w:val="bottom"/>
            <w:vMerge w:val="continue"/>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137.1</w:t>
            </w:r>
          </w:p>
        </w:tc>
        <w:tc>
          <w:tcPr>
            <w:tcW w:w="120" w:type="dxa"/>
            <w:vAlign w:val="bottom"/>
          </w:tcPr>
          <w:p>
            <w:pPr>
              <w:spacing w:after="0"/>
              <w:rPr>
                <w:sz w:val="11"/>
                <w:szCs w:val="11"/>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040" w:type="dxa"/>
            <w:vAlign w:val="bottom"/>
          </w:tcPr>
          <w:p>
            <w:pPr>
              <w:jc w:val="right"/>
              <w:ind w:right="6"/>
              <w:spacing w:after="0"/>
              <w:rPr>
                <w:sz w:val="20"/>
                <w:szCs w:val="20"/>
                <w:color w:val="auto"/>
              </w:rPr>
            </w:pPr>
            <w:r>
              <w:rPr>
                <w:rFonts w:ascii="Arial" w:cs="Arial" w:eastAsia="Arial" w:hAnsi="Arial"/>
                <w:sz w:val="11"/>
                <w:szCs w:val="11"/>
                <w:color w:val="auto"/>
              </w:rPr>
              <w:t>6,668</w:t>
            </w:r>
          </w:p>
        </w:tc>
        <w:tc>
          <w:tcPr>
            <w:tcW w:w="100" w:type="dxa"/>
            <w:vAlign w:val="bottom"/>
          </w:tcPr>
          <w:p>
            <w:pPr>
              <w:spacing w:after="0"/>
              <w:rPr>
                <w:sz w:val="11"/>
                <w:szCs w:val="11"/>
                <w:color w:val="auto"/>
              </w:rPr>
            </w:pPr>
          </w:p>
        </w:tc>
        <w:tc>
          <w:tcPr>
            <w:tcW w:w="440" w:type="dxa"/>
            <w:vAlign w:val="bottom"/>
          </w:tcPr>
          <w:p>
            <w:pPr>
              <w:jc w:val="right"/>
              <w:ind w:right="306"/>
              <w:spacing w:after="0"/>
              <w:rPr>
                <w:sz w:val="20"/>
                <w:szCs w:val="20"/>
                <w:color w:val="auto"/>
              </w:rPr>
            </w:pPr>
            <w:r>
              <w:rPr>
                <w:rFonts w:ascii="Arial" w:cs="Arial" w:eastAsia="Arial" w:hAnsi="Arial"/>
                <w:sz w:val="11"/>
                <w:szCs w:val="11"/>
                <w:color w:val="auto"/>
                <w:w w:val="97"/>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(1,470)</w:t>
            </w:r>
          </w:p>
        </w:tc>
        <w:tc>
          <w:tcPr>
            <w:tcW w:w="10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200" w:type="dxa"/>
            <w:vAlign w:val="bottom"/>
          </w:tcPr>
          <w:p>
            <w:pPr>
              <w:jc w:val="right"/>
              <w:spacing w:after="0"/>
              <w:rPr>
                <w:sz w:val="20"/>
                <w:szCs w:val="20"/>
                <w:color w:val="auto"/>
              </w:rPr>
            </w:pPr>
            <w:r>
              <w:rPr>
                <w:rFonts w:ascii="Arial" w:cs="Arial" w:eastAsia="Arial" w:hAnsi="Arial"/>
                <w:sz w:val="11"/>
                <w:szCs w:val="11"/>
                <w:color w:val="auto"/>
              </w:rPr>
              <w:t>(187)</w:t>
            </w:r>
          </w:p>
        </w:tc>
        <w:tc>
          <w:tcPr>
            <w:tcW w:w="1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(67.3)</w:t>
            </w:r>
          </w:p>
        </w:tc>
        <w:tc>
          <w:tcPr>
            <w:tcW w:w="100" w:type="dxa"/>
            <w:vAlign w:val="bottom"/>
          </w:tcPr>
          <w:p>
            <w:pPr>
              <w:spacing w:after="0"/>
              <w:rPr>
                <w:sz w:val="11"/>
                <w:szCs w:val="11"/>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(5,167)</w:t>
            </w:r>
          </w:p>
        </w:tc>
        <w:tc>
          <w:tcPr>
            <w:tcW w:w="12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120" w:type="dxa"/>
            <w:vAlign w:val="bottom"/>
          </w:tcPr>
          <w:p>
            <w:pPr>
              <w:jc w:val="right"/>
              <w:spacing w:after="0"/>
              <w:rPr>
                <w:sz w:val="20"/>
                <w:szCs w:val="20"/>
                <w:color w:val="auto"/>
              </w:rPr>
            </w:pPr>
            <w:r>
              <w:rPr>
                <w:rFonts w:ascii="Arial" w:cs="Arial" w:eastAsia="Arial" w:hAnsi="Arial"/>
                <w:sz w:val="11"/>
                <w:szCs w:val="11"/>
                <w:color w:val="auto"/>
              </w:rPr>
              <w:t>(155)</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20"/>
                <w:szCs w:val="20"/>
                <w:color w:val="auto"/>
              </w:rPr>
            </w:pPr>
            <w:r>
              <w:rPr>
                <w:rFonts w:ascii="Arial" w:cs="Arial" w:eastAsia="Arial" w:hAnsi="Arial"/>
                <w:sz w:val="11"/>
                <w:szCs w:val="11"/>
                <w:b w:val="1"/>
                <w:bCs w:val="1"/>
                <w:color w:val="auto"/>
              </w:rPr>
              <w:t>Comprehensive loss:</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560" w:type="dxa"/>
            <w:vAlign w:val="bottom"/>
          </w:tcPr>
          <w:p>
            <w:pPr>
              <w:spacing w:after="0"/>
              <w:rPr>
                <w:sz w:val="20"/>
                <w:szCs w:val="20"/>
                <w:color w:val="auto"/>
              </w:rPr>
            </w:pPr>
            <w:r>
              <w:rPr>
                <w:rFonts w:ascii="Arial" w:cs="Arial" w:eastAsia="Arial" w:hAnsi="Arial"/>
                <w:sz w:val="11"/>
                <w:szCs w:val="11"/>
                <w:color w:val="auto"/>
              </w:rPr>
              <w:t>Net loss</w:t>
            </w:r>
          </w:p>
        </w:tc>
        <w:tc>
          <w:tcPr>
            <w:tcW w:w="8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4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(170)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60" w:type="dxa"/>
            <w:vAlign w:val="bottom"/>
          </w:tcPr>
          <w:p>
            <w:pPr>
              <w:spacing w:after="0"/>
              <w:rPr>
                <w:sz w:val="20"/>
                <w:szCs w:val="20"/>
                <w:color w:val="auto"/>
              </w:rPr>
            </w:pPr>
            <w:r>
              <w:rPr>
                <w:rFonts w:ascii="Arial" w:cs="Arial" w:eastAsia="Arial" w:hAnsi="Arial"/>
                <w:sz w:val="11"/>
                <w:szCs w:val="11"/>
                <w:color w:val="auto"/>
              </w:rPr>
              <w:t>Other comprehensive income</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1200" w:type="dxa"/>
            <w:vAlign w:val="bottom"/>
          </w:tcPr>
          <w:p>
            <w:pPr>
              <w:jc w:val="right"/>
              <w:ind w:right="6"/>
              <w:spacing w:after="0"/>
              <w:rPr>
                <w:sz w:val="20"/>
                <w:szCs w:val="20"/>
                <w:color w:val="auto"/>
              </w:rPr>
            </w:pPr>
            <w:r>
              <w:rPr>
                <w:rFonts w:ascii="Arial" w:cs="Arial" w:eastAsia="Arial" w:hAnsi="Arial"/>
                <w:sz w:val="11"/>
                <w:szCs w:val="11"/>
                <w:color w:val="auto"/>
              </w:rPr>
              <w:t>24</w:t>
            </w:r>
          </w:p>
        </w:tc>
        <w:tc>
          <w:tcPr>
            <w:tcW w:w="10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560" w:type="dxa"/>
            <w:vAlign w:val="bottom"/>
          </w:tcPr>
          <w:p>
            <w:pPr>
              <w:spacing w:after="0"/>
              <w:rPr>
                <w:sz w:val="20"/>
                <w:szCs w:val="20"/>
                <w:color w:val="auto"/>
              </w:rPr>
            </w:pPr>
            <w:r>
              <w:rPr>
                <w:rFonts w:ascii="Arial" w:cs="Arial" w:eastAsia="Arial" w:hAnsi="Arial"/>
                <w:sz w:val="11"/>
                <w:szCs w:val="11"/>
                <w:b w:val="1"/>
                <w:bCs w:val="1"/>
                <w:color w:val="auto"/>
              </w:rPr>
              <w:t>Total comprehensive loss</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(146)</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20"/>
                <w:szCs w:val="20"/>
                <w:color w:val="auto"/>
              </w:rPr>
            </w:pPr>
            <w:r>
              <w:rPr>
                <w:rFonts w:ascii="Arial" w:cs="Arial" w:eastAsia="Arial" w:hAnsi="Arial"/>
                <w:sz w:val="11"/>
                <w:szCs w:val="11"/>
                <w:color w:val="auto"/>
              </w:rPr>
              <w:t>Net activity related to restricted stock units</w:t>
            </w:r>
          </w:p>
        </w:tc>
        <w:tc>
          <w:tcPr>
            <w:tcW w:w="8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(26)</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0.2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21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162"/>
        </w:trPr>
        <w:tc>
          <w:tcPr>
            <w:tcW w:w="2560" w:type="dxa"/>
            <w:vAlign w:val="bottom"/>
          </w:tcPr>
          <w:p>
            <w:pPr>
              <w:spacing w:after="0"/>
              <w:rPr>
                <w:sz w:val="20"/>
                <w:szCs w:val="20"/>
                <w:color w:val="auto"/>
              </w:rPr>
            </w:pPr>
            <w:r>
              <w:rPr>
                <w:rFonts w:ascii="Arial" w:cs="Arial" w:eastAsia="Arial" w:hAnsi="Arial"/>
                <w:sz w:val="11"/>
                <w:szCs w:val="11"/>
                <w:color w:val="auto"/>
              </w:rPr>
              <w:t>Repurchases of common stock</w:t>
            </w:r>
          </w:p>
        </w:tc>
        <w:tc>
          <w:tcPr>
            <w:tcW w:w="8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44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(0.1)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(10)</w:t>
            </w:r>
          </w:p>
        </w:tc>
        <w:tc>
          <w:tcPr>
            <w:tcW w:w="0" w:type="dxa"/>
            <w:vAlign w:val="bottom"/>
          </w:tcPr>
          <w:p>
            <w:pPr>
              <w:spacing w:after="0"/>
              <w:rPr>
                <w:sz w:val="1"/>
                <w:szCs w:val="1"/>
                <w:color w:val="auto"/>
              </w:rPr>
            </w:pPr>
          </w:p>
        </w:tc>
      </w:tr>
      <w:tr>
        <w:trPr>
          <w:trHeight w:val="76"/>
        </w:trPr>
        <w:tc>
          <w:tcPr>
            <w:tcW w:w="2560" w:type="dxa"/>
            <w:vAlign w:val="bottom"/>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2560" w:type="dxa"/>
            <w:vAlign w:val="bottom"/>
          </w:tcPr>
          <w:p>
            <w:pPr>
              <w:spacing w:after="0"/>
              <w:rPr>
                <w:sz w:val="20"/>
                <w:szCs w:val="20"/>
                <w:color w:val="auto"/>
              </w:rPr>
            </w:pPr>
            <w:r>
              <w:rPr>
                <w:rFonts w:ascii="Arial" w:cs="Arial" w:eastAsia="Arial" w:hAnsi="Arial"/>
                <w:sz w:val="11"/>
                <w:szCs w:val="11"/>
                <w:b w:val="1"/>
                <w:bCs w:val="1"/>
                <w:color w:val="auto"/>
              </w:rPr>
              <w:t>Balance at March 31, 2021</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137.1</w:t>
            </w:r>
          </w:p>
        </w:tc>
        <w:tc>
          <w:tcPr>
            <w:tcW w:w="120" w:type="dxa"/>
            <w:vAlign w:val="bottom"/>
          </w:tcPr>
          <w:p>
            <w:pPr>
              <w:spacing w:after="0"/>
              <w:rPr>
                <w:sz w:val="13"/>
                <w:szCs w:val="13"/>
                <w:color w:val="auto"/>
              </w:rPr>
            </w:pPr>
          </w:p>
        </w:tc>
        <w:tc>
          <w:tcPr>
            <w:tcW w:w="1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0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6,642</w:t>
            </w:r>
          </w:p>
        </w:tc>
        <w:tc>
          <w:tcPr>
            <w:tcW w:w="100" w:type="dxa"/>
            <w:vAlign w:val="bottom"/>
          </w:tcPr>
          <w:p>
            <w:pPr>
              <w:spacing w:after="0"/>
              <w:rPr>
                <w:sz w:val="13"/>
                <w:szCs w:val="13"/>
                <w:color w:val="auto"/>
              </w:rPr>
            </w:pPr>
          </w:p>
        </w:tc>
        <w:tc>
          <w:tcPr>
            <w:tcW w:w="440" w:type="dxa"/>
            <w:vAlign w:val="bottom"/>
            <w:tcBorders>
              <w:bottom w:val="single" w:sz="8" w:color="auto"/>
            </w:tcBorders>
          </w:tcPr>
          <w:p>
            <w:pPr>
              <w:jc w:val="right"/>
              <w:ind w:right="306"/>
              <w:spacing w:after="0"/>
              <w:rPr>
                <w:sz w:val="20"/>
                <w:szCs w:val="20"/>
                <w:color w:val="auto"/>
              </w:rPr>
            </w:pPr>
            <w:r>
              <w:rPr>
                <w:rFonts w:ascii="Arial" w:cs="Arial" w:eastAsia="Arial" w:hAnsi="Arial"/>
                <w:sz w:val="11"/>
                <w:szCs w:val="11"/>
                <w:color w:val="auto"/>
                <w:w w:val="97"/>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(1,640)</w:t>
            </w:r>
          </w:p>
        </w:tc>
        <w:tc>
          <w:tcPr>
            <w:tcW w:w="100" w:type="dxa"/>
            <w:vAlign w:val="bottom"/>
          </w:tcPr>
          <w:p>
            <w:pPr>
              <w:spacing w:after="0"/>
              <w:rPr>
                <w:sz w:val="13"/>
                <w:szCs w:val="1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(163)</w:t>
            </w:r>
          </w:p>
        </w:tc>
        <w:tc>
          <w:tcPr>
            <w:tcW w:w="100" w:type="dxa"/>
            <w:vAlign w:val="bottom"/>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(67.2)</w:t>
            </w:r>
          </w:p>
        </w:tc>
        <w:tc>
          <w:tcPr>
            <w:tcW w:w="100" w:type="dxa"/>
            <w:vAlign w:val="bottom"/>
          </w:tcPr>
          <w:p>
            <w:pPr>
              <w:spacing w:after="0"/>
              <w:rPr>
                <w:sz w:val="13"/>
                <w:szCs w:val="13"/>
                <w:color w:val="auto"/>
              </w:rPr>
            </w:pPr>
          </w:p>
        </w:tc>
        <w:tc>
          <w:tcPr>
            <w:tcW w:w="1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(5,156)</w:t>
            </w:r>
          </w:p>
        </w:tc>
        <w:tc>
          <w:tcPr>
            <w:tcW w:w="12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(316)</w:t>
            </w:r>
          </w:p>
        </w:tc>
        <w:tc>
          <w:tcPr>
            <w:tcW w:w="0" w:type="dxa"/>
            <w:vAlign w:val="bottom"/>
          </w:tcPr>
          <w:p>
            <w:pPr>
              <w:spacing w:after="0"/>
              <w:rPr>
                <w:sz w:val="1"/>
                <w:szCs w:val="1"/>
                <w:color w:val="auto"/>
              </w:rPr>
            </w:pPr>
          </w:p>
        </w:tc>
      </w:tr>
      <w:tr>
        <w:trPr>
          <w:trHeight w:val="21"/>
        </w:trPr>
        <w:tc>
          <w:tcPr>
            <w:tcW w:w="2560" w:type="dxa"/>
            <w:vAlign w:val="bottom"/>
            <w:vMerge w:val="restart"/>
          </w:tcPr>
          <w:p>
            <w:pPr>
              <w:spacing w:after="0"/>
              <w:rPr>
                <w:sz w:val="20"/>
                <w:szCs w:val="20"/>
                <w:color w:val="auto"/>
              </w:rPr>
            </w:pPr>
            <w:r>
              <w:rPr>
                <w:rFonts w:ascii="Arial" w:cs="Arial" w:eastAsia="Arial" w:hAnsi="Arial"/>
                <w:sz w:val="11"/>
                <w:szCs w:val="11"/>
                <w:b w:val="1"/>
                <w:bCs w:val="1"/>
                <w:color w:val="auto"/>
              </w:rPr>
              <w:t>Balance at December 31, 2019</w:t>
            </w: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22"/>
        </w:trPr>
        <w:tc>
          <w:tcPr>
            <w:tcW w:w="2560" w:type="dxa"/>
            <w:vAlign w:val="bottom"/>
            <w:vMerge w:val="continue"/>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137.1</w:t>
            </w:r>
          </w:p>
        </w:tc>
        <w:tc>
          <w:tcPr>
            <w:tcW w:w="120" w:type="dxa"/>
            <w:vAlign w:val="bottom"/>
          </w:tcPr>
          <w:p>
            <w:pPr>
              <w:spacing w:after="0"/>
              <w:rPr>
                <w:sz w:val="24"/>
                <w:szCs w:val="24"/>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040" w:type="dxa"/>
            <w:vAlign w:val="bottom"/>
          </w:tcPr>
          <w:p>
            <w:pPr>
              <w:jc w:val="right"/>
              <w:ind w:right="6"/>
              <w:spacing w:after="0"/>
              <w:rPr>
                <w:sz w:val="20"/>
                <w:szCs w:val="20"/>
                <w:color w:val="auto"/>
              </w:rPr>
            </w:pPr>
            <w:r>
              <w:rPr>
                <w:rFonts w:ascii="Arial" w:cs="Arial" w:eastAsia="Arial" w:hAnsi="Arial"/>
                <w:sz w:val="11"/>
                <w:szCs w:val="11"/>
                <w:color w:val="auto"/>
              </w:rPr>
              <w:t>6,741</w:t>
            </w:r>
          </w:p>
        </w:tc>
        <w:tc>
          <w:tcPr>
            <w:tcW w:w="100" w:type="dxa"/>
            <w:vAlign w:val="bottom"/>
          </w:tcPr>
          <w:p>
            <w:pPr>
              <w:spacing w:after="0"/>
              <w:rPr>
                <w:sz w:val="24"/>
                <w:szCs w:val="24"/>
                <w:color w:val="auto"/>
              </w:rPr>
            </w:pPr>
          </w:p>
        </w:tc>
        <w:tc>
          <w:tcPr>
            <w:tcW w:w="440" w:type="dxa"/>
            <w:vAlign w:val="bottom"/>
          </w:tcPr>
          <w:p>
            <w:pPr>
              <w:jc w:val="right"/>
              <w:ind w:right="306"/>
              <w:spacing w:after="0"/>
              <w:rPr>
                <w:sz w:val="20"/>
                <w:szCs w:val="20"/>
                <w:color w:val="auto"/>
              </w:rPr>
            </w:pPr>
            <w:r>
              <w:rPr>
                <w:rFonts w:ascii="Arial" w:cs="Arial" w:eastAsia="Arial" w:hAnsi="Arial"/>
                <w:sz w:val="11"/>
                <w:szCs w:val="11"/>
                <w:color w:val="auto"/>
                <w:w w:val="97"/>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(785)</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200" w:type="dxa"/>
            <w:vAlign w:val="bottom"/>
          </w:tcPr>
          <w:p>
            <w:pPr>
              <w:jc w:val="right"/>
              <w:spacing w:after="0"/>
              <w:rPr>
                <w:sz w:val="20"/>
                <w:szCs w:val="20"/>
                <w:color w:val="auto"/>
              </w:rPr>
            </w:pPr>
            <w:r>
              <w:rPr>
                <w:rFonts w:ascii="Arial" w:cs="Arial" w:eastAsia="Arial" w:hAnsi="Arial"/>
                <w:sz w:val="11"/>
                <w:szCs w:val="11"/>
                <w:color w:val="auto"/>
              </w:rPr>
              <w:t>(157)</w:t>
            </w: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(63.2)</w:t>
            </w:r>
          </w:p>
        </w:tc>
        <w:tc>
          <w:tcPr>
            <w:tcW w:w="100" w:type="dxa"/>
            <w:vAlign w:val="bottom"/>
          </w:tcPr>
          <w:p>
            <w:pPr>
              <w:spacing w:after="0"/>
              <w:rPr>
                <w:sz w:val="24"/>
                <w:szCs w:val="24"/>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(5,144)</w:t>
            </w:r>
          </w:p>
        </w:tc>
        <w:tc>
          <w:tcPr>
            <w:tcW w:w="12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120" w:type="dxa"/>
            <w:vAlign w:val="bottom"/>
          </w:tcPr>
          <w:p>
            <w:pPr>
              <w:jc w:val="right"/>
              <w:ind w:right="6"/>
              <w:spacing w:after="0"/>
              <w:rPr>
                <w:sz w:val="20"/>
                <w:szCs w:val="20"/>
                <w:color w:val="auto"/>
              </w:rPr>
            </w:pPr>
            <w:r>
              <w:rPr>
                <w:rFonts w:ascii="Arial" w:cs="Arial" w:eastAsia="Arial" w:hAnsi="Arial"/>
                <w:sz w:val="11"/>
                <w:szCs w:val="11"/>
                <w:color w:val="auto"/>
              </w:rPr>
              <w:t>656</w:t>
            </w:r>
          </w:p>
        </w:tc>
        <w:tc>
          <w:tcPr>
            <w:tcW w:w="0" w:type="dxa"/>
            <w:vAlign w:val="bottom"/>
          </w:tcPr>
          <w:p>
            <w:pPr>
              <w:spacing w:after="0"/>
              <w:rPr>
                <w:sz w:val="1"/>
                <w:szCs w:val="1"/>
                <w:color w:val="auto"/>
              </w:rPr>
            </w:pPr>
          </w:p>
        </w:tc>
      </w:tr>
      <w:tr>
        <w:trPr>
          <w:trHeight w:val="216"/>
        </w:trPr>
        <w:tc>
          <w:tcPr>
            <w:tcW w:w="2560" w:type="dxa"/>
            <w:vAlign w:val="bottom"/>
          </w:tcPr>
          <w:p>
            <w:pPr>
              <w:ind w:left="160"/>
              <w:spacing w:after="0"/>
              <w:rPr>
                <w:sz w:val="20"/>
                <w:szCs w:val="20"/>
                <w:color w:val="auto"/>
              </w:rPr>
            </w:pPr>
            <w:r>
              <w:rPr>
                <w:rFonts w:ascii="Arial" w:cs="Arial" w:eastAsia="Arial" w:hAnsi="Arial"/>
                <w:sz w:val="11"/>
                <w:szCs w:val="11"/>
                <w:color w:val="auto"/>
              </w:rPr>
              <w:t>Cumulative effect of accounting change</w:t>
            </w:r>
          </w:p>
        </w:tc>
        <w:tc>
          <w:tcPr>
            <w:tcW w:w="8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4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20"/>
                <w:szCs w:val="20"/>
                <w:color w:val="auto"/>
              </w:rPr>
            </w:pPr>
            <w:r>
              <w:rPr>
                <w:rFonts w:ascii="Arial" w:cs="Arial" w:eastAsia="Arial" w:hAnsi="Arial"/>
                <w:sz w:val="11"/>
                <w:szCs w:val="11"/>
                <w:b w:val="1"/>
                <w:bCs w:val="1"/>
                <w:color w:val="auto"/>
              </w:rPr>
              <w:t>Comprehensive loss:</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560" w:type="dxa"/>
            <w:vAlign w:val="bottom"/>
          </w:tcPr>
          <w:p>
            <w:pPr>
              <w:spacing w:after="0"/>
              <w:rPr>
                <w:sz w:val="20"/>
                <w:szCs w:val="20"/>
                <w:color w:val="auto"/>
              </w:rPr>
            </w:pPr>
            <w:r>
              <w:rPr>
                <w:rFonts w:ascii="Arial" w:cs="Arial" w:eastAsia="Arial" w:hAnsi="Arial"/>
                <w:sz w:val="11"/>
                <w:szCs w:val="11"/>
                <w:color w:val="auto"/>
              </w:rPr>
              <w:t>Net loss</w:t>
            </w:r>
          </w:p>
        </w:tc>
        <w:tc>
          <w:tcPr>
            <w:tcW w:w="8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4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(158)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60" w:type="dxa"/>
            <w:vAlign w:val="bottom"/>
          </w:tcPr>
          <w:p>
            <w:pPr>
              <w:spacing w:after="0"/>
              <w:rPr>
                <w:sz w:val="20"/>
                <w:szCs w:val="20"/>
                <w:color w:val="auto"/>
              </w:rPr>
            </w:pPr>
            <w:r>
              <w:rPr>
                <w:rFonts w:ascii="Arial" w:cs="Arial" w:eastAsia="Arial" w:hAnsi="Arial"/>
                <w:sz w:val="11"/>
                <w:szCs w:val="11"/>
                <w:color w:val="auto"/>
              </w:rPr>
              <w:t>Other comprehensive loss</w:t>
            </w:r>
          </w:p>
        </w:tc>
        <w:tc>
          <w:tcPr>
            <w:tcW w:w="8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44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(99)</w:t>
            </w:r>
          </w:p>
        </w:tc>
        <w:tc>
          <w:tcPr>
            <w:tcW w:w="10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560" w:type="dxa"/>
            <w:vAlign w:val="bottom"/>
          </w:tcPr>
          <w:p>
            <w:pPr>
              <w:spacing w:after="0"/>
              <w:rPr>
                <w:sz w:val="20"/>
                <w:szCs w:val="20"/>
                <w:color w:val="auto"/>
              </w:rPr>
            </w:pPr>
            <w:r>
              <w:rPr>
                <w:rFonts w:ascii="Arial" w:cs="Arial" w:eastAsia="Arial" w:hAnsi="Arial"/>
                <w:sz w:val="11"/>
                <w:szCs w:val="11"/>
                <w:b w:val="1"/>
                <w:bCs w:val="1"/>
                <w:color w:val="auto"/>
              </w:rPr>
              <w:t>Total comprehensive loss</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(257)</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20"/>
                <w:szCs w:val="20"/>
                <w:color w:val="auto"/>
              </w:rPr>
            </w:pPr>
            <w:r>
              <w:rPr>
                <w:rFonts w:ascii="Arial" w:cs="Arial" w:eastAsia="Arial" w:hAnsi="Arial"/>
                <w:sz w:val="11"/>
                <w:szCs w:val="11"/>
                <w:color w:val="auto"/>
              </w:rPr>
              <w:t>Net activity related to restricted stock units</w:t>
            </w:r>
          </w:p>
        </w:tc>
        <w:tc>
          <w:tcPr>
            <w:tcW w:w="8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(79)</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0.3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71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(8)</w:t>
            </w:r>
          </w:p>
        </w:tc>
        <w:tc>
          <w:tcPr>
            <w:tcW w:w="0" w:type="dxa"/>
            <w:vAlign w:val="bottom"/>
          </w:tcPr>
          <w:p>
            <w:pPr>
              <w:spacing w:after="0"/>
              <w:rPr>
                <w:sz w:val="1"/>
                <w:szCs w:val="1"/>
                <w:color w:val="auto"/>
              </w:rPr>
            </w:pPr>
          </w:p>
        </w:tc>
      </w:tr>
      <w:tr>
        <w:trPr>
          <w:trHeight w:val="162"/>
        </w:trPr>
        <w:tc>
          <w:tcPr>
            <w:tcW w:w="2560" w:type="dxa"/>
            <w:vAlign w:val="bottom"/>
          </w:tcPr>
          <w:p>
            <w:pPr>
              <w:spacing w:after="0"/>
              <w:rPr>
                <w:sz w:val="20"/>
                <w:szCs w:val="20"/>
                <w:color w:val="auto"/>
              </w:rPr>
            </w:pPr>
            <w:r>
              <w:rPr>
                <w:rFonts w:ascii="Arial" w:cs="Arial" w:eastAsia="Arial" w:hAnsi="Arial"/>
                <w:sz w:val="11"/>
                <w:szCs w:val="11"/>
                <w:color w:val="auto"/>
              </w:rPr>
              <w:t>Issuance of common stock</w:t>
            </w:r>
          </w:p>
        </w:tc>
        <w:tc>
          <w:tcPr>
            <w:tcW w:w="8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1040" w:type="dxa"/>
            <w:vAlign w:val="bottom"/>
          </w:tcPr>
          <w:p>
            <w:pPr>
              <w:jc w:val="right"/>
              <w:ind w:right="6"/>
              <w:spacing w:after="0"/>
              <w:rPr>
                <w:sz w:val="20"/>
                <w:szCs w:val="20"/>
                <w:color w:val="auto"/>
              </w:rPr>
            </w:pPr>
            <w:r>
              <w:rPr>
                <w:rFonts w:ascii="Arial" w:cs="Arial" w:eastAsia="Arial" w:hAnsi="Arial"/>
                <w:sz w:val="11"/>
                <w:szCs w:val="11"/>
                <w:color w:val="auto"/>
              </w:rPr>
              <w:t>15</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0.4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1120" w:type="dxa"/>
            <w:vAlign w:val="bottom"/>
          </w:tcPr>
          <w:p>
            <w:pPr>
              <w:jc w:val="right"/>
              <w:ind w:right="6"/>
              <w:spacing w:after="0"/>
              <w:rPr>
                <w:sz w:val="20"/>
                <w:szCs w:val="20"/>
                <w:color w:val="auto"/>
              </w:rPr>
            </w:pPr>
            <w:r>
              <w:rPr>
                <w:rFonts w:ascii="Arial" w:cs="Arial" w:eastAsia="Arial" w:hAnsi="Arial"/>
                <w:sz w:val="11"/>
                <w:szCs w:val="11"/>
                <w:color w:val="auto"/>
              </w:rPr>
              <w:t>15</w:t>
            </w:r>
          </w:p>
        </w:tc>
        <w:tc>
          <w:tcPr>
            <w:tcW w:w="0" w:type="dxa"/>
            <w:vAlign w:val="bottom"/>
          </w:tcPr>
          <w:p>
            <w:pPr>
              <w:spacing w:after="0"/>
              <w:rPr>
                <w:sz w:val="1"/>
                <w:szCs w:val="1"/>
                <w:color w:val="auto"/>
              </w:rPr>
            </w:pPr>
          </w:p>
        </w:tc>
      </w:tr>
      <w:tr>
        <w:trPr>
          <w:trHeight w:val="162"/>
        </w:trPr>
        <w:tc>
          <w:tcPr>
            <w:tcW w:w="2560" w:type="dxa"/>
            <w:vAlign w:val="bottom"/>
          </w:tcPr>
          <w:p>
            <w:pPr>
              <w:spacing w:after="0"/>
              <w:rPr>
                <w:sz w:val="20"/>
                <w:szCs w:val="20"/>
                <w:color w:val="auto"/>
              </w:rPr>
            </w:pPr>
            <w:r>
              <w:rPr>
                <w:rFonts w:ascii="Arial" w:cs="Arial" w:eastAsia="Arial" w:hAnsi="Arial"/>
                <w:sz w:val="11"/>
                <w:szCs w:val="11"/>
                <w:color w:val="auto"/>
              </w:rPr>
              <w:t>Repurchases of common stock</w:t>
            </w:r>
          </w:p>
        </w:tc>
        <w:tc>
          <w:tcPr>
            <w:tcW w:w="8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44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(5.0)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(113)</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(113)</w:t>
            </w:r>
          </w:p>
        </w:tc>
        <w:tc>
          <w:tcPr>
            <w:tcW w:w="0" w:type="dxa"/>
            <w:vAlign w:val="bottom"/>
          </w:tcPr>
          <w:p>
            <w:pPr>
              <w:spacing w:after="0"/>
              <w:rPr>
                <w:sz w:val="1"/>
                <w:szCs w:val="1"/>
                <w:color w:val="auto"/>
              </w:rPr>
            </w:pPr>
          </w:p>
        </w:tc>
      </w:tr>
      <w:tr>
        <w:trPr>
          <w:trHeight w:val="76"/>
        </w:trPr>
        <w:tc>
          <w:tcPr>
            <w:tcW w:w="2560" w:type="dxa"/>
            <w:vAlign w:val="bottom"/>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2560" w:type="dxa"/>
            <w:vAlign w:val="bottom"/>
          </w:tcPr>
          <w:p>
            <w:pPr>
              <w:spacing w:after="0"/>
              <w:rPr>
                <w:sz w:val="20"/>
                <w:szCs w:val="20"/>
                <w:color w:val="auto"/>
              </w:rPr>
            </w:pPr>
            <w:r>
              <w:rPr>
                <w:rFonts w:ascii="Arial" w:cs="Arial" w:eastAsia="Arial" w:hAnsi="Arial"/>
                <w:sz w:val="11"/>
                <w:szCs w:val="11"/>
                <w:b w:val="1"/>
                <w:bCs w:val="1"/>
                <w:color w:val="auto"/>
              </w:rPr>
              <w:t>Balance at March 31, 2020</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137.1</w:t>
            </w:r>
          </w:p>
        </w:tc>
        <w:tc>
          <w:tcPr>
            <w:tcW w:w="120" w:type="dxa"/>
            <w:vAlign w:val="bottom"/>
          </w:tcPr>
          <w:p>
            <w:pPr>
              <w:spacing w:after="0"/>
              <w:rPr>
                <w:sz w:val="13"/>
                <w:szCs w:val="13"/>
                <w:color w:val="auto"/>
              </w:rPr>
            </w:pPr>
          </w:p>
        </w:tc>
        <w:tc>
          <w:tcPr>
            <w:tcW w:w="1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0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6,677</w:t>
            </w:r>
          </w:p>
        </w:tc>
        <w:tc>
          <w:tcPr>
            <w:tcW w:w="100" w:type="dxa"/>
            <w:vAlign w:val="bottom"/>
          </w:tcPr>
          <w:p>
            <w:pPr>
              <w:spacing w:after="0"/>
              <w:rPr>
                <w:sz w:val="13"/>
                <w:szCs w:val="13"/>
                <w:color w:val="auto"/>
              </w:rPr>
            </w:pPr>
          </w:p>
        </w:tc>
        <w:tc>
          <w:tcPr>
            <w:tcW w:w="440" w:type="dxa"/>
            <w:vAlign w:val="bottom"/>
            <w:tcBorders>
              <w:bottom w:val="single" w:sz="8" w:color="auto"/>
            </w:tcBorders>
          </w:tcPr>
          <w:p>
            <w:pPr>
              <w:jc w:val="right"/>
              <w:ind w:right="306"/>
              <w:spacing w:after="0"/>
              <w:rPr>
                <w:sz w:val="20"/>
                <w:szCs w:val="20"/>
                <w:color w:val="auto"/>
              </w:rPr>
            </w:pPr>
            <w:r>
              <w:rPr>
                <w:rFonts w:ascii="Arial" w:cs="Arial" w:eastAsia="Arial" w:hAnsi="Arial"/>
                <w:sz w:val="11"/>
                <w:szCs w:val="11"/>
                <w:color w:val="auto"/>
                <w:w w:val="97"/>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(944)</w:t>
            </w:r>
          </w:p>
        </w:tc>
        <w:tc>
          <w:tcPr>
            <w:tcW w:w="100" w:type="dxa"/>
            <w:vAlign w:val="bottom"/>
          </w:tcPr>
          <w:p>
            <w:pPr>
              <w:spacing w:after="0"/>
              <w:rPr>
                <w:sz w:val="13"/>
                <w:szCs w:val="1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(256)</w:t>
            </w:r>
          </w:p>
        </w:tc>
        <w:tc>
          <w:tcPr>
            <w:tcW w:w="100" w:type="dxa"/>
            <w:vAlign w:val="bottom"/>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(67.5)</w:t>
            </w:r>
          </w:p>
        </w:tc>
        <w:tc>
          <w:tcPr>
            <w:tcW w:w="100" w:type="dxa"/>
            <w:vAlign w:val="bottom"/>
          </w:tcPr>
          <w:p>
            <w:pPr>
              <w:spacing w:after="0"/>
              <w:rPr>
                <w:sz w:val="13"/>
                <w:szCs w:val="13"/>
                <w:color w:val="auto"/>
              </w:rPr>
            </w:pPr>
          </w:p>
        </w:tc>
        <w:tc>
          <w:tcPr>
            <w:tcW w:w="1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(5,186)</w:t>
            </w:r>
          </w:p>
        </w:tc>
        <w:tc>
          <w:tcPr>
            <w:tcW w:w="12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1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292</w:t>
            </w: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Notes to Consolidated Condensed Financial Statements (Unaudited).</w:t>
      </w:r>
    </w:p>
    <w:p>
      <w:pPr>
        <w:sectPr>
          <w:pgSz w:w="11900" w:h="16838" w:orient="portrait"/>
          <w:cols w:equalWidth="0" w:num="1">
            <w:col w:w="11200"/>
          </w:cols>
          <w:pgMar w:left="320" w:top="140"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Avis Budget Group,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CONDENSED FINANCIAL STATEMENTS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(Unless otherwise noted, all dollar amounts in tables are in millions, except per share amounts)</w:t>
      </w:r>
    </w:p>
    <w:p>
      <w:pPr>
        <w:spacing w:after="0" w:line="200" w:lineRule="exact"/>
        <w:rPr>
          <w:sz w:val="20"/>
          <w:szCs w:val="20"/>
          <w:color w:val="auto"/>
        </w:rPr>
      </w:pPr>
    </w:p>
    <w:p>
      <w:pPr>
        <w:spacing w:after="0" w:line="273" w:lineRule="exact"/>
        <w:rPr>
          <w:sz w:val="20"/>
          <w:szCs w:val="20"/>
          <w:color w:val="auto"/>
        </w:rPr>
      </w:pPr>
    </w:p>
    <w:p>
      <w:pPr>
        <w:ind w:left="360" w:hanging="352"/>
        <w:spacing w:after="0"/>
        <w:tabs>
          <w:tab w:leader="none" w:pos="3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74" w:lineRule="exact"/>
        <w:rPr>
          <w:sz w:val="20"/>
          <w:szCs w:val="20"/>
          <w:color w:val="auto"/>
        </w:rPr>
      </w:pPr>
    </w:p>
    <w:p>
      <w:pPr>
        <w:ind w:left="500"/>
        <w:spacing w:after="0" w:line="253" w:lineRule="auto"/>
        <w:rPr>
          <w:sz w:val="20"/>
          <w:szCs w:val="20"/>
          <w:color w:val="auto"/>
        </w:rPr>
      </w:pPr>
      <w:r>
        <w:rPr>
          <w:rFonts w:ascii="Arial" w:cs="Arial" w:eastAsia="Arial" w:hAnsi="Arial"/>
          <w:sz w:val="18"/>
          <w:szCs w:val="18"/>
          <w:color w:val="auto"/>
        </w:rPr>
        <w:t>Avis Budget Group, Inc. provides mobility solutions to businesses and consumers worldwide. The accompanying unaudited Consolidated Condensed Financial Statements include the accounts and transactions of Avis Budget Group, Inc. and its subsidiaries, as well as entities in which Avis Budget Group, Inc. directly or indirectly has a controlling financial interest (collectively, the “Company”), and have been prepared pursuant to the rules and regulations of the U.S. Securities and Exchange Commission for interim financial reporting.</w:t>
      </w:r>
    </w:p>
    <w:p>
      <w:pPr>
        <w:spacing w:after="0" w:line="15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operates the following reportable business segments:</w:t>
      </w:r>
    </w:p>
    <w:p>
      <w:pPr>
        <w:spacing w:after="0" w:line="230" w:lineRule="exact"/>
        <w:rPr>
          <w:sz w:val="20"/>
          <w:szCs w:val="20"/>
          <w:color w:val="auto"/>
        </w:rPr>
      </w:pPr>
    </w:p>
    <w:p>
      <w:pPr>
        <w:ind w:left="1300" w:right="60" w:hanging="482"/>
        <w:spacing w:after="0" w:line="268" w:lineRule="auto"/>
        <w:tabs>
          <w:tab w:leader="none" w:pos="1295"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Americas</w:t>
      </w:r>
      <w:r>
        <w:rPr>
          <w:rFonts w:ascii="Arial" w:cs="Arial" w:eastAsia="Arial" w:hAnsi="Arial"/>
          <w:sz w:val="18"/>
          <w:szCs w:val="18"/>
          <w:color w:val="auto"/>
        </w:rPr>
        <w:t>—consisting primarily of (i) vehicle rental operations in North America, South America, Central America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Caribbean, (ii) car sharing operations in certain of these markets, and (iii) licensees in the areas in which the Company does not operate directly.</w:t>
      </w:r>
    </w:p>
    <w:p>
      <w:pPr>
        <w:spacing w:after="0" w:line="197" w:lineRule="exact"/>
        <w:rPr>
          <w:rFonts w:ascii="Arial" w:cs="Arial" w:eastAsia="Arial" w:hAnsi="Arial"/>
          <w:sz w:val="18"/>
          <w:szCs w:val="18"/>
          <w:color w:val="auto"/>
        </w:rPr>
      </w:pPr>
    </w:p>
    <w:p>
      <w:pPr>
        <w:ind w:left="1300" w:right="20" w:hanging="482"/>
        <w:spacing w:after="0" w:line="268" w:lineRule="auto"/>
        <w:tabs>
          <w:tab w:leader="none" w:pos="1295"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International</w:t>
      </w:r>
      <w:r>
        <w:rPr>
          <w:rFonts w:ascii="Arial" w:cs="Arial" w:eastAsia="Arial" w:hAnsi="Arial"/>
          <w:sz w:val="18"/>
          <w:szCs w:val="18"/>
          <w:color w:val="auto"/>
        </w:rPr>
        <w:t>—consisting primarily of (i) vehicle rental operations in Europe, the Middle East, Africa, Asia and Australasia,</w:t>
      </w:r>
      <w:r>
        <w:rPr>
          <w:rFonts w:ascii="Arial" w:cs="Arial" w:eastAsia="Arial" w:hAnsi="Arial"/>
          <w:sz w:val="18"/>
          <w:szCs w:val="18"/>
          <w:b w:val="1"/>
          <w:bCs w:val="1"/>
          <w:color w:val="auto"/>
        </w:rPr>
        <w:t xml:space="preserve"> </w:t>
      </w:r>
      <w:r>
        <w:rPr>
          <w:rFonts w:ascii="Arial" w:cs="Arial" w:eastAsia="Arial" w:hAnsi="Arial"/>
          <w:sz w:val="18"/>
          <w:szCs w:val="18"/>
          <w:color w:val="auto"/>
        </w:rPr>
        <w:t>(ii) car sharing operations in certain of these markets, and (iii) licensees in the areas in which the Company does not operate directly.</w:t>
      </w:r>
    </w:p>
    <w:p>
      <w:pPr>
        <w:spacing w:after="0" w:line="220" w:lineRule="exact"/>
        <w:rPr>
          <w:sz w:val="20"/>
          <w:szCs w:val="20"/>
          <w:color w:val="auto"/>
        </w:rPr>
      </w:pPr>
    </w:p>
    <w:p>
      <w:pPr>
        <w:ind w:left="500" w:right="200"/>
        <w:spacing w:after="0" w:line="256" w:lineRule="auto"/>
        <w:rPr>
          <w:sz w:val="20"/>
          <w:szCs w:val="20"/>
          <w:color w:val="auto"/>
        </w:rPr>
      </w:pPr>
      <w:r>
        <w:rPr>
          <w:rFonts w:ascii="Arial" w:cs="Arial" w:eastAsia="Arial" w:hAnsi="Arial"/>
          <w:sz w:val="18"/>
          <w:szCs w:val="18"/>
          <w:color w:val="auto"/>
        </w:rPr>
        <w:t>The operating results of acquired businesses are included in the accompanying Consolidated Condensed Financial Statements from the dates of acquisition. Differences between the preliminary allocation of purchase price and the final allocation for the Company’s 2020 acquisitions of various licensees were not material.</w:t>
      </w:r>
    </w:p>
    <w:p>
      <w:pPr>
        <w:spacing w:after="0" w:line="229" w:lineRule="exact"/>
        <w:rPr>
          <w:sz w:val="20"/>
          <w:szCs w:val="20"/>
          <w:color w:val="auto"/>
        </w:rPr>
      </w:pPr>
    </w:p>
    <w:p>
      <w:pPr>
        <w:ind w:left="500" w:right="40"/>
        <w:spacing w:after="0" w:line="252" w:lineRule="auto"/>
        <w:rPr>
          <w:sz w:val="20"/>
          <w:szCs w:val="20"/>
          <w:color w:val="auto"/>
        </w:rPr>
      </w:pPr>
      <w:r>
        <w:rPr>
          <w:rFonts w:ascii="Arial" w:cs="Arial" w:eastAsia="Arial" w:hAnsi="Arial"/>
          <w:sz w:val="18"/>
          <w:szCs w:val="18"/>
          <w:color w:val="auto"/>
        </w:rPr>
        <w:t>In presenting the Consolidated Condensed Financial Statements in accordance with accounting principles generally accepted in the United States of America (“GAAP”), management makes estimates and assumptions that affect the amounts reported and related disclosures. Estimates, by their nature, are based on judgment and available information. Accordingly, actual results could differ from those estimates. In management’s opinion, the Consolidated Condensed Financial Statements contain all adjustments necessary for a fair presentation of interim results reported. The results of operations reported for interim periods are not necessarily indicative of the results of operations for the entire year or any subsequent interim period. These financial statements should be read in conjunction with the Company’s 2020 Form 10-K.</w:t>
      </w:r>
    </w:p>
    <w:p>
      <w:pPr>
        <w:spacing w:after="0" w:line="21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Liquidity and Management’s Plans</w:t>
      </w:r>
    </w:p>
    <w:p>
      <w:pPr>
        <w:spacing w:after="0" w:line="274" w:lineRule="exact"/>
        <w:rPr>
          <w:sz w:val="20"/>
          <w:szCs w:val="20"/>
          <w:color w:val="auto"/>
        </w:rPr>
      </w:pPr>
    </w:p>
    <w:p>
      <w:pPr>
        <w:ind w:left="500"/>
        <w:spacing w:after="0" w:line="253" w:lineRule="auto"/>
        <w:rPr>
          <w:sz w:val="20"/>
          <w:szCs w:val="20"/>
          <w:color w:val="auto"/>
        </w:rPr>
      </w:pPr>
      <w:r>
        <w:rPr>
          <w:rFonts w:ascii="Arial" w:cs="Arial" w:eastAsia="Arial" w:hAnsi="Arial"/>
          <w:sz w:val="18"/>
          <w:szCs w:val="18"/>
          <w:color w:val="auto"/>
        </w:rPr>
        <w:t>The continuing cases of COVID-19 and the developments surrounding the pandemic are having a material impact on certain aspects of the Company’s business. Significant events affecting travel and the overall economy have historically had an impact on vehicle rental volumes, with the full extent of the impact generally determined by the length of time the event influences travel decisions as well as general economic conditions. The Company believes the ongoing effects of COVID-19 and resulting economic conditions have had, and will continue to have, an adverse impact on its operations and vehicle rental volumes, and on its financial results and liquidity.</w:t>
      </w:r>
    </w:p>
    <w:p>
      <w:pPr>
        <w:spacing w:after="0" w:line="232" w:lineRule="exact"/>
        <w:rPr>
          <w:sz w:val="20"/>
          <w:szCs w:val="20"/>
          <w:color w:val="auto"/>
        </w:rPr>
      </w:pPr>
    </w:p>
    <w:p>
      <w:pPr>
        <w:ind w:left="500" w:right="20"/>
        <w:spacing w:after="0" w:line="252" w:lineRule="auto"/>
        <w:rPr>
          <w:sz w:val="20"/>
          <w:szCs w:val="20"/>
          <w:color w:val="auto"/>
        </w:rPr>
      </w:pPr>
      <w:r>
        <w:rPr>
          <w:rFonts w:ascii="Arial" w:cs="Arial" w:eastAsia="Arial" w:hAnsi="Arial"/>
          <w:sz w:val="18"/>
          <w:szCs w:val="18"/>
          <w:color w:val="auto"/>
        </w:rPr>
        <w:t>The Company cannot assure its assumptions used to estimate its liquidity requirements will be correct because it has never previously experienced such a change in demand, and as a consequence, its ability to be predictive is uncertain. In addition, the duration of the pandemic is uncertain. Therefore, the Company has taken actions to manage its liquidity, including reducing capital expenditures, operating expenses and the number of vehicles in its fleet. The Company has no meaningful corporate debt maturities until 2023. The Company plans to finance the routine Asset Backed Securities (“ABS”) maturities with program cash on hand, available revolving debt capacity, new term note issuances and fleet sales. As a result, based on current operational assumptions, the Company believes it has adequate liquidity beyond the next twelve months.</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00" w:right="80"/>
        <w:spacing w:after="0" w:line="252" w:lineRule="auto"/>
        <w:rPr>
          <w:sz w:val="20"/>
          <w:szCs w:val="20"/>
          <w:color w:val="auto"/>
        </w:rPr>
      </w:pPr>
      <w:r>
        <w:rPr>
          <w:rFonts w:ascii="Arial" w:cs="Arial" w:eastAsia="Arial" w:hAnsi="Arial"/>
          <w:sz w:val="18"/>
          <w:szCs w:val="18"/>
          <w:color w:val="auto"/>
        </w:rPr>
        <w:t>In April 2020, the Company entered into an amendment (the “Amendment”) to its senior credit facilities, consisting of an approximately $1.2 billion term loan maturing in 2027 and a $1.8 billion revolving credit facility maturing in 2023, which remain in place after the Amendment. The Amendment provides for relief from the quarterly-tested leverage covenant contained in the credit agreement governing the senior credit facilities until the end of a specific relief period, including a holiday from such leverage covenant through June 30, 2021, during which time (i) certain negative covenant exceptions are not available to the Company, (ii) pricing on the senior credit facilities is increased, (iii) the Company must comply with a liquidity covenant and additional reporting requirements and (iv) the Company must meet additional conditions to borrow under the revolving credit facility. In February 2021, the Company subsequently amended the credit agreement to permit refinancing of certain existing indebtedness.</w:t>
      </w:r>
    </w:p>
    <w:p>
      <w:pPr>
        <w:spacing w:after="0" w:line="21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Summary of Significant Accounting Policies</w:t>
      </w:r>
    </w:p>
    <w:p>
      <w:pPr>
        <w:spacing w:after="0" w:line="274" w:lineRule="exact"/>
        <w:rPr>
          <w:sz w:val="20"/>
          <w:szCs w:val="20"/>
          <w:color w:val="auto"/>
        </w:rPr>
      </w:pPr>
    </w:p>
    <w:p>
      <w:pPr>
        <w:ind w:left="500" w:right="120"/>
        <w:spacing w:after="0" w:line="261" w:lineRule="auto"/>
        <w:rPr>
          <w:sz w:val="20"/>
          <w:szCs w:val="20"/>
          <w:color w:val="auto"/>
        </w:rPr>
      </w:pPr>
      <w:r>
        <w:rPr>
          <w:rFonts w:ascii="Arial" w:cs="Arial" w:eastAsia="Arial" w:hAnsi="Arial"/>
          <w:sz w:val="18"/>
          <w:szCs w:val="18"/>
          <w:color w:val="auto"/>
        </w:rPr>
        <w:t>The Company’s significant accounting policies are fully described in Note 2, “Summary of Significant Accounting Policies,” in the 2020 Form 10-K.</w:t>
      </w:r>
    </w:p>
    <w:p>
      <w:pPr>
        <w:spacing w:after="0" w:line="207" w:lineRule="exact"/>
        <w:rPr>
          <w:sz w:val="20"/>
          <w:szCs w:val="20"/>
          <w:color w:val="auto"/>
        </w:rPr>
      </w:pPr>
    </w:p>
    <w:p>
      <w:pPr>
        <w:ind w:left="500" w:right="200"/>
        <w:spacing w:after="0" w:line="264" w:lineRule="auto"/>
        <w:rPr>
          <w:sz w:val="20"/>
          <w:szCs w:val="20"/>
          <w:color w:val="auto"/>
        </w:rPr>
      </w:pPr>
      <w:r>
        <w:rPr>
          <w:rFonts w:ascii="Arial" w:cs="Arial" w:eastAsia="Arial" w:hAnsi="Arial"/>
          <w:sz w:val="18"/>
          <w:szCs w:val="18"/>
          <w:i w:val="1"/>
          <w:iCs w:val="1"/>
          <w:color w:val="auto"/>
        </w:rPr>
        <w:t xml:space="preserve">Cash and cash equivalents, Program cash and Restricted cash. </w:t>
      </w:r>
      <w:r>
        <w:rPr>
          <w:rFonts w:ascii="Arial" w:cs="Arial" w:eastAsia="Arial" w:hAnsi="Arial"/>
          <w:sz w:val="18"/>
          <w:szCs w:val="18"/>
          <w:color w:val="auto"/>
        </w:rPr>
        <w:t>The following table provides a detail of cash and cash equivalents,</w:t>
      </w:r>
      <w:r>
        <w:rPr>
          <w:rFonts w:ascii="Arial" w:cs="Arial" w:eastAsia="Arial" w:hAnsi="Arial"/>
          <w:sz w:val="18"/>
          <w:szCs w:val="18"/>
          <w:i w:val="1"/>
          <w:iCs w:val="1"/>
          <w:color w:val="auto"/>
        </w:rPr>
        <w:t xml:space="preserve"> </w:t>
      </w:r>
      <w:r>
        <w:rPr>
          <w:rFonts w:ascii="Arial" w:cs="Arial" w:eastAsia="Arial" w:hAnsi="Arial"/>
          <w:sz w:val="18"/>
          <w:szCs w:val="18"/>
          <w:color w:val="auto"/>
        </w:rPr>
        <w:t>program and restricted cash reported within the Consolidated Condensed Balance Sheets to the amounts shown in the Consolidated Condensed Statements of Cash Flows.</w:t>
      </w:r>
    </w:p>
    <w:p>
      <w:pPr>
        <w:spacing w:after="0" w:line="1" w:lineRule="exact"/>
        <w:rPr>
          <w:sz w:val="20"/>
          <w:szCs w:val="20"/>
          <w:color w:val="auto"/>
        </w:rPr>
      </w:pPr>
    </w:p>
    <w:tbl>
      <w:tblPr>
        <w:tblLayout w:type="fixed"/>
        <w:tblInd w:w="520" w:type="dxa"/>
        <w:tblCellMar>
          <w:top w:w="0" w:type="dxa"/>
          <w:left w:w="0" w:type="dxa"/>
          <w:bottom w:w="0" w:type="dxa"/>
          <w:right w:w="0" w:type="dxa"/>
        </w:tblCellMar>
      </w:tblPr>
      <w:tr>
        <w:trPr>
          <w:trHeight w:val="239"/>
        </w:trPr>
        <w:tc>
          <w:tcPr>
            <w:tcW w:w="7120" w:type="dxa"/>
            <w:vAlign w:val="bottom"/>
          </w:tcPr>
          <w:p>
            <w:pPr>
              <w:spacing w:after="0"/>
              <w:rPr>
                <w:sz w:val="20"/>
                <w:szCs w:val="20"/>
                <w:color w:val="auto"/>
              </w:rPr>
            </w:pPr>
          </w:p>
        </w:tc>
        <w:tc>
          <w:tcPr>
            <w:tcW w:w="2500" w:type="dxa"/>
            <w:vAlign w:val="bottom"/>
            <w:tcBorders>
              <w:bottom w:val="single" w:sz="8" w:color="auto"/>
            </w:tcBorders>
            <w:gridSpan w:val="4"/>
          </w:tcPr>
          <w:p>
            <w:pPr>
              <w:jc w:val="right"/>
              <w:ind w:right="270"/>
              <w:spacing w:after="0"/>
              <w:rPr>
                <w:sz w:val="20"/>
                <w:szCs w:val="20"/>
                <w:color w:val="auto"/>
              </w:rPr>
            </w:pPr>
            <w:r>
              <w:rPr>
                <w:rFonts w:ascii="Arial" w:cs="Arial" w:eastAsia="Arial" w:hAnsi="Arial"/>
                <w:sz w:val="18"/>
                <w:szCs w:val="18"/>
                <w:b w:val="1"/>
                <w:bCs w:val="1"/>
                <w:color w:val="auto"/>
              </w:rPr>
              <w:t>As of March 31,</w:t>
            </w:r>
          </w:p>
        </w:tc>
        <w:tc>
          <w:tcPr>
            <w:tcW w:w="460" w:type="dxa"/>
            <w:vAlign w:val="bottom"/>
            <w:tcBorders>
              <w:bottom w:val="single" w:sz="8" w:color="auto"/>
            </w:tcBorders>
          </w:tcPr>
          <w:p>
            <w:pPr>
              <w:spacing w:after="0"/>
              <w:rPr>
                <w:sz w:val="20"/>
                <w:szCs w:val="20"/>
                <w:color w:val="auto"/>
              </w:rPr>
            </w:pPr>
          </w:p>
        </w:tc>
      </w:tr>
      <w:tr>
        <w:trPr>
          <w:trHeight w:val="223"/>
        </w:trPr>
        <w:tc>
          <w:tcPr>
            <w:tcW w:w="712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460" w:type="dxa"/>
            <w:vAlign w:val="bottom"/>
            <w:tcBorders>
              <w:bottom w:val="single" w:sz="8" w:color="auto"/>
            </w:tcBorders>
          </w:tcPr>
          <w:p>
            <w:pPr>
              <w:spacing w:after="0"/>
              <w:rPr>
                <w:sz w:val="19"/>
                <w:szCs w:val="19"/>
                <w:color w:val="auto"/>
              </w:rPr>
            </w:pPr>
          </w:p>
        </w:tc>
      </w:tr>
      <w:tr>
        <w:trPr>
          <w:trHeight w:val="223"/>
        </w:trPr>
        <w:tc>
          <w:tcPr>
            <w:tcW w:w="71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980" w:type="dxa"/>
            <w:vAlign w:val="bottom"/>
          </w:tcPr>
          <w:p>
            <w:pPr>
              <w:jc w:val="right"/>
              <w:ind w:right="770"/>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576</w:t>
            </w:r>
          </w:p>
        </w:tc>
        <w:tc>
          <w:tcPr>
            <w:tcW w:w="120" w:type="dxa"/>
            <w:vAlign w:val="bottom"/>
          </w:tcPr>
          <w:p>
            <w:pPr>
              <w:spacing w:after="0"/>
              <w:rPr>
                <w:sz w:val="19"/>
                <w:szCs w:val="19"/>
                <w:color w:val="auto"/>
              </w:rPr>
            </w:pP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679</w:t>
            </w:r>
          </w:p>
        </w:tc>
      </w:tr>
      <w:tr>
        <w:trPr>
          <w:trHeight w:val="230"/>
        </w:trPr>
        <w:tc>
          <w:tcPr>
            <w:tcW w:w="7120" w:type="dxa"/>
            <w:vAlign w:val="bottom"/>
          </w:tcPr>
          <w:p>
            <w:pPr>
              <w:spacing w:after="0"/>
              <w:rPr>
                <w:sz w:val="20"/>
                <w:szCs w:val="20"/>
                <w:color w:val="auto"/>
              </w:rPr>
            </w:pPr>
            <w:r>
              <w:rPr>
                <w:rFonts w:ascii="Arial" w:cs="Arial" w:eastAsia="Arial" w:hAnsi="Arial"/>
                <w:sz w:val="18"/>
                <w:szCs w:val="18"/>
                <w:color w:val="auto"/>
              </w:rPr>
              <w:t>Program cash</w:t>
            </w:r>
          </w:p>
        </w:tc>
        <w:tc>
          <w:tcPr>
            <w:tcW w:w="9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29"/>
        </w:trPr>
        <w:tc>
          <w:tcPr>
            <w:tcW w:w="7120" w:type="dxa"/>
            <w:vAlign w:val="bottom"/>
          </w:tcPr>
          <w:p>
            <w:pPr>
              <w:spacing w:after="0"/>
              <w:rPr>
                <w:sz w:val="20"/>
                <w:szCs w:val="20"/>
                <w:color w:val="auto"/>
              </w:rPr>
            </w:pPr>
            <w:r>
              <w:rPr>
                <w:rFonts w:ascii="Arial" w:cs="Arial" w:eastAsia="Arial" w:hAnsi="Arial"/>
                <w:sz w:val="18"/>
                <w:szCs w:val="18"/>
                <w:color w:val="auto"/>
              </w:rPr>
              <w:t xml:space="preserve">Restricted cash </w:t>
            </w:r>
            <w:r>
              <w:rPr>
                <w:rFonts w:ascii="Arial" w:cs="Arial" w:eastAsia="Arial" w:hAnsi="Arial"/>
                <w:sz w:val="9"/>
                <w:szCs w:val="9"/>
                <w:color w:val="auto"/>
              </w:rPr>
              <w:t>(a)</w:t>
            </w:r>
          </w:p>
        </w:tc>
        <w:tc>
          <w:tcPr>
            <w:tcW w:w="9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7120" w:type="dxa"/>
            <w:vAlign w:val="bottom"/>
          </w:tcPr>
          <w:p>
            <w:pPr>
              <w:spacing w:after="0"/>
              <w:rPr>
                <w:sz w:val="20"/>
                <w:szCs w:val="20"/>
                <w:color w:val="auto"/>
              </w:rPr>
            </w:pPr>
            <w:r>
              <w:rPr>
                <w:rFonts w:ascii="Arial" w:cs="Arial" w:eastAsia="Arial" w:hAnsi="Arial"/>
                <w:sz w:val="18"/>
                <w:szCs w:val="18"/>
                <w:color w:val="auto"/>
              </w:rPr>
              <w:t>Total cash and cash equivalents, program and restricted cash</w:t>
            </w:r>
          </w:p>
        </w:tc>
        <w:tc>
          <w:tcPr>
            <w:tcW w:w="98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w:t>
            </w:r>
          </w:p>
        </w:tc>
        <w:tc>
          <w:tcPr>
            <w:tcW w:w="120" w:type="dxa"/>
            <w:vAlign w:val="bottom"/>
          </w:tcPr>
          <w:p>
            <w:pPr>
              <w:spacing w:after="0"/>
              <w:rPr>
                <w:sz w:val="19"/>
                <w:szCs w:val="19"/>
                <w:color w:val="auto"/>
              </w:rPr>
            </w:pPr>
          </w:p>
        </w:tc>
        <w:tc>
          <w:tcPr>
            <w:tcW w:w="96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w:t>
            </w:r>
          </w:p>
        </w:tc>
      </w:tr>
      <w:tr>
        <w:trPr>
          <w:trHeight w:val="21"/>
        </w:trPr>
        <w:tc>
          <w:tcPr>
            <w:tcW w:w="7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bl>
    <w:p>
      <w:pPr>
        <w:spacing w:after="0" w:line="10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________</w:t>
      </w:r>
    </w:p>
    <w:p>
      <w:pPr>
        <w:ind w:left="820" w:hanging="326"/>
        <w:spacing w:after="0" w:line="198" w:lineRule="auto"/>
        <w:tabs>
          <w:tab w:leader="none" w:pos="820" w:val="left"/>
        </w:tabs>
        <w:numPr>
          <w:ilvl w:val="0"/>
          <w:numId w:val="5"/>
        </w:numPr>
        <w:rPr>
          <w:rFonts w:ascii="Arial" w:cs="Arial" w:eastAsia="Arial" w:hAnsi="Arial"/>
          <w:sz w:val="19"/>
          <w:szCs w:val="19"/>
          <w:color w:val="auto"/>
          <w:vertAlign w:val="superscript"/>
        </w:rPr>
      </w:pPr>
      <w:r>
        <w:rPr>
          <w:rFonts w:ascii="Arial" w:cs="Arial" w:eastAsia="Arial" w:hAnsi="Arial"/>
          <w:sz w:val="14"/>
          <w:szCs w:val="14"/>
          <w:color w:val="auto"/>
        </w:rPr>
        <w:t>Included within other current assets.</w:t>
      </w:r>
    </w:p>
    <w:p>
      <w:pPr>
        <w:spacing w:after="0" w:line="210" w:lineRule="exact"/>
        <w:rPr>
          <w:sz w:val="20"/>
          <w:szCs w:val="20"/>
          <w:color w:val="auto"/>
        </w:rPr>
      </w:pPr>
    </w:p>
    <w:p>
      <w:pPr>
        <w:ind w:left="500" w:right="20"/>
        <w:spacing w:after="0" w:line="256" w:lineRule="auto"/>
        <w:rPr>
          <w:sz w:val="20"/>
          <w:szCs w:val="20"/>
          <w:color w:val="auto"/>
        </w:rPr>
      </w:pPr>
      <w:r>
        <w:rPr>
          <w:rFonts w:ascii="Arial" w:cs="Arial" w:eastAsia="Arial" w:hAnsi="Arial"/>
          <w:sz w:val="18"/>
          <w:szCs w:val="18"/>
          <w:i w:val="1"/>
          <w:iCs w:val="1"/>
          <w:color w:val="auto"/>
        </w:rPr>
        <w:t xml:space="preserve">Vehicle Programs. </w:t>
      </w:r>
      <w:r>
        <w:rPr>
          <w:rFonts w:ascii="Arial" w:cs="Arial" w:eastAsia="Arial" w:hAnsi="Arial"/>
          <w:sz w:val="18"/>
          <w:szCs w:val="18"/>
          <w:color w:val="auto"/>
        </w:rPr>
        <w:t>The Company presents separately the financial data of its vehicle programs. These programs are distinct from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other activities since the assets under vehicle programs are generally funded through the issuance of debt that is collateralized by such assets. The income generated by these assets is used, in part, to repay the principal and interest associated with the debt. Cash inflows and outflows relating to the acquisition of such assets and the principal debt repayment or financing of such assets are classified as activities of the Company’s vehicle programs. The Company believes it is appropriate to segregate the financial data of its vehicle programs because, ultimately, the source of repayment of such debt is the realization of such assets.</w:t>
      </w:r>
    </w:p>
    <w:p>
      <w:pPr>
        <w:spacing w:after="0" w:line="214" w:lineRule="exact"/>
        <w:rPr>
          <w:sz w:val="20"/>
          <w:szCs w:val="20"/>
          <w:color w:val="auto"/>
        </w:rPr>
      </w:pPr>
    </w:p>
    <w:p>
      <w:pPr>
        <w:ind w:left="500"/>
        <w:spacing w:after="0" w:line="258" w:lineRule="auto"/>
        <w:rPr>
          <w:sz w:val="20"/>
          <w:szCs w:val="20"/>
          <w:color w:val="auto"/>
        </w:rPr>
      </w:pPr>
      <w:r>
        <w:rPr>
          <w:rFonts w:ascii="Arial" w:cs="Arial" w:eastAsia="Arial" w:hAnsi="Arial"/>
          <w:sz w:val="18"/>
          <w:szCs w:val="18"/>
          <w:i w:val="1"/>
          <w:iCs w:val="1"/>
          <w:color w:val="auto"/>
        </w:rPr>
        <w:t xml:space="preserve">Transaction-related costs, net. </w:t>
      </w:r>
      <w:r>
        <w:rPr>
          <w:rFonts w:ascii="Arial" w:cs="Arial" w:eastAsia="Arial" w:hAnsi="Arial"/>
          <w:sz w:val="18"/>
          <w:szCs w:val="18"/>
          <w:color w:val="auto"/>
        </w:rPr>
        <w:t>Transaction-related costs, net are classified separately in the Consolidated Condensed Statements of</w:t>
      </w:r>
      <w:r>
        <w:rPr>
          <w:rFonts w:ascii="Arial" w:cs="Arial" w:eastAsia="Arial" w:hAnsi="Arial"/>
          <w:sz w:val="18"/>
          <w:szCs w:val="18"/>
          <w:i w:val="1"/>
          <w:iCs w:val="1"/>
          <w:color w:val="auto"/>
        </w:rPr>
        <w:t xml:space="preserve"> </w:t>
      </w:r>
      <w:r>
        <w:rPr>
          <w:rFonts w:ascii="Arial" w:cs="Arial" w:eastAsia="Arial" w:hAnsi="Arial"/>
          <w:sz w:val="18"/>
          <w:szCs w:val="18"/>
          <w:color w:val="auto"/>
        </w:rPr>
        <w:t>Comprehensive Income. These costs are comprised of expenses related to acquisition-related activities such as due diligence and other advisory costs, expenses related to the integration of the acquiree’s operations with those of the Company, including the implementation of best practices and process improvements, non-cash gains and losses related to re-acquired rights, expenses related to pre-acquisition contingencies and contingent consideration related to acquisitions.</w:t>
      </w:r>
    </w:p>
    <w:p>
      <w:pPr>
        <w:spacing w:after="0" w:line="210" w:lineRule="exact"/>
        <w:rPr>
          <w:sz w:val="20"/>
          <w:szCs w:val="20"/>
          <w:color w:val="auto"/>
        </w:rPr>
      </w:pPr>
    </w:p>
    <w:p>
      <w:pPr>
        <w:jc w:val="both"/>
        <w:ind w:left="500" w:right="40"/>
        <w:spacing w:after="0" w:line="266" w:lineRule="auto"/>
        <w:rPr>
          <w:sz w:val="20"/>
          <w:szCs w:val="20"/>
          <w:color w:val="auto"/>
        </w:rPr>
      </w:pPr>
      <w:r>
        <w:rPr>
          <w:rFonts w:ascii="Arial" w:cs="Arial" w:eastAsia="Arial" w:hAnsi="Arial"/>
          <w:sz w:val="18"/>
          <w:szCs w:val="18"/>
          <w:i w:val="1"/>
          <w:iCs w:val="1"/>
          <w:color w:val="auto"/>
        </w:rPr>
        <w:t xml:space="preserve">Currency Transactions. </w:t>
      </w:r>
      <w:r>
        <w:rPr>
          <w:rFonts w:ascii="Arial" w:cs="Arial" w:eastAsia="Arial" w:hAnsi="Arial"/>
          <w:sz w:val="18"/>
          <w:szCs w:val="18"/>
          <w:color w:val="auto"/>
        </w:rPr>
        <w:t>The Company records the gain or loss on foreign-currency transactions on certain intercompany loans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gain or loss on intercompany loan hedges within interest expense related to corporate debt, net. During the three months ended March 31, 2021 and 2020, the Company recorded an immaterial amount and a loss of $5 million, respectively, related to such items.</w:t>
      </w:r>
    </w:p>
    <w:p>
      <w:pPr>
        <w:spacing w:after="0" w:line="203" w:lineRule="exact"/>
        <w:rPr>
          <w:sz w:val="20"/>
          <w:szCs w:val="20"/>
          <w:color w:val="auto"/>
        </w:rPr>
      </w:pPr>
    </w:p>
    <w:p>
      <w:pPr>
        <w:ind w:left="500" w:right="60"/>
        <w:spacing w:after="0" w:line="256" w:lineRule="auto"/>
        <w:rPr>
          <w:sz w:val="20"/>
          <w:szCs w:val="20"/>
          <w:color w:val="auto"/>
        </w:rPr>
      </w:pPr>
      <w:r>
        <w:rPr>
          <w:rFonts w:ascii="Arial" w:cs="Arial" w:eastAsia="Arial" w:hAnsi="Arial"/>
          <w:sz w:val="18"/>
          <w:szCs w:val="18"/>
          <w:i w:val="1"/>
          <w:iCs w:val="1"/>
          <w:color w:val="auto"/>
        </w:rPr>
        <w:t xml:space="preserve">Divestitures. </w:t>
      </w:r>
      <w:r>
        <w:rPr>
          <w:rFonts w:ascii="Arial" w:cs="Arial" w:eastAsia="Arial" w:hAnsi="Arial"/>
          <w:sz w:val="18"/>
          <w:szCs w:val="18"/>
          <w:color w:val="auto"/>
        </w:rPr>
        <w:t>In March 2021, the Company entered into a stock purchase agreement with Urbiz S.A. to sell the Company’s assets in</w:t>
      </w:r>
      <w:r>
        <w:rPr>
          <w:rFonts w:ascii="Arial" w:cs="Arial" w:eastAsia="Arial" w:hAnsi="Arial"/>
          <w:sz w:val="18"/>
          <w:szCs w:val="18"/>
          <w:i w:val="1"/>
          <w:iCs w:val="1"/>
          <w:color w:val="auto"/>
        </w:rPr>
        <w:t xml:space="preserve"> </w:t>
      </w:r>
      <w:r>
        <w:rPr>
          <w:rFonts w:ascii="Arial" w:cs="Arial" w:eastAsia="Arial" w:hAnsi="Arial"/>
          <w:sz w:val="18"/>
          <w:szCs w:val="18"/>
          <w:color w:val="auto"/>
        </w:rPr>
        <w:t>Argentina. Upon completion of the sale, Urbiz S.A. will pay approximately $ 4 million, plus interest, over two years for the right to operate the Avis and Budget brand. The Company had assets held for sale of $15 million within current and non-current assets and liabilities held for sale of $6 million within non-current liabilities. The Company assessed the fair value of the net assets and recorded a loss of $13 million within restructuring and other related charges during the three months ended March 31, 2021. Argentina’s operations are reported within the Company’s Americas segment.</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500" w:right="20"/>
        <w:spacing w:after="0" w:line="261" w:lineRule="auto"/>
        <w:rPr>
          <w:sz w:val="20"/>
          <w:szCs w:val="20"/>
          <w:color w:val="auto"/>
        </w:rPr>
      </w:pPr>
      <w:r>
        <w:rPr>
          <w:rFonts w:ascii="Arial" w:cs="Arial" w:eastAsia="Arial" w:hAnsi="Arial"/>
          <w:sz w:val="18"/>
          <w:szCs w:val="18"/>
          <w:i w:val="1"/>
          <w:iCs w:val="1"/>
          <w:color w:val="auto"/>
        </w:rPr>
        <w:t xml:space="preserve">Investments. </w:t>
      </w:r>
      <w:r>
        <w:rPr>
          <w:rFonts w:ascii="Arial" w:cs="Arial" w:eastAsia="Arial" w:hAnsi="Arial"/>
          <w:sz w:val="18"/>
          <w:szCs w:val="18"/>
          <w:color w:val="auto"/>
        </w:rPr>
        <w:t>As of March 31, 2021 and December 31, 2020, the Company had equity method investments with a carrying value of $64</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and $63 million, respectively, which are recorded within other non-current assets. Earnings from the Company’s equity method investments are reported within operating expenses. For the three months ended March 31, 2021 and 2020, the Company recorded an immaterial amount related to its equity method investments.</w:t>
      </w:r>
    </w:p>
    <w:p>
      <w:pPr>
        <w:spacing w:after="0" w:line="207" w:lineRule="exact"/>
        <w:rPr>
          <w:sz w:val="20"/>
          <w:szCs w:val="20"/>
          <w:color w:val="auto"/>
        </w:rPr>
      </w:pPr>
    </w:p>
    <w:p>
      <w:pPr>
        <w:ind w:left="500" w:right="120"/>
        <w:spacing w:after="0" w:line="266" w:lineRule="auto"/>
        <w:rPr>
          <w:sz w:val="20"/>
          <w:szCs w:val="20"/>
          <w:color w:val="auto"/>
        </w:rPr>
      </w:pPr>
      <w:r>
        <w:rPr>
          <w:rFonts w:ascii="Arial" w:cs="Arial" w:eastAsia="Arial" w:hAnsi="Arial"/>
          <w:sz w:val="18"/>
          <w:szCs w:val="18"/>
          <w:i w:val="1"/>
          <w:iCs w:val="1"/>
          <w:color w:val="auto"/>
        </w:rPr>
        <w:t xml:space="preserve">Nonmarketable Equity Securities. </w:t>
      </w:r>
      <w:r>
        <w:rPr>
          <w:rFonts w:ascii="Arial" w:cs="Arial" w:eastAsia="Arial" w:hAnsi="Arial"/>
          <w:sz w:val="18"/>
          <w:szCs w:val="18"/>
          <w:color w:val="auto"/>
        </w:rPr>
        <w:t>As of March 31, 2021 and December 31, 2020, the Company had nonmarketable equity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with a carrying value of $8 million, respectively, which are recorded within other non-current assets. No adjustments were made to the carrying amounts during the three months ended March 31, 2021 and 2020.</w:t>
      </w:r>
    </w:p>
    <w:p>
      <w:pPr>
        <w:spacing w:after="0" w:line="203" w:lineRule="exact"/>
        <w:rPr>
          <w:sz w:val="20"/>
          <w:szCs w:val="20"/>
          <w:color w:val="auto"/>
        </w:rPr>
      </w:pPr>
    </w:p>
    <w:p>
      <w:pPr>
        <w:ind w:left="500" w:right="100"/>
        <w:spacing w:after="0" w:line="266" w:lineRule="auto"/>
        <w:rPr>
          <w:sz w:val="20"/>
          <w:szCs w:val="20"/>
          <w:color w:val="auto"/>
        </w:rPr>
      </w:pPr>
      <w:r>
        <w:rPr>
          <w:rFonts w:ascii="Arial" w:cs="Arial" w:eastAsia="Arial" w:hAnsi="Arial"/>
          <w:sz w:val="18"/>
          <w:szCs w:val="18"/>
          <w:i w:val="1"/>
          <w:iCs w:val="1"/>
          <w:color w:val="auto"/>
        </w:rPr>
        <w:t>Revenues. R</w:t>
      </w:r>
      <w:r>
        <w:rPr>
          <w:rFonts w:ascii="Arial" w:cs="Arial" w:eastAsia="Arial" w:hAnsi="Arial"/>
          <w:sz w:val="18"/>
          <w:szCs w:val="18"/>
          <w:color w:val="auto"/>
        </w:rPr>
        <w:t>evenues are recognized under “Leases (Topic 842),” with the exception of royalty fee revenue derived from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licensees and revenue related to the Company’s customer loyalty program, which were approximately $40 million and $32 million during the three months ended March 31, 2021 and 2020, respectively.</w:t>
      </w:r>
    </w:p>
    <w:p>
      <w:pPr>
        <w:spacing w:after="0" w:line="2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the Company’s revenues disaggregated by geography.</w:t>
      </w:r>
    </w:p>
    <w:p>
      <w:pPr>
        <w:spacing w:after="0" w:line="18" w:lineRule="exact"/>
        <w:rPr>
          <w:sz w:val="20"/>
          <w:szCs w:val="20"/>
          <w:color w:val="auto"/>
        </w:rPr>
      </w:pPr>
    </w:p>
    <w:p>
      <w:pPr>
        <w:jc w:val="center"/>
        <w:ind w:left="6980"/>
        <w:spacing w:after="0"/>
        <w:rPr>
          <w:sz w:val="20"/>
          <w:szCs w:val="20"/>
          <w:color w:val="auto"/>
        </w:rPr>
      </w:pPr>
      <w:r>
        <w:rPr>
          <w:rFonts w:ascii="Arial" w:cs="Arial" w:eastAsia="Arial" w:hAnsi="Arial"/>
          <w:sz w:val="18"/>
          <w:szCs w:val="18"/>
          <w:b w:val="1"/>
          <w:bCs w:val="1"/>
          <w:color w:val="auto"/>
        </w:rPr>
        <w:t>Three Months Ended</w:t>
      </w:r>
    </w:p>
    <w:p>
      <w:pPr>
        <w:jc w:val="center"/>
        <w:ind w:left="7040"/>
        <w:spacing w:after="0"/>
        <w:rPr>
          <w:sz w:val="20"/>
          <w:szCs w:val="20"/>
          <w:color w:val="auto"/>
        </w:rPr>
      </w:pPr>
      <w:r>
        <w:rPr>
          <w:rFonts w:ascii="Arial" w:cs="Arial" w:eastAsia="Arial" w:hAnsi="Arial"/>
          <w:sz w:val="18"/>
          <w:szCs w:val="18"/>
          <w:b w:val="1"/>
          <w:bCs w:val="1"/>
          <w:color w:val="auto"/>
        </w:rPr>
        <w:t>March 31,</w:t>
      </w:r>
    </w:p>
    <w:p>
      <w:pPr>
        <w:spacing w:after="0" w:line="10" w:lineRule="exact"/>
        <w:rPr>
          <w:sz w:val="20"/>
          <w:szCs w:val="20"/>
          <w:color w:val="auto"/>
        </w:rPr>
      </w:pPr>
    </w:p>
    <w:tbl>
      <w:tblPr>
        <w:tblLayout w:type="fixed"/>
        <w:tblInd w:w="500" w:type="dxa"/>
        <w:tblCellMar>
          <w:top w:w="0" w:type="dxa"/>
          <w:left w:w="0" w:type="dxa"/>
          <w:bottom w:w="0" w:type="dxa"/>
          <w:right w:w="0" w:type="dxa"/>
        </w:tblCellMar>
      </w:tblPr>
      <w:tr>
        <w:trPr>
          <w:trHeight w:val="223"/>
        </w:trPr>
        <w:tc>
          <w:tcPr>
            <w:tcW w:w="7180" w:type="dxa"/>
            <w:vAlign w:val="bottom"/>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6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80" w:type="dxa"/>
            <w:vAlign w:val="bottom"/>
          </w:tcPr>
          <w:p>
            <w:pPr>
              <w:ind w:left="20"/>
              <w:spacing w:after="0"/>
              <w:rPr>
                <w:sz w:val="20"/>
                <w:szCs w:val="20"/>
                <w:color w:val="auto"/>
              </w:rPr>
            </w:pPr>
            <w:r>
              <w:rPr>
                <w:rFonts w:ascii="Arial" w:cs="Arial" w:eastAsia="Arial" w:hAnsi="Arial"/>
                <w:sz w:val="18"/>
                <w:szCs w:val="18"/>
                <w:color w:val="auto"/>
              </w:rPr>
              <w:t>Americas</w:t>
            </w:r>
          </w:p>
        </w:tc>
        <w:tc>
          <w:tcPr>
            <w:tcW w:w="3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1,080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1,257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80" w:type="dxa"/>
            <w:vAlign w:val="bottom"/>
          </w:tcPr>
          <w:p>
            <w:pPr>
              <w:ind w:left="20"/>
              <w:spacing w:after="0"/>
              <w:rPr>
                <w:sz w:val="20"/>
                <w:szCs w:val="20"/>
                <w:color w:val="auto"/>
              </w:rPr>
            </w:pPr>
            <w:r>
              <w:rPr>
                <w:rFonts w:ascii="Arial" w:cs="Arial" w:eastAsia="Arial" w:hAnsi="Arial"/>
                <w:sz w:val="18"/>
                <w:szCs w:val="18"/>
                <w:color w:val="auto"/>
              </w:rPr>
              <w:t>Europe, Middle East and Africa</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203</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80" w:type="dxa"/>
            <w:vAlign w:val="bottom"/>
          </w:tcPr>
          <w:p>
            <w:pPr>
              <w:ind w:left="20"/>
              <w:spacing w:after="0"/>
              <w:rPr>
                <w:sz w:val="20"/>
                <w:szCs w:val="20"/>
                <w:color w:val="auto"/>
              </w:rPr>
            </w:pPr>
            <w:r>
              <w:rPr>
                <w:rFonts w:ascii="Arial" w:cs="Arial" w:eastAsia="Arial" w:hAnsi="Arial"/>
                <w:sz w:val="18"/>
                <w:szCs w:val="18"/>
                <w:color w:val="auto"/>
              </w:rPr>
              <w:t>Asia and Australasia</w:t>
            </w:r>
          </w:p>
        </w:tc>
        <w:tc>
          <w:tcPr>
            <w:tcW w:w="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8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3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1,372</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7180" w:type="dxa"/>
            <w:vAlign w:val="bottom"/>
            <w:vMerge w:val="restart"/>
          </w:tcPr>
          <w:p>
            <w:pPr>
              <w:spacing w:after="0"/>
              <w:rPr>
                <w:sz w:val="20"/>
                <w:szCs w:val="20"/>
                <w:color w:val="auto"/>
              </w:rPr>
            </w:pPr>
            <w:r>
              <w:rPr>
                <w:rFonts w:ascii="Arial" w:cs="Arial" w:eastAsia="Arial" w:hAnsi="Arial"/>
                <w:sz w:val="18"/>
                <w:szCs w:val="18"/>
                <w:color w:val="auto"/>
              </w:rPr>
              <w:t>The following table presents the Company’s revenues disaggregated by brand.</w:t>
            </w: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1"/>
        </w:trPr>
        <w:tc>
          <w:tcPr>
            <w:tcW w:w="718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7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0" w:type="dxa"/>
            <w:vAlign w:val="bottom"/>
            <w:gridSpan w:val="6"/>
          </w:tcPr>
          <w:p>
            <w:pPr>
              <w:jc w:val="right"/>
              <w:ind w:right="450"/>
              <w:spacing w:after="0" w:line="202" w:lineRule="exact"/>
              <w:rPr>
                <w:sz w:val="20"/>
                <w:szCs w:val="20"/>
                <w:color w:val="auto"/>
              </w:rPr>
            </w:pPr>
            <w:r>
              <w:rPr>
                <w:rFonts w:ascii="Arial" w:cs="Arial" w:eastAsia="Arial" w:hAnsi="Arial"/>
                <w:sz w:val="18"/>
                <w:szCs w:val="18"/>
                <w:b w:val="1"/>
                <w:bCs w:val="1"/>
                <w:color w:val="auto"/>
              </w:rPr>
              <w:t>Three Months Ended</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8"/>
                <w:szCs w:val="18"/>
                <w:b w:val="1"/>
                <w:bCs w:val="1"/>
                <w:color w:val="auto"/>
              </w:rPr>
              <w:t>March 31,</w:t>
            </w:r>
          </w:p>
        </w:tc>
        <w:tc>
          <w:tcPr>
            <w:tcW w:w="9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6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80" w:type="dxa"/>
            <w:vAlign w:val="bottom"/>
          </w:tcPr>
          <w:p>
            <w:pPr>
              <w:ind w:left="20"/>
              <w:spacing w:after="0"/>
              <w:rPr>
                <w:sz w:val="20"/>
                <w:szCs w:val="20"/>
                <w:color w:val="auto"/>
              </w:rPr>
            </w:pPr>
            <w:r>
              <w:rPr>
                <w:rFonts w:ascii="Arial" w:cs="Arial" w:eastAsia="Arial" w:hAnsi="Arial"/>
                <w:sz w:val="18"/>
                <w:szCs w:val="18"/>
                <w:color w:val="auto"/>
              </w:rPr>
              <w:t>Avis</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717</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985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80" w:type="dxa"/>
            <w:vAlign w:val="bottom"/>
          </w:tcPr>
          <w:p>
            <w:pPr>
              <w:ind w:left="20"/>
              <w:spacing w:after="0"/>
              <w:rPr>
                <w:sz w:val="20"/>
                <w:szCs w:val="20"/>
                <w:color w:val="auto"/>
              </w:rPr>
            </w:pPr>
            <w:r>
              <w:rPr>
                <w:rFonts w:ascii="Arial" w:cs="Arial" w:eastAsia="Arial" w:hAnsi="Arial"/>
                <w:sz w:val="18"/>
                <w:szCs w:val="18"/>
                <w:color w:val="auto"/>
              </w:rPr>
              <w:t>Budget</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524</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80" w:type="dxa"/>
            <w:vAlign w:val="bottom"/>
          </w:tcPr>
          <w:p>
            <w:pPr>
              <w:ind w:left="20"/>
              <w:spacing w:after="0"/>
              <w:rPr>
                <w:sz w:val="20"/>
                <w:szCs w:val="20"/>
                <w:color w:val="auto"/>
              </w:rPr>
            </w:pPr>
            <w:r>
              <w:rPr>
                <w:rFonts w:ascii="Arial" w:cs="Arial" w:eastAsia="Arial" w:hAnsi="Arial"/>
                <w:sz w:val="18"/>
                <w:szCs w:val="18"/>
                <w:color w:val="auto"/>
              </w:rPr>
              <w:t>Other</w:t>
            </w:r>
          </w:p>
        </w:tc>
        <w:tc>
          <w:tcPr>
            <w:tcW w:w="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6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8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1,372</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1,753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3" w:lineRule="exact"/>
        <w:rPr>
          <w:sz w:val="20"/>
          <w:szCs w:val="20"/>
          <w:color w:val="auto"/>
        </w:rPr>
      </w:pPr>
    </w:p>
    <w:p>
      <w:pPr>
        <w:ind w:left="500"/>
        <w:spacing w:after="0"/>
        <w:rPr>
          <w:sz w:val="20"/>
          <w:szCs w:val="20"/>
          <w:color w:val="auto"/>
        </w:rPr>
      </w:pPr>
      <w:r>
        <w:rPr>
          <w:rFonts w:ascii="Arial" w:cs="Arial" w:eastAsia="Arial" w:hAnsi="Arial"/>
          <w:sz w:val="14"/>
          <w:szCs w:val="14"/>
          <w:color w:val="auto"/>
        </w:rPr>
        <w:t>________</w:t>
      </w:r>
    </w:p>
    <w:p>
      <w:pPr>
        <w:spacing w:after="0" w:line="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Other includes Zipcar and other operating brands.</w:t>
      </w:r>
    </w:p>
    <w:p>
      <w:pPr>
        <w:spacing w:after="0" w:line="21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Adoption of New Accounting Pronouncements</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Simplifying the Accounting for Income Taxes</w:t>
      </w:r>
    </w:p>
    <w:p>
      <w:pPr>
        <w:spacing w:after="0" w:line="270" w:lineRule="exact"/>
        <w:rPr>
          <w:sz w:val="20"/>
          <w:szCs w:val="20"/>
          <w:color w:val="auto"/>
        </w:rPr>
      </w:pPr>
    </w:p>
    <w:p>
      <w:pPr>
        <w:ind w:left="500" w:right="400"/>
        <w:spacing w:after="0" w:line="254" w:lineRule="auto"/>
        <w:rPr>
          <w:sz w:val="20"/>
          <w:szCs w:val="20"/>
          <w:color w:val="auto"/>
        </w:rPr>
      </w:pPr>
      <w:r>
        <w:rPr>
          <w:rFonts w:ascii="Arial" w:cs="Arial" w:eastAsia="Arial" w:hAnsi="Arial"/>
          <w:sz w:val="18"/>
          <w:szCs w:val="18"/>
          <w:color w:val="auto"/>
        </w:rPr>
        <w:t>On January 1, 2021, as the result of a new accounting pronouncement, the Company adopted ASU 2019-12, “Simplifying the Accounting for Income Taxes,” which simplifies the accounting for income taxes by removing certain exceptions and improving the application of existing guidance. The adoption of this accounting pronouncement did not have a material impact on the Company's Consolidated Financial Statements.</w:t>
      </w:r>
    </w:p>
    <w:p>
      <w:pPr>
        <w:spacing w:after="0" w:line="213"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Compensation—Retirement Benefits—Defined Benefit Plans</w:t>
      </w:r>
    </w:p>
    <w:p>
      <w:pPr>
        <w:spacing w:after="0" w:line="270" w:lineRule="exact"/>
        <w:rPr>
          <w:sz w:val="20"/>
          <w:szCs w:val="20"/>
          <w:color w:val="auto"/>
        </w:rPr>
      </w:pPr>
    </w:p>
    <w:p>
      <w:pPr>
        <w:ind w:left="500"/>
        <w:spacing w:after="0" w:line="253" w:lineRule="auto"/>
        <w:rPr>
          <w:sz w:val="20"/>
          <w:szCs w:val="20"/>
          <w:color w:val="auto"/>
        </w:rPr>
      </w:pPr>
      <w:r>
        <w:rPr>
          <w:rFonts w:ascii="Arial" w:cs="Arial" w:eastAsia="Arial" w:hAnsi="Arial"/>
          <w:sz w:val="18"/>
          <w:szCs w:val="18"/>
          <w:color w:val="auto"/>
        </w:rPr>
        <w:t>On January 1, 2021, as the result of a new accounting pronouncement, the Company adopted ASU 2018-14, “Disclosure Framework— Changes to the Disclosure Requirements for Defined Benefit Plans,” which adds, removes, and clarifies disclosure requirements related to defined benefit pension and other postretirement plans. These changes are part of the FASB’s disclosure framework project, which the Board launched in 2014 to improve the effectiveness of disclosures in notes to financial statements. The adoption of this accounting pronouncement did not have a material impact on the Company's Consolidated Financial</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Statements.</w:t>
      </w:r>
    </w:p>
    <w:p>
      <w:pPr>
        <w:spacing w:after="0" w:line="230" w:lineRule="exact"/>
        <w:rPr>
          <w:sz w:val="20"/>
          <w:szCs w:val="20"/>
          <w:color w:val="auto"/>
        </w:rPr>
      </w:pPr>
    </w:p>
    <w:p>
      <w:pPr>
        <w:ind w:left="500" w:right="10160" w:hanging="492"/>
        <w:spacing w:after="0" w:line="318" w:lineRule="auto"/>
        <w:tabs>
          <w:tab w:leader="none" w:pos="364" w:val="left"/>
        </w:tabs>
        <w:numPr>
          <w:ilvl w:val="0"/>
          <w:numId w:val="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Leases </w:t>
      </w:r>
      <w:r>
        <w:rPr>
          <w:rFonts w:ascii="Arial" w:cs="Arial" w:eastAsia="Arial" w:hAnsi="Arial"/>
          <w:sz w:val="17"/>
          <w:szCs w:val="17"/>
          <w:b w:val="1"/>
          <w:bCs w:val="1"/>
          <w:i w:val="1"/>
          <w:iCs w:val="1"/>
          <w:color w:val="auto"/>
        </w:rPr>
        <w:t>Lessor</w:t>
      </w:r>
    </w:p>
    <w:p>
      <w:pPr>
        <w:spacing w:after="0" w:line="17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the Company’s lease revenues disaggregated by geography.</w:t>
      </w:r>
    </w:p>
    <w:p>
      <w:pPr>
        <w:spacing w:after="0" w:line="18" w:lineRule="exact"/>
        <w:rPr>
          <w:sz w:val="20"/>
          <w:szCs w:val="20"/>
          <w:color w:val="auto"/>
        </w:rPr>
      </w:pPr>
    </w:p>
    <w:p>
      <w:pPr>
        <w:jc w:val="center"/>
        <w:ind w:left="6960"/>
        <w:spacing w:after="0"/>
        <w:rPr>
          <w:sz w:val="20"/>
          <w:szCs w:val="20"/>
          <w:color w:val="auto"/>
        </w:rPr>
      </w:pPr>
      <w:r>
        <w:rPr>
          <w:rFonts w:ascii="Arial" w:cs="Arial" w:eastAsia="Arial" w:hAnsi="Arial"/>
          <w:sz w:val="18"/>
          <w:szCs w:val="18"/>
          <w:b w:val="1"/>
          <w:bCs w:val="1"/>
          <w:color w:val="auto"/>
        </w:rPr>
        <w:t>Three Months Ended</w:t>
      </w:r>
    </w:p>
    <w:p>
      <w:pPr>
        <w:jc w:val="center"/>
        <w:ind w:left="7020"/>
        <w:spacing w:after="0"/>
        <w:rPr>
          <w:sz w:val="20"/>
          <w:szCs w:val="20"/>
          <w:color w:val="auto"/>
        </w:rPr>
      </w:pPr>
      <w:r>
        <w:rPr>
          <w:rFonts w:ascii="Arial" w:cs="Arial" w:eastAsia="Arial" w:hAnsi="Arial"/>
          <w:sz w:val="18"/>
          <w:szCs w:val="18"/>
          <w:b w:val="1"/>
          <w:bCs w:val="1"/>
          <w:color w:val="auto"/>
        </w:rPr>
        <w:t>March 31,</w:t>
      </w:r>
    </w:p>
    <w:p>
      <w:pPr>
        <w:spacing w:after="0" w:line="10" w:lineRule="exact"/>
        <w:rPr>
          <w:sz w:val="20"/>
          <w:szCs w:val="20"/>
          <w:color w:val="auto"/>
        </w:rPr>
      </w:pPr>
    </w:p>
    <w:tbl>
      <w:tblPr>
        <w:tblLayout w:type="fixed"/>
        <w:tblInd w:w="500" w:type="dxa"/>
        <w:tblCellMar>
          <w:top w:w="0" w:type="dxa"/>
          <w:left w:w="0" w:type="dxa"/>
          <w:bottom w:w="0" w:type="dxa"/>
          <w:right w:w="0" w:type="dxa"/>
        </w:tblCellMar>
      </w:tblPr>
      <w:tr>
        <w:trPr>
          <w:trHeight w:val="223"/>
        </w:trPr>
        <w:tc>
          <w:tcPr>
            <w:tcW w:w="714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top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7140" w:type="dxa"/>
            <w:vAlign w:val="bottom"/>
          </w:tcPr>
          <w:p>
            <w:pPr>
              <w:ind w:left="20"/>
              <w:spacing w:after="0"/>
              <w:rPr>
                <w:sz w:val="20"/>
                <w:szCs w:val="20"/>
                <w:color w:val="auto"/>
              </w:rPr>
            </w:pPr>
            <w:r>
              <w:rPr>
                <w:rFonts w:ascii="Arial" w:cs="Arial" w:eastAsia="Arial" w:hAnsi="Arial"/>
                <w:sz w:val="18"/>
                <w:szCs w:val="18"/>
                <w:color w:val="auto"/>
              </w:rPr>
              <w:t>Americas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1,054</w:t>
            </w:r>
          </w:p>
        </w:tc>
        <w:tc>
          <w:tcPr>
            <w:tcW w:w="14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1,244</w:t>
            </w:r>
          </w:p>
        </w:tc>
        <w:tc>
          <w:tcPr>
            <w:tcW w:w="0" w:type="dxa"/>
            <w:vAlign w:val="bottom"/>
          </w:tcPr>
          <w:p>
            <w:pPr>
              <w:spacing w:after="0"/>
              <w:rPr>
                <w:sz w:val="1"/>
                <w:szCs w:val="1"/>
                <w:color w:val="auto"/>
              </w:rPr>
            </w:pPr>
          </w:p>
        </w:tc>
      </w:tr>
      <w:tr>
        <w:trPr>
          <w:trHeight w:val="229"/>
        </w:trPr>
        <w:tc>
          <w:tcPr>
            <w:tcW w:w="7140" w:type="dxa"/>
            <w:vAlign w:val="bottom"/>
          </w:tcPr>
          <w:p>
            <w:pPr>
              <w:ind w:left="20"/>
              <w:spacing w:after="0"/>
              <w:rPr>
                <w:sz w:val="20"/>
                <w:szCs w:val="20"/>
                <w:color w:val="auto"/>
              </w:rPr>
            </w:pPr>
            <w:r>
              <w:rPr>
                <w:rFonts w:ascii="Arial" w:cs="Arial" w:eastAsia="Arial" w:hAnsi="Arial"/>
                <w:sz w:val="18"/>
                <w:szCs w:val="18"/>
                <w:color w:val="auto"/>
              </w:rPr>
              <w:t>Europe, Middle East and Africa</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192</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30"/>
        </w:trPr>
        <w:tc>
          <w:tcPr>
            <w:tcW w:w="7140" w:type="dxa"/>
            <w:vAlign w:val="bottom"/>
          </w:tcPr>
          <w:p>
            <w:pPr>
              <w:ind w:left="20"/>
              <w:spacing w:after="0"/>
              <w:rPr>
                <w:sz w:val="20"/>
                <w:szCs w:val="20"/>
                <w:color w:val="auto"/>
              </w:rPr>
            </w:pPr>
            <w:r>
              <w:rPr>
                <w:rFonts w:ascii="Arial" w:cs="Arial" w:eastAsia="Arial" w:hAnsi="Arial"/>
                <w:sz w:val="18"/>
                <w:szCs w:val="18"/>
                <w:color w:val="auto"/>
              </w:rPr>
              <w:t>Asia and Australasia</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14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23"/>
        </w:trPr>
        <w:tc>
          <w:tcPr>
            <w:tcW w:w="7140" w:type="dxa"/>
            <w:vAlign w:val="bottom"/>
          </w:tcPr>
          <w:p>
            <w:pPr>
              <w:ind w:left="20"/>
              <w:spacing w:after="0"/>
              <w:rPr>
                <w:sz w:val="20"/>
                <w:szCs w:val="20"/>
                <w:color w:val="auto"/>
              </w:rPr>
            </w:pPr>
            <w:r>
              <w:rPr>
                <w:rFonts w:ascii="Arial" w:cs="Arial" w:eastAsia="Arial" w:hAnsi="Arial"/>
                <w:sz w:val="18"/>
                <w:szCs w:val="18"/>
                <w:color w:val="auto"/>
              </w:rPr>
              <w:t>Total lease revenues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1,332</w:t>
            </w:r>
          </w:p>
        </w:tc>
        <w:tc>
          <w:tcPr>
            <w:tcW w:w="14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1,721</w:t>
            </w:r>
          </w:p>
        </w:tc>
        <w:tc>
          <w:tcPr>
            <w:tcW w:w="0" w:type="dxa"/>
            <w:vAlign w:val="bottom"/>
          </w:tcPr>
          <w:p>
            <w:pPr>
              <w:spacing w:after="0"/>
              <w:rPr>
                <w:sz w:val="1"/>
                <w:szCs w:val="1"/>
                <w:color w:val="auto"/>
              </w:rPr>
            </w:pPr>
          </w:p>
        </w:tc>
      </w:tr>
      <w:tr>
        <w:trPr>
          <w:trHeight w:val="21"/>
        </w:trPr>
        <w:tc>
          <w:tcPr>
            <w:tcW w:w="7140" w:type="dxa"/>
            <w:vAlign w:val="bottom"/>
            <w:vMerge w:val="restart"/>
          </w:tcPr>
          <w:p>
            <w:pPr>
              <w:spacing w:after="0"/>
              <w:rPr>
                <w:sz w:val="20"/>
                <w:szCs w:val="20"/>
                <w:color w:val="auto"/>
              </w:rPr>
            </w:pPr>
            <w:r>
              <w:rPr>
                <w:rFonts w:ascii="Arial" w:cs="Arial" w:eastAsia="Arial" w:hAnsi="Arial"/>
                <w:sz w:val="18"/>
                <w:szCs w:val="18"/>
                <w:color w:val="auto"/>
              </w:rPr>
              <w:t>The following table presents the Company’s lease revenues disaggregated by brand.</w:t>
            </w: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0"/>
        </w:trPr>
        <w:tc>
          <w:tcPr>
            <w:tcW w:w="71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60" w:type="dxa"/>
            <w:vAlign w:val="bottom"/>
            <w:gridSpan w:val="4"/>
          </w:tcPr>
          <w:p>
            <w:pPr>
              <w:jc w:val="right"/>
              <w:ind w:right="530"/>
              <w:spacing w:after="0" w:line="202" w:lineRule="exact"/>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30"/>
        </w:trPr>
        <w:tc>
          <w:tcPr>
            <w:tcW w:w="71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10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4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7140" w:type="dxa"/>
            <w:vAlign w:val="bottom"/>
          </w:tcPr>
          <w:p>
            <w:pPr>
              <w:ind w:left="20"/>
              <w:spacing w:after="0"/>
              <w:rPr>
                <w:sz w:val="20"/>
                <w:szCs w:val="20"/>
                <w:color w:val="auto"/>
              </w:rPr>
            </w:pPr>
            <w:r>
              <w:rPr>
                <w:rFonts w:ascii="Arial" w:cs="Arial" w:eastAsia="Arial" w:hAnsi="Arial"/>
                <w:sz w:val="18"/>
                <w:szCs w:val="18"/>
                <w:color w:val="auto"/>
              </w:rPr>
              <w:t>Avis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690</w:t>
            </w:r>
          </w:p>
        </w:tc>
        <w:tc>
          <w:tcPr>
            <w:tcW w:w="14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968</w:t>
            </w:r>
          </w:p>
        </w:tc>
        <w:tc>
          <w:tcPr>
            <w:tcW w:w="0" w:type="dxa"/>
            <w:vAlign w:val="bottom"/>
          </w:tcPr>
          <w:p>
            <w:pPr>
              <w:spacing w:after="0"/>
              <w:rPr>
                <w:sz w:val="1"/>
                <w:szCs w:val="1"/>
                <w:color w:val="auto"/>
              </w:rPr>
            </w:pPr>
          </w:p>
        </w:tc>
      </w:tr>
      <w:tr>
        <w:trPr>
          <w:trHeight w:val="229"/>
        </w:trPr>
        <w:tc>
          <w:tcPr>
            <w:tcW w:w="7140" w:type="dxa"/>
            <w:vAlign w:val="bottom"/>
          </w:tcPr>
          <w:p>
            <w:pPr>
              <w:ind w:left="20"/>
              <w:spacing w:after="0"/>
              <w:rPr>
                <w:sz w:val="20"/>
                <w:szCs w:val="20"/>
                <w:color w:val="auto"/>
              </w:rPr>
            </w:pPr>
            <w:r>
              <w:rPr>
                <w:rFonts w:ascii="Arial" w:cs="Arial" w:eastAsia="Arial" w:hAnsi="Arial"/>
                <w:sz w:val="18"/>
                <w:szCs w:val="18"/>
                <w:color w:val="auto"/>
              </w:rPr>
              <w:t>Budget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516</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230"/>
        </w:trPr>
        <w:tc>
          <w:tcPr>
            <w:tcW w:w="7140" w:type="dxa"/>
            <w:vAlign w:val="bottom"/>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14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23"/>
        </w:trPr>
        <w:tc>
          <w:tcPr>
            <w:tcW w:w="7140" w:type="dxa"/>
            <w:vAlign w:val="bottom"/>
          </w:tcPr>
          <w:p>
            <w:pPr>
              <w:ind w:left="20"/>
              <w:spacing w:after="0"/>
              <w:rPr>
                <w:sz w:val="20"/>
                <w:szCs w:val="20"/>
                <w:color w:val="auto"/>
              </w:rPr>
            </w:pPr>
            <w:r>
              <w:rPr>
                <w:rFonts w:ascii="Arial" w:cs="Arial" w:eastAsia="Arial" w:hAnsi="Arial"/>
                <w:sz w:val="18"/>
                <w:szCs w:val="18"/>
                <w:color w:val="auto"/>
              </w:rPr>
              <w:t>Total lease revenues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1,332</w:t>
            </w:r>
          </w:p>
        </w:tc>
        <w:tc>
          <w:tcPr>
            <w:tcW w:w="14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1,721</w:t>
            </w:r>
          </w:p>
        </w:tc>
        <w:tc>
          <w:tcPr>
            <w:tcW w:w="0" w:type="dxa"/>
            <w:vAlign w:val="bottom"/>
          </w:tcPr>
          <w:p>
            <w:pPr>
              <w:spacing w:after="0"/>
              <w:rPr>
                <w:sz w:val="1"/>
                <w:szCs w:val="1"/>
                <w:color w:val="auto"/>
              </w:rPr>
            </w:pPr>
          </w:p>
        </w:tc>
      </w:tr>
      <w:tr>
        <w:trPr>
          <w:trHeight w:val="21"/>
        </w:trPr>
        <w:tc>
          <w:tcPr>
            <w:tcW w:w="7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3" w:lineRule="exact"/>
        <w:rPr>
          <w:sz w:val="20"/>
          <w:szCs w:val="20"/>
          <w:color w:val="auto"/>
        </w:rPr>
      </w:pPr>
    </w:p>
    <w:p>
      <w:pPr>
        <w:ind w:left="580"/>
        <w:spacing w:after="0"/>
        <w:rPr>
          <w:sz w:val="20"/>
          <w:szCs w:val="20"/>
          <w:color w:val="auto"/>
        </w:rPr>
      </w:pPr>
      <w:r>
        <w:rPr>
          <w:rFonts w:ascii="Arial" w:cs="Arial" w:eastAsia="Arial" w:hAnsi="Arial"/>
          <w:sz w:val="14"/>
          <w:szCs w:val="14"/>
          <w:color w:val="auto"/>
        </w:rPr>
        <w:t>_______</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4"/>
          <w:szCs w:val="14"/>
          <w:color w:val="auto"/>
        </w:rPr>
        <w:t>Other includes Zipcar and other operating brands.</w:t>
      </w:r>
    </w:p>
    <w:p>
      <w:pPr>
        <w:spacing w:after="0" w:line="21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Lessee</w:t>
      </w:r>
    </w:p>
    <w:p>
      <w:pPr>
        <w:spacing w:after="0" w:line="274" w:lineRule="exact"/>
        <w:rPr>
          <w:sz w:val="20"/>
          <w:szCs w:val="20"/>
          <w:color w:val="auto"/>
        </w:rPr>
      </w:pPr>
    </w:p>
    <w:p>
      <w:pPr>
        <w:ind w:left="500"/>
        <w:spacing w:after="0" w:line="252" w:lineRule="auto"/>
        <w:rPr>
          <w:sz w:val="20"/>
          <w:szCs w:val="20"/>
          <w:color w:val="auto"/>
        </w:rPr>
      </w:pPr>
      <w:r>
        <w:rPr>
          <w:rFonts w:ascii="Arial" w:cs="Arial" w:eastAsia="Arial" w:hAnsi="Arial"/>
          <w:sz w:val="18"/>
          <w:szCs w:val="18"/>
          <w:color w:val="auto"/>
        </w:rPr>
        <w:t>The Company has operating and finance leases for rental locations, corporate offices, vehicle rental fleet and equipment. Many of the Company’s operating leases for rental locations contain concession agreements with various airport authorities that allow the Company to conduct its vehicle rental operations on site. In general, concession fees for airport locations are based on a percentage of total commissionable revenue as defined by each airport authority, some of which are subject to minimum annual guaranteed amounts. Concession fees other than minimum annual guaranteed amounts are not included in the measurement of operating lease Right of Use (“ROU”) assets and operating lease liabilities, and are recorded as variable lease expense as incurred. The Company’s operating leases for rental locations often also require the Company to pay or reimburse operating expenses.</w:t>
      </w:r>
    </w:p>
    <w:p>
      <w:pPr>
        <w:spacing w:after="0" w:line="23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lease expense are as follows:</w:t>
      </w:r>
    </w:p>
    <w:p>
      <w:pPr>
        <w:spacing w:after="0" w:line="18" w:lineRule="exact"/>
        <w:rPr>
          <w:sz w:val="20"/>
          <w:szCs w:val="20"/>
          <w:color w:val="auto"/>
        </w:rPr>
      </w:pPr>
    </w:p>
    <w:p>
      <w:pPr>
        <w:jc w:val="center"/>
        <w:ind w:left="6940"/>
        <w:spacing w:after="0"/>
        <w:rPr>
          <w:sz w:val="20"/>
          <w:szCs w:val="20"/>
          <w:color w:val="auto"/>
        </w:rPr>
      </w:pPr>
      <w:r>
        <w:rPr>
          <w:rFonts w:ascii="Arial" w:cs="Arial" w:eastAsia="Arial" w:hAnsi="Arial"/>
          <w:sz w:val="18"/>
          <w:szCs w:val="18"/>
          <w:b w:val="1"/>
          <w:bCs w:val="1"/>
          <w:color w:val="auto"/>
        </w:rPr>
        <w:t>Three Months Ended</w:t>
      </w:r>
    </w:p>
    <w:p>
      <w:pPr>
        <w:jc w:val="center"/>
        <w:ind w:left="6980"/>
        <w:spacing w:after="0"/>
        <w:rPr>
          <w:sz w:val="20"/>
          <w:szCs w:val="20"/>
          <w:color w:val="auto"/>
        </w:rPr>
      </w:pPr>
      <w:r>
        <w:rPr>
          <w:rFonts w:ascii="Arial" w:cs="Arial" w:eastAsia="Arial" w:hAnsi="Arial"/>
          <w:sz w:val="18"/>
          <w:szCs w:val="18"/>
          <w:b w:val="1"/>
          <w:bCs w:val="1"/>
          <w:color w:val="auto"/>
        </w:rPr>
        <w:t>March 31,</w:t>
      </w:r>
    </w:p>
    <w:p>
      <w:pPr>
        <w:spacing w:after="0" w:line="10" w:lineRule="exact"/>
        <w:rPr>
          <w:sz w:val="20"/>
          <w:szCs w:val="20"/>
          <w:color w:val="auto"/>
        </w:rPr>
      </w:pPr>
    </w:p>
    <w:tbl>
      <w:tblPr>
        <w:tblLayout w:type="fixed"/>
        <w:tblInd w:w="520" w:type="dxa"/>
        <w:tblCellMar>
          <w:top w:w="0" w:type="dxa"/>
          <w:left w:w="0" w:type="dxa"/>
          <w:bottom w:w="0" w:type="dxa"/>
          <w:right w:w="0" w:type="dxa"/>
        </w:tblCellMar>
      </w:tblPr>
      <w:tr>
        <w:trPr>
          <w:trHeight w:val="223"/>
        </w:trPr>
        <w:tc>
          <w:tcPr>
            <w:tcW w:w="7120" w:type="dxa"/>
            <w:vAlign w:val="bottom"/>
            <w:vMerge w:val="restart"/>
          </w:tcPr>
          <w:p>
            <w:pPr>
              <w:spacing w:after="0"/>
              <w:rPr>
                <w:sz w:val="20"/>
                <w:szCs w:val="20"/>
                <w:color w:val="auto"/>
              </w:rPr>
            </w:pPr>
            <w:r>
              <w:rPr>
                <w:rFonts w:ascii="Arial" w:cs="Arial" w:eastAsia="Arial" w:hAnsi="Arial"/>
                <w:sz w:val="18"/>
                <w:szCs w:val="18"/>
                <w:b w:val="1"/>
                <w:bCs w:val="1"/>
                <w:color w:val="auto"/>
              </w:rPr>
              <w:t xml:space="preserve">Property leases </w:t>
            </w:r>
            <w:r>
              <w:rPr>
                <w:rFonts w:ascii="Arial" w:cs="Arial" w:eastAsia="Arial" w:hAnsi="Arial"/>
                <w:sz w:val="23"/>
                <w:szCs w:val="23"/>
                <w:b w:val="1"/>
                <w:bCs w:val="1"/>
                <w:color w:val="auto"/>
                <w:vertAlign w:val="superscript"/>
              </w:rPr>
              <w:t>(a)</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4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2"/>
        </w:trPr>
        <w:tc>
          <w:tcPr>
            <w:tcW w:w="7120" w:type="dxa"/>
            <w:vAlign w:val="bottom"/>
            <w:vMerge w:val="continue"/>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7120" w:type="dxa"/>
            <w:vAlign w:val="bottom"/>
          </w:tcPr>
          <w:p>
            <w:pPr>
              <w:spacing w:after="0"/>
              <w:rPr>
                <w:sz w:val="20"/>
                <w:szCs w:val="20"/>
                <w:color w:val="auto"/>
              </w:rPr>
            </w:pPr>
            <w:r>
              <w:rPr>
                <w:rFonts w:ascii="Arial" w:cs="Arial" w:eastAsia="Arial" w:hAnsi="Arial"/>
                <w:sz w:val="18"/>
                <w:szCs w:val="18"/>
                <w:color w:val="auto"/>
              </w:rPr>
              <w:t>Operating lease expense</w:t>
            </w:r>
          </w:p>
        </w:tc>
        <w:tc>
          <w:tcPr>
            <w:tcW w:w="980" w:type="dxa"/>
            <w:vAlign w:val="bottom"/>
          </w:tcPr>
          <w:p>
            <w:pPr>
              <w:jc w:val="right"/>
              <w:ind w:right="770"/>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18"/>
                <w:szCs w:val="18"/>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29"/>
        </w:trPr>
        <w:tc>
          <w:tcPr>
            <w:tcW w:w="7120" w:type="dxa"/>
            <w:vAlign w:val="bottom"/>
          </w:tcPr>
          <w:p>
            <w:pPr>
              <w:spacing w:after="0"/>
              <w:rPr>
                <w:sz w:val="20"/>
                <w:szCs w:val="20"/>
                <w:color w:val="auto"/>
              </w:rPr>
            </w:pPr>
            <w:r>
              <w:rPr>
                <w:rFonts w:ascii="Arial" w:cs="Arial" w:eastAsia="Arial" w:hAnsi="Arial"/>
                <w:sz w:val="18"/>
                <w:szCs w:val="18"/>
                <w:color w:val="auto"/>
              </w:rPr>
              <w:t>Variable lease expense</w:t>
            </w:r>
          </w:p>
        </w:tc>
        <w:tc>
          <w:tcPr>
            <w:tcW w:w="9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3"/>
        </w:trPr>
        <w:tc>
          <w:tcPr>
            <w:tcW w:w="7120" w:type="dxa"/>
            <w:vAlign w:val="bottom"/>
          </w:tcPr>
          <w:p>
            <w:pPr>
              <w:spacing w:after="0"/>
              <w:rPr>
                <w:sz w:val="20"/>
                <w:szCs w:val="20"/>
                <w:color w:val="auto"/>
              </w:rPr>
            </w:pPr>
            <w:r>
              <w:rPr>
                <w:rFonts w:ascii="Arial" w:cs="Arial" w:eastAsia="Arial" w:hAnsi="Arial"/>
                <w:sz w:val="18"/>
                <w:szCs w:val="18"/>
                <w:b w:val="1"/>
                <w:bCs w:val="1"/>
                <w:color w:val="auto"/>
              </w:rPr>
              <w:t>Total property lease expense</w:t>
            </w:r>
          </w:p>
        </w:tc>
        <w:tc>
          <w:tcPr>
            <w:tcW w:w="98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__________</w:t>
      </w:r>
    </w:p>
    <w:p>
      <w:pPr>
        <w:spacing w:after="0" w:line="15" w:lineRule="exact"/>
        <w:rPr>
          <w:sz w:val="20"/>
          <w:szCs w:val="20"/>
          <w:color w:val="auto"/>
        </w:rPr>
      </w:pPr>
    </w:p>
    <w:p>
      <w:pPr>
        <w:ind w:left="820" w:right="700" w:hanging="326"/>
        <w:spacing w:after="0" w:line="211" w:lineRule="auto"/>
        <w:tabs>
          <w:tab w:leader="none" w:pos="770" w:val="left"/>
        </w:tabs>
        <w:numPr>
          <w:ilvl w:val="0"/>
          <w:numId w:val="7"/>
        </w:numPr>
        <w:rPr>
          <w:rFonts w:ascii="Arial" w:cs="Arial" w:eastAsia="Arial" w:hAnsi="Arial"/>
          <w:sz w:val="19"/>
          <w:szCs w:val="19"/>
          <w:color w:val="auto"/>
          <w:vertAlign w:val="superscript"/>
        </w:rPr>
      </w:pPr>
      <w:r>
        <w:rPr>
          <w:rFonts w:ascii="Arial" w:cs="Arial" w:eastAsia="Arial" w:hAnsi="Arial"/>
          <w:sz w:val="14"/>
          <w:szCs w:val="14"/>
          <w:color w:val="auto"/>
        </w:rPr>
        <w:t>Primarily included in operating expense and includes $19 million of minimum annual guaranteed rent in excess of concession fees as defined in our rental concession agreement for the three months ended March 31, 2021.</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Supplemental balance sheet information related to leases is as follows: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4" w:name="page15"/>
    <w:bookmarkEnd w:id="14"/>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ectPr>
          <w:pgSz w:w="11900" w:h="16838" w:orient="portrait"/>
          <w:cols w:equalWidth="0" w:num="1">
            <w:col w:w="11220"/>
          </w:cols>
          <w:pgMar w:left="320" w:top="1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Property leases</w:t>
      </w:r>
    </w:p>
    <w:p>
      <w:pPr>
        <w:spacing w:after="0" w:line="4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Operating lease ROU assets</w:t>
      </w:r>
    </w:p>
    <w:p>
      <w:pPr>
        <w:spacing w:after="0" w:line="23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 xml:space="preserve">Short-term operating lease liabilities </w:t>
      </w:r>
      <w:r>
        <w:rPr>
          <w:rFonts w:ascii="Arial" w:cs="Arial" w:eastAsia="Arial" w:hAnsi="Arial"/>
          <w:sz w:val="9"/>
          <w:szCs w:val="9"/>
          <w:color w:val="auto"/>
        </w:rPr>
        <w:t>(a)</w:t>
      </w:r>
    </w:p>
    <w:p>
      <w:pPr>
        <w:spacing w:after="0" w:line="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Long-term operating lease liabilities</w:t>
      </w:r>
    </w:p>
    <w:p>
      <w:pPr>
        <w:spacing w:after="0" w:line="3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Operating lease liabilities</w:t>
      </w:r>
    </w:p>
    <w:p>
      <w:pPr>
        <w:spacing w:after="0" w:line="239" w:lineRule="exact"/>
        <w:rPr>
          <w:sz w:val="20"/>
          <w:szCs w:val="20"/>
          <w:color w:val="auto"/>
        </w:rPr>
      </w:pPr>
    </w:p>
    <w:p>
      <w:pPr>
        <w:ind w:left="720" w:right="1880"/>
        <w:spacing w:after="0" w:line="277" w:lineRule="auto"/>
        <w:rPr>
          <w:sz w:val="20"/>
          <w:szCs w:val="20"/>
          <w:color w:val="auto"/>
        </w:rPr>
      </w:pPr>
      <w:r>
        <w:rPr>
          <w:rFonts w:ascii="Arial" w:cs="Arial" w:eastAsia="Arial" w:hAnsi="Arial"/>
          <w:sz w:val="18"/>
          <w:szCs w:val="18"/>
          <w:color w:val="auto"/>
        </w:rPr>
        <w:t>Weighted average remaining lease term Weighted average discount rate</w:t>
      </w:r>
    </w:p>
    <w:p>
      <w:pPr>
        <w:spacing w:after="0" w:line="7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_________</w:t>
      </w:r>
    </w:p>
    <w:p>
      <w:pPr>
        <w:ind w:left="760" w:hanging="266"/>
        <w:spacing w:after="0" w:line="205" w:lineRule="auto"/>
        <w:tabs>
          <w:tab w:leader="none" w:pos="760" w:val="left"/>
        </w:tabs>
        <w:numPr>
          <w:ilvl w:val="0"/>
          <w:numId w:val="8"/>
        </w:numPr>
        <w:rPr>
          <w:rFonts w:ascii="Arial" w:cs="Arial" w:eastAsia="Arial" w:hAnsi="Arial"/>
          <w:sz w:val="19"/>
          <w:szCs w:val="19"/>
          <w:color w:val="auto"/>
          <w:vertAlign w:val="superscript"/>
        </w:rPr>
      </w:pPr>
      <w:r>
        <w:rPr>
          <w:rFonts w:ascii="Arial" w:cs="Arial" w:eastAsia="Arial" w:hAnsi="Arial"/>
          <w:sz w:val="14"/>
          <w:szCs w:val="14"/>
          <w:color w:val="auto"/>
        </w:rPr>
        <w:t>Included in Accounts payable and other current liabilities.</w:t>
      </w:r>
    </w:p>
    <w:p>
      <w:pPr>
        <w:spacing w:after="0" w:line="22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Supplemental cash flow information related to leases is as follows: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300" w:type="dxa"/>
            <w:vAlign w:val="bottom"/>
          </w:tcPr>
          <w:p>
            <w:pPr>
              <w:spacing w:after="0"/>
              <w:rPr>
                <w:sz w:val="17"/>
                <w:szCs w:val="17"/>
                <w:color w:val="auto"/>
              </w:rPr>
            </w:pPr>
          </w:p>
        </w:tc>
        <w:tc>
          <w:tcPr>
            <w:tcW w:w="204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rPr>
              <w:t>As of</w:t>
            </w:r>
          </w:p>
        </w:tc>
        <w:tc>
          <w:tcPr>
            <w:tcW w:w="220" w:type="dxa"/>
            <w:vAlign w:val="bottom"/>
          </w:tcPr>
          <w:p>
            <w:pPr>
              <w:spacing w:after="0"/>
              <w:rPr>
                <w:sz w:val="17"/>
                <w:szCs w:val="17"/>
                <w:color w:val="auto"/>
              </w:rPr>
            </w:pPr>
          </w:p>
        </w:tc>
        <w:tc>
          <w:tcPr>
            <w:tcW w:w="2060" w:type="dxa"/>
            <w:vAlign w:val="bottom"/>
          </w:tcPr>
          <w:p>
            <w:pPr>
              <w:jc w:val="right"/>
              <w:ind w:right="850"/>
              <w:spacing w:after="0"/>
              <w:rPr>
                <w:sz w:val="20"/>
                <w:szCs w:val="20"/>
                <w:color w:val="auto"/>
              </w:rPr>
            </w:pPr>
            <w:r>
              <w:rPr>
                <w:rFonts w:ascii="Arial" w:cs="Arial" w:eastAsia="Arial" w:hAnsi="Arial"/>
                <w:sz w:val="18"/>
                <w:szCs w:val="18"/>
                <w:b w:val="1"/>
                <w:bCs w:val="1"/>
                <w:color w:val="auto"/>
              </w:rPr>
              <w:t>As of</w:t>
            </w:r>
          </w:p>
        </w:tc>
      </w:tr>
      <w:tr>
        <w:trPr>
          <w:trHeight w:val="230"/>
        </w:trPr>
        <w:tc>
          <w:tcPr>
            <w:tcW w:w="300" w:type="dxa"/>
            <w:vAlign w:val="bottom"/>
          </w:tcPr>
          <w:p>
            <w:pPr>
              <w:spacing w:after="0"/>
              <w:rPr>
                <w:sz w:val="19"/>
                <w:szCs w:val="19"/>
                <w:color w:val="auto"/>
              </w:rPr>
            </w:pPr>
          </w:p>
        </w:tc>
        <w:tc>
          <w:tcPr>
            <w:tcW w:w="20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9"/>
              </w:rPr>
              <w:t>March 31, 2021</w:t>
            </w:r>
          </w:p>
        </w:tc>
        <w:tc>
          <w:tcPr>
            <w:tcW w:w="220" w:type="dxa"/>
            <w:vAlign w:val="bottom"/>
          </w:tcPr>
          <w:p>
            <w:pPr>
              <w:spacing w:after="0"/>
              <w:rPr>
                <w:sz w:val="19"/>
                <w:szCs w:val="19"/>
                <w:color w:val="auto"/>
              </w:rPr>
            </w:pPr>
          </w:p>
        </w:tc>
        <w:tc>
          <w:tcPr>
            <w:tcW w:w="2060" w:type="dxa"/>
            <w:vAlign w:val="bottom"/>
          </w:tcPr>
          <w:p>
            <w:pPr>
              <w:jc w:val="right"/>
              <w:ind w:right="250"/>
              <w:spacing w:after="0"/>
              <w:rPr>
                <w:sz w:val="20"/>
                <w:szCs w:val="20"/>
                <w:color w:val="auto"/>
              </w:rPr>
            </w:pPr>
            <w:r>
              <w:rPr>
                <w:rFonts w:ascii="Arial" w:cs="Arial" w:eastAsia="Arial" w:hAnsi="Arial"/>
                <w:sz w:val="18"/>
                <w:szCs w:val="18"/>
                <w:b w:val="1"/>
                <w:bCs w:val="1"/>
                <w:color w:val="auto"/>
              </w:rPr>
              <w:t>December 31, 2020</w:t>
            </w:r>
          </w:p>
        </w:tc>
      </w:tr>
      <w:tr>
        <w:trPr>
          <w:trHeight w:val="439"/>
        </w:trPr>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9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2,510</w:t>
            </w:r>
          </w:p>
        </w:tc>
        <w:tc>
          <w:tcPr>
            <w:tcW w:w="100" w:type="dxa"/>
            <w:vAlign w:val="bottom"/>
          </w:tcPr>
          <w:p>
            <w:pPr>
              <w:spacing w:after="0"/>
              <w:rPr>
                <w:sz w:val="24"/>
                <w:szCs w:val="24"/>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20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2,560</w:t>
            </w:r>
          </w:p>
        </w:tc>
      </w:tr>
      <w:tr>
        <w:trPr>
          <w:trHeight w:val="445"/>
        </w:trPr>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940" w:type="dxa"/>
            <w:vAlign w:val="bottom"/>
          </w:tcPr>
          <w:p>
            <w:pPr>
              <w:jc w:val="right"/>
              <w:ind w:right="150"/>
              <w:spacing w:after="0"/>
              <w:rPr>
                <w:sz w:val="20"/>
                <w:szCs w:val="20"/>
                <w:color w:val="auto"/>
              </w:rPr>
            </w:pPr>
            <w:r>
              <w:rPr>
                <w:rFonts w:ascii="Arial" w:cs="Arial" w:eastAsia="Arial" w:hAnsi="Arial"/>
                <w:sz w:val="18"/>
                <w:szCs w:val="18"/>
                <w:color w:val="auto"/>
              </w:rPr>
              <w:t>519</w:t>
            </w:r>
          </w:p>
        </w:tc>
        <w:tc>
          <w:tcPr>
            <w:tcW w:w="10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2060" w:type="dxa"/>
            <w:vAlign w:val="bottom"/>
          </w:tcPr>
          <w:p>
            <w:pPr>
              <w:jc w:val="right"/>
              <w:ind w:right="150"/>
              <w:spacing w:after="0"/>
              <w:rPr>
                <w:sz w:val="20"/>
                <w:szCs w:val="20"/>
                <w:color w:val="auto"/>
              </w:rPr>
            </w:pPr>
            <w:r>
              <w:rPr>
                <w:rFonts w:ascii="Arial" w:cs="Arial" w:eastAsia="Arial" w:hAnsi="Arial"/>
                <w:sz w:val="18"/>
                <w:szCs w:val="18"/>
                <w:color w:val="auto"/>
              </w:rPr>
              <w:t>514</w:t>
            </w:r>
          </w:p>
        </w:tc>
      </w:tr>
      <w:tr>
        <w:trPr>
          <w:trHeight w:val="229"/>
        </w:trPr>
        <w:tc>
          <w:tcPr>
            <w:tcW w:w="30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2,025</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2,078</w:t>
            </w:r>
          </w:p>
        </w:tc>
      </w:tr>
      <w:tr>
        <w:trPr>
          <w:trHeight w:val="223"/>
        </w:trPr>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2,544</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20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2,592</w:t>
            </w:r>
          </w:p>
        </w:tc>
      </w:tr>
      <w:tr>
        <w:trPr>
          <w:trHeight w:val="426"/>
        </w:trPr>
        <w:tc>
          <w:tcPr>
            <w:tcW w:w="300" w:type="dxa"/>
            <w:vAlign w:val="bottom"/>
          </w:tcPr>
          <w:p>
            <w:pPr>
              <w:spacing w:after="0"/>
              <w:rPr>
                <w:sz w:val="24"/>
                <w:szCs w:val="24"/>
                <w:color w:val="auto"/>
              </w:rPr>
            </w:pPr>
          </w:p>
        </w:tc>
        <w:tc>
          <w:tcPr>
            <w:tcW w:w="2040" w:type="dxa"/>
            <w:vAlign w:val="bottom"/>
            <w:gridSpan w:val="2"/>
          </w:tcPr>
          <w:p>
            <w:pPr>
              <w:ind w:left="1180"/>
              <w:spacing w:after="0"/>
              <w:rPr>
                <w:sz w:val="20"/>
                <w:szCs w:val="20"/>
                <w:color w:val="auto"/>
              </w:rPr>
            </w:pPr>
            <w:r>
              <w:rPr>
                <w:rFonts w:ascii="Arial" w:cs="Arial" w:eastAsia="Arial" w:hAnsi="Arial"/>
                <w:sz w:val="18"/>
                <w:szCs w:val="18"/>
                <w:color w:val="auto"/>
              </w:rPr>
              <w:t>8.3 years</w:t>
            </w:r>
          </w:p>
        </w:tc>
        <w:tc>
          <w:tcPr>
            <w:tcW w:w="220" w:type="dxa"/>
            <w:vAlign w:val="bottom"/>
          </w:tcPr>
          <w:p>
            <w:pPr>
              <w:spacing w:after="0"/>
              <w:rPr>
                <w:sz w:val="24"/>
                <w:szCs w:val="24"/>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8.4 years</w:t>
            </w:r>
          </w:p>
        </w:tc>
      </w:tr>
      <w:tr>
        <w:trPr>
          <w:trHeight w:val="229"/>
        </w:trPr>
        <w:tc>
          <w:tcPr>
            <w:tcW w:w="30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3.85 %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3.86 %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left="-639"/>
        <w:spacing w:after="0"/>
        <w:rPr>
          <w:sz w:val="20"/>
          <w:szCs w:val="20"/>
          <w:color w:val="auto"/>
        </w:rPr>
      </w:pPr>
      <w:r>
        <w:rPr>
          <w:rFonts w:ascii="Arial" w:cs="Arial" w:eastAsia="Arial" w:hAnsi="Arial"/>
          <w:sz w:val="18"/>
          <w:szCs w:val="18"/>
          <w:b w:val="1"/>
          <w:bCs w:val="1"/>
          <w:color w:val="auto"/>
        </w:rPr>
        <w:t>Three Months Ended</w:t>
      </w:r>
    </w:p>
    <w:p>
      <w:pPr>
        <w:jc w:val="center"/>
        <w:ind w:left="-679"/>
        <w:spacing w:after="0"/>
        <w:rPr>
          <w:sz w:val="20"/>
          <w:szCs w:val="20"/>
          <w:color w:val="auto"/>
        </w:rPr>
      </w:pPr>
      <w:r>
        <w:rPr>
          <w:rFonts w:ascii="Arial" w:cs="Arial" w:eastAsia="Arial" w:hAnsi="Arial"/>
          <w:sz w:val="18"/>
          <w:szCs w:val="18"/>
          <w:b w:val="1"/>
          <w:bCs w:val="1"/>
          <w:color w:val="auto"/>
        </w:rPr>
        <w:t>March 31,</w:t>
      </w:r>
    </w:p>
    <w:p>
      <w:pPr>
        <w:spacing w:after="0" w:line="10" w:lineRule="exact"/>
        <w:rPr>
          <w:sz w:val="20"/>
          <w:szCs w:val="20"/>
          <w:color w:val="auto"/>
        </w:rPr>
      </w:pPr>
    </w:p>
    <w:p>
      <w:pPr>
        <w:sectPr>
          <w:pgSz w:w="11900" w:h="16838" w:orient="portrait"/>
          <w:cols w:equalWidth="0" w:num="2">
            <w:col w:w="5780" w:space="200"/>
            <w:col w:w="5240"/>
          </w:cols>
          <w:pgMar w:left="320" w:top="140" w:right="359" w:bottom="1440" w:gutter="0" w:footer="0" w:header="0"/>
          <w:type w:val="continuous"/>
        </w:sectPr>
      </w:pPr>
    </w:p>
    <w:tbl>
      <w:tblPr>
        <w:tblLayout w:type="fixed"/>
        <w:tblInd w:w="520" w:type="dxa"/>
        <w:tblCellMar>
          <w:top w:w="0" w:type="dxa"/>
          <w:left w:w="0" w:type="dxa"/>
          <w:bottom w:w="0" w:type="dxa"/>
          <w:right w:w="0" w:type="dxa"/>
        </w:tblCellMar>
      </w:tblPr>
      <w:tr>
        <w:trPr>
          <w:trHeight w:val="223"/>
        </w:trPr>
        <w:tc>
          <w:tcPr>
            <w:tcW w:w="712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4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r>
      <w:tr>
        <w:trPr>
          <w:trHeight w:val="209"/>
        </w:trPr>
        <w:tc>
          <w:tcPr>
            <w:tcW w:w="7120" w:type="dxa"/>
            <w:vAlign w:val="bottom"/>
          </w:tcPr>
          <w:p>
            <w:pPr>
              <w:spacing w:after="0"/>
              <w:rPr>
                <w:sz w:val="20"/>
                <w:szCs w:val="20"/>
                <w:color w:val="auto"/>
              </w:rPr>
            </w:pPr>
            <w:r>
              <w:rPr>
                <w:rFonts w:ascii="Arial" w:cs="Arial" w:eastAsia="Arial" w:hAnsi="Arial"/>
                <w:sz w:val="18"/>
                <w:szCs w:val="18"/>
                <w:color w:val="auto"/>
              </w:rPr>
              <w:t>Cash payments for lease liabilities within operating activities:</w:t>
            </w: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0"/>
        </w:trPr>
        <w:tc>
          <w:tcPr>
            <w:tcW w:w="7120" w:type="dxa"/>
            <w:vAlign w:val="bottom"/>
          </w:tcPr>
          <w:p>
            <w:pPr>
              <w:ind w:left="200"/>
              <w:spacing w:after="0"/>
              <w:rPr>
                <w:sz w:val="20"/>
                <w:szCs w:val="20"/>
                <w:color w:val="auto"/>
              </w:rPr>
            </w:pPr>
            <w:r>
              <w:rPr>
                <w:rFonts w:ascii="Arial" w:cs="Arial" w:eastAsia="Arial" w:hAnsi="Arial"/>
                <w:sz w:val="18"/>
                <w:szCs w:val="18"/>
                <w:color w:val="auto"/>
              </w:rPr>
              <w:t>Property operating leases</w:t>
            </w:r>
          </w:p>
        </w:tc>
        <w:tc>
          <w:tcPr>
            <w:tcW w:w="980" w:type="dxa"/>
            <w:vAlign w:val="bottom"/>
          </w:tcPr>
          <w:p>
            <w:pPr>
              <w:jc w:val="right"/>
              <w:ind w:right="770"/>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202</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170</w:t>
            </w:r>
          </w:p>
        </w:tc>
      </w:tr>
      <w:tr>
        <w:trPr>
          <w:trHeight w:val="229"/>
        </w:trPr>
        <w:tc>
          <w:tcPr>
            <w:tcW w:w="7120" w:type="dxa"/>
            <w:vAlign w:val="bottom"/>
          </w:tcPr>
          <w:p>
            <w:pPr>
              <w:spacing w:after="0"/>
              <w:rPr>
                <w:sz w:val="20"/>
                <w:szCs w:val="20"/>
                <w:color w:val="auto"/>
              </w:rPr>
            </w:pPr>
            <w:r>
              <w:rPr>
                <w:rFonts w:ascii="Arial" w:cs="Arial" w:eastAsia="Arial" w:hAnsi="Arial"/>
                <w:sz w:val="18"/>
                <w:szCs w:val="18"/>
                <w:color w:val="auto"/>
              </w:rPr>
              <w:t>Non-cash activities - increase (decrease) in ROU assets in exchange for lease liabilities:</w:t>
            </w:r>
          </w:p>
        </w:tc>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7120" w:type="dxa"/>
            <w:vAlign w:val="bottom"/>
          </w:tcPr>
          <w:p>
            <w:pPr>
              <w:ind w:left="200"/>
              <w:spacing w:after="0"/>
              <w:rPr>
                <w:sz w:val="20"/>
                <w:szCs w:val="20"/>
                <w:color w:val="auto"/>
              </w:rPr>
            </w:pPr>
            <w:r>
              <w:rPr>
                <w:rFonts w:ascii="Arial" w:cs="Arial" w:eastAsia="Arial" w:hAnsi="Arial"/>
                <w:sz w:val="18"/>
                <w:szCs w:val="18"/>
                <w:color w:val="auto"/>
              </w:rPr>
              <w:t>Property operating leases</w:t>
            </w:r>
          </w:p>
        </w:tc>
        <w:tc>
          <w:tcPr>
            <w:tcW w:w="9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296</w:t>
            </w:r>
          </w:p>
        </w:tc>
      </w:tr>
    </w:tbl>
    <w:p>
      <w:pPr>
        <w:spacing w:after="0" w:line="328" w:lineRule="exact"/>
        <w:rPr>
          <w:sz w:val="20"/>
          <w:szCs w:val="20"/>
          <w:color w:val="auto"/>
        </w:rPr>
      </w:pPr>
    </w:p>
    <w:p>
      <w:pPr>
        <w:ind w:left="500" w:right="7260" w:hanging="492"/>
        <w:spacing w:after="0" w:line="544" w:lineRule="auto"/>
        <w:tabs>
          <w:tab w:leader="none" w:pos="414"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Restructuring and Other Related Charges </w:t>
      </w:r>
      <w:r>
        <w:rPr>
          <w:rFonts w:ascii="Arial" w:cs="Arial" w:eastAsia="Arial" w:hAnsi="Arial"/>
          <w:sz w:val="18"/>
          <w:szCs w:val="18"/>
          <w:b w:val="1"/>
          <w:bCs w:val="1"/>
          <w:i w:val="1"/>
          <w:iCs w:val="1"/>
          <w:color w:val="auto"/>
        </w:rPr>
        <w:t>Restructuring</w:t>
      </w:r>
    </w:p>
    <w:p>
      <w:pPr>
        <w:spacing w:after="0" w:line="2" w:lineRule="exact"/>
        <w:rPr>
          <w:sz w:val="20"/>
          <w:szCs w:val="20"/>
          <w:color w:val="auto"/>
        </w:rPr>
      </w:pPr>
    </w:p>
    <w:p>
      <w:pPr>
        <w:ind w:left="500"/>
        <w:spacing w:after="0" w:line="252" w:lineRule="auto"/>
        <w:rPr>
          <w:sz w:val="20"/>
          <w:szCs w:val="20"/>
          <w:color w:val="auto"/>
        </w:rPr>
      </w:pPr>
      <w:r>
        <w:rPr>
          <w:rFonts w:ascii="Arial" w:cs="Arial" w:eastAsia="Arial" w:hAnsi="Arial"/>
          <w:sz w:val="18"/>
          <w:szCs w:val="18"/>
          <w:color w:val="auto"/>
        </w:rPr>
        <w:t>During first quarter 2021, the Company initiated a global restructuring plan to focus on cost discipline by reviewing headcounts, facilities and contractor agreements. The Company is transforming its business as it prepares to exit the COVID-19 crisis by controlling fixed costs and matching variable costs to demand (“T21”). During the three months ended March 31, 2021, as part of this process, the Company formally communicated the termination of employment to approximately 80 employees, and as of March 31, 2021, the Company terminated approximately 60 of these employees. The Company expects further restructuring expense of approximately $55 million related to this initiative to be incurred in 2021.</w:t>
      </w:r>
    </w:p>
    <w:p>
      <w:pPr>
        <w:spacing w:after="0" w:line="235" w:lineRule="exact"/>
        <w:rPr>
          <w:sz w:val="20"/>
          <w:szCs w:val="20"/>
          <w:color w:val="auto"/>
        </w:rPr>
      </w:pPr>
    </w:p>
    <w:p>
      <w:pPr>
        <w:jc w:val="both"/>
        <w:ind w:left="500" w:right="20"/>
        <w:spacing w:after="0" w:line="256" w:lineRule="auto"/>
        <w:rPr>
          <w:sz w:val="20"/>
          <w:szCs w:val="20"/>
          <w:color w:val="auto"/>
        </w:rPr>
      </w:pPr>
      <w:r>
        <w:rPr>
          <w:rFonts w:ascii="Arial" w:cs="Arial" w:eastAsia="Arial" w:hAnsi="Arial"/>
          <w:sz w:val="18"/>
          <w:szCs w:val="18"/>
          <w:color w:val="auto"/>
        </w:rPr>
        <w:t>During first quarter 2020, the Company initiated a global restructuring plan to reduce operating costs, such as headcount and facilities, due to declining reservations and revenue resulting from the COVID-19 outbreak (“2020 Optimization Plan”). The Company expects no further restructuring expense related to this initiative.</w:t>
      </w:r>
    </w:p>
    <w:p>
      <w:pPr>
        <w:spacing w:after="0" w:line="200" w:lineRule="exact"/>
        <w:rPr>
          <w:sz w:val="20"/>
          <w:szCs w:val="20"/>
          <w:color w:val="auto"/>
        </w:rPr>
      </w:pP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tables summarize the changes to our restructuring-related liabilities and identifies the amounts recorded within the</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Company’s reporting segments for restructuring charges and corresponding payments and utilizations:</w:t>
      </w:r>
    </w:p>
    <w:p>
      <w:pPr>
        <w:spacing w:after="0" w:line="32" w:lineRule="exact"/>
        <w:rPr>
          <w:sz w:val="20"/>
          <w:szCs w:val="20"/>
          <w:color w:val="auto"/>
        </w:rPr>
      </w:pPr>
    </w:p>
    <w:tbl>
      <w:tblPr>
        <w:tblLayout w:type="fixed"/>
        <w:tblInd w:w="520" w:type="dxa"/>
        <w:tblCellMar>
          <w:top w:w="0" w:type="dxa"/>
          <w:left w:w="0" w:type="dxa"/>
          <w:bottom w:w="0" w:type="dxa"/>
          <w:right w:w="0" w:type="dxa"/>
        </w:tblCellMar>
      </w:tblPr>
      <w:tr>
        <w:trPr>
          <w:trHeight w:val="215"/>
        </w:trPr>
        <w:tc>
          <w:tcPr>
            <w:tcW w:w="4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center"/>
              <w:ind w:left="194"/>
              <w:spacing w:after="0"/>
              <w:rPr>
                <w:sz w:val="20"/>
                <w:szCs w:val="20"/>
                <w:color w:val="auto"/>
              </w:rPr>
            </w:pPr>
            <w:r>
              <w:rPr>
                <w:rFonts w:ascii="Arial" w:cs="Arial" w:eastAsia="Arial" w:hAnsi="Arial"/>
                <w:sz w:val="16"/>
                <w:szCs w:val="16"/>
                <w:b w:val="1"/>
                <w:bCs w:val="1"/>
                <w:color w:val="auto"/>
              </w:rPr>
              <w:t>Americas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9"/>
              </w:rPr>
              <w:t>International</w:t>
            </w:r>
          </w:p>
        </w:tc>
        <w:tc>
          <w:tcPr>
            <w:tcW w:w="300" w:type="dxa"/>
            <w:vAlign w:val="bottom"/>
          </w:tcPr>
          <w:p>
            <w:pPr>
              <w:spacing w:after="0"/>
              <w:rPr>
                <w:sz w:val="18"/>
                <w:szCs w:val="18"/>
                <w:color w:val="auto"/>
              </w:rPr>
            </w:pPr>
          </w:p>
        </w:tc>
        <w:tc>
          <w:tcPr>
            <w:tcW w:w="1020" w:type="dxa"/>
            <w:vAlign w:val="bottom"/>
          </w:tcPr>
          <w:p>
            <w:pPr>
              <w:ind w:left="18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29"/>
        </w:trPr>
        <w:tc>
          <w:tcPr>
            <w:tcW w:w="4280" w:type="dxa"/>
            <w:vAlign w:val="bottom"/>
          </w:tcPr>
          <w:p>
            <w:pPr>
              <w:spacing w:after="0"/>
              <w:rPr>
                <w:sz w:val="20"/>
                <w:szCs w:val="20"/>
                <w:color w:val="auto"/>
              </w:rPr>
            </w:pPr>
            <w:r>
              <w:rPr>
                <w:rFonts w:ascii="Arial" w:cs="Arial" w:eastAsia="Arial" w:hAnsi="Arial"/>
                <w:sz w:val="18"/>
                <w:szCs w:val="18"/>
                <w:color w:val="auto"/>
              </w:rPr>
              <w:t>Balance as of January 1, 2021</w:t>
            </w: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Borders>
              <w:top w:val="single" w:sz="8" w:color="auto"/>
            </w:tcBorders>
          </w:tcPr>
          <w:p>
            <w:pPr>
              <w:jc w:val="right"/>
              <w:ind w:right="854"/>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center"/>
              <w:ind w:left="672"/>
              <w:spacing w:after="0"/>
              <w:rPr>
                <w:sz w:val="20"/>
                <w:szCs w:val="20"/>
                <w:color w:val="auto"/>
              </w:rPr>
            </w:pPr>
            <w:r>
              <w:rPr>
                <w:rFonts w:ascii="Arial" w:cs="Arial" w:eastAsia="Arial" w:hAnsi="Arial"/>
                <w:sz w:val="18"/>
                <w:szCs w:val="18"/>
                <w:color w:val="auto"/>
                <w:w w:val="99"/>
              </w:rPr>
              <w:t>9</w:t>
            </w:r>
          </w:p>
        </w:tc>
        <w:tc>
          <w:tcPr>
            <w:tcW w:w="0" w:type="dxa"/>
            <w:vAlign w:val="bottom"/>
          </w:tcPr>
          <w:p>
            <w:pPr>
              <w:spacing w:after="0"/>
              <w:rPr>
                <w:sz w:val="1"/>
                <w:szCs w:val="1"/>
                <w:color w:val="auto"/>
              </w:rPr>
            </w:pPr>
          </w:p>
        </w:tc>
      </w:tr>
      <w:tr>
        <w:trPr>
          <w:trHeight w:val="230"/>
        </w:trPr>
        <w:tc>
          <w:tcPr>
            <w:tcW w:w="4280" w:type="dxa"/>
            <w:vAlign w:val="bottom"/>
          </w:tcPr>
          <w:p>
            <w:pPr>
              <w:ind w:left="180"/>
              <w:spacing w:after="0"/>
              <w:rPr>
                <w:sz w:val="20"/>
                <w:szCs w:val="20"/>
                <w:color w:val="auto"/>
              </w:rPr>
            </w:pPr>
            <w:r>
              <w:rPr>
                <w:rFonts w:ascii="Arial" w:cs="Arial" w:eastAsia="Arial" w:hAnsi="Arial"/>
                <w:sz w:val="18"/>
                <w:szCs w:val="18"/>
                <w:color w:val="auto"/>
              </w:rPr>
              <w:t>Restructuring expense:</w:t>
            </w: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80" w:type="dxa"/>
            <w:vAlign w:val="bottom"/>
          </w:tcPr>
          <w:p>
            <w:pPr>
              <w:ind w:left="300"/>
              <w:spacing w:after="0"/>
              <w:rPr>
                <w:sz w:val="20"/>
                <w:szCs w:val="20"/>
                <w:color w:val="auto"/>
              </w:rPr>
            </w:pPr>
            <w:r>
              <w:rPr>
                <w:rFonts w:ascii="Arial" w:cs="Arial" w:eastAsia="Arial" w:hAnsi="Arial"/>
                <w:sz w:val="18"/>
                <w:szCs w:val="18"/>
                <w:color w:val="auto"/>
              </w:rPr>
              <w:t>T21</w:t>
            </w: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center"/>
              <w:ind w:left="672"/>
              <w:spacing w:after="0"/>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229"/>
        </w:trPr>
        <w:tc>
          <w:tcPr>
            <w:tcW w:w="4280" w:type="dxa"/>
            <w:vAlign w:val="bottom"/>
          </w:tcPr>
          <w:p>
            <w:pPr>
              <w:ind w:left="180"/>
              <w:spacing w:after="0"/>
              <w:rPr>
                <w:sz w:val="20"/>
                <w:szCs w:val="20"/>
                <w:color w:val="auto"/>
              </w:rPr>
            </w:pPr>
            <w:r>
              <w:rPr>
                <w:rFonts w:ascii="Arial" w:cs="Arial" w:eastAsia="Arial" w:hAnsi="Arial"/>
                <w:sz w:val="18"/>
                <w:szCs w:val="18"/>
                <w:color w:val="auto"/>
              </w:rPr>
              <w:t>Restructuring payment/utilization:</w:t>
            </w: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tcPr>
          <w:p>
            <w:pPr>
              <w:ind w:left="300"/>
              <w:spacing w:after="0"/>
              <w:rPr>
                <w:sz w:val="20"/>
                <w:szCs w:val="20"/>
                <w:color w:val="auto"/>
              </w:rPr>
            </w:pPr>
            <w:r>
              <w:rPr>
                <w:rFonts w:ascii="Arial" w:cs="Arial" w:eastAsia="Arial" w:hAnsi="Arial"/>
                <w:sz w:val="18"/>
                <w:szCs w:val="18"/>
                <w:color w:val="auto"/>
              </w:rPr>
              <w:t>T21</w:t>
            </w: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99"/>
              </w:rPr>
              <w:t>(1)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center"/>
              <w:ind w:left="672"/>
              <w:spacing w:after="0"/>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29"/>
        </w:trPr>
        <w:tc>
          <w:tcPr>
            <w:tcW w:w="4280" w:type="dxa"/>
            <w:vAlign w:val="bottom"/>
          </w:tcPr>
          <w:p>
            <w:pPr>
              <w:ind w:left="300"/>
              <w:spacing w:after="0"/>
              <w:rPr>
                <w:sz w:val="20"/>
                <w:szCs w:val="20"/>
                <w:color w:val="auto"/>
              </w:rPr>
            </w:pPr>
            <w:r>
              <w:rPr>
                <w:rFonts w:ascii="Arial" w:cs="Arial" w:eastAsia="Arial" w:hAnsi="Arial"/>
                <w:sz w:val="18"/>
                <w:szCs w:val="18"/>
                <w:color w:val="auto"/>
              </w:rPr>
              <w:t>2020 Optimization Plan</w:t>
            </w: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left="672"/>
              <w:spacing w:after="0"/>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23"/>
        </w:trPr>
        <w:tc>
          <w:tcPr>
            <w:tcW w:w="4280" w:type="dxa"/>
            <w:vAlign w:val="bottom"/>
          </w:tcPr>
          <w:p>
            <w:pPr>
              <w:spacing w:after="0"/>
              <w:rPr>
                <w:sz w:val="20"/>
                <w:szCs w:val="20"/>
                <w:color w:val="auto"/>
              </w:rPr>
            </w:pPr>
            <w:r>
              <w:rPr>
                <w:rFonts w:ascii="Arial" w:cs="Arial" w:eastAsia="Arial" w:hAnsi="Arial"/>
                <w:sz w:val="18"/>
                <w:szCs w:val="18"/>
                <w:color w:val="auto"/>
              </w:rPr>
              <w:t>Balance as of March 31, 2021</w:t>
            </w: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Borders>
              <w:bottom w:val="single" w:sz="8" w:color="auto"/>
            </w:tcBorders>
          </w:tcPr>
          <w:p>
            <w:pPr>
              <w:jc w:val="right"/>
              <w:ind w:right="854"/>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center"/>
              <w:ind w:left="672"/>
              <w:spacing w:after="0"/>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21"/>
        </w:trPr>
        <w:tc>
          <w:tcPr>
            <w:tcW w:w="4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1"/>
        </w:trPr>
        <w:tc>
          <w:tcPr>
            <w:tcW w:w="4280" w:type="dxa"/>
            <w:vAlign w:val="bottom"/>
          </w:tcPr>
          <w:p>
            <w:pPr>
              <w:spacing w:after="0"/>
              <w:rPr>
                <w:sz w:val="24"/>
                <w:szCs w:val="24"/>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Personnel</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jc w:val="center"/>
              <w:ind w:left="174"/>
              <w:spacing w:after="0"/>
              <w:rPr>
                <w:sz w:val="20"/>
                <w:szCs w:val="20"/>
                <w:color w:val="auto"/>
              </w:rPr>
            </w:pPr>
            <w:r>
              <w:rPr>
                <w:rFonts w:ascii="Arial" w:cs="Arial" w:eastAsia="Arial" w:hAnsi="Arial"/>
                <w:sz w:val="16"/>
                <w:szCs w:val="16"/>
                <w:b w:val="1"/>
                <w:bCs w:val="1"/>
                <w:color w:val="auto"/>
              </w:rPr>
              <w:t>Facility</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3"/>
              </w:rPr>
              <w:t xml:space="preserve">Other </w:t>
            </w:r>
            <w:r>
              <w:rPr>
                <w:rFonts w:ascii="Arial" w:cs="Arial" w:eastAsia="Arial" w:hAnsi="Arial"/>
                <w:sz w:val="21"/>
                <w:szCs w:val="21"/>
                <w:b w:val="1"/>
                <w:bCs w:val="1"/>
                <w:color w:val="auto"/>
                <w:w w:val="93"/>
                <w:vertAlign w:val="superscript"/>
              </w:rPr>
              <w:t>(a)</w:t>
            </w:r>
          </w:p>
        </w:tc>
        <w:tc>
          <w:tcPr>
            <w:tcW w:w="300" w:type="dxa"/>
            <w:vAlign w:val="bottom"/>
          </w:tcPr>
          <w:p>
            <w:pPr>
              <w:spacing w:after="0"/>
              <w:rPr>
                <w:sz w:val="24"/>
                <w:szCs w:val="24"/>
                <w:color w:val="auto"/>
              </w:rPr>
            </w:pPr>
          </w:p>
        </w:tc>
        <w:tc>
          <w:tcPr>
            <w:tcW w:w="1020" w:type="dxa"/>
            <w:vAlign w:val="bottom"/>
            <w:vMerge w:val="restart"/>
          </w:tcPr>
          <w:p>
            <w:pPr>
              <w:ind w:left="18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center"/>
              <w:ind w:left="194"/>
              <w:spacing w:after="0"/>
              <w:rPr>
                <w:sz w:val="20"/>
                <w:szCs w:val="20"/>
                <w:color w:val="auto"/>
              </w:rPr>
            </w:pPr>
            <w:r>
              <w:rPr>
                <w:rFonts w:ascii="Arial" w:cs="Arial" w:eastAsia="Arial" w:hAnsi="Arial"/>
                <w:sz w:val="16"/>
                <w:szCs w:val="16"/>
                <w:b w:val="1"/>
                <w:bCs w:val="1"/>
                <w:color w:val="auto"/>
              </w:rPr>
              <w:t>Related</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80" w:type="dxa"/>
            <w:vAlign w:val="bottom"/>
          </w:tcPr>
          <w:p>
            <w:pPr>
              <w:spacing w:after="0"/>
              <w:rPr>
                <w:sz w:val="20"/>
                <w:szCs w:val="20"/>
                <w:color w:val="auto"/>
              </w:rPr>
            </w:pPr>
            <w:r>
              <w:rPr>
                <w:rFonts w:ascii="Arial" w:cs="Arial" w:eastAsia="Arial" w:hAnsi="Arial"/>
                <w:sz w:val="18"/>
                <w:szCs w:val="18"/>
                <w:color w:val="auto"/>
              </w:rPr>
              <w:t>Balance as of January 1, 2021</w:t>
            </w:r>
          </w:p>
        </w:tc>
        <w:tc>
          <w:tcPr>
            <w:tcW w:w="1080" w:type="dxa"/>
            <w:vAlign w:val="bottom"/>
            <w:tcBorders>
              <w:top w:val="single" w:sz="8" w:color="auto"/>
            </w:tcBorders>
          </w:tcPr>
          <w:p>
            <w:pPr>
              <w:jc w:val="right"/>
              <w:ind w:right="873"/>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4</w:t>
            </w:r>
          </w:p>
        </w:tc>
        <w:tc>
          <w:tcPr>
            <w:tcW w:w="100" w:type="dxa"/>
            <w:vAlign w:val="bottom"/>
          </w:tcPr>
          <w:p>
            <w:pPr>
              <w:spacing w:after="0"/>
              <w:rPr>
                <w:sz w:val="19"/>
                <w:szCs w:val="19"/>
                <w:color w:val="auto"/>
              </w:rPr>
            </w:pPr>
          </w:p>
        </w:tc>
        <w:tc>
          <w:tcPr>
            <w:tcW w:w="1060" w:type="dxa"/>
            <w:vAlign w:val="bottom"/>
            <w:tcBorders>
              <w:top w:val="single" w:sz="8" w:color="auto"/>
            </w:tcBorders>
          </w:tcPr>
          <w:p>
            <w:pPr>
              <w:jc w:val="right"/>
              <w:ind w:right="854"/>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center"/>
              <w:ind w:left="672"/>
              <w:spacing w:after="0"/>
              <w:rPr>
                <w:sz w:val="20"/>
                <w:szCs w:val="20"/>
                <w:color w:val="auto"/>
              </w:rPr>
            </w:pPr>
            <w:r>
              <w:rPr>
                <w:rFonts w:ascii="Arial" w:cs="Arial" w:eastAsia="Arial" w:hAnsi="Arial"/>
                <w:sz w:val="18"/>
                <w:szCs w:val="18"/>
                <w:color w:val="auto"/>
                <w:w w:val="99"/>
              </w:rPr>
              <w:t>9</w:t>
            </w:r>
          </w:p>
        </w:tc>
        <w:tc>
          <w:tcPr>
            <w:tcW w:w="0" w:type="dxa"/>
            <w:vAlign w:val="bottom"/>
          </w:tcPr>
          <w:p>
            <w:pPr>
              <w:spacing w:after="0"/>
              <w:rPr>
                <w:sz w:val="1"/>
                <w:szCs w:val="1"/>
                <w:color w:val="auto"/>
              </w:rPr>
            </w:pPr>
          </w:p>
        </w:tc>
      </w:tr>
      <w:tr>
        <w:trPr>
          <w:trHeight w:val="229"/>
        </w:trPr>
        <w:tc>
          <w:tcPr>
            <w:tcW w:w="4280" w:type="dxa"/>
            <w:vAlign w:val="bottom"/>
          </w:tcPr>
          <w:p>
            <w:pPr>
              <w:ind w:left="180"/>
              <w:spacing w:after="0"/>
              <w:rPr>
                <w:sz w:val="20"/>
                <w:szCs w:val="20"/>
                <w:color w:val="auto"/>
              </w:rPr>
            </w:pPr>
            <w:r>
              <w:rPr>
                <w:rFonts w:ascii="Arial" w:cs="Arial" w:eastAsia="Arial" w:hAnsi="Arial"/>
                <w:sz w:val="18"/>
                <w:szCs w:val="18"/>
                <w:color w:val="auto"/>
              </w:rPr>
              <w:t>Restructuring expense:</w:t>
            </w: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80" w:type="dxa"/>
            <w:vAlign w:val="bottom"/>
          </w:tcPr>
          <w:p>
            <w:pPr>
              <w:ind w:left="300"/>
              <w:spacing w:after="0"/>
              <w:rPr>
                <w:sz w:val="20"/>
                <w:szCs w:val="20"/>
                <w:color w:val="auto"/>
              </w:rPr>
            </w:pPr>
            <w:r>
              <w:rPr>
                <w:rFonts w:ascii="Arial" w:cs="Arial" w:eastAsia="Arial" w:hAnsi="Arial"/>
                <w:sz w:val="18"/>
                <w:szCs w:val="18"/>
                <w:color w:val="auto"/>
              </w:rPr>
              <w:t>T21</w:t>
            </w:r>
          </w:p>
        </w:tc>
        <w:tc>
          <w:tcPr>
            <w:tcW w:w="1080" w:type="dxa"/>
            <w:vAlign w:val="bottom"/>
          </w:tcPr>
          <w:p>
            <w:pPr>
              <w:spacing w:after="0"/>
              <w:rPr>
                <w:sz w:val="19"/>
                <w:szCs w:val="19"/>
                <w:color w:val="auto"/>
              </w:rPr>
            </w:pPr>
          </w:p>
        </w:tc>
        <w:tc>
          <w:tcPr>
            <w:tcW w:w="28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center"/>
              <w:ind w:left="672"/>
              <w:spacing w:after="0"/>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230"/>
        </w:trPr>
        <w:tc>
          <w:tcPr>
            <w:tcW w:w="4280" w:type="dxa"/>
            <w:vAlign w:val="bottom"/>
          </w:tcPr>
          <w:p>
            <w:pPr>
              <w:ind w:left="180"/>
              <w:spacing w:after="0"/>
              <w:rPr>
                <w:sz w:val="20"/>
                <w:szCs w:val="20"/>
                <w:color w:val="auto"/>
              </w:rPr>
            </w:pPr>
            <w:r>
              <w:rPr>
                <w:rFonts w:ascii="Arial" w:cs="Arial" w:eastAsia="Arial" w:hAnsi="Arial"/>
                <w:sz w:val="18"/>
                <w:szCs w:val="18"/>
                <w:color w:val="auto"/>
              </w:rPr>
              <w:t>Restructuring payment/utilization:</w:t>
            </w: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80" w:type="dxa"/>
            <w:vAlign w:val="bottom"/>
          </w:tcPr>
          <w:p>
            <w:pPr>
              <w:ind w:left="300"/>
              <w:spacing w:after="0"/>
              <w:rPr>
                <w:sz w:val="20"/>
                <w:szCs w:val="20"/>
                <w:color w:val="auto"/>
              </w:rPr>
            </w:pPr>
            <w:r>
              <w:rPr>
                <w:rFonts w:ascii="Arial" w:cs="Arial" w:eastAsia="Arial" w:hAnsi="Arial"/>
                <w:sz w:val="18"/>
                <w:szCs w:val="18"/>
                <w:color w:val="auto"/>
              </w:rPr>
              <w:t>T21</w:t>
            </w:r>
          </w:p>
        </w:tc>
        <w:tc>
          <w:tcPr>
            <w:tcW w:w="1080" w:type="dxa"/>
            <w:vAlign w:val="bottom"/>
          </w:tcPr>
          <w:p>
            <w:pPr>
              <w:spacing w:after="0"/>
              <w:rPr>
                <w:sz w:val="19"/>
                <w:szCs w:val="19"/>
                <w:color w:val="auto"/>
              </w:rPr>
            </w:pPr>
          </w:p>
        </w:tc>
        <w:tc>
          <w:tcPr>
            <w:tcW w:w="28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99"/>
              </w:rPr>
              <w:t>(2)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center"/>
              <w:ind w:left="672"/>
              <w:spacing w:after="0"/>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29"/>
        </w:trPr>
        <w:tc>
          <w:tcPr>
            <w:tcW w:w="4280" w:type="dxa"/>
            <w:vAlign w:val="bottom"/>
          </w:tcPr>
          <w:p>
            <w:pPr>
              <w:ind w:left="300"/>
              <w:spacing w:after="0"/>
              <w:rPr>
                <w:sz w:val="20"/>
                <w:szCs w:val="20"/>
                <w:color w:val="auto"/>
              </w:rPr>
            </w:pPr>
            <w:r>
              <w:rPr>
                <w:rFonts w:ascii="Arial" w:cs="Arial" w:eastAsia="Arial" w:hAnsi="Arial"/>
                <w:sz w:val="18"/>
                <w:szCs w:val="18"/>
                <w:color w:val="auto"/>
              </w:rPr>
              <w:t>2020 Optimization Plan</w:t>
            </w:r>
          </w:p>
        </w:tc>
        <w:tc>
          <w:tcPr>
            <w:tcW w:w="1080" w:type="dxa"/>
            <w:vAlign w:val="bottom"/>
          </w:tcPr>
          <w:p>
            <w:pPr>
              <w:spacing w:after="0"/>
              <w:rPr>
                <w:sz w:val="19"/>
                <w:szCs w:val="19"/>
                <w:color w:val="auto"/>
              </w:rPr>
            </w:pPr>
          </w:p>
        </w:tc>
        <w:tc>
          <w:tcPr>
            <w:tcW w:w="28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center"/>
              <w:ind w:left="672"/>
              <w:spacing w:after="0"/>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23"/>
        </w:trPr>
        <w:tc>
          <w:tcPr>
            <w:tcW w:w="4280" w:type="dxa"/>
            <w:vAlign w:val="bottom"/>
          </w:tcPr>
          <w:p>
            <w:pPr>
              <w:spacing w:after="0"/>
              <w:rPr>
                <w:sz w:val="20"/>
                <w:szCs w:val="20"/>
                <w:color w:val="auto"/>
              </w:rPr>
            </w:pPr>
            <w:r>
              <w:rPr>
                <w:rFonts w:ascii="Arial" w:cs="Arial" w:eastAsia="Arial" w:hAnsi="Arial"/>
                <w:sz w:val="18"/>
                <w:szCs w:val="18"/>
                <w:color w:val="auto"/>
              </w:rPr>
              <w:t>Balance as of March 31, 2021</w:t>
            </w:r>
          </w:p>
        </w:tc>
        <w:tc>
          <w:tcPr>
            <w:tcW w:w="1080" w:type="dxa"/>
            <w:vAlign w:val="bottom"/>
            <w:tcBorders>
              <w:top w:val="single" w:sz="8" w:color="auto"/>
              <w:bottom w:val="single" w:sz="8" w:color="auto"/>
            </w:tcBorders>
          </w:tcPr>
          <w:p>
            <w:pPr>
              <w:jc w:val="right"/>
              <w:ind w:right="873"/>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3</w:t>
            </w:r>
          </w:p>
        </w:tc>
        <w:tc>
          <w:tcPr>
            <w:tcW w:w="10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ind w:right="854"/>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center"/>
              <w:ind w:left="672"/>
              <w:spacing w:after="0"/>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__________</w:t>
      </w:r>
    </w:p>
    <w:p>
      <w:pPr>
        <w:ind w:left="820" w:hanging="326"/>
        <w:spacing w:after="0" w:line="198" w:lineRule="auto"/>
        <w:tabs>
          <w:tab w:leader="none" w:pos="820" w:val="left"/>
        </w:tabs>
        <w:numPr>
          <w:ilvl w:val="0"/>
          <w:numId w:val="10"/>
        </w:numPr>
        <w:rPr>
          <w:rFonts w:ascii="Arial" w:cs="Arial" w:eastAsia="Arial" w:hAnsi="Arial"/>
          <w:sz w:val="21"/>
          <w:szCs w:val="21"/>
          <w:color w:val="auto"/>
          <w:vertAlign w:val="superscript"/>
        </w:rPr>
      </w:pPr>
      <w:r>
        <w:rPr>
          <w:rFonts w:ascii="Arial" w:cs="Arial" w:eastAsia="Arial" w:hAnsi="Arial"/>
          <w:sz w:val="16"/>
          <w:szCs w:val="16"/>
          <w:color w:val="auto"/>
        </w:rPr>
        <w:t>Includes expenses primarily related to the disposition of vehicles.</w:t>
      </w:r>
    </w:p>
    <w:p>
      <w:pPr>
        <w:spacing w:after="0" w:line="21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Other Related Charges</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Limited Voluntary Opportunity Plan (“LVOP”)</w:t>
      </w:r>
    </w:p>
    <w:p>
      <w:pPr>
        <w:spacing w:after="0" w:line="270" w:lineRule="exact"/>
        <w:rPr>
          <w:sz w:val="20"/>
          <w:szCs w:val="20"/>
          <w:color w:val="auto"/>
        </w:rPr>
      </w:pPr>
    </w:p>
    <w:p>
      <w:pPr>
        <w:ind w:left="500"/>
        <w:spacing w:after="0" w:line="254" w:lineRule="auto"/>
        <w:rPr>
          <w:sz w:val="20"/>
          <w:szCs w:val="20"/>
          <w:color w:val="auto"/>
        </w:rPr>
      </w:pPr>
      <w:r>
        <w:rPr>
          <w:rFonts w:ascii="Arial" w:cs="Arial" w:eastAsia="Arial" w:hAnsi="Arial"/>
          <w:sz w:val="18"/>
          <w:szCs w:val="18"/>
          <w:color w:val="auto"/>
        </w:rPr>
        <w:t>During 2020, the Company offered a voluntary termination program to certain employees in field operations, shared services, and general and administrative functions for a limited time. These employees, if qualified, elected resignation from employment in return for enhanced severance benefits to be settled in cash. During the three months ended March 31, 2020, the Company recorded other related charges of approximately $15 million in connection with the LVOP.</w:t>
      </w:r>
    </w:p>
    <w:p>
      <w:pPr>
        <w:spacing w:after="0" w:line="213"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Officer Separation Costs</w:t>
      </w:r>
    </w:p>
    <w:p>
      <w:pPr>
        <w:spacing w:after="0" w:line="270" w:lineRule="exact"/>
        <w:rPr>
          <w:sz w:val="20"/>
          <w:szCs w:val="20"/>
          <w:color w:val="auto"/>
        </w:rPr>
      </w:pPr>
    </w:p>
    <w:p>
      <w:pPr>
        <w:jc w:val="both"/>
        <w:ind w:left="500" w:right="140"/>
        <w:spacing w:after="0" w:line="256" w:lineRule="auto"/>
        <w:rPr>
          <w:sz w:val="20"/>
          <w:szCs w:val="20"/>
          <w:color w:val="auto"/>
        </w:rPr>
      </w:pPr>
      <w:r>
        <w:rPr>
          <w:rFonts w:ascii="Arial" w:cs="Arial" w:eastAsia="Arial" w:hAnsi="Arial"/>
          <w:sz w:val="18"/>
          <w:szCs w:val="18"/>
          <w:color w:val="auto"/>
        </w:rPr>
        <w:t>In March 2020, the Company announced the departure of Michael K. Tucker as Executive Vice President, General Counsel effective March 27, 2020. In connection with Mr. Tucker’s separation, the Company recorded other related charges of approximately $2 million for the three months ended March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0" w:lineRule="exact"/>
        <w:rPr>
          <w:sz w:val="20"/>
          <w:szCs w:val="20"/>
          <w:color w:val="auto"/>
        </w:rPr>
      </w:pPr>
    </w:p>
    <w:p>
      <w:pPr>
        <w:ind w:left="360" w:hanging="352"/>
        <w:spacing w:after="0"/>
        <w:tabs>
          <w:tab w:leader="none" w:pos="3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7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the computation of basic and diluted earnings per share (“EPS”) (shares in millions):</w:t>
      </w:r>
    </w:p>
    <w:p>
      <w:pPr>
        <w:spacing w:after="0" w:line="18" w:lineRule="exact"/>
        <w:rPr>
          <w:sz w:val="20"/>
          <w:szCs w:val="20"/>
          <w:color w:val="auto"/>
        </w:rPr>
      </w:pPr>
    </w:p>
    <w:p>
      <w:pPr>
        <w:jc w:val="center"/>
        <w:ind w:left="6940"/>
        <w:spacing w:after="0"/>
        <w:rPr>
          <w:sz w:val="20"/>
          <w:szCs w:val="20"/>
          <w:color w:val="auto"/>
        </w:rPr>
      </w:pPr>
      <w:r>
        <w:rPr>
          <w:rFonts w:ascii="Arial" w:cs="Arial" w:eastAsia="Arial" w:hAnsi="Arial"/>
          <w:sz w:val="18"/>
          <w:szCs w:val="18"/>
          <w:b w:val="1"/>
          <w:bCs w:val="1"/>
          <w:color w:val="auto"/>
        </w:rPr>
        <w:t>Three Months Ended</w:t>
      </w:r>
    </w:p>
    <w:p>
      <w:pPr>
        <w:jc w:val="center"/>
        <w:ind w:left="7000"/>
        <w:spacing w:after="0"/>
        <w:rPr>
          <w:sz w:val="20"/>
          <w:szCs w:val="20"/>
          <w:color w:val="auto"/>
        </w:rPr>
      </w:pPr>
      <w:r>
        <w:rPr>
          <w:rFonts w:ascii="Arial" w:cs="Arial" w:eastAsia="Arial" w:hAnsi="Arial"/>
          <w:sz w:val="18"/>
          <w:szCs w:val="18"/>
          <w:b w:val="1"/>
          <w:bCs w:val="1"/>
          <w:color w:val="auto"/>
        </w:rPr>
        <w:t>March 31,</w:t>
      </w:r>
    </w:p>
    <w:p>
      <w:pPr>
        <w:spacing w:after="0" w:line="10" w:lineRule="exact"/>
        <w:rPr>
          <w:sz w:val="20"/>
          <w:szCs w:val="20"/>
          <w:color w:val="auto"/>
        </w:rPr>
      </w:pPr>
    </w:p>
    <w:tbl>
      <w:tblPr>
        <w:tblLayout w:type="fixed"/>
        <w:tblInd w:w="520" w:type="dxa"/>
        <w:tblCellMar>
          <w:top w:w="0" w:type="dxa"/>
          <w:left w:w="0" w:type="dxa"/>
          <w:bottom w:w="0" w:type="dxa"/>
          <w:right w:w="0" w:type="dxa"/>
        </w:tblCellMar>
      </w:tblPr>
      <w:tr>
        <w:trPr>
          <w:trHeight w:val="223"/>
        </w:trPr>
        <w:tc>
          <w:tcPr>
            <w:tcW w:w="73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7380" w:type="dxa"/>
            <w:vAlign w:val="bottom"/>
          </w:tcPr>
          <w:p>
            <w:pPr>
              <w:spacing w:after="0"/>
              <w:rPr>
                <w:sz w:val="20"/>
                <w:szCs w:val="20"/>
                <w:color w:val="auto"/>
              </w:rPr>
            </w:pPr>
            <w:r>
              <w:rPr>
                <w:rFonts w:ascii="Arial" w:cs="Arial" w:eastAsia="Arial" w:hAnsi="Arial"/>
                <w:sz w:val="18"/>
                <w:szCs w:val="18"/>
                <w:color w:val="auto"/>
              </w:rPr>
              <w:t>Net loss for basic and diluted EPS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392"/>
        </w:trPr>
        <w:tc>
          <w:tcPr>
            <w:tcW w:w="7380" w:type="dxa"/>
            <w:vAlign w:val="bottom"/>
          </w:tcPr>
          <w:p>
            <w:pPr>
              <w:spacing w:after="0"/>
              <w:rPr>
                <w:sz w:val="20"/>
                <w:szCs w:val="20"/>
                <w:color w:val="auto"/>
              </w:rPr>
            </w:pPr>
            <w:r>
              <w:rPr>
                <w:rFonts w:ascii="Arial" w:cs="Arial" w:eastAsia="Arial" w:hAnsi="Arial"/>
                <w:sz w:val="18"/>
                <w:szCs w:val="18"/>
                <w:color w:val="auto"/>
              </w:rPr>
              <w:t>Basic weighted average shares outstanding</w:t>
            </w: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69.9</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72.9</w:t>
            </w:r>
          </w:p>
        </w:tc>
        <w:tc>
          <w:tcPr>
            <w:tcW w:w="0" w:type="dxa"/>
            <w:vAlign w:val="bottom"/>
          </w:tcPr>
          <w:p>
            <w:pPr>
              <w:spacing w:after="0"/>
              <w:rPr>
                <w:sz w:val="1"/>
                <w:szCs w:val="1"/>
                <w:color w:val="auto"/>
              </w:rPr>
            </w:pPr>
          </w:p>
        </w:tc>
      </w:tr>
      <w:tr>
        <w:trPr>
          <w:trHeight w:val="229"/>
        </w:trPr>
        <w:tc>
          <w:tcPr>
            <w:tcW w:w="7380" w:type="dxa"/>
            <w:vAlign w:val="bottom"/>
          </w:tcPr>
          <w:p>
            <w:pPr>
              <w:spacing w:after="0" w:line="230" w:lineRule="exact"/>
              <w:rPr>
                <w:sz w:val="20"/>
                <w:szCs w:val="20"/>
                <w:color w:val="auto"/>
              </w:rPr>
            </w:pPr>
            <w:r>
              <w:rPr>
                <w:rFonts w:ascii="Arial" w:cs="Arial" w:eastAsia="Arial" w:hAnsi="Arial"/>
                <w:sz w:val="18"/>
                <w:szCs w:val="18"/>
                <w:color w:val="auto"/>
              </w:rPr>
              <w:t xml:space="preserve">Non-vested stock </w:t>
            </w:r>
            <w:r>
              <w:rPr>
                <w:rFonts w:ascii="Arial" w:cs="Arial" w:eastAsia="Arial" w:hAnsi="Arial"/>
                <w:sz w:val="23"/>
                <w:szCs w:val="23"/>
                <w:color w:val="auto"/>
                <w:vertAlign w:val="superscript"/>
              </w:rPr>
              <w:t>(a)</w:t>
            </w:r>
          </w:p>
        </w:tc>
        <w:tc>
          <w:tcPr>
            <w:tcW w:w="2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380" w:type="dxa"/>
            <w:vAlign w:val="bottom"/>
          </w:tcPr>
          <w:p>
            <w:pPr>
              <w:spacing w:after="0"/>
              <w:rPr>
                <w:sz w:val="20"/>
                <w:szCs w:val="20"/>
                <w:color w:val="auto"/>
              </w:rPr>
            </w:pPr>
            <w:r>
              <w:rPr>
                <w:rFonts w:ascii="Arial" w:cs="Arial" w:eastAsia="Arial" w:hAnsi="Arial"/>
                <w:sz w:val="18"/>
                <w:szCs w:val="18"/>
                <w:color w:val="auto"/>
              </w:rPr>
              <w:t>Diluted weighted average shares outstanding</w:t>
            </w:r>
          </w:p>
        </w:tc>
        <w:tc>
          <w:tcPr>
            <w:tcW w:w="2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69.9</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72.9</w:t>
            </w:r>
          </w:p>
        </w:tc>
        <w:tc>
          <w:tcPr>
            <w:tcW w:w="0" w:type="dxa"/>
            <w:vAlign w:val="bottom"/>
          </w:tcPr>
          <w:p>
            <w:pPr>
              <w:spacing w:after="0"/>
              <w:rPr>
                <w:sz w:val="1"/>
                <w:szCs w:val="1"/>
                <w:color w:val="auto"/>
              </w:rPr>
            </w:pPr>
          </w:p>
        </w:tc>
      </w:tr>
      <w:tr>
        <w:trPr>
          <w:trHeight w:val="20"/>
        </w:trPr>
        <w:tc>
          <w:tcPr>
            <w:tcW w:w="7380" w:type="dxa"/>
            <w:vAlign w:val="bottom"/>
            <w:vMerge w:val="restart"/>
          </w:tcPr>
          <w:p>
            <w:pPr>
              <w:spacing w:after="0"/>
              <w:rPr>
                <w:sz w:val="20"/>
                <w:szCs w:val="20"/>
                <w:color w:val="auto"/>
              </w:rPr>
            </w:pPr>
            <w:r>
              <w:rPr>
                <w:rFonts w:ascii="Arial" w:cs="Arial" w:eastAsia="Arial" w:hAnsi="Arial"/>
                <w:sz w:val="18"/>
                <w:szCs w:val="18"/>
                <w:i w:val="1"/>
                <w:iCs w:val="1"/>
                <w:color w:val="auto"/>
              </w:rPr>
              <w:t>Loss per share:</w:t>
            </w: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8"/>
        </w:trPr>
        <w:tc>
          <w:tcPr>
            <w:tcW w:w="73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7380" w:type="dxa"/>
            <w:vAlign w:val="bottom"/>
          </w:tcPr>
          <w:p>
            <w:pPr>
              <w:ind w:left="80"/>
              <w:spacing w:after="0"/>
              <w:rPr>
                <w:sz w:val="20"/>
                <w:szCs w:val="20"/>
                <w:color w:val="auto"/>
              </w:rPr>
            </w:pPr>
            <w:r>
              <w:rPr>
                <w:rFonts w:ascii="Arial" w:cs="Arial" w:eastAsia="Arial" w:hAnsi="Arial"/>
                <w:sz w:val="18"/>
                <w:szCs w:val="18"/>
                <w:color w:val="auto"/>
              </w:rPr>
              <w:t>Basic</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30"/>
        </w:trPr>
        <w:tc>
          <w:tcPr>
            <w:tcW w:w="7380" w:type="dxa"/>
            <w:vAlign w:val="bottom"/>
          </w:tcPr>
          <w:p>
            <w:pPr>
              <w:ind w:left="80"/>
              <w:spacing w:after="0"/>
              <w:rPr>
                <w:sz w:val="20"/>
                <w:szCs w:val="20"/>
                <w:color w:val="auto"/>
              </w:rPr>
            </w:pPr>
            <w:r>
              <w:rPr>
                <w:rFonts w:ascii="Arial" w:cs="Arial" w:eastAsia="Arial" w:hAnsi="Arial"/>
                <w:sz w:val="18"/>
                <w:szCs w:val="18"/>
                <w:color w:val="auto"/>
              </w:rPr>
              <w:t>Diluted</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__________</w:t>
      </w:r>
    </w:p>
    <w:p>
      <w:pPr>
        <w:spacing w:after="0" w:line="12" w:lineRule="exact"/>
        <w:rPr>
          <w:sz w:val="20"/>
          <w:szCs w:val="20"/>
          <w:color w:val="auto"/>
        </w:rPr>
      </w:pPr>
    </w:p>
    <w:p>
      <w:pPr>
        <w:ind w:left="820" w:right="100" w:hanging="326"/>
        <w:spacing w:after="0" w:line="216" w:lineRule="auto"/>
        <w:tabs>
          <w:tab w:leader="none" w:pos="813" w:val="left"/>
        </w:tabs>
        <w:numPr>
          <w:ilvl w:val="1"/>
          <w:numId w:val="12"/>
        </w:numPr>
        <w:rPr>
          <w:rFonts w:ascii="Arial" w:cs="Arial" w:eastAsia="Arial" w:hAnsi="Arial"/>
          <w:sz w:val="21"/>
          <w:szCs w:val="21"/>
          <w:i w:val="1"/>
          <w:iCs w:val="1"/>
          <w:color w:val="auto"/>
          <w:vertAlign w:val="superscript"/>
        </w:rPr>
      </w:pPr>
      <w:r>
        <w:rPr>
          <w:rFonts w:ascii="Arial" w:cs="Arial" w:eastAsia="Arial" w:hAnsi="Arial"/>
          <w:sz w:val="16"/>
          <w:szCs w:val="16"/>
          <w:color w:val="auto"/>
        </w:rPr>
        <w:t>As the Company incurred a net loss for the three months ended March 31, 2021 and 2020, 1.1 million and 1.3 million non-vested stock awards, respectively, have an anti-dilutive effect and therefore are excluded from the computation of diluted weighted average shares outstanding.</w:t>
      </w:r>
    </w:p>
    <w:p>
      <w:pPr>
        <w:spacing w:after="0" w:line="213" w:lineRule="exact"/>
        <w:rPr>
          <w:rFonts w:ascii="Arial" w:cs="Arial" w:eastAsia="Arial" w:hAnsi="Arial"/>
          <w:sz w:val="21"/>
          <w:szCs w:val="21"/>
          <w:i w:val="1"/>
          <w:iCs w:val="1"/>
          <w:color w:val="auto"/>
          <w:vertAlign w:val="superscript"/>
        </w:rPr>
      </w:pPr>
    </w:p>
    <w:p>
      <w:pPr>
        <w:ind w:left="360" w:hanging="352"/>
        <w:spacing w:after="0"/>
        <w:tabs>
          <w:tab w:leader="none" w:pos="3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Other Current Assets</w:t>
      </w:r>
    </w:p>
    <w:p>
      <w:pPr>
        <w:spacing w:after="0" w:line="27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Other current assets consisted of:</w:t>
      </w:r>
    </w:p>
    <w:p>
      <w:pPr>
        <w:spacing w:after="0" w:line="5" w:lineRule="exact"/>
        <w:rPr>
          <w:sz w:val="20"/>
          <w:szCs w:val="20"/>
          <w:color w:val="auto"/>
        </w:rPr>
      </w:pPr>
    </w:p>
    <w:tbl>
      <w:tblPr>
        <w:tblLayout w:type="fixed"/>
        <w:tblInd w:w="520" w:type="dxa"/>
        <w:tblCellMar>
          <w:top w:w="0" w:type="dxa"/>
          <w:left w:w="0" w:type="dxa"/>
          <w:bottom w:w="0" w:type="dxa"/>
          <w:right w:w="0" w:type="dxa"/>
        </w:tblCellMar>
      </w:tblPr>
      <w:tr>
        <w:trPr>
          <w:trHeight w:val="207"/>
        </w:trPr>
        <w:tc>
          <w:tcPr>
            <w:tcW w:w="6520" w:type="dxa"/>
            <w:vAlign w:val="bottom"/>
          </w:tcPr>
          <w:p>
            <w:pPr>
              <w:spacing w:after="0"/>
              <w:rPr>
                <w:sz w:val="17"/>
                <w:szCs w:val="17"/>
                <w:color w:val="auto"/>
              </w:rPr>
            </w:pPr>
          </w:p>
        </w:tc>
        <w:tc>
          <w:tcPr>
            <w:tcW w:w="1300" w:type="dxa"/>
            <w:vAlign w:val="bottom"/>
          </w:tcPr>
          <w:p>
            <w:pPr>
              <w:jc w:val="center"/>
              <w:ind w:left="290"/>
              <w:spacing w:after="0"/>
              <w:rPr>
                <w:sz w:val="20"/>
                <w:szCs w:val="20"/>
                <w:color w:val="auto"/>
              </w:rPr>
            </w:pPr>
            <w:r>
              <w:rPr>
                <w:rFonts w:ascii="Arial" w:cs="Arial" w:eastAsia="Arial" w:hAnsi="Arial"/>
                <w:sz w:val="18"/>
                <w:szCs w:val="18"/>
                <w:b w:val="1"/>
                <w:bCs w:val="1"/>
                <w:color w:val="auto"/>
                <w:w w:val="97"/>
              </w:rPr>
              <w:t>As of</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99"/>
              </w:rPr>
              <w:t>As of December</w:t>
            </w:r>
          </w:p>
        </w:tc>
        <w:tc>
          <w:tcPr>
            <w:tcW w:w="0" w:type="dxa"/>
            <w:vAlign w:val="bottom"/>
          </w:tcPr>
          <w:p>
            <w:pPr>
              <w:spacing w:after="0"/>
              <w:rPr>
                <w:sz w:val="1"/>
                <w:szCs w:val="1"/>
                <w:color w:val="auto"/>
              </w:rPr>
            </w:pPr>
          </w:p>
        </w:tc>
      </w:tr>
      <w:tr>
        <w:trPr>
          <w:trHeight w:val="176"/>
        </w:trPr>
        <w:tc>
          <w:tcPr>
            <w:tcW w:w="6520" w:type="dxa"/>
            <w:vAlign w:val="bottom"/>
          </w:tcPr>
          <w:p>
            <w:pPr>
              <w:spacing w:after="0"/>
              <w:rPr>
                <w:sz w:val="15"/>
                <w:szCs w:val="15"/>
                <w:color w:val="auto"/>
              </w:rPr>
            </w:pPr>
          </w:p>
        </w:tc>
        <w:tc>
          <w:tcPr>
            <w:tcW w:w="1300" w:type="dxa"/>
            <w:vAlign w:val="bottom"/>
          </w:tcPr>
          <w:p>
            <w:pPr>
              <w:jc w:val="center"/>
              <w:ind w:left="290"/>
              <w:spacing w:after="0" w:line="176" w:lineRule="exact"/>
              <w:rPr>
                <w:sz w:val="20"/>
                <w:szCs w:val="20"/>
                <w:color w:val="auto"/>
              </w:rPr>
            </w:pPr>
            <w:r>
              <w:rPr>
                <w:rFonts w:ascii="Arial" w:cs="Arial" w:eastAsia="Arial" w:hAnsi="Arial"/>
                <w:sz w:val="18"/>
                <w:szCs w:val="18"/>
                <w:b w:val="1"/>
                <w:bCs w:val="1"/>
                <w:color w:val="auto"/>
              </w:rPr>
              <w:t>March 31,</w:t>
            </w: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520" w:type="dxa"/>
            <w:vAlign w:val="bottom"/>
          </w:tcPr>
          <w:p>
            <w:pPr>
              <w:spacing w:after="0"/>
              <w:rPr>
                <w:sz w:val="19"/>
                <w:szCs w:val="19"/>
                <w:color w:val="auto"/>
              </w:rPr>
            </w:pPr>
          </w:p>
        </w:tc>
        <w:tc>
          <w:tcPr>
            <w:tcW w:w="1300" w:type="dxa"/>
            <w:vAlign w:val="bottom"/>
            <w:tcBorders>
              <w:bottom w:val="single" w:sz="8" w:color="auto"/>
            </w:tcBorders>
          </w:tcPr>
          <w:p>
            <w:pPr>
              <w:jc w:val="center"/>
              <w:ind w:left="330"/>
              <w:spacing w:after="0"/>
              <w:rPr>
                <w:sz w:val="20"/>
                <w:szCs w:val="20"/>
                <w:color w:val="auto"/>
              </w:rPr>
            </w:pPr>
            <w:r>
              <w:rPr>
                <w:rFonts w:ascii="Arial" w:cs="Arial" w:eastAsia="Arial" w:hAnsi="Arial"/>
                <w:sz w:val="18"/>
                <w:szCs w:val="18"/>
                <w:b w:val="1"/>
                <w:bCs w:val="1"/>
                <w:color w:val="auto"/>
                <w:w w:val="99"/>
              </w:rPr>
              <w:t>2021</w:t>
            </w:r>
          </w:p>
        </w:tc>
        <w:tc>
          <w:tcPr>
            <w:tcW w:w="4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31, 2020</w:t>
            </w:r>
          </w:p>
        </w:tc>
        <w:tc>
          <w:tcPr>
            <w:tcW w:w="0" w:type="dxa"/>
            <w:vAlign w:val="bottom"/>
          </w:tcPr>
          <w:p>
            <w:pPr>
              <w:spacing w:after="0"/>
              <w:rPr>
                <w:sz w:val="1"/>
                <w:szCs w:val="1"/>
                <w:color w:val="auto"/>
              </w:rPr>
            </w:pPr>
          </w:p>
        </w:tc>
      </w:tr>
      <w:tr>
        <w:trPr>
          <w:trHeight w:val="223"/>
        </w:trPr>
        <w:tc>
          <w:tcPr>
            <w:tcW w:w="6520" w:type="dxa"/>
            <w:vAlign w:val="bottom"/>
          </w:tcPr>
          <w:p>
            <w:pPr>
              <w:spacing w:after="0"/>
              <w:rPr>
                <w:sz w:val="20"/>
                <w:szCs w:val="20"/>
                <w:color w:val="auto"/>
              </w:rPr>
            </w:pPr>
            <w:r>
              <w:rPr>
                <w:rFonts w:ascii="Arial" w:cs="Arial" w:eastAsia="Arial" w:hAnsi="Arial"/>
                <w:sz w:val="18"/>
                <w:szCs w:val="18"/>
                <w:color w:val="auto"/>
              </w:rPr>
              <w:t>Prepaid expenses</w:t>
            </w:r>
          </w:p>
        </w:tc>
        <w:tc>
          <w:tcPr>
            <w:tcW w:w="1300" w:type="dxa"/>
            <w:vAlign w:val="bottom"/>
          </w:tcPr>
          <w:p>
            <w:pPr>
              <w:jc w:val="right"/>
              <w:ind w:right="1090"/>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204</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30"/>
        </w:trPr>
        <w:tc>
          <w:tcPr>
            <w:tcW w:w="6520" w:type="dxa"/>
            <w:vAlign w:val="bottom"/>
          </w:tcPr>
          <w:p>
            <w:pPr>
              <w:spacing w:after="0"/>
              <w:rPr>
                <w:sz w:val="20"/>
                <w:szCs w:val="20"/>
                <w:color w:val="auto"/>
              </w:rPr>
            </w:pPr>
            <w:r>
              <w:rPr>
                <w:rFonts w:ascii="Arial" w:cs="Arial" w:eastAsia="Arial" w:hAnsi="Arial"/>
                <w:sz w:val="18"/>
                <w:szCs w:val="18"/>
                <w:color w:val="auto"/>
              </w:rPr>
              <w:t>Sales and use taxes</w:t>
            </w:r>
          </w:p>
        </w:tc>
        <w:tc>
          <w:tcPr>
            <w:tcW w:w="13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29"/>
        </w:trPr>
        <w:tc>
          <w:tcPr>
            <w:tcW w:w="6520" w:type="dxa"/>
            <w:vAlign w:val="bottom"/>
          </w:tcPr>
          <w:p>
            <w:pPr>
              <w:spacing w:after="0"/>
              <w:rPr>
                <w:sz w:val="20"/>
                <w:szCs w:val="20"/>
                <w:color w:val="auto"/>
              </w:rPr>
            </w:pPr>
            <w:r>
              <w:rPr>
                <w:rFonts w:ascii="Arial" w:cs="Arial" w:eastAsia="Arial" w:hAnsi="Arial"/>
                <w:sz w:val="18"/>
                <w:szCs w:val="18"/>
                <w:color w:val="auto"/>
              </w:rPr>
              <w:t>Other</w:t>
            </w:r>
          </w:p>
        </w:tc>
        <w:tc>
          <w:tcPr>
            <w:tcW w:w="13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23"/>
        </w:trPr>
        <w:tc>
          <w:tcPr>
            <w:tcW w:w="6520" w:type="dxa"/>
            <w:vAlign w:val="bottom"/>
          </w:tcPr>
          <w:p>
            <w:pPr>
              <w:spacing w:after="0"/>
              <w:rPr>
                <w:sz w:val="20"/>
                <w:szCs w:val="20"/>
                <w:color w:val="auto"/>
              </w:rPr>
            </w:pPr>
            <w:r>
              <w:rPr>
                <w:rFonts w:ascii="Arial" w:cs="Arial" w:eastAsia="Arial" w:hAnsi="Arial"/>
                <w:sz w:val="18"/>
                <w:szCs w:val="18"/>
                <w:color w:val="auto"/>
              </w:rPr>
              <w:t>Other current assets</w:t>
            </w:r>
          </w:p>
        </w:tc>
        <w:tc>
          <w:tcPr>
            <w:tcW w:w="1300" w:type="dxa"/>
            <w:vAlign w:val="bottom"/>
            <w:tcBorders>
              <w:bottom w:val="single" w:sz="8" w:color="auto"/>
            </w:tcBorders>
          </w:tcPr>
          <w:p>
            <w:pPr>
              <w:jc w:val="right"/>
              <w:ind w:right="109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8"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7"/>
          <w:szCs w:val="17"/>
          <w:b w:val="1"/>
          <w:bCs w:val="1"/>
          <w:color w:val="auto"/>
        </w:rPr>
        <w:t>Intangible Assets</w:t>
      </w:r>
    </w:p>
    <w:p>
      <w:pPr>
        <w:spacing w:after="0" w:line="27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Intangible assets consisted of:</w:t>
      </w:r>
    </w:p>
    <w:p>
      <w:pPr>
        <w:spacing w:after="0" w:line="32" w:lineRule="exact"/>
        <w:rPr>
          <w:sz w:val="20"/>
          <w:szCs w:val="20"/>
          <w:color w:val="auto"/>
        </w:rPr>
      </w:pPr>
    </w:p>
    <w:tbl>
      <w:tblPr>
        <w:tblLayout w:type="fixed"/>
        <w:tblInd w:w="520" w:type="dxa"/>
        <w:tblCellMar>
          <w:top w:w="0" w:type="dxa"/>
          <w:left w:w="0" w:type="dxa"/>
          <w:bottom w:w="0" w:type="dxa"/>
          <w:right w:w="0" w:type="dxa"/>
        </w:tblCellMar>
      </w:tblPr>
      <w:tr>
        <w:trPr>
          <w:trHeight w:val="218"/>
        </w:trPr>
        <w:tc>
          <w:tcPr>
            <w:tcW w:w="25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6"/>
          </w:tcPr>
          <w:p>
            <w:pPr>
              <w:jc w:val="center"/>
              <w:ind w:right="10"/>
              <w:spacing w:after="0"/>
              <w:rPr>
                <w:sz w:val="20"/>
                <w:szCs w:val="20"/>
                <w:color w:val="auto"/>
              </w:rPr>
            </w:pPr>
            <w:r>
              <w:rPr>
                <w:rFonts w:ascii="Arial" w:cs="Arial" w:eastAsia="Arial" w:hAnsi="Arial"/>
                <w:sz w:val="16"/>
                <w:szCs w:val="16"/>
                <w:b w:val="1"/>
                <w:bCs w:val="1"/>
                <w:color w:val="auto"/>
              </w:rPr>
              <w:t>As of March 31, 2021</w:t>
            </w:r>
          </w:p>
        </w:tc>
        <w:tc>
          <w:tcPr>
            <w:tcW w:w="9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6"/>
          </w:tcPr>
          <w:p>
            <w:pPr>
              <w:jc w:val="center"/>
              <w:ind w:left="596"/>
              <w:spacing w:after="0"/>
              <w:rPr>
                <w:sz w:val="20"/>
                <w:szCs w:val="20"/>
                <w:color w:val="auto"/>
              </w:rPr>
            </w:pPr>
            <w:r>
              <w:rPr>
                <w:rFonts w:ascii="Arial" w:cs="Arial" w:eastAsia="Arial" w:hAnsi="Arial"/>
                <w:sz w:val="16"/>
                <w:szCs w:val="16"/>
                <w:b w:val="1"/>
                <w:bCs w:val="1"/>
                <w:color w:val="auto"/>
              </w:rPr>
              <w:t>As of December 31, 2020</w:t>
            </w: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2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center"/>
              <w:ind w:right="36"/>
              <w:spacing w:after="0" w:line="145" w:lineRule="exact"/>
              <w:rPr>
                <w:sz w:val="20"/>
                <w:szCs w:val="20"/>
                <w:color w:val="auto"/>
              </w:rPr>
            </w:pPr>
            <w:r>
              <w:rPr>
                <w:rFonts w:ascii="Arial" w:cs="Arial" w:eastAsia="Arial" w:hAnsi="Arial"/>
                <w:sz w:val="14"/>
                <w:szCs w:val="14"/>
                <w:b w:val="1"/>
                <w:bCs w:val="1"/>
                <w:color w:val="auto"/>
                <w:w w:val="98"/>
              </w:rPr>
              <w:t>Gross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2"/>
                <w:szCs w:val="12"/>
                <w:color w:val="auto"/>
              </w:rPr>
            </w:pPr>
          </w:p>
        </w:tc>
        <w:tc>
          <w:tcPr>
            <w:tcW w:w="1040" w:type="dxa"/>
            <w:vAlign w:val="bottom"/>
            <w:gridSpan w:val="2"/>
          </w:tcPr>
          <w:p>
            <w:pPr>
              <w:jc w:val="center"/>
              <w:ind w:right="320"/>
              <w:spacing w:after="0" w:line="145" w:lineRule="exact"/>
              <w:rPr>
                <w:sz w:val="20"/>
                <w:szCs w:val="20"/>
                <w:color w:val="auto"/>
              </w:rPr>
            </w:pPr>
            <w:r>
              <w:rPr>
                <w:rFonts w:ascii="Arial" w:cs="Arial" w:eastAsia="Arial" w:hAnsi="Arial"/>
                <w:sz w:val="14"/>
                <w:szCs w:val="14"/>
                <w:b w:val="1"/>
                <w:bCs w:val="1"/>
                <w:color w:val="auto"/>
              </w:rPr>
              <w:t>Net</w:t>
            </w:r>
          </w:p>
        </w:tc>
        <w:tc>
          <w:tcPr>
            <w:tcW w:w="200" w:type="dxa"/>
            <w:vAlign w:val="bottom"/>
          </w:tcPr>
          <w:p>
            <w:pPr>
              <w:spacing w:after="0"/>
              <w:rPr>
                <w:sz w:val="12"/>
                <w:szCs w:val="12"/>
                <w:color w:val="auto"/>
              </w:rPr>
            </w:pPr>
          </w:p>
        </w:tc>
        <w:tc>
          <w:tcPr>
            <w:tcW w:w="940" w:type="dxa"/>
            <w:vAlign w:val="bottom"/>
          </w:tcPr>
          <w:p>
            <w:pPr>
              <w:jc w:val="center"/>
              <w:ind w:right="116"/>
              <w:spacing w:after="0" w:line="145" w:lineRule="exact"/>
              <w:rPr>
                <w:sz w:val="20"/>
                <w:szCs w:val="20"/>
                <w:color w:val="auto"/>
              </w:rPr>
            </w:pPr>
            <w:r>
              <w:rPr>
                <w:rFonts w:ascii="Arial" w:cs="Arial" w:eastAsia="Arial" w:hAnsi="Arial"/>
                <w:sz w:val="14"/>
                <w:szCs w:val="14"/>
                <w:b w:val="1"/>
                <w:bCs w:val="1"/>
                <w:color w:val="auto"/>
              </w:rPr>
              <w:t>Gross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Accumulated</w:t>
            </w:r>
          </w:p>
        </w:tc>
        <w:tc>
          <w:tcPr>
            <w:tcW w:w="240" w:type="dxa"/>
            <w:vAlign w:val="bottom"/>
          </w:tcPr>
          <w:p>
            <w:pPr>
              <w:spacing w:after="0"/>
              <w:rPr>
                <w:sz w:val="12"/>
                <w:szCs w:val="12"/>
                <w:color w:val="auto"/>
              </w:rPr>
            </w:pPr>
          </w:p>
        </w:tc>
        <w:tc>
          <w:tcPr>
            <w:tcW w:w="880" w:type="dxa"/>
            <w:vAlign w:val="bottom"/>
          </w:tcPr>
          <w:p>
            <w:pPr>
              <w:jc w:val="center"/>
              <w:ind w:right="158"/>
              <w:spacing w:after="0" w:line="145" w:lineRule="exact"/>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35"/>
        </w:trPr>
        <w:tc>
          <w:tcPr>
            <w:tcW w:w="2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jc w:val="center"/>
              <w:ind w:right="36"/>
              <w:spacing w:after="0" w:line="135" w:lineRule="exact"/>
              <w:rPr>
                <w:sz w:val="20"/>
                <w:szCs w:val="20"/>
                <w:color w:val="auto"/>
              </w:rPr>
            </w:pPr>
            <w:r>
              <w:rPr>
                <w:rFonts w:ascii="Arial" w:cs="Arial" w:eastAsia="Arial" w:hAnsi="Arial"/>
                <w:sz w:val="14"/>
                <w:szCs w:val="14"/>
                <w:b w:val="1"/>
                <w:bCs w:val="1"/>
                <w:color w:val="auto"/>
              </w:rPr>
              <w:t>Carrying</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rPr>
              <w:t>Carrying</w:t>
            </w:r>
          </w:p>
        </w:tc>
        <w:tc>
          <w:tcPr>
            <w:tcW w:w="200" w:type="dxa"/>
            <w:vAlign w:val="bottom"/>
          </w:tcPr>
          <w:p>
            <w:pPr>
              <w:spacing w:after="0"/>
              <w:rPr>
                <w:sz w:val="11"/>
                <w:szCs w:val="11"/>
                <w:color w:val="auto"/>
              </w:rPr>
            </w:pPr>
          </w:p>
        </w:tc>
        <w:tc>
          <w:tcPr>
            <w:tcW w:w="940" w:type="dxa"/>
            <w:vAlign w:val="bottom"/>
          </w:tcPr>
          <w:p>
            <w:pPr>
              <w:jc w:val="center"/>
              <w:ind w:right="116"/>
              <w:spacing w:after="0" w:line="135" w:lineRule="exact"/>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jc w:val="center"/>
              <w:ind w:right="158"/>
              <w:spacing w:after="0" w:line="135" w:lineRule="exact"/>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75"/>
        </w:trPr>
        <w:tc>
          <w:tcPr>
            <w:tcW w:w="2580" w:type="dxa"/>
            <w:vAlign w:val="bottom"/>
            <w:vMerge w:val="restart"/>
          </w:tcPr>
          <w:p>
            <w:pPr>
              <w:spacing w:after="0"/>
              <w:rPr>
                <w:sz w:val="20"/>
                <w:szCs w:val="20"/>
                <w:color w:val="auto"/>
              </w:rPr>
            </w:pPr>
            <w:r>
              <w:rPr>
                <w:rFonts w:ascii="Arial" w:cs="Arial" w:eastAsia="Arial" w:hAnsi="Arial"/>
                <w:sz w:val="16"/>
                <w:szCs w:val="16"/>
                <w:i w:val="1"/>
                <w:iCs w:val="1"/>
                <w:color w:val="auto"/>
              </w:rPr>
              <w:t>Amortized Intangible Assets</w:t>
            </w: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rPr>
              <w:t>Amount</w:t>
            </w:r>
          </w:p>
        </w:tc>
        <w:tc>
          <w:tcPr>
            <w:tcW w:w="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158"/>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90"/>
        </w:trPr>
        <w:tc>
          <w:tcPr>
            <w:tcW w:w="2580" w:type="dxa"/>
            <w:vAlign w:val="bottom"/>
            <w:vMerge w:val="continue"/>
          </w:tcPr>
          <w:p>
            <w:pPr>
              <w:spacing w:after="0"/>
              <w:rPr>
                <w:sz w:val="16"/>
                <w:szCs w:val="16"/>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275</w:t>
            </w:r>
          </w:p>
        </w:tc>
        <w:tc>
          <w:tcPr>
            <w:tcW w:w="340" w:type="dxa"/>
            <w:vAlign w:val="bottom"/>
            <w:gridSpan w:val="3"/>
            <w:vMerge w:val="restart"/>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16"/>
                <w:szCs w:val="16"/>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16"/>
                <w:szCs w:val="16"/>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280</w:t>
            </w:r>
          </w:p>
        </w:tc>
        <w:tc>
          <w:tcPr>
            <w:tcW w:w="24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16"/>
                <w:szCs w:val="16"/>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36"/>
        </w:trPr>
        <w:tc>
          <w:tcPr>
            <w:tcW w:w="2580" w:type="dxa"/>
            <w:vAlign w:val="bottom"/>
          </w:tcPr>
          <w:p>
            <w:pPr>
              <w:spacing w:after="0"/>
              <w:rPr>
                <w:sz w:val="20"/>
                <w:szCs w:val="20"/>
                <w:color w:val="auto"/>
              </w:rPr>
            </w:pPr>
            <w:r>
              <w:rPr>
                <w:rFonts w:ascii="Arial" w:cs="Arial" w:eastAsia="Arial" w:hAnsi="Arial"/>
                <w:sz w:val="16"/>
                <w:szCs w:val="16"/>
                <w:color w:val="auto"/>
              </w:rPr>
              <w:t>License agreements</w:t>
            </w:r>
          </w:p>
        </w:tc>
        <w:tc>
          <w:tcPr>
            <w:tcW w:w="20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340" w:type="dxa"/>
            <w:vAlign w:val="bottom"/>
            <w:gridSpan w:val="3"/>
            <w:vMerge w:val="continue"/>
          </w:tcPr>
          <w:p>
            <w:pPr>
              <w:spacing w:after="0"/>
              <w:rPr>
                <w:sz w:val="20"/>
                <w:szCs w:val="20"/>
                <w:color w:val="auto"/>
              </w:rPr>
            </w:pPr>
          </w:p>
        </w:tc>
        <w:tc>
          <w:tcPr>
            <w:tcW w:w="10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vMerge w:val="continue"/>
          </w:tcPr>
          <w:p>
            <w:pPr>
              <w:spacing w:after="0"/>
              <w:rPr>
                <w:sz w:val="20"/>
                <w:szCs w:val="20"/>
                <w:color w:val="auto"/>
              </w:rPr>
            </w:pPr>
          </w:p>
        </w:tc>
        <w:tc>
          <w:tcPr>
            <w:tcW w:w="9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vMerge w:val="continue"/>
          </w:tcPr>
          <w:p>
            <w:pPr>
              <w:spacing w:after="0"/>
              <w:rPr>
                <w:sz w:val="20"/>
                <w:szCs w:val="20"/>
                <w:color w:val="auto"/>
              </w:rPr>
            </w:pPr>
          </w:p>
        </w:tc>
        <w:tc>
          <w:tcPr>
            <w:tcW w:w="940" w:type="dxa"/>
            <w:vAlign w:val="bottom"/>
            <w:vMerge w:val="continue"/>
          </w:tcPr>
          <w:p>
            <w:pPr>
              <w:spacing w:after="0"/>
              <w:rPr>
                <w:sz w:val="20"/>
                <w:szCs w:val="20"/>
                <w:color w:val="auto"/>
              </w:rPr>
            </w:pPr>
          </w:p>
        </w:tc>
        <w:tc>
          <w:tcPr>
            <w:tcW w:w="240" w:type="dxa"/>
            <w:vAlign w:val="bottom"/>
            <w:gridSpan w:val="2"/>
            <w:vMerge w:val="continue"/>
          </w:tcPr>
          <w:p>
            <w:pPr>
              <w:spacing w:after="0"/>
              <w:rPr>
                <w:sz w:val="20"/>
                <w:szCs w:val="20"/>
                <w:color w:val="auto"/>
              </w:rPr>
            </w:pPr>
          </w:p>
        </w:tc>
        <w:tc>
          <w:tcPr>
            <w:tcW w:w="11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vMerge w:val="continue"/>
          </w:tcPr>
          <w:p>
            <w:pPr>
              <w:spacing w:after="0"/>
              <w:rPr>
                <w:sz w:val="20"/>
                <w:szCs w:val="20"/>
                <w:color w:val="auto"/>
              </w:rPr>
            </w:pPr>
          </w:p>
        </w:tc>
        <w:tc>
          <w:tcPr>
            <w:tcW w:w="8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580" w:type="dxa"/>
            <w:vAlign w:val="bottom"/>
          </w:tcPr>
          <w:p>
            <w:pPr>
              <w:spacing w:after="0"/>
              <w:rPr>
                <w:sz w:val="20"/>
                <w:szCs w:val="20"/>
                <w:color w:val="auto"/>
              </w:rPr>
            </w:pPr>
            <w:r>
              <w:rPr>
                <w:rFonts w:ascii="Arial" w:cs="Arial" w:eastAsia="Arial" w:hAnsi="Arial"/>
                <w:sz w:val="16"/>
                <w:szCs w:val="16"/>
                <w:color w:val="auto"/>
              </w:rPr>
              <w:t>Customer relationships</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29"/>
        </w:trPr>
        <w:tc>
          <w:tcPr>
            <w:tcW w:w="2580" w:type="dxa"/>
            <w:vAlign w:val="bottom"/>
          </w:tcPr>
          <w:p>
            <w:pPr>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3"/>
        </w:trPr>
        <w:tc>
          <w:tcPr>
            <w:tcW w:w="2580" w:type="dxa"/>
            <w:vAlign w:val="bottom"/>
          </w:tcPr>
          <w:p>
            <w:pPr>
              <w:spacing w:after="0"/>
              <w:rPr>
                <w:sz w:val="20"/>
                <w:szCs w:val="20"/>
                <w:color w:val="auto"/>
              </w:rPr>
            </w:pPr>
            <w:r>
              <w:rPr>
                <w:rFonts w:ascii="Arial" w:cs="Arial" w:eastAsia="Arial" w:hAnsi="Arial"/>
                <w:sz w:val="16"/>
                <w:szCs w:val="16"/>
                <w:color w:val="auto"/>
              </w:rPr>
              <w:t>Total</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588</w:t>
            </w:r>
          </w:p>
        </w:tc>
        <w:tc>
          <w:tcPr>
            <w:tcW w:w="34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390</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602</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380</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0"/>
        </w:trPr>
        <w:tc>
          <w:tcPr>
            <w:tcW w:w="2580" w:type="dxa"/>
            <w:vAlign w:val="bottom"/>
            <w:vMerge w:val="restart"/>
          </w:tcPr>
          <w:p>
            <w:pPr>
              <w:spacing w:after="0"/>
              <w:rPr>
                <w:sz w:val="20"/>
                <w:szCs w:val="20"/>
                <w:color w:val="auto"/>
              </w:rPr>
            </w:pPr>
            <w:r>
              <w:rPr>
                <w:rFonts w:ascii="Arial" w:cs="Arial" w:eastAsia="Arial" w:hAnsi="Arial"/>
                <w:sz w:val="16"/>
                <w:szCs w:val="16"/>
                <w:i w:val="1"/>
                <w:iCs w:val="1"/>
                <w:color w:val="auto"/>
              </w:rPr>
              <w:t>Unamortized Intangible Assets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9"/>
        </w:trPr>
        <w:tc>
          <w:tcPr>
            <w:tcW w:w="25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2580" w:type="dxa"/>
            <w:vAlign w:val="bottom"/>
          </w:tcPr>
          <w:p>
            <w:pPr>
              <w:spacing w:after="0"/>
              <w:rPr>
                <w:sz w:val="20"/>
                <w:szCs w:val="20"/>
                <w:color w:val="auto"/>
              </w:rPr>
            </w:pPr>
            <w:r>
              <w:rPr>
                <w:rFonts w:ascii="Arial" w:cs="Arial" w:eastAsia="Arial" w:hAnsi="Arial"/>
                <w:sz w:val="16"/>
                <w:szCs w:val="16"/>
                <w:color w:val="auto"/>
              </w:rPr>
              <w:t>Goodwill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1,121</w:t>
            </w:r>
          </w:p>
        </w:tc>
        <w:tc>
          <w:tcPr>
            <w:tcW w:w="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580" w:type="dxa"/>
            <w:vAlign w:val="bottom"/>
          </w:tcPr>
          <w:p>
            <w:pPr>
              <w:spacing w:after="0"/>
              <w:rPr>
                <w:sz w:val="20"/>
                <w:szCs w:val="20"/>
                <w:color w:val="auto"/>
              </w:rPr>
            </w:pPr>
            <w:r>
              <w:rPr>
                <w:rFonts w:ascii="Arial" w:cs="Arial" w:eastAsia="Arial" w:hAnsi="Arial"/>
                <w:sz w:val="16"/>
                <w:szCs w:val="16"/>
                <w:color w:val="auto"/>
              </w:rPr>
              <w:t>Trademarks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w:t>
            </w:r>
          </w:p>
        </w:tc>
        <w:tc>
          <w:tcPr>
            <w:tcW w:w="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500"/>
        <w:spacing w:after="0" w:line="254" w:lineRule="auto"/>
        <w:rPr>
          <w:sz w:val="20"/>
          <w:szCs w:val="20"/>
          <w:color w:val="auto"/>
        </w:rPr>
      </w:pPr>
      <w:r>
        <w:rPr>
          <w:rFonts w:ascii="Arial" w:cs="Arial" w:eastAsia="Arial" w:hAnsi="Arial"/>
          <w:sz w:val="18"/>
          <w:szCs w:val="18"/>
          <w:color w:val="auto"/>
        </w:rPr>
        <w:t>For the three months ended March 31, 2021 and 2020, amortization expense related to amortizable intangible assets was approximately $18 million and $13 million, respectively. Based on the Company’s amortizable intangible assets at March 31, 2021, the Company expects amortization expense of approximately $40 million for the remainder of 2021, $34 million for 2022, $25 million for 2023, $22 million for 2024, $17 million for 2025 and $15 million for 2026, excluding effects of currency exchange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0" w:right="4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07"/>
        </w:trPr>
        <w:tc>
          <w:tcPr>
            <w:tcW w:w="790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00" w:type="dxa"/>
            <w:vAlign w:val="bottom"/>
            <w:shd w:val="clear" w:color="auto" w:fill="0000FF"/>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7900" w:type="dxa"/>
            <w:vAlign w:val="bottom"/>
            <w:gridSpan w:val="2"/>
          </w:tcPr>
          <w:p>
            <w:pPr>
              <w:spacing w:after="0"/>
              <w:rPr>
                <w:sz w:val="20"/>
                <w:szCs w:val="20"/>
                <w:color w:val="auto"/>
              </w:rPr>
            </w:pPr>
            <w:r>
              <w:rPr>
                <w:rFonts w:ascii="Arial" w:cs="Arial" w:eastAsia="Arial" w:hAnsi="Arial"/>
                <w:sz w:val="18"/>
                <w:szCs w:val="18"/>
                <w:b w:val="1"/>
                <w:bCs w:val="1"/>
                <w:color w:val="auto"/>
              </w:rPr>
              <w:t>7.  Vehicle Rental Activities</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900" w:type="dxa"/>
            <w:vAlign w:val="bottom"/>
            <w:gridSpan w:val="2"/>
          </w:tcPr>
          <w:p>
            <w:pPr>
              <w:ind w:left="500"/>
              <w:spacing w:after="0"/>
              <w:rPr>
                <w:sz w:val="20"/>
                <w:szCs w:val="20"/>
                <w:color w:val="auto"/>
              </w:rPr>
            </w:pPr>
            <w:r>
              <w:rPr>
                <w:rFonts w:ascii="Arial" w:cs="Arial" w:eastAsia="Arial" w:hAnsi="Arial"/>
                <w:sz w:val="18"/>
                <w:szCs w:val="18"/>
                <w:color w:val="auto"/>
              </w:rPr>
              <w:t>The components of vehicles, net within assets under vehicle programs were as follows:</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1400" w:type="dxa"/>
            <w:vAlign w:val="bottom"/>
          </w:tcPr>
          <w:p>
            <w:pPr>
              <w:spacing w:after="0"/>
              <w:rPr>
                <w:sz w:val="21"/>
                <w:szCs w:val="21"/>
                <w:color w:val="auto"/>
              </w:rPr>
            </w:pPr>
          </w:p>
        </w:tc>
        <w:tc>
          <w:tcPr>
            <w:tcW w:w="6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gridSpan w:val="2"/>
          </w:tcPr>
          <w:p>
            <w:pPr>
              <w:jc w:val="center"/>
              <w:ind w:right="620"/>
              <w:spacing w:after="0"/>
              <w:rPr>
                <w:sz w:val="20"/>
                <w:szCs w:val="20"/>
                <w:color w:val="auto"/>
              </w:rPr>
            </w:pPr>
            <w:r>
              <w:rPr>
                <w:rFonts w:ascii="Arial" w:cs="Arial" w:eastAsia="Arial" w:hAnsi="Arial"/>
                <w:sz w:val="18"/>
                <w:szCs w:val="18"/>
                <w:b w:val="1"/>
                <w:bCs w:val="1"/>
                <w:color w:val="auto"/>
                <w:w w:val="97"/>
              </w:rPr>
              <w:t>As of</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rPr>
              <w:t>As of</w:t>
            </w:r>
          </w:p>
        </w:tc>
        <w:tc>
          <w:tcPr>
            <w:tcW w:w="0" w:type="dxa"/>
            <w:vAlign w:val="bottom"/>
          </w:tcPr>
          <w:p>
            <w:pPr>
              <w:spacing w:after="0"/>
              <w:rPr>
                <w:sz w:val="1"/>
                <w:szCs w:val="1"/>
                <w:color w:val="auto"/>
              </w:rPr>
            </w:pPr>
          </w:p>
        </w:tc>
      </w:tr>
      <w:tr>
        <w:trPr>
          <w:trHeight w:val="229"/>
        </w:trPr>
        <w:tc>
          <w:tcPr>
            <w:tcW w:w="1400" w:type="dxa"/>
            <w:vAlign w:val="bottom"/>
          </w:tcPr>
          <w:p>
            <w:pPr>
              <w:spacing w:after="0"/>
              <w:rPr>
                <w:sz w:val="19"/>
                <w:szCs w:val="19"/>
                <w:color w:val="auto"/>
              </w:rPr>
            </w:pPr>
          </w:p>
        </w:tc>
        <w:tc>
          <w:tcPr>
            <w:tcW w:w="6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rPr>
              <w:t>March 31,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9"/>
        </w:trPr>
        <w:tc>
          <w:tcPr>
            <w:tcW w:w="1400" w:type="dxa"/>
            <w:vAlign w:val="bottom"/>
          </w:tcPr>
          <w:p>
            <w:pPr>
              <w:spacing w:after="0"/>
              <w:rPr>
                <w:sz w:val="20"/>
                <w:szCs w:val="20"/>
                <w:color w:val="auto"/>
              </w:rPr>
            </w:pPr>
          </w:p>
        </w:tc>
        <w:tc>
          <w:tcPr>
            <w:tcW w:w="65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430"/>
              <w:spacing w:after="0"/>
              <w:rPr>
                <w:sz w:val="20"/>
                <w:szCs w:val="20"/>
                <w:color w:val="auto"/>
              </w:rPr>
            </w:pPr>
            <w:r>
              <w:rPr>
                <w:rFonts w:ascii="Arial" w:cs="Arial" w:eastAsia="Arial" w:hAnsi="Arial"/>
                <w:sz w:val="18"/>
                <w:szCs w:val="18"/>
                <w:b w:val="1"/>
                <w:bCs w:val="1"/>
                <w:color w:val="auto"/>
                <w:w w:val="99"/>
              </w:rPr>
              <w:t>2021</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900" w:type="dxa"/>
            <w:vAlign w:val="bottom"/>
            <w:gridSpan w:val="2"/>
          </w:tcPr>
          <w:p>
            <w:pPr>
              <w:ind w:left="520"/>
              <w:spacing w:after="0"/>
              <w:rPr>
                <w:sz w:val="20"/>
                <w:szCs w:val="20"/>
                <w:color w:val="auto"/>
              </w:rPr>
            </w:pPr>
            <w:r>
              <w:rPr>
                <w:rFonts w:ascii="Arial" w:cs="Arial" w:eastAsia="Arial" w:hAnsi="Arial"/>
                <w:sz w:val="18"/>
                <w:szCs w:val="18"/>
                <w:color w:val="auto"/>
              </w:rPr>
              <w:t>Rental vehicles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10,251</w:t>
            </w:r>
          </w:p>
        </w:tc>
        <w:tc>
          <w:tcPr>
            <w:tcW w:w="100" w:type="dxa"/>
            <w:vAlign w:val="bottom"/>
          </w:tcPr>
          <w:p>
            <w:pPr>
              <w:spacing w:after="0"/>
              <w:rPr>
                <w:sz w:val="19"/>
                <w:szCs w:val="19"/>
                <w:color w:val="auto"/>
              </w:rPr>
            </w:pPr>
          </w:p>
        </w:tc>
        <w:tc>
          <w:tcPr>
            <w:tcW w:w="2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9,210</w:t>
            </w:r>
          </w:p>
        </w:tc>
        <w:tc>
          <w:tcPr>
            <w:tcW w:w="0" w:type="dxa"/>
            <w:vAlign w:val="bottom"/>
          </w:tcPr>
          <w:p>
            <w:pPr>
              <w:spacing w:after="0"/>
              <w:rPr>
                <w:sz w:val="1"/>
                <w:szCs w:val="1"/>
                <w:color w:val="auto"/>
              </w:rPr>
            </w:pPr>
          </w:p>
        </w:tc>
      </w:tr>
      <w:tr>
        <w:trPr>
          <w:trHeight w:val="229"/>
        </w:trPr>
        <w:tc>
          <w:tcPr>
            <w:tcW w:w="7900" w:type="dxa"/>
            <w:vAlign w:val="bottom"/>
            <w:gridSpan w:val="2"/>
          </w:tcPr>
          <w:p>
            <w:pPr>
              <w:ind w:left="520"/>
              <w:spacing w:after="0"/>
              <w:rPr>
                <w:sz w:val="20"/>
                <w:szCs w:val="20"/>
                <w:color w:val="auto"/>
              </w:rPr>
            </w:pPr>
            <w:r>
              <w:rPr>
                <w:rFonts w:ascii="Arial" w:cs="Arial" w:eastAsia="Arial" w:hAnsi="Arial"/>
                <w:sz w:val="18"/>
                <w:szCs w:val="18"/>
                <w:color w:val="auto"/>
              </w:rPr>
              <w:t>Less: Accumulated depreciation</w:t>
            </w:r>
          </w:p>
        </w:tc>
        <w:tc>
          <w:tcPr>
            <w:tcW w:w="3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(1,288)</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(1,337)</w:t>
            </w:r>
          </w:p>
        </w:tc>
        <w:tc>
          <w:tcPr>
            <w:tcW w:w="0" w:type="dxa"/>
            <w:vAlign w:val="bottom"/>
          </w:tcPr>
          <w:p>
            <w:pPr>
              <w:spacing w:after="0"/>
              <w:rPr>
                <w:sz w:val="1"/>
                <w:szCs w:val="1"/>
                <w:color w:val="auto"/>
              </w:rPr>
            </w:pPr>
          </w:p>
        </w:tc>
      </w:tr>
      <w:tr>
        <w:trPr>
          <w:trHeight w:val="223"/>
        </w:trPr>
        <w:tc>
          <w:tcPr>
            <w:tcW w:w="1400" w:type="dxa"/>
            <w:vAlign w:val="bottom"/>
          </w:tcPr>
          <w:p>
            <w:pPr>
              <w:spacing w:after="0"/>
              <w:rPr>
                <w:sz w:val="19"/>
                <w:szCs w:val="19"/>
                <w:color w:val="auto"/>
              </w:rPr>
            </w:pPr>
          </w:p>
        </w:tc>
        <w:tc>
          <w:tcPr>
            <w:tcW w:w="6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8,963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7,873</w:t>
            </w:r>
          </w:p>
        </w:tc>
        <w:tc>
          <w:tcPr>
            <w:tcW w:w="0" w:type="dxa"/>
            <w:vAlign w:val="bottom"/>
          </w:tcPr>
          <w:p>
            <w:pPr>
              <w:spacing w:after="0"/>
              <w:rPr>
                <w:sz w:val="1"/>
                <w:szCs w:val="1"/>
                <w:color w:val="auto"/>
              </w:rPr>
            </w:pPr>
          </w:p>
        </w:tc>
      </w:tr>
      <w:tr>
        <w:trPr>
          <w:trHeight w:val="229"/>
        </w:trPr>
        <w:tc>
          <w:tcPr>
            <w:tcW w:w="7900" w:type="dxa"/>
            <w:vAlign w:val="bottom"/>
            <w:gridSpan w:val="2"/>
          </w:tcPr>
          <w:p>
            <w:pPr>
              <w:ind w:left="520"/>
              <w:spacing w:after="0"/>
              <w:rPr>
                <w:sz w:val="20"/>
                <w:szCs w:val="20"/>
                <w:color w:val="auto"/>
              </w:rPr>
            </w:pPr>
            <w:r>
              <w:rPr>
                <w:rFonts w:ascii="Arial" w:cs="Arial" w:eastAsia="Arial" w:hAnsi="Arial"/>
                <w:sz w:val="18"/>
                <w:szCs w:val="18"/>
                <w:color w:val="auto"/>
              </w:rPr>
              <w:t>Vehicles held for sale</w:t>
            </w:r>
          </w:p>
        </w:tc>
        <w:tc>
          <w:tcPr>
            <w:tcW w:w="3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23"/>
        </w:trPr>
        <w:tc>
          <w:tcPr>
            <w:tcW w:w="7900" w:type="dxa"/>
            <w:vAlign w:val="bottom"/>
            <w:gridSpan w:val="2"/>
          </w:tcPr>
          <w:p>
            <w:pPr>
              <w:ind w:left="520"/>
              <w:spacing w:after="0"/>
              <w:rPr>
                <w:sz w:val="20"/>
                <w:szCs w:val="20"/>
                <w:color w:val="auto"/>
              </w:rPr>
            </w:pPr>
            <w:r>
              <w:rPr>
                <w:rFonts w:ascii="Arial" w:cs="Arial" w:eastAsia="Arial" w:hAnsi="Arial"/>
                <w:sz w:val="18"/>
                <w:szCs w:val="18"/>
                <w:color w:val="auto"/>
              </w:rPr>
              <w:t>Vehicles, net</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9,101</w:t>
            </w:r>
          </w:p>
        </w:tc>
        <w:tc>
          <w:tcPr>
            <w:tcW w:w="100" w:type="dxa"/>
            <w:vAlign w:val="bottom"/>
          </w:tcPr>
          <w:p>
            <w:pPr>
              <w:spacing w:after="0"/>
              <w:rPr>
                <w:sz w:val="19"/>
                <w:szCs w:val="19"/>
                <w:color w:val="auto"/>
              </w:rPr>
            </w:pPr>
          </w:p>
        </w:tc>
        <w:tc>
          <w:tcPr>
            <w:tcW w:w="22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8,153</w:t>
            </w:r>
          </w:p>
        </w:tc>
        <w:tc>
          <w:tcPr>
            <w:tcW w:w="0" w:type="dxa"/>
            <w:vAlign w:val="bottom"/>
          </w:tcPr>
          <w:p>
            <w:pPr>
              <w:spacing w:after="0"/>
              <w:rPr>
                <w:sz w:val="1"/>
                <w:szCs w:val="1"/>
                <w:color w:val="auto"/>
              </w:rPr>
            </w:pPr>
          </w:p>
        </w:tc>
      </w:tr>
      <w:tr>
        <w:trPr>
          <w:trHeight w:val="21"/>
        </w:trPr>
        <w:tc>
          <w:tcPr>
            <w:tcW w:w="7900" w:type="dxa"/>
            <w:vAlign w:val="bottom"/>
            <w:gridSpan w:val="2"/>
            <w:vMerge w:val="restart"/>
          </w:tcPr>
          <w:p>
            <w:pPr>
              <w:ind w:left="500"/>
              <w:spacing w:after="0"/>
              <w:rPr>
                <w:sz w:val="20"/>
                <w:szCs w:val="20"/>
                <w:color w:val="auto"/>
              </w:rPr>
            </w:pPr>
            <w:r>
              <w:rPr>
                <w:rFonts w:ascii="Arial" w:cs="Arial" w:eastAsia="Arial" w:hAnsi="Arial"/>
                <w:sz w:val="18"/>
                <w:szCs w:val="18"/>
                <w:color w:val="auto"/>
              </w:rPr>
              <w:t>The components of vehicle depreciation and lease charges, net are summarized below:</w:t>
            </w: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1"/>
        </w:trPr>
        <w:tc>
          <w:tcPr>
            <w:tcW w:w="790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400" w:type="dxa"/>
            <w:vAlign w:val="bottom"/>
          </w:tcPr>
          <w:p>
            <w:pPr>
              <w:spacing w:after="0"/>
              <w:rPr>
                <w:sz w:val="17"/>
                <w:szCs w:val="17"/>
                <w:color w:val="auto"/>
              </w:rPr>
            </w:pPr>
          </w:p>
        </w:tc>
        <w:tc>
          <w:tcPr>
            <w:tcW w:w="6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40" w:type="dxa"/>
            <w:vAlign w:val="bottom"/>
            <w:gridSpan w:val="6"/>
          </w:tcPr>
          <w:p>
            <w:pPr>
              <w:jc w:val="right"/>
              <w:ind w:right="700"/>
              <w:spacing w:after="0" w:line="202" w:lineRule="exact"/>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29"/>
        </w:trPr>
        <w:tc>
          <w:tcPr>
            <w:tcW w:w="1400" w:type="dxa"/>
            <w:vAlign w:val="bottom"/>
          </w:tcPr>
          <w:p>
            <w:pPr>
              <w:spacing w:after="0"/>
              <w:rPr>
                <w:sz w:val="19"/>
                <w:szCs w:val="19"/>
                <w:color w:val="auto"/>
              </w:rPr>
            </w:pPr>
          </w:p>
        </w:tc>
        <w:tc>
          <w:tcPr>
            <w:tcW w:w="6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40" w:type="dxa"/>
            <w:vAlign w:val="bottom"/>
            <w:gridSpan w:val="6"/>
          </w:tcPr>
          <w:p>
            <w:pPr>
              <w:jc w:val="center"/>
              <w:ind w:right="300"/>
              <w:spacing w:after="0"/>
              <w:rPr>
                <w:sz w:val="20"/>
                <w:szCs w:val="20"/>
                <w:color w:val="auto"/>
              </w:rPr>
            </w:pPr>
            <w:r>
              <w:rPr>
                <w:rFonts w:ascii="Arial" w:cs="Arial" w:eastAsia="Arial" w:hAnsi="Arial"/>
                <w:sz w:val="18"/>
                <w:szCs w:val="18"/>
                <w:b w:val="1"/>
                <w:bCs w:val="1"/>
                <w:color w:val="auto"/>
                <w:w w:val="98"/>
              </w:rPr>
              <w:t>March 31,</w:t>
            </w:r>
          </w:p>
        </w:tc>
        <w:tc>
          <w:tcPr>
            <w:tcW w:w="0" w:type="dxa"/>
            <w:vAlign w:val="bottom"/>
          </w:tcPr>
          <w:p>
            <w:pPr>
              <w:spacing w:after="0"/>
              <w:rPr>
                <w:sz w:val="1"/>
                <w:szCs w:val="1"/>
                <w:color w:val="auto"/>
              </w:rPr>
            </w:pPr>
          </w:p>
        </w:tc>
      </w:tr>
      <w:tr>
        <w:trPr>
          <w:trHeight w:val="223"/>
        </w:trPr>
        <w:tc>
          <w:tcPr>
            <w:tcW w:w="1400" w:type="dxa"/>
            <w:vAlign w:val="bottom"/>
          </w:tcPr>
          <w:p>
            <w:pPr>
              <w:spacing w:after="0"/>
              <w:rPr>
                <w:sz w:val="19"/>
                <w:szCs w:val="19"/>
                <w:color w:val="auto"/>
              </w:rPr>
            </w:pPr>
          </w:p>
        </w:tc>
        <w:tc>
          <w:tcPr>
            <w:tcW w:w="6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9"/>
              </w:rPr>
              <w:t>2020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00" w:type="dxa"/>
            <w:vAlign w:val="bottom"/>
            <w:gridSpan w:val="2"/>
          </w:tcPr>
          <w:p>
            <w:pPr>
              <w:ind w:left="520"/>
              <w:spacing w:after="0"/>
              <w:rPr>
                <w:sz w:val="20"/>
                <w:szCs w:val="20"/>
                <w:color w:val="auto"/>
              </w:rPr>
            </w:pPr>
            <w:r>
              <w:rPr>
                <w:rFonts w:ascii="Arial" w:cs="Arial" w:eastAsia="Arial" w:hAnsi="Arial"/>
                <w:sz w:val="18"/>
                <w:szCs w:val="18"/>
                <w:color w:val="auto"/>
              </w:rPr>
              <w:t>Depreciation expense</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259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gridSpan w:val="2"/>
          </w:tcPr>
          <w:p>
            <w:pPr>
              <w:ind w:left="520"/>
              <w:spacing w:after="0"/>
              <w:rPr>
                <w:sz w:val="20"/>
                <w:szCs w:val="20"/>
                <w:color w:val="auto"/>
              </w:rPr>
            </w:pPr>
            <w:r>
              <w:rPr>
                <w:rFonts w:ascii="Arial" w:cs="Arial" w:eastAsia="Arial" w:hAnsi="Arial"/>
                <w:sz w:val="18"/>
                <w:szCs w:val="18"/>
                <w:color w:val="auto"/>
              </w:rPr>
              <w:t>Lease charges</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00" w:type="dxa"/>
            <w:vAlign w:val="bottom"/>
            <w:gridSpan w:val="2"/>
          </w:tcPr>
          <w:p>
            <w:pPr>
              <w:ind w:left="520"/>
              <w:spacing w:after="0"/>
              <w:rPr>
                <w:sz w:val="20"/>
                <w:szCs w:val="20"/>
                <w:color w:val="auto"/>
              </w:rPr>
            </w:pPr>
            <w:r>
              <w:rPr>
                <w:rFonts w:ascii="Arial" w:cs="Arial" w:eastAsia="Arial" w:hAnsi="Arial"/>
                <w:sz w:val="18"/>
                <w:szCs w:val="18"/>
                <w:color w:val="auto"/>
              </w:rPr>
              <w:t>(Gain) loss on sale of vehicles, net</w:t>
            </w:r>
          </w:p>
        </w:tc>
        <w:tc>
          <w:tcPr>
            <w:tcW w:w="3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00" w:type="dxa"/>
            <w:vAlign w:val="bottom"/>
            <w:gridSpan w:val="2"/>
          </w:tcPr>
          <w:p>
            <w:pPr>
              <w:ind w:left="520"/>
              <w:spacing w:after="0"/>
              <w:rPr>
                <w:sz w:val="20"/>
                <w:szCs w:val="20"/>
                <w:color w:val="auto"/>
              </w:rPr>
            </w:pPr>
            <w:r>
              <w:rPr>
                <w:rFonts w:ascii="Arial" w:cs="Arial" w:eastAsia="Arial" w:hAnsi="Arial"/>
                <w:sz w:val="18"/>
                <w:szCs w:val="18"/>
                <w:color w:val="auto"/>
              </w:rPr>
              <w:t>Vehicle depreciation and lease charges, net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254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40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500" w:right="80"/>
        <w:spacing w:after="0" w:line="265" w:lineRule="auto"/>
        <w:rPr>
          <w:sz w:val="20"/>
          <w:szCs w:val="20"/>
          <w:color w:val="auto"/>
        </w:rPr>
      </w:pPr>
      <w:r>
        <w:rPr>
          <w:rFonts w:ascii="Arial" w:cs="Arial" w:eastAsia="Arial" w:hAnsi="Arial"/>
          <w:sz w:val="17"/>
          <w:szCs w:val="17"/>
          <w:color w:val="auto"/>
        </w:rPr>
        <w:t>At March 31, 2021 and 2020, the Company had payables related to vehicle purchases included in liabilities under vehicle programs - other of $344 million and $240 million, respectively, and receivables related to vehicle sales included in assets under vehicle programs</w:t>
      </w:r>
    </w:p>
    <w:p>
      <w:pPr>
        <w:ind w:left="600" w:hanging="106"/>
        <w:spacing w:after="0"/>
        <w:tabs>
          <w:tab w:leader="none" w:pos="6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receivables from vehicle manufacturers and other of $195 million and $491 million, respectively.</w:t>
      </w:r>
    </w:p>
    <w:p>
      <w:pPr>
        <w:spacing w:after="0" w:line="230" w:lineRule="exact"/>
        <w:rPr>
          <w:rFonts w:ascii="Arial" w:cs="Arial" w:eastAsia="Arial" w:hAnsi="Arial"/>
          <w:sz w:val="18"/>
          <w:szCs w:val="18"/>
          <w:color w:val="auto"/>
        </w:rPr>
      </w:pPr>
    </w:p>
    <w:p>
      <w:pPr>
        <w:ind w:left="360" w:hanging="352"/>
        <w:spacing w:after="0"/>
        <w:tabs>
          <w:tab w:leader="none" w:pos="3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74" w:lineRule="exact"/>
        <w:rPr>
          <w:sz w:val="20"/>
          <w:szCs w:val="20"/>
          <w:color w:val="auto"/>
        </w:rPr>
      </w:pPr>
    </w:p>
    <w:p>
      <w:pPr>
        <w:ind w:left="500" w:right="100"/>
        <w:spacing w:after="0" w:line="256" w:lineRule="auto"/>
        <w:rPr>
          <w:sz w:val="20"/>
          <w:szCs w:val="20"/>
          <w:color w:val="auto"/>
        </w:rPr>
      </w:pPr>
      <w:r>
        <w:rPr>
          <w:rFonts w:ascii="Arial" w:cs="Arial" w:eastAsia="Arial" w:hAnsi="Arial"/>
          <w:sz w:val="18"/>
          <w:szCs w:val="18"/>
          <w:color w:val="auto"/>
        </w:rPr>
        <w:t>The Company’s effective tax rate for the three months ended March 31, 2021 and 2020 were benefits of 32.0% and 40.4%, respectively. Such rates differed from the Federal Statutory rate of 21.0% primarily due to foreign taxes on our International operations and state taxes.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300" w:type="dxa"/>
            <w:vAlign w:val="bottom"/>
          </w:tcPr>
          <w:p>
            <w:pPr>
              <w:spacing w:after="0"/>
              <w:rPr>
                <w:sz w:val="20"/>
                <w:szCs w:val="20"/>
                <w:color w:val="auto"/>
              </w:rPr>
            </w:pPr>
            <w:r>
              <w:rPr>
                <w:rFonts w:ascii="Arial" w:cs="Arial" w:eastAsia="Arial" w:hAnsi="Arial"/>
                <w:sz w:val="18"/>
                <w:szCs w:val="18"/>
                <w:b w:val="1"/>
                <w:bCs w:val="1"/>
                <w:color w:val="auto"/>
              </w:rPr>
              <w:t>9.  Accounts Payable and Other Current Liabilities</w:t>
            </w:r>
          </w:p>
        </w:tc>
        <w:tc>
          <w:tcPr>
            <w:tcW w:w="2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459"/>
        </w:trPr>
        <w:tc>
          <w:tcPr>
            <w:tcW w:w="7300" w:type="dxa"/>
            <w:vAlign w:val="bottom"/>
          </w:tcPr>
          <w:p>
            <w:pPr>
              <w:ind w:left="500"/>
              <w:spacing w:after="0"/>
              <w:rPr>
                <w:sz w:val="20"/>
                <w:szCs w:val="20"/>
                <w:color w:val="auto"/>
              </w:rPr>
            </w:pPr>
            <w:r>
              <w:rPr>
                <w:rFonts w:ascii="Arial" w:cs="Arial" w:eastAsia="Arial" w:hAnsi="Arial"/>
                <w:sz w:val="18"/>
                <w:szCs w:val="18"/>
                <w:color w:val="auto"/>
              </w:rPr>
              <w:t>Accounts payable and other current liabilities consisted of:</w:t>
            </w: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47"/>
        </w:trPr>
        <w:tc>
          <w:tcPr>
            <w:tcW w:w="7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rPr>
              <w:t>As of</w:t>
            </w:r>
          </w:p>
        </w:tc>
        <w:tc>
          <w:tcPr>
            <w:tcW w:w="180" w:type="dxa"/>
            <w:vAlign w:val="bottom"/>
          </w:tcPr>
          <w:p>
            <w:pPr>
              <w:spacing w:after="0"/>
              <w:rPr>
                <w:sz w:val="21"/>
                <w:szCs w:val="21"/>
                <w:color w:val="auto"/>
              </w:rPr>
            </w:pPr>
          </w:p>
        </w:tc>
        <w:tc>
          <w:tcPr>
            <w:tcW w:w="1460" w:type="dxa"/>
            <w:vAlign w:val="bottom"/>
          </w:tcPr>
          <w:p>
            <w:pPr>
              <w:jc w:val="center"/>
              <w:ind w:right="90"/>
              <w:spacing w:after="0"/>
              <w:rPr>
                <w:sz w:val="20"/>
                <w:szCs w:val="20"/>
                <w:color w:val="auto"/>
              </w:rPr>
            </w:pPr>
            <w:r>
              <w:rPr>
                <w:rFonts w:ascii="Arial" w:cs="Arial" w:eastAsia="Arial" w:hAnsi="Arial"/>
                <w:sz w:val="18"/>
                <w:szCs w:val="18"/>
                <w:b w:val="1"/>
                <w:bCs w:val="1"/>
                <w:color w:val="auto"/>
                <w:w w:val="97"/>
              </w:rPr>
              <w:t>As of</w:t>
            </w:r>
          </w:p>
        </w:tc>
      </w:tr>
      <w:tr>
        <w:trPr>
          <w:trHeight w:val="230"/>
        </w:trPr>
        <w:tc>
          <w:tcPr>
            <w:tcW w:w="7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8"/>
              </w:rPr>
              <w:t>March 31,</w:t>
            </w:r>
          </w:p>
        </w:tc>
        <w:tc>
          <w:tcPr>
            <w:tcW w:w="180" w:type="dxa"/>
            <w:vAlign w:val="bottom"/>
          </w:tcPr>
          <w:p>
            <w:pPr>
              <w:spacing w:after="0"/>
              <w:rPr>
                <w:sz w:val="19"/>
                <w:szCs w:val="19"/>
                <w:color w:val="auto"/>
              </w:rPr>
            </w:pPr>
          </w:p>
        </w:tc>
        <w:tc>
          <w:tcPr>
            <w:tcW w:w="1460" w:type="dxa"/>
            <w:vAlign w:val="bottom"/>
          </w:tcPr>
          <w:p>
            <w:pPr>
              <w:jc w:val="center"/>
              <w:ind w:right="90"/>
              <w:spacing w:after="0"/>
              <w:rPr>
                <w:sz w:val="20"/>
                <w:szCs w:val="20"/>
                <w:color w:val="auto"/>
              </w:rPr>
            </w:pPr>
            <w:r>
              <w:rPr>
                <w:rFonts w:ascii="Arial" w:cs="Arial" w:eastAsia="Arial" w:hAnsi="Arial"/>
                <w:sz w:val="18"/>
                <w:szCs w:val="18"/>
                <w:b w:val="1"/>
                <w:bCs w:val="1"/>
                <w:color w:val="auto"/>
                <w:w w:val="99"/>
              </w:rPr>
              <w:t>December 31,</w:t>
            </w:r>
          </w:p>
        </w:tc>
      </w:tr>
      <w:tr>
        <w:trPr>
          <w:trHeight w:val="239"/>
        </w:trPr>
        <w:tc>
          <w:tcPr>
            <w:tcW w:w="73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99"/>
              </w:rPr>
              <w:t>2021</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9"/>
              </w:rPr>
              <w:t>2020</w:t>
            </w:r>
          </w:p>
        </w:tc>
      </w:tr>
      <w:tr>
        <w:trPr>
          <w:trHeight w:val="223"/>
        </w:trPr>
        <w:tc>
          <w:tcPr>
            <w:tcW w:w="7300" w:type="dxa"/>
            <w:vAlign w:val="bottom"/>
          </w:tcPr>
          <w:p>
            <w:pPr>
              <w:ind w:left="520"/>
              <w:spacing w:after="0"/>
              <w:rPr>
                <w:sz w:val="20"/>
                <w:szCs w:val="20"/>
                <w:color w:val="auto"/>
              </w:rPr>
            </w:pPr>
            <w:r>
              <w:rPr>
                <w:rFonts w:ascii="Arial" w:cs="Arial" w:eastAsia="Arial" w:hAnsi="Arial"/>
                <w:sz w:val="18"/>
                <w:szCs w:val="18"/>
                <w:color w:val="auto"/>
              </w:rPr>
              <w:t>Short-term operating lease liabilities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519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514</w:t>
            </w:r>
          </w:p>
        </w:tc>
      </w:tr>
      <w:tr>
        <w:trPr>
          <w:trHeight w:val="230"/>
        </w:trPr>
        <w:tc>
          <w:tcPr>
            <w:tcW w:w="7300" w:type="dxa"/>
            <w:vAlign w:val="bottom"/>
          </w:tcPr>
          <w:p>
            <w:pPr>
              <w:ind w:left="520"/>
              <w:spacing w:after="0"/>
              <w:rPr>
                <w:sz w:val="20"/>
                <w:szCs w:val="20"/>
                <w:color w:val="auto"/>
              </w:rPr>
            </w:pPr>
            <w:r>
              <w:rPr>
                <w:rFonts w:ascii="Arial" w:cs="Arial" w:eastAsia="Arial" w:hAnsi="Arial"/>
                <w:sz w:val="18"/>
                <w:szCs w:val="18"/>
                <w:color w:val="auto"/>
              </w:rPr>
              <w:t>Accounts payable</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458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394</w:t>
            </w:r>
          </w:p>
        </w:tc>
      </w:tr>
      <w:tr>
        <w:trPr>
          <w:trHeight w:val="230"/>
        </w:trPr>
        <w:tc>
          <w:tcPr>
            <w:tcW w:w="7300" w:type="dxa"/>
            <w:vAlign w:val="bottom"/>
          </w:tcPr>
          <w:p>
            <w:pPr>
              <w:ind w:left="520"/>
              <w:spacing w:after="0"/>
              <w:rPr>
                <w:sz w:val="20"/>
                <w:szCs w:val="20"/>
                <w:color w:val="auto"/>
              </w:rPr>
            </w:pPr>
            <w:r>
              <w:rPr>
                <w:rFonts w:ascii="Arial" w:cs="Arial" w:eastAsia="Arial" w:hAnsi="Arial"/>
                <w:sz w:val="18"/>
                <w:szCs w:val="18"/>
                <w:color w:val="auto"/>
              </w:rPr>
              <w:t>Accrued sales and use taxes</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215</w:t>
            </w:r>
          </w:p>
        </w:tc>
      </w:tr>
      <w:tr>
        <w:trPr>
          <w:trHeight w:val="230"/>
        </w:trPr>
        <w:tc>
          <w:tcPr>
            <w:tcW w:w="7300" w:type="dxa"/>
            <w:vAlign w:val="bottom"/>
          </w:tcPr>
          <w:p>
            <w:pPr>
              <w:ind w:left="520"/>
              <w:spacing w:after="0"/>
              <w:rPr>
                <w:sz w:val="20"/>
                <w:szCs w:val="20"/>
                <w:color w:val="auto"/>
              </w:rPr>
            </w:pPr>
            <w:r>
              <w:rPr>
                <w:rFonts w:ascii="Arial" w:cs="Arial" w:eastAsia="Arial" w:hAnsi="Arial"/>
                <w:sz w:val="18"/>
                <w:szCs w:val="18"/>
                <w:color w:val="auto"/>
              </w:rPr>
              <w:t>Public liability and property damage insurance liabilities – current</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162</w:t>
            </w:r>
          </w:p>
        </w:tc>
      </w:tr>
      <w:tr>
        <w:trPr>
          <w:trHeight w:val="229"/>
        </w:trPr>
        <w:tc>
          <w:tcPr>
            <w:tcW w:w="7300" w:type="dxa"/>
            <w:vAlign w:val="bottom"/>
          </w:tcPr>
          <w:p>
            <w:pPr>
              <w:ind w:left="520"/>
              <w:spacing w:after="0"/>
              <w:rPr>
                <w:sz w:val="20"/>
                <w:szCs w:val="20"/>
                <w:color w:val="auto"/>
              </w:rPr>
            </w:pPr>
            <w:r>
              <w:rPr>
                <w:rFonts w:ascii="Arial" w:cs="Arial" w:eastAsia="Arial" w:hAnsi="Arial"/>
                <w:sz w:val="18"/>
                <w:szCs w:val="18"/>
                <w:color w:val="auto"/>
              </w:rPr>
              <w:t>Deferred lease revenues – current</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30"/>
        </w:trPr>
        <w:tc>
          <w:tcPr>
            <w:tcW w:w="7300" w:type="dxa"/>
            <w:vAlign w:val="bottom"/>
          </w:tcPr>
          <w:p>
            <w:pPr>
              <w:ind w:left="520"/>
              <w:spacing w:after="0"/>
              <w:rPr>
                <w:sz w:val="20"/>
                <w:szCs w:val="20"/>
                <w:color w:val="auto"/>
              </w:rPr>
            </w:pPr>
            <w:r>
              <w:rPr>
                <w:rFonts w:ascii="Arial" w:cs="Arial" w:eastAsia="Arial" w:hAnsi="Arial"/>
                <w:sz w:val="18"/>
                <w:szCs w:val="18"/>
                <w:color w:val="auto"/>
              </w:rPr>
              <w:t>Accrued payroll and related</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30"/>
        </w:trPr>
        <w:tc>
          <w:tcPr>
            <w:tcW w:w="7300" w:type="dxa"/>
            <w:vAlign w:val="bottom"/>
          </w:tcPr>
          <w:p>
            <w:pPr>
              <w:ind w:left="520"/>
              <w:spacing w:after="0"/>
              <w:rPr>
                <w:sz w:val="20"/>
                <w:szCs w:val="20"/>
                <w:color w:val="auto"/>
              </w:rPr>
            </w:pPr>
            <w:r>
              <w:rPr>
                <w:rFonts w:ascii="Arial" w:cs="Arial" w:eastAsia="Arial" w:hAnsi="Arial"/>
                <w:sz w:val="18"/>
                <w:szCs w:val="18"/>
                <w:color w:val="auto"/>
              </w:rPr>
              <w:t>Accrued advertising and marketing</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29"/>
        </w:trPr>
        <w:tc>
          <w:tcPr>
            <w:tcW w:w="7300" w:type="dxa"/>
            <w:vAlign w:val="bottom"/>
          </w:tcPr>
          <w:p>
            <w:pPr>
              <w:ind w:left="5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w:t>
            </w:r>
          </w:p>
        </w:tc>
      </w:tr>
      <w:tr>
        <w:trPr>
          <w:trHeight w:val="223"/>
        </w:trPr>
        <w:tc>
          <w:tcPr>
            <w:tcW w:w="7300" w:type="dxa"/>
            <w:vAlign w:val="bottom"/>
          </w:tcPr>
          <w:p>
            <w:pPr>
              <w:ind w:left="520"/>
              <w:spacing w:after="0"/>
              <w:rPr>
                <w:sz w:val="20"/>
                <w:szCs w:val="20"/>
                <w:color w:val="auto"/>
              </w:rPr>
            </w:pPr>
            <w:r>
              <w:rPr>
                <w:rFonts w:ascii="Arial" w:cs="Arial" w:eastAsia="Arial" w:hAnsi="Arial"/>
                <w:sz w:val="18"/>
                <w:szCs w:val="18"/>
                <w:color w:val="auto"/>
              </w:rPr>
              <w:t>Accounts payable and other current liabilities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2,034</w:t>
            </w:r>
          </w:p>
        </w:tc>
      </w:tr>
      <w:tr>
        <w:trPr>
          <w:trHeight w:val="20"/>
        </w:trPr>
        <w:tc>
          <w:tcPr>
            <w:tcW w:w="7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7"/>
          <w:szCs w:val="17"/>
          <w:b w:val="1"/>
          <w:bCs w:val="1"/>
          <w:color w:val="auto"/>
        </w:rPr>
        <w:t>Long-term Corporate Debt and Borrowing Arrangements</w:t>
      </w:r>
    </w:p>
    <w:p>
      <w:pPr>
        <w:spacing w:after="0" w:line="27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Long-term corporate debt and borrowing arrangements consisted of:</w:t>
      </w:r>
    </w:p>
    <w:p>
      <w:pPr>
        <w:spacing w:after="0" w:line="32" w:lineRule="exact"/>
        <w:rPr>
          <w:sz w:val="20"/>
          <w:szCs w:val="20"/>
          <w:color w:val="auto"/>
        </w:rPr>
      </w:pPr>
    </w:p>
    <w:tbl>
      <w:tblPr>
        <w:tblLayout w:type="fixed"/>
        <w:tblInd w:w="520" w:type="dxa"/>
        <w:tblCellMar>
          <w:top w:w="0" w:type="dxa"/>
          <w:left w:w="0" w:type="dxa"/>
          <w:bottom w:w="0" w:type="dxa"/>
          <w:right w:w="0" w:type="dxa"/>
        </w:tblCellMar>
      </w:tblPr>
      <w:tr>
        <w:trPr>
          <w:trHeight w:val="215"/>
        </w:trPr>
        <w:tc>
          <w:tcPr>
            <w:tcW w:w="49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As of</w:t>
            </w:r>
          </w:p>
        </w:tc>
        <w:tc>
          <w:tcPr>
            <w:tcW w:w="160" w:type="dxa"/>
            <w:vAlign w:val="bottom"/>
          </w:tcPr>
          <w:p>
            <w:pPr>
              <w:spacing w:after="0"/>
              <w:rPr>
                <w:sz w:val="18"/>
                <w:szCs w:val="18"/>
                <w:color w:val="auto"/>
              </w:rPr>
            </w:pPr>
          </w:p>
        </w:tc>
        <w:tc>
          <w:tcPr>
            <w:tcW w:w="1320" w:type="dxa"/>
            <w:vAlign w:val="bottom"/>
          </w:tcPr>
          <w:p>
            <w:pPr>
              <w:jc w:val="center"/>
              <w:ind w:right="79"/>
              <w:spacing w:after="0"/>
              <w:rPr>
                <w:sz w:val="20"/>
                <w:szCs w:val="20"/>
                <w:color w:val="auto"/>
              </w:rPr>
            </w:pPr>
            <w:r>
              <w:rPr>
                <w:rFonts w:ascii="Arial" w:cs="Arial" w:eastAsia="Arial" w:hAnsi="Arial"/>
                <w:sz w:val="16"/>
                <w:szCs w:val="16"/>
                <w:b w:val="1"/>
                <w:bCs w:val="1"/>
                <w:color w:val="auto"/>
                <w:w w:val="99"/>
              </w:rPr>
              <w:t>As of</w:t>
            </w:r>
          </w:p>
        </w:tc>
      </w:tr>
      <w:tr>
        <w:trPr>
          <w:trHeight w:val="222"/>
        </w:trPr>
        <w:tc>
          <w:tcPr>
            <w:tcW w:w="4920" w:type="dxa"/>
            <w:vAlign w:val="bottom"/>
          </w:tcPr>
          <w:p>
            <w:pPr>
              <w:spacing w:after="0"/>
              <w:rPr>
                <w:sz w:val="19"/>
                <w:szCs w:val="19"/>
                <w:color w:val="auto"/>
              </w:rPr>
            </w:pPr>
          </w:p>
        </w:tc>
        <w:tc>
          <w:tcPr>
            <w:tcW w:w="2000" w:type="dxa"/>
            <w:vAlign w:val="bottom"/>
          </w:tcPr>
          <w:p>
            <w:pPr>
              <w:jc w:val="right"/>
              <w:ind w:right="579"/>
              <w:spacing w:after="0"/>
              <w:rPr>
                <w:sz w:val="20"/>
                <w:szCs w:val="20"/>
                <w:color w:val="auto"/>
              </w:rPr>
            </w:pPr>
            <w:r>
              <w:rPr>
                <w:rFonts w:ascii="Arial" w:cs="Arial" w:eastAsia="Arial" w:hAnsi="Arial"/>
                <w:sz w:val="16"/>
                <w:szCs w:val="16"/>
                <w:b w:val="1"/>
                <w:bCs w:val="1"/>
                <w:color w:val="auto"/>
              </w:rPr>
              <w:t>Maturity</w:t>
            </w:r>
          </w:p>
        </w:tc>
        <w:tc>
          <w:tcPr>
            <w:tcW w:w="220" w:type="dxa"/>
            <w:vAlign w:val="bottom"/>
          </w:tcPr>
          <w:p>
            <w:pPr>
              <w:spacing w:after="0"/>
              <w:rPr>
                <w:sz w:val="19"/>
                <w:szCs w:val="19"/>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March 31,</w:t>
            </w:r>
          </w:p>
        </w:tc>
        <w:tc>
          <w:tcPr>
            <w:tcW w:w="160" w:type="dxa"/>
            <w:vAlign w:val="bottom"/>
          </w:tcPr>
          <w:p>
            <w:pPr>
              <w:spacing w:after="0"/>
              <w:rPr>
                <w:sz w:val="19"/>
                <w:szCs w:val="19"/>
                <w:color w:val="auto"/>
              </w:rPr>
            </w:pPr>
          </w:p>
        </w:tc>
        <w:tc>
          <w:tcPr>
            <w:tcW w:w="1320" w:type="dxa"/>
            <w:vAlign w:val="bottom"/>
          </w:tcPr>
          <w:p>
            <w:pPr>
              <w:jc w:val="center"/>
              <w:ind w:right="99"/>
              <w:spacing w:after="0"/>
              <w:rPr>
                <w:sz w:val="20"/>
                <w:szCs w:val="20"/>
                <w:color w:val="auto"/>
              </w:rPr>
            </w:pPr>
            <w:r>
              <w:rPr>
                <w:rFonts w:ascii="Arial" w:cs="Arial" w:eastAsia="Arial" w:hAnsi="Arial"/>
                <w:sz w:val="16"/>
                <w:szCs w:val="16"/>
                <w:b w:val="1"/>
                <w:bCs w:val="1"/>
                <w:color w:val="auto"/>
              </w:rPr>
              <w:t>December 31,</w:t>
            </w:r>
          </w:p>
        </w:tc>
      </w:tr>
      <w:tr>
        <w:trPr>
          <w:trHeight w:val="215"/>
        </w:trPr>
        <w:tc>
          <w:tcPr>
            <w:tcW w:w="4920" w:type="dxa"/>
            <w:vAlign w:val="bottom"/>
          </w:tcPr>
          <w:p>
            <w:pPr>
              <w:spacing w:after="0"/>
              <w:rPr>
                <w:sz w:val="18"/>
                <w:szCs w:val="18"/>
                <w:color w:val="auto"/>
              </w:rPr>
            </w:pPr>
          </w:p>
        </w:tc>
        <w:tc>
          <w:tcPr>
            <w:tcW w:w="2000" w:type="dxa"/>
            <w:vAlign w:val="bottom"/>
          </w:tcPr>
          <w:p>
            <w:pPr>
              <w:jc w:val="right"/>
              <w:ind w:right="699"/>
              <w:spacing w:after="0"/>
              <w:rPr>
                <w:sz w:val="20"/>
                <w:szCs w:val="20"/>
                <w:color w:val="auto"/>
              </w:rPr>
            </w:pPr>
            <w:r>
              <w:rPr>
                <w:rFonts w:ascii="Arial" w:cs="Arial" w:eastAsia="Arial" w:hAnsi="Arial"/>
                <w:sz w:val="16"/>
                <w:szCs w:val="16"/>
                <w:b w:val="1"/>
                <w:bCs w:val="1"/>
                <w:color w:val="auto"/>
              </w:rPr>
              <w:t>Date</w:t>
            </w: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2020</w:t>
            </w:r>
          </w:p>
        </w:tc>
      </w:tr>
      <w:tr>
        <w:trPr>
          <w:trHeight w:val="204"/>
        </w:trPr>
        <w:tc>
          <w:tcPr>
            <w:tcW w:w="4920" w:type="dxa"/>
            <w:vAlign w:val="bottom"/>
          </w:tcPr>
          <w:p>
            <w:pPr>
              <w:ind w:left="80"/>
              <w:spacing w:after="0"/>
              <w:rPr>
                <w:sz w:val="20"/>
                <w:szCs w:val="20"/>
                <w:color w:val="auto"/>
              </w:rPr>
            </w:pPr>
            <w:r>
              <w:rPr>
                <w:rFonts w:ascii="Arial" w:cs="Arial" w:eastAsia="Arial" w:hAnsi="Arial"/>
                <w:sz w:val="16"/>
                <w:szCs w:val="16"/>
                <w:color w:val="auto"/>
              </w:rPr>
              <w:t>6.375% Senior Notes</w:t>
            </w:r>
          </w:p>
        </w:tc>
        <w:tc>
          <w:tcPr>
            <w:tcW w:w="2000" w:type="dxa"/>
            <w:vAlign w:val="bottom"/>
          </w:tcPr>
          <w:p>
            <w:pPr>
              <w:jc w:val="right"/>
              <w:ind w:right="59"/>
              <w:spacing w:after="0"/>
              <w:rPr>
                <w:sz w:val="20"/>
                <w:szCs w:val="20"/>
                <w:color w:val="auto"/>
              </w:rPr>
            </w:pPr>
            <w:r>
              <w:rPr>
                <w:rFonts w:ascii="Arial" w:cs="Arial" w:eastAsia="Arial" w:hAnsi="Arial"/>
                <w:sz w:val="16"/>
                <w:szCs w:val="16"/>
                <w:color w:val="auto"/>
              </w:rPr>
              <w:t>April 2024</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350</w:t>
            </w:r>
          </w:p>
        </w:tc>
      </w:tr>
      <w:tr>
        <w:trPr>
          <w:trHeight w:val="216"/>
        </w:trPr>
        <w:tc>
          <w:tcPr>
            <w:tcW w:w="4920" w:type="dxa"/>
            <w:vAlign w:val="bottom"/>
          </w:tcPr>
          <w:p>
            <w:pPr>
              <w:ind w:left="80"/>
              <w:spacing w:after="0"/>
              <w:rPr>
                <w:sz w:val="20"/>
                <w:szCs w:val="20"/>
                <w:color w:val="auto"/>
              </w:rPr>
            </w:pPr>
            <w:r>
              <w:rPr>
                <w:rFonts w:ascii="Arial" w:cs="Arial" w:eastAsia="Arial" w:hAnsi="Arial"/>
                <w:sz w:val="16"/>
                <w:szCs w:val="16"/>
                <w:color w:val="auto"/>
              </w:rPr>
              <w:t>4.125% euro-denominated Senior Notes</w:t>
            </w:r>
          </w:p>
        </w:tc>
        <w:tc>
          <w:tcPr>
            <w:tcW w:w="2000" w:type="dxa"/>
            <w:vAlign w:val="bottom"/>
          </w:tcPr>
          <w:p>
            <w:pPr>
              <w:jc w:val="right"/>
              <w:ind w:right="59"/>
              <w:spacing w:after="0"/>
              <w:rPr>
                <w:sz w:val="20"/>
                <w:szCs w:val="20"/>
                <w:color w:val="auto"/>
              </w:rPr>
            </w:pPr>
            <w:r>
              <w:rPr>
                <w:rFonts w:ascii="Arial" w:cs="Arial" w:eastAsia="Arial" w:hAnsi="Arial"/>
                <w:sz w:val="16"/>
                <w:szCs w:val="16"/>
                <w:color w:val="auto"/>
              </w:rPr>
              <w:t>November 2024</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351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366</w:t>
            </w:r>
          </w:p>
        </w:tc>
      </w:tr>
      <w:tr>
        <w:trPr>
          <w:trHeight w:val="216"/>
        </w:trPr>
        <w:tc>
          <w:tcPr>
            <w:tcW w:w="4920" w:type="dxa"/>
            <w:vAlign w:val="bottom"/>
          </w:tcPr>
          <w:p>
            <w:pPr>
              <w:ind w:left="80"/>
              <w:spacing w:after="0"/>
              <w:rPr>
                <w:sz w:val="20"/>
                <w:szCs w:val="20"/>
                <w:color w:val="auto"/>
              </w:rPr>
            </w:pPr>
            <w:r>
              <w:rPr>
                <w:rFonts w:ascii="Arial" w:cs="Arial" w:eastAsia="Arial" w:hAnsi="Arial"/>
                <w:sz w:val="16"/>
                <w:szCs w:val="16"/>
                <w:color w:val="auto"/>
              </w:rPr>
              <w:t>5.250% Senior Notes</w:t>
            </w:r>
          </w:p>
        </w:tc>
        <w:tc>
          <w:tcPr>
            <w:tcW w:w="2000" w:type="dxa"/>
            <w:vAlign w:val="bottom"/>
          </w:tcPr>
          <w:p>
            <w:pPr>
              <w:jc w:val="right"/>
              <w:ind w:right="59"/>
              <w:spacing w:after="0"/>
              <w:rPr>
                <w:sz w:val="20"/>
                <w:szCs w:val="20"/>
                <w:color w:val="auto"/>
              </w:rPr>
            </w:pPr>
            <w:r>
              <w:rPr>
                <w:rFonts w:ascii="Arial" w:cs="Arial" w:eastAsia="Arial" w:hAnsi="Arial"/>
                <w:sz w:val="16"/>
                <w:szCs w:val="16"/>
                <w:color w:val="auto"/>
              </w:rPr>
              <w:t>March 2025</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235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375</w:t>
            </w:r>
          </w:p>
        </w:tc>
      </w:tr>
      <w:tr>
        <w:trPr>
          <w:trHeight w:val="216"/>
        </w:trPr>
        <w:tc>
          <w:tcPr>
            <w:tcW w:w="4920" w:type="dxa"/>
            <w:vAlign w:val="bottom"/>
          </w:tcPr>
          <w:p>
            <w:pPr>
              <w:ind w:left="80"/>
              <w:spacing w:after="0"/>
              <w:rPr>
                <w:sz w:val="20"/>
                <w:szCs w:val="20"/>
                <w:color w:val="auto"/>
              </w:rPr>
            </w:pPr>
            <w:r>
              <w:rPr>
                <w:rFonts w:ascii="Arial" w:cs="Arial" w:eastAsia="Arial" w:hAnsi="Arial"/>
                <w:sz w:val="16"/>
                <w:szCs w:val="16"/>
                <w:color w:val="auto"/>
              </w:rPr>
              <w:t>4.500% euro-denominated Senior Notes</w:t>
            </w:r>
          </w:p>
        </w:tc>
        <w:tc>
          <w:tcPr>
            <w:tcW w:w="2000" w:type="dxa"/>
            <w:vAlign w:val="bottom"/>
          </w:tcPr>
          <w:p>
            <w:pPr>
              <w:jc w:val="right"/>
              <w:ind w:right="59"/>
              <w:spacing w:after="0"/>
              <w:rPr>
                <w:sz w:val="20"/>
                <w:szCs w:val="20"/>
                <w:color w:val="auto"/>
              </w:rPr>
            </w:pPr>
            <w:r>
              <w:rPr>
                <w:rFonts w:ascii="Arial" w:cs="Arial" w:eastAsia="Arial" w:hAnsi="Arial"/>
                <w:sz w:val="16"/>
                <w:szCs w:val="16"/>
                <w:color w:val="auto"/>
              </w:rPr>
              <w:t>May 2025</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293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305</w:t>
            </w:r>
          </w:p>
        </w:tc>
      </w:tr>
      <w:tr>
        <w:trPr>
          <w:trHeight w:val="216"/>
        </w:trPr>
        <w:tc>
          <w:tcPr>
            <w:tcW w:w="4920" w:type="dxa"/>
            <w:vAlign w:val="bottom"/>
          </w:tcPr>
          <w:p>
            <w:pPr>
              <w:spacing w:after="0"/>
              <w:rPr>
                <w:sz w:val="20"/>
                <w:szCs w:val="20"/>
                <w:color w:val="auto"/>
              </w:rPr>
            </w:pPr>
            <w:r>
              <w:rPr>
                <w:rFonts w:ascii="Arial" w:cs="Arial" w:eastAsia="Arial" w:hAnsi="Arial"/>
                <w:sz w:val="16"/>
                <w:szCs w:val="16"/>
                <w:color w:val="auto"/>
              </w:rPr>
              <w:t>10.500% Senior Secured Notes</w:t>
            </w:r>
          </w:p>
        </w:tc>
        <w:tc>
          <w:tcPr>
            <w:tcW w:w="2000" w:type="dxa"/>
            <w:vAlign w:val="bottom"/>
          </w:tcPr>
          <w:p>
            <w:pPr>
              <w:jc w:val="right"/>
              <w:ind w:right="59"/>
              <w:spacing w:after="0"/>
              <w:rPr>
                <w:sz w:val="20"/>
                <w:szCs w:val="20"/>
                <w:color w:val="auto"/>
              </w:rPr>
            </w:pPr>
            <w:r>
              <w:rPr>
                <w:rFonts w:ascii="Arial" w:cs="Arial" w:eastAsia="Arial" w:hAnsi="Arial"/>
                <w:sz w:val="16"/>
                <w:szCs w:val="16"/>
                <w:color w:val="auto"/>
              </w:rPr>
              <w:t>May 2025</w:t>
            </w:r>
          </w:p>
        </w:tc>
        <w:tc>
          <w:tcPr>
            <w:tcW w:w="22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487</w:t>
            </w:r>
          </w:p>
        </w:tc>
      </w:tr>
      <w:tr>
        <w:trPr>
          <w:trHeight w:val="216"/>
        </w:trPr>
        <w:tc>
          <w:tcPr>
            <w:tcW w:w="4920" w:type="dxa"/>
            <w:vAlign w:val="bottom"/>
          </w:tcPr>
          <w:p>
            <w:pPr>
              <w:ind w:left="80"/>
              <w:spacing w:after="0"/>
              <w:rPr>
                <w:sz w:val="20"/>
                <w:szCs w:val="20"/>
                <w:color w:val="auto"/>
              </w:rPr>
            </w:pPr>
            <w:r>
              <w:rPr>
                <w:rFonts w:ascii="Arial" w:cs="Arial" w:eastAsia="Arial" w:hAnsi="Arial"/>
                <w:sz w:val="16"/>
                <w:szCs w:val="16"/>
                <w:color w:val="auto"/>
              </w:rPr>
              <w:t>4.750% euro-denominated Senior Notes</w:t>
            </w:r>
          </w:p>
        </w:tc>
        <w:tc>
          <w:tcPr>
            <w:tcW w:w="2000" w:type="dxa"/>
            <w:vAlign w:val="bottom"/>
          </w:tcPr>
          <w:p>
            <w:pPr>
              <w:jc w:val="right"/>
              <w:ind w:right="59"/>
              <w:spacing w:after="0"/>
              <w:rPr>
                <w:sz w:val="20"/>
                <w:szCs w:val="20"/>
                <w:color w:val="auto"/>
              </w:rPr>
            </w:pPr>
            <w:r>
              <w:rPr>
                <w:rFonts w:ascii="Arial" w:cs="Arial" w:eastAsia="Arial" w:hAnsi="Arial"/>
                <w:sz w:val="16"/>
                <w:szCs w:val="16"/>
                <w:color w:val="auto"/>
              </w:rPr>
              <w:t>January 2026</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410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428</w:t>
            </w:r>
          </w:p>
        </w:tc>
      </w:tr>
      <w:tr>
        <w:trPr>
          <w:trHeight w:val="216"/>
        </w:trPr>
        <w:tc>
          <w:tcPr>
            <w:tcW w:w="4920" w:type="dxa"/>
            <w:vAlign w:val="bottom"/>
          </w:tcPr>
          <w:p>
            <w:pPr>
              <w:ind w:left="80"/>
              <w:spacing w:after="0"/>
              <w:rPr>
                <w:sz w:val="20"/>
                <w:szCs w:val="20"/>
                <w:color w:val="auto"/>
              </w:rPr>
            </w:pPr>
            <w:r>
              <w:rPr>
                <w:rFonts w:ascii="Arial" w:cs="Arial" w:eastAsia="Arial" w:hAnsi="Arial"/>
                <w:sz w:val="16"/>
                <w:szCs w:val="16"/>
                <w:color w:val="auto"/>
              </w:rPr>
              <w:t>5.750% Senior Notes</w:t>
            </w:r>
          </w:p>
        </w:tc>
        <w:tc>
          <w:tcPr>
            <w:tcW w:w="2000" w:type="dxa"/>
            <w:vAlign w:val="bottom"/>
          </w:tcPr>
          <w:p>
            <w:pPr>
              <w:jc w:val="right"/>
              <w:ind w:right="59"/>
              <w:spacing w:after="0"/>
              <w:rPr>
                <w:sz w:val="20"/>
                <w:szCs w:val="20"/>
                <w:color w:val="auto"/>
              </w:rPr>
            </w:pPr>
            <w:r>
              <w:rPr>
                <w:rFonts w:ascii="Arial" w:cs="Arial" w:eastAsia="Arial" w:hAnsi="Arial"/>
                <w:sz w:val="16"/>
                <w:szCs w:val="16"/>
                <w:color w:val="auto"/>
              </w:rPr>
              <w:t>July 2027</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725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724</w:t>
            </w:r>
          </w:p>
        </w:tc>
      </w:tr>
      <w:tr>
        <w:trPr>
          <w:trHeight w:val="216"/>
        </w:trPr>
        <w:tc>
          <w:tcPr>
            <w:tcW w:w="4920" w:type="dxa"/>
            <w:vAlign w:val="bottom"/>
          </w:tcPr>
          <w:p>
            <w:pPr>
              <w:ind w:left="80"/>
              <w:spacing w:after="0"/>
              <w:rPr>
                <w:sz w:val="20"/>
                <w:szCs w:val="20"/>
                <w:color w:val="auto"/>
              </w:rPr>
            </w:pPr>
            <w:r>
              <w:rPr>
                <w:rFonts w:ascii="Arial" w:cs="Arial" w:eastAsia="Arial" w:hAnsi="Arial"/>
                <w:sz w:val="16"/>
                <w:szCs w:val="16"/>
                <w:color w:val="auto"/>
              </w:rPr>
              <w:t>4.750% Senior Notes</w:t>
            </w:r>
          </w:p>
        </w:tc>
        <w:tc>
          <w:tcPr>
            <w:tcW w:w="2000" w:type="dxa"/>
            <w:vAlign w:val="bottom"/>
          </w:tcPr>
          <w:p>
            <w:pPr>
              <w:jc w:val="right"/>
              <w:ind w:right="59"/>
              <w:spacing w:after="0"/>
              <w:rPr>
                <w:sz w:val="20"/>
                <w:szCs w:val="20"/>
                <w:color w:val="auto"/>
              </w:rPr>
            </w:pPr>
            <w:r>
              <w:rPr>
                <w:rFonts w:ascii="Arial" w:cs="Arial" w:eastAsia="Arial" w:hAnsi="Arial"/>
                <w:sz w:val="16"/>
                <w:szCs w:val="16"/>
                <w:color w:val="auto"/>
              </w:rPr>
              <w:t>April 2028</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4920" w:type="dxa"/>
            <w:vAlign w:val="bottom"/>
          </w:tcPr>
          <w:p>
            <w:pPr>
              <w:ind w:left="80"/>
              <w:spacing w:after="0"/>
              <w:rPr>
                <w:sz w:val="20"/>
                <w:szCs w:val="20"/>
                <w:color w:val="auto"/>
              </w:rPr>
            </w:pPr>
            <w:r>
              <w:rPr>
                <w:rFonts w:ascii="Arial" w:cs="Arial" w:eastAsia="Arial" w:hAnsi="Arial"/>
                <w:sz w:val="16"/>
                <w:szCs w:val="16"/>
                <w:color w:val="auto"/>
              </w:rPr>
              <w:t>5.375% Senior Notes</w:t>
            </w:r>
          </w:p>
        </w:tc>
        <w:tc>
          <w:tcPr>
            <w:tcW w:w="2000" w:type="dxa"/>
            <w:vAlign w:val="bottom"/>
          </w:tcPr>
          <w:p>
            <w:pPr>
              <w:jc w:val="right"/>
              <w:ind w:right="59"/>
              <w:spacing w:after="0"/>
              <w:rPr>
                <w:sz w:val="20"/>
                <w:szCs w:val="20"/>
                <w:color w:val="auto"/>
              </w:rPr>
            </w:pPr>
            <w:r>
              <w:rPr>
                <w:rFonts w:ascii="Arial" w:cs="Arial" w:eastAsia="Arial" w:hAnsi="Arial"/>
                <w:sz w:val="16"/>
                <w:szCs w:val="16"/>
                <w:color w:val="auto"/>
              </w:rPr>
              <w:t>March 2029</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4920" w:type="dxa"/>
            <w:vAlign w:val="bottom"/>
          </w:tcPr>
          <w:p>
            <w:pPr>
              <w:spacing w:after="0" w:line="237" w:lineRule="exact"/>
              <w:rPr>
                <w:sz w:val="20"/>
                <w:szCs w:val="20"/>
                <w:color w:val="auto"/>
              </w:rPr>
            </w:pPr>
            <w:r>
              <w:rPr>
                <w:rFonts w:ascii="Arial" w:cs="Arial" w:eastAsia="Arial" w:hAnsi="Arial"/>
                <w:sz w:val="16"/>
                <w:szCs w:val="16"/>
                <w:color w:val="auto"/>
              </w:rPr>
              <w:t xml:space="preserve">Floating Rate Term Loan </w:t>
            </w:r>
            <w:r>
              <w:rPr>
                <w:rFonts w:ascii="Arial" w:cs="Arial" w:eastAsia="Arial" w:hAnsi="Arial"/>
                <w:sz w:val="21"/>
                <w:szCs w:val="21"/>
                <w:color w:val="auto"/>
                <w:vertAlign w:val="superscript"/>
              </w:rPr>
              <w:t>(a)</w:t>
            </w:r>
          </w:p>
        </w:tc>
        <w:tc>
          <w:tcPr>
            <w:tcW w:w="2000" w:type="dxa"/>
            <w:vAlign w:val="bottom"/>
          </w:tcPr>
          <w:p>
            <w:pPr>
              <w:jc w:val="right"/>
              <w:ind w:right="59"/>
              <w:spacing w:after="0"/>
              <w:rPr>
                <w:sz w:val="20"/>
                <w:szCs w:val="20"/>
                <w:color w:val="auto"/>
              </w:rPr>
            </w:pPr>
            <w:r>
              <w:rPr>
                <w:rFonts w:ascii="Arial" w:cs="Arial" w:eastAsia="Arial" w:hAnsi="Arial"/>
                <w:sz w:val="16"/>
                <w:szCs w:val="16"/>
                <w:color w:val="auto"/>
              </w:rPr>
              <w:t>August 2027</w:t>
            </w: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1,196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1,199</w:t>
            </w:r>
          </w:p>
        </w:tc>
      </w:tr>
      <w:tr>
        <w:trPr>
          <w:trHeight w:val="195"/>
        </w:trPr>
        <w:tc>
          <w:tcPr>
            <w:tcW w:w="4920" w:type="dxa"/>
            <w:vAlign w:val="bottom"/>
          </w:tcPr>
          <w:p>
            <w:pPr>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9"/>
                <w:szCs w:val="9"/>
                <w:color w:val="auto"/>
              </w:rPr>
              <w:t>(b)</w:t>
            </w:r>
          </w:p>
        </w:tc>
        <w:tc>
          <w:tcPr>
            <w:tcW w:w="2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16"/>
        </w:trPr>
        <w:tc>
          <w:tcPr>
            <w:tcW w:w="4920" w:type="dxa"/>
            <w:vAlign w:val="bottom"/>
          </w:tcPr>
          <w:p>
            <w:pPr>
              <w:spacing w:after="0"/>
              <w:rPr>
                <w:sz w:val="20"/>
                <w:szCs w:val="20"/>
                <w:color w:val="auto"/>
              </w:rPr>
            </w:pPr>
            <w:r>
              <w:rPr>
                <w:rFonts w:ascii="Arial" w:cs="Arial" w:eastAsia="Arial" w:hAnsi="Arial"/>
                <w:sz w:val="16"/>
                <w:szCs w:val="16"/>
                <w:color w:val="auto"/>
              </w:rPr>
              <w:t>Deferred financing fees</w:t>
            </w:r>
          </w:p>
        </w:tc>
        <w:tc>
          <w:tcPr>
            <w:tcW w:w="20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w:t>
            </w:r>
          </w:p>
        </w:tc>
      </w:tr>
      <w:tr>
        <w:trPr>
          <w:trHeight w:val="209"/>
        </w:trPr>
        <w:tc>
          <w:tcPr>
            <w:tcW w:w="4920" w:type="dxa"/>
            <w:vAlign w:val="bottom"/>
          </w:tcPr>
          <w:p>
            <w:pPr>
              <w:spacing w:after="0"/>
              <w:rPr>
                <w:sz w:val="20"/>
                <w:szCs w:val="20"/>
                <w:color w:val="auto"/>
              </w:rPr>
            </w:pPr>
            <w:r>
              <w:rPr>
                <w:rFonts w:ascii="Arial" w:cs="Arial" w:eastAsia="Arial" w:hAnsi="Arial"/>
                <w:sz w:val="16"/>
                <w:szCs w:val="16"/>
                <w:color w:val="auto"/>
              </w:rPr>
              <w:t>Total</w:t>
            </w:r>
          </w:p>
        </w:tc>
        <w:tc>
          <w:tcPr>
            <w:tcW w:w="2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4,283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4,210</w:t>
            </w:r>
          </w:p>
        </w:tc>
      </w:tr>
      <w:tr>
        <w:trPr>
          <w:trHeight w:val="216"/>
        </w:trPr>
        <w:tc>
          <w:tcPr>
            <w:tcW w:w="4920" w:type="dxa"/>
            <w:vAlign w:val="bottom"/>
          </w:tcPr>
          <w:p>
            <w:pPr>
              <w:spacing w:after="0"/>
              <w:rPr>
                <w:sz w:val="20"/>
                <w:szCs w:val="20"/>
                <w:color w:val="auto"/>
              </w:rPr>
            </w:pPr>
            <w:r>
              <w:rPr>
                <w:rFonts w:ascii="Arial" w:cs="Arial" w:eastAsia="Arial" w:hAnsi="Arial"/>
                <w:sz w:val="16"/>
                <w:szCs w:val="16"/>
                <w:color w:val="auto"/>
              </w:rPr>
              <w:t>Less: Short-term debt and current portion of long-term debt</w:t>
            </w:r>
          </w:p>
        </w:tc>
        <w:tc>
          <w:tcPr>
            <w:tcW w:w="20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r>
      <w:tr>
        <w:trPr>
          <w:trHeight w:val="212"/>
        </w:trPr>
        <w:tc>
          <w:tcPr>
            <w:tcW w:w="4920" w:type="dxa"/>
            <w:vAlign w:val="bottom"/>
          </w:tcPr>
          <w:p>
            <w:pPr>
              <w:spacing w:after="0"/>
              <w:rPr>
                <w:sz w:val="20"/>
                <w:szCs w:val="20"/>
                <w:color w:val="auto"/>
              </w:rPr>
            </w:pPr>
            <w:r>
              <w:rPr>
                <w:rFonts w:ascii="Arial" w:cs="Arial" w:eastAsia="Arial" w:hAnsi="Arial"/>
                <w:sz w:val="16"/>
                <w:szCs w:val="16"/>
                <w:color w:val="auto"/>
              </w:rPr>
              <w:t>Long-term debt</w:t>
            </w:r>
          </w:p>
        </w:tc>
        <w:tc>
          <w:tcPr>
            <w:tcW w:w="20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4,264</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4,191</w:t>
            </w:r>
          </w:p>
        </w:tc>
      </w:tr>
      <w:tr>
        <w:trPr>
          <w:trHeight w:val="23"/>
        </w:trPr>
        <w:tc>
          <w:tcPr>
            <w:tcW w:w="49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bl>
    <w:p>
      <w:pPr>
        <w:spacing w:after="0" w:line="10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__________</w:t>
      </w:r>
    </w:p>
    <w:p>
      <w:pPr>
        <w:spacing w:after="0" w:line="8" w:lineRule="exact"/>
        <w:rPr>
          <w:sz w:val="20"/>
          <w:szCs w:val="20"/>
          <w:color w:val="auto"/>
        </w:rPr>
      </w:pPr>
    </w:p>
    <w:p>
      <w:pPr>
        <w:ind w:left="820" w:right="160" w:hanging="326"/>
        <w:spacing w:after="0" w:line="221" w:lineRule="auto"/>
        <w:tabs>
          <w:tab w:leader="none" w:pos="813" w:val="left"/>
        </w:tabs>
        <w:numPr>
          <w:ilvl w:val="0"/>
          <w:numId w:val="15"/>
        </w:numPr>
        <w:rPr>
          <w:rFonts w:ascii="Arial" w:cs="Arial" w:eastAsia="Arial" w:hAnsi="Arial"/>
          <w:sz w:val="19"/>
          <w:szCs w:val="19"/>
          <w:color w:val="auto"/>
          <w:vertAlign w:val="superscript"/>
        </w:rPr>
      </w:pPr>
      <w:r>
        <w:rPr>
          <w:rFonts w:ascii="Arial" w:cs="Arial" w:eastAsia="Arial" w:hAnsi="Arial"/>
          <w:sz w:val="14"/>
          <w:szCs w:val="14"/>
          <w:color w:val="auto"/>
        </w:rPr>
        <w:t>The floating rate term loan is part of the Company’s senior revolving credit facility, which is secured by pledges of capital stock of certain subsidiaries of the Company, and liens on substantially all of the Company’s intellectual property and certain other real and personal property. As of March 31, 2021, the floating rate term loan due 2027 bears interest at one-month LIBOR plus 225 basis points, for an aggregate rate of 2.36%. The Company has entered into a swap to hedge $700 million of its interest rate exposure related to the floating rate term loan at an aggregate rate of 4.58%.</w:t>
      </w:r>
    </w:p>
    <w:p>
      <w:pPr>
        <w:spacing w:after="0" w:line="2" w:lineRule="exact"/>
        <w:rPr>
          <w:rFonts w:ascii="Arial" w:cs="Arial" w:eastAsia="Arial" w:hAnsi="Arial"/>
          <w:sz w:val="19"/>
          <w:szCs w:val="19"/>
          <w:color w:val="auto"/>
          <w:vertAlign w:val="superscript"/>
        </w:rPr>
      </w:pPr>
    </w:p>
    <w:p>
      <w:pPr>
        <w:ind w:left="820" w:hanging="326"/>
        <w:spacing w:after="0" w:line="189" w:lineRule="auto"/>
        <w:tabs>
          <w:tab w:leader="none" w:pos="820" w:val="left"/>
        </w:tabs>
        <w:numPr>
          <w:ilvl w:val="0"/>
          <w:numId w:val="15"/>
        </w:numPr>
        <w:rPr>
          <w:rFonts w:ascii="Arial" w:cs="Arial" w:eastAsia="Arial" w:hAnsi="Arial"/>
          <w:sz w:val="19"/>
          <w:szCs w:val="19"/>
          <w:color w:val="auto"/>
          <w:vertAlign w:val="superscript"/>
        </w:rPr>
      </w:pPr>
      <w:r>
        <w:rPr>
          <w:rFonts w:ascii="Arial" w:cs="Arial" w:eastAsia="Arial" w:hAnsi="Arial"/>
          <w:sz w:val="14"/>
          <w:szCs w:val="14"/>
          <w:color w:val="auto"/>
        </w:rPr>
        <w:t>Primarily includes finance leases which are secured by liens on the related assets.</w:t>
      </w:r>
    </w:p>
    <w:p>
      <w:pPr>
        <w:spacing w:after="0" w:line="227" w:lineRule="exact"/>
        <w:rPr>
          <w:sz w:val="20"/>
          <w:szCs w:val="20"/>
          <w:color w:val="auto"/>
        </w:rPr>
      </w:pPr>
    </w:p>
    <w:p>
      <w:pPr>
        <w:ind w:left="500" w:right="80"/>
        <w:spacing w:after="0" w:line="256" w:lineRule="auto"/>
        <w:rPr>
          <w:sz w:val="20"/>
          <w:szCs w:val="20"/>
          <w:color w:val="auto"/>
        </w:rPr>
      </w:pPr>
      <w:r>
        <w:rPr>
          <w:rFonts w:ascii="Arial" w:cs="Arial" w:eastAsia="Arial" w:hAnsi="Arial"/>
          <w:sz w:val="18"/>
          <w:szCs w:val="18"/>
          <w:color w:val="auto"/>
        </w:rPr>
        <w:t>In March 2021, the Company issued $600 million of 5.375% Senior Notes due March 2029, at par, with interest paid semiannually. Net proceeds, together with cash on hand, were used to redeem all of the outstanding 10.5% Senior Secured Notes due 2025 for $599 million plus accrued interest.</w:t>
      </w:r>
    </w:p>
    <w:p>
      <w:pPr>
        <w:spacing w:after="0" w:line="229" w:lineRule="exact"/>
        <w:rPr>
          <w:sz w:val="20"/>
          <w:szCs w:val="20"/>
          <w:color w:val="auto"/>
        </w:rPr>
      </w:pPr>
    </w:p>
    <w:p>
      <w:pPr>
        <w:ind w:left="500" w:right="40"/>
        <w:spacing w:after="0" w:line="256" w:lineRule="auto"/>
        <w:rPr>
          <w:sz w:val="20"/>
          <w:szCs w:val="20"/>
          <w:color w:val="auto"/>
        </w:rPr>
      </w:pPr>
      <w:r>
        <w:rPr>
          <w:rFonts w:ascii="Arial" w:cs="Arial" w:eastAsia="Arial" w:hAnsi="Arial"/>
          <w:sz w:val="18"/>
          <w:szCs w:val="18"/>
          <w:color w:val="auto"/>
        </w:rPr>
        <w:t>In March 2021, the Company issued $500 million of 4.75% Senior Notes due March 2028, at par, with interest paid semiannually. Net proceeds, together with cash on hand, were used to redeem all of the outstanding 6.375% Senior Notes due 2024 for $356 million plus accrued interest and a portion of its outstanding 5.25% Senior Notes due 2025 for $142 million plus accrued interest.</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5.375% and 4.75% notes are guaranteed on a senior unsecured basis by the Company and certain of the Company’s subsidiaries.</w:t>
      </w:r>
    </w:p>
    <w:p>
      <w:pPr>
        <w:spacing w:after="0" w:line="24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Committed Credit Facilities and Available Funding Arrangements</w:t>
      </w:r>
    </w:p>
    <w:p>
      <w:pPr>
        <w:spacing w:after="0" w:line="27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At March 31, 2021, the committed corporate credit facilities available to the Company and/or its subsidiaries were as follows:</w:t>
      </w:r>
    </w:p>
    <w:p>
      <w:pPr>
        <w:spacing w:after="0" w:line="15" w:lineRule="exact"/>
        <w:rPr>
          <w:sz w:val="20"/>
          <w:szCs w:val="20"/>
          <w:color w:val="auto"/>
        </w:rPr>
      </w:pPr>
    </w:p>
    <w:tbl>
      <w:tblPr>
        <w:tblLayout w:type="fixed"/>
        <w:tblInd w:w="500" w:type="dxa"/>
        <w:tblCellMar>
          <w:top w:w="0" w:type="dxa"/>
          <w:left w:w="0" w:type="dxa"/>
          <w:bottom w:w="0" w:type="dxa"/>
          <w:right w:w="0" w:type="dxa"/>
        </w:tblCellMar>
      </w:tblPr>
      <w:tr>
        <w:trPr>
          <w:trHeight w:val="184"/>
        </w:trPr>
        <w:tc>
          <w:tcPr>
            <w:tcW w:w="4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9"/>
              </w:rPr>
              <w:t>Total</w:t>
            </w:r>
          </w:p>
        </w:tc>
        <w:tc>
          <w:tcPr>
            <w:tcW w:w="180" w:type="dxa"/>
            <w:vAlign w:val="bottom"/>
          </w:tcPr>
          <w:p>
            <w:pPr>
              <w:spacing w:after="0"/>
              <w:rPr>
                <w:sz w:val="16"/>
                <w:szCs w:val="16"/>
                <w:color w:val="auto"/>
              </w:rPr>
            </w:pPr>
          </w:p>
        </w:tc>
        <w:tc>
          <w:tcPr>
            <w:tcW w:w="1500" w:type="dxa"/>
            <w:vAlign w:val="bottom"/>
            <w:gridSpan w:val="3"/>
          </w:tcPr>
          <w:p>
            <w:pPr>
              <w:jc w:val="center"/>
              <w:ind w:right="420"/>
              <w:spacing w:after="0"/>
              <w:rPr>
                <w:sz w:val="20"/>
                <w:szCs w:val="20"/>
                <w:color w:val="auto"/>
              </w:rPr>
            </w:pPr>
            <w:r>
              <w:rPr>
                <w:rFonts w:ascii="Arial" w:cs="Arial" w:eastAsia="Arial" w:hAnsi="Arial"/>
                <w:sz w:val="16"/>
                <w:szCs w:val="16"/>
                <w:b w:val="1"/>
                <w:bCs w:val="1"/>
                <w:color w:val="auto"/>
              </w:rPr>
              <w:t>Outstanding</w:t>
            </w:r>
          </w:p>
        </w:tc>
        <w:tc>
          <w:tcPr>
            <w:tcW w:w="13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Letters of</w:t>
            </w:r>
          </w:p>
        </w:tc>
        <w:tc>
          <w:tcPr>
            <w:tcW w:w="220" w:type="dxa"/>
            <w:vAlign w:val="bottom"/>
          </w:tcPr>
          <w:p>
            <w:pPr>
              <w:spacing w:after="0"/>
              <w:rPr>
                <w:sz w:val="16"/>
                <w:szCs w:val="16"/>
                <w:color w:val="auto"/>
              </w:rPr>
            </w:pPr>
          </w:p>
        </w:tc>
        <w:tc>
          <w:tcPr>
            <w:tcW w:w="1180" w:type="dxa"/>
            <w:vAlign w:val="bottom"/>
          </w:tcPr>
          <w:p>
            <w:pPr>
              <w:ind w:left="120"/>
              <w:spacing w:after="0"/>
              <w:rPr>
                <w:sz w:val="20"/>
                <w:szCs w:val="20"/>
                <w:color w:val="auto"/>
              </w:rPr>
            </w:pPr>
            <w:r>
              <w:rPr>
                <w:rFonts w:ascii="Arial" w:cs="Arial" w:eastAsia="Arial" w:hAnsi="Arial"/>
                <w:sz w:val="16"/>
                <w:szCs w:val="16"/>
                <w:b w:val="1"/>
                <w:bCs w:val="1"/>
                <w:color w:val="auto"/>
              </w:rPr>
              <w:t>Available</w:t>
            </w:r>
          </w:p>
        </w:tc>
      </w:tr>
      <w:tr>
        <w:trPr>
          <w:trHeight w:val="215"/>
        </w:trPr>
        <w:tc>
          <w:tcPr>
            <w:tcW w:w="4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rPr>
              <w:t>Capacity</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Borrowings</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Credit Issued</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Capacity</w:t>
            </w:r>
          </w:p>
        </w:tc>
      </w:tr>
      <w:tr>
        <w:trPr>
          <w:trHeight w:val="204"/>
        </w:trPr>
        <w:tc>
          <w:tcPr>
            <w:tcW w:w="4200" w:type="dxa"/>
            <w:vAlign w:val="bottom"/>
          </w:tcPr>
          <w:p>
            <w:pPr>
              <w:ind w:left="20"/>
              <w:spacing w:after="0"/>
              <w:rPr>
                <w:sz w:val="20"/>
                <w:szCs w:val="20"/>
                <w:color w:val="auto"/>
              </w:rPr>
            </w:pPr>
            <w:r>
              <w:rPr>
                <w:rFonts w:ascii="Arial" w:cs="Arial" w:eastAsia="Arial" w:hAnsi="Arial"/>
                <w:sz w:val="16"/>
                <w:szCs w:val="16"/>
                <w:color w:val="auto"/>
              </w:rPr>
              <w:t xml:space="preserve">Senior revolving credit facility maturing 2023 </w:t>
            </w:r>
            <w:r>
              <w:rPr>
                <w:rFonts w:ascii="Arial" w:cs="Arial" w:eastAsia="Arial" w:hAnsi="Arial"/>
                <w:sz w:val="9"/>
                <w:szCs w:val="9"/>
                <w:color w:val="auto"/>
              </w:rPr>
              <w:t>(a)</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1,800</w:t>
            </w:r>
          </w:p>
        </w:tc>
        <w:tc>
          <w:tcPr>
            <w:tcW w:w="1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500" w:type="dxa"/>
            <w:vAlign w:val="bottom"/>
            <w:gridSpan w:val="3"/>
          </w:tcPr>
          <w:p>
            <w:pPr>
              <w:ind w:left="1000"/>
              <w:spacing w:after="0"/>
              <w:rPr>
                <w:sz w:val="20"/>
                <w:szCs w:val="20"/>
                <w:color w:val="auto"/>
              </w:rPr>
            </w:pPr>
            <w:r>
              <w:rPr>
                <w:rFonts w:ascii="Arial" w:cs="Arial" w:eastAsia="Arial" w:hAnsi="Arial"/>
                <w:sz w:val="16"/>
                <w:szCs w:val="16"/>
                <w:color w:val="auto"/>
              </w:rPr>
              <w:t>—  $</w:t>
            </w:r>
          </w:p>
        </w:tc>
        <w:tc>
          <w:tcPr>
            <w:tcW w:w="1260" w:type="dxa"/>
            <w:vAlign w:val="bottom"/>
          </w:tcPr>
          <w:p>
            <w:pPr>
              <w:jc w:val="right"/>
              <w:spacing w:after="0"/>
              <w:rPr>
                <w:sz w:val="20"/>
                <w:szCs w:val="20"/>
                <w:color w:val="auto"/>
              </w:rPr>
            </w:pPr>
            <w:r>
              <w:rPr>
                <w:rFonts w:ascii="Arial" w:cs="Arial" w:eastAsia="Arial" w:hAnsi="Arial"/>
                <w:sz w:val="16"/>
                <w:szCs w:val="16"/>
                <w:color w:val="auto"/>
              </w:rPr>
              <w:t>1,230</w:t>
            </w:r>
          </w:p>
        </w:tc>
        <w:tc>
          <w:tcPr>
            <w:tcW w:w="120" w:type="dxa"/>
            <w:vAlign w:val="bottom"/>
          </w:tcPr>
          <w:p>
            <w:pPr>
              <w:spacing w:after="0"/>
              <w:rPr>
                <w:sz w:val="17"/>
                <w:szCs w:val="17"/>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570</w:t>
            </w:r>
          </w:p>
        </w:tc>
      </w:tr>
      <w:tr>
        <w:trPr>
          <w:trHeight w:val="286"/>
        </w:trPr>
        <w:tc>
          <w:tcPr>
            <w:tcW w:w="4200" w:type="dxa"/>
            <w:vAlign w:val="bottom"/>
          </w:tcPr>
          <w:p>
            <w:pPr>
              <w:spacing w:after="0"/>
              <w:rPr>
                <w:sz w:val="20"/>
                <w:szCs w:val="20"/>
                <w:color w:val="auto"/>
              </w:rPr>
            </w:pPr>
            <w:r>
              <w:rPr>
                <w:rFonts w:ascii="Arial" w:cs="Arial" w:eastAsia="Arial" w:hAnsi="Arial"/>
                <w:sz w:val="16"/>
                <w:szCs w:val="16"/>
                <w:color w:val="auto"/>
              </w:rPr>
              <w:t>__________</w:t>
            </w: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pacing w:after="0" w:line="8" w:lineRule="exact"/>
        <w:rPr>
          <w:sz w:val="20"/>
          <w:szCs w:val="20"/>
          <w:color w:val="auto"/>
        </w:rPr>
      </w:pPr>
    </w:p>
    <w:p>
      <w:pPr>
        <w:ind w:left="820" w:right="220" w:hanging="326"/>
        <w:spacing w:after="0" w:line="196" w:lineRule="auto"/>
        <w:tabs>
          <w:tab w:leader="none" w:pos="813" w:val="left"/>
        </w:tabs>
        <w:numPr>
          <w:ilvl w:val="0"/>
          <w:numId w:val="16"/>
        </w:numPr>
        <w:rPr>
          <w:rFonts w:ascii="Arial" w:cs="Arial" w:eastAsia="Arial" w:hAnsi="Arial"/>
          <w:sz w:val="19"/>
          <w:szCs w:val="19"/>
          <w:color w:val="auto"/>
          <w:vertAlign w:val="superscript"/>
        </w:rPr>
      </w:pPr>
      <w:r>
        <w:rPr>
          <w:rFonts w:ascii="Arial" w:cs="Arial" w:eastAsia="Arial" w:hAnsi="Arial"/>
          <w:sz w:val="14"/>
          <w:szCs w:val="14"/>
          <w:color w:val="auto"/>
        </w:rPr>
        <w:t>The senior revolving credit facility bears interest at one-month LIBOR plus 250 basis points and is part of the Company’s senior credit facilities, which include the floating rate term loan and the senior revolving credit facility, and which are secured by pledges of capital stock of certain subsidiaries of the Company, liens on substantially all of the Company’s intellectual property and certain other real and personal property.</w:t>
      </w:r>
    </w:p>
    <w:p>
      <w:pPr>
        <w:spacing w:after="0" w:line="19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Debt Covenants</w:t>
      </w:r>
    </w:p>
    <w:p>
      <w:pPr>
        <w:spacing w:after="0" w:line="274" w:lineRule="exact"/>
        <w:rPr>
          <w:sz w:val="20"/>
          <w:szCs w:val="20"/>
          <w:color w:val="auto"/>
        </w:rPr>
      </w:pPr>
    </w:p>
    <w:p>
      <w:pPr>
        <w:ind w:left="500" w:right="220"/>
        <w:spacing w:after="0" w:line="256" w:lineRule="auto"/>
        <w:rPr>
          <w:sz w:val="20"/>
          <w:szCs w:val="20"/>
          <w:color w:val="auto"/>
        </w:rPr>
      </w:pPr>
      <w:r>
        <w:rPr>
          <w:rFonts w:ascii="Arial" w:cs="Arial" w:eastAsia="Arial" w:hAnsi="Arial"/>
          <w:sz w:val="18"/>
          <w:szCs w:val="18"/>
          <w:color w:val="auto"/>
        </w:rPr>
        <w:t>The agreements governing the Company’s indebtedness contain restrictive covenants, including restrictions on dividends paid to the Company by certain of its subsidiaries, the incurrence of additional indebtedness by the Company and certain of its subsidiaries, acquisitions, mergers, liquidations, and sale and leaseback</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00" w:right="40"/>
        <w:spacing w:after="0" w:line="256" w:lineRule="auto"/>
        <w:rPr>
          <w:sz w:val="20"/>
          <w:szCs w:val="20"/>
          <w:color w:val="auto"/>
        </w:rPr>
      </w:pPr>
      <w:r>
        <w:rPr>
          <w:rFonts w:ascii="Arial" w:cs="Arial" w:eastAsia="Arial" w:hAnsi="Arial"/>
          <w:sz w:val="18"/>
          <w:szCs w:val="18"/>
          <w:color w:val="auto"/>
        </w:rPr>
        <w:t xml:space="preserve">transactions. The Company’s senior credit facility also contains a maximum leverage ratio requirement which has been amended to provide a holiday from such leverage covenant through June 30, 2021 (See Note 1 </w:t>
      </w:r>
      <w:r>
        <w:rPr>
          <w:rFonts w:ascii="Arial" w:cs="Arial" w:eastAsia="Arial" w:hAnsi="Arial"/>
          <w:sz w:val="14"/>
          <w:szCs w:val="14"/>
          <w:color w:val="auto"/>
        </w:rPr>
        <w:t>–</w:t>
      </w:r>
      <w:r>
        <w:rPr>
          <w:rFonts w:ascii="Arial" w:cs="Arial" w:eastAsia="Arial" w:hAnsi="Arial"/>
          <w:sz w:val="18"/>
          <w:szCs w:val="18"/>
          <w:color w:val="auto"/>
        </w:rPr>
        <w:t xml:space="preserve"> Basis of Presentation). As of March 31, 2021, the Company was in compliance with the financial covenants governing its indebtedness.</w:t>
      </w:r>
    </w:p>
    <w:p>
      <w:pPr>
        <w:spacing w:after="0" w:line="207"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Debt Under Vehicle Programs and Borrowing Arrangements</w:t>
      </w:r>
    </w:p>
    <w:p>
      <w:pPr>
        <w:spacing w:after="0" w:line="274" w:lineRule="exact"/>
        <w:rPr>
          <w:sz w:val="20"/>
          <w:szCs w:val="20"/>
          <w:color w:val="auto"/>
        </w:rPr>
      </w:pPr>
    </w:p>
    <w:p>
      <w:pPr>
        <w:ind w:left="500" w:right="120"/>
        <w:spacing w:after="0" w:line="261" w:lineRule="auto"/>
        <w:rPr>
          <w:sz w:val="20"/>
          <w:szCs w:val="20"/>
          <w:color w:val="auto"/>
        </w:rPr>
      </w:pPr>
      <w:r>
        <w:rPr>
          <w:rFonts w:ascii="Arial" w:cs="Arial" w:eastAsia="Arial" w:hAnsi="Arial"/>
          <w:sz w:val="18"/>
          <w:szCs w:val="18"/>
          <w:color w:val="auto"/>
        </w:rPr>
        <w:t>Debt under vehicle programs, including related party debt due to Avis Budget Rental Car Funding (AESOP) LLC (“Avis Budget Rental Car Funding”), consisted of:</w:t>
      </w:r>
    </w:p>
    <w:tbl>
      <w:tblPr>
        <w:tblLayout w:type="fixed"/>
        <w:tblInd w:w="520" w:type="dxa"/>
        <w:tblCellMar>
          <w:top w:w="0" w:type="dxa"/>
          <w:left w:w="0" w:type="dxa"/>
          <w:bottom w:w="0" w:type="dxa"/>
          <w:right w:w="0" w:type="dxa"/>
        </w:tblCellMar>
      </w:tblPr>
      <w:tr>
        <w:trPr>
          <w:trHeight w:val="229"/>
        </w:trPr>
        <w:tc>
          <w:tcPr>
            <w:tcW w:w="6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rPr>
              <w:t>As of</w:t>
            </w:r>
          </w:p>
        </w:tc>
        <w:tc>
          <w:tcPr>
            <w:tcW w:w="180" w:type="dxa"/>
            <w:vAlign w:val="bottom"/>
          </w:tcPr>
          <w:p>
            <w:pPr>
              <w:spacing w:after="0"/>
              <w:rPr>
                <w:sz w:val="19"/>
                <w:szCs w:val="19"/>
                <w:color w:val="auto"/>
              </w:rPr>
            </w:pPr>
          </w:p>
        </w:tc>
        <w:tc>
          <w:tcPr>
            <w:tcW w:w="1460" w:type="dxa"/>
            <w:vAlign w:val="bottom"/>
          </w:tcPr>
          <w:p>
            <w:pPr>
              <w:jc w:val="center"/>
              <w:ind w:right="90"/>
              <w:spacing w:after="0"/>
              <w:rPr>
                <w:sz w:val="20"/>
                <w:szCs w:val="20"/>
                <w:color w:val="auto"/>
              </w:rPr>
            </w:pPr>
            <w:r>
              <w:rPr>
                <w:rFonts w:ascii="Arial" w:cs="Arial" w:eastAsia="Arial" w:hAnsi="Arial"/>
                <w:sz w:val="18"/>
                <w:szCs w:val="18"/>
                <w:b w:val="1"/>
                <w:bCs w:val="1"/>
                <w:color w:val="auto"/>
                <w:w w:val="97"/>
              </w:rPr>
              <w:t>As of</w:t>
            </w:r>
          </w:p>
        </w:tc>
      </w:tr>
      <w:tr>
        <w:trPr>
          <w:trHeight w:val="229"/>
        </w:trPr>
        <w:tc>
          <w:tcPr>
            <w:tcW w:w="6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8"/>
              </w:rPr>
              <w:t>March 31,</w:t>
            </w:r>
          </w:p>
        </w:tc>
        <w:tc>
          <w:tcPr>
            <w:tcW w:w="180" w:type="dxa"/>
            <w:vAlign w:val="bottom"/>
          </w:tcPr>
          <w:p>
            <w:pPr>
              <w:spacing w:after="0"/>
              <w:rPr>
                <w:sz w:val="19"/>
                <w:szCs w:val="19"/>
                <w:color w:val="auto"/>
              </w:rPr>
            </w:pPr>
          </w:p>
        </w:tc>
        <w:tc>
          <w:tcPr>
            <w:tcW w:w="1460" w:type="dxa"/>
            <w:vAlign w:val="bottom"/>
          </w:tcPr>
          <w:p>
            <w:pPr>
              <w:jc w:val="center"/>
              <w:ind w:right="90"/>
              <w:spacing w:after="0"/>
              <w:rPr>
                <w:sz w:val="20"/>
                <w:szCs w:val="20"/>
                <w:color w:val="auto"/>
              </w:rPr>
            </w:pPr>
            <w:r>
              <w:rPr>
                <w:rFonts w:ascii="Arial" w:cs="Arial" w:eastAsia="Arial" w:hAnsi="Arial"/>
                <w:sz w:val="18"/>
                <w:szCs w:val="18"/>
                <w:b w:val="1"/>
                <w:bCs w:val="1"/>
                <w:color w:val="auto"/>
                <w:w w:val="99"/>
              </w:rPr>
              <w:t>December 31,</w:t>
            </w:r>
          </w:p>
        </w:tc>
      </w:tr>
      <w:tr>
        <w:trPr>
          <w:trHeight w:val="239"/>
        </w:trPr>
        <w:tc>
          <w:tcPr>
            <w:tcW w:w="67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99"/>
              </w:rPr>
              <w:t>2021</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9"/>
              </w:rPr>
              <w:t>2020</w:t>
            </w:r>
          </w:p>
        </w:tc>
      </w:tr>
      <w:tr>
        <w:trPr>
          <w:trHeight w:val="223"/>
        </w:trPr>
        <w:tc>
          <w:tcPr>
            <w:tcW w:w="6780" w:type="dxa"/>
            <w:vAlign w:val="bottom"/>
          </w:tcPr>
          <w:p>
            <w:pPr>
              <w:spacing w:after="0"/>
              <w:rPr>
                <w:sz w:val="20"/>
                <w:szCs w:val="20"/>
                <w:color w:val="auto"/>
              </w:rPr>
            </w:pPr>
            <w:r>
              <w:rPr>
                <w:rFonts w:ascii="Arial" w:cs="Arial" w:eastAsia="Arial" w:hAnsi="Arial"/>
                <w:sz w:val="18"/>
                <w:szCs w:val="18"/>
                <w:color w:val="auto"/>
              </w:rPr>
              <w:t>Americas - Debt due to Avis Budget Rental Car Funding</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6,181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5,116</w:t>
            </w:r>
          </w:p>
        </w:tc>
      </w:tr>
      <w:tr>
        <w:trPr>
          <w:trHeight w:val="230"/>
        </w:trPr>
        <w:tc>
          <w:tcPr>
            <w:tcW w:w="6780" w:type="dxa"/>
            <w:vAlign w:val="bottom"/>
          </w:tcPr>
          <w:p>
            <w:pPr>
              <w:spacing w:after="0"/>
              <w:rPr>
                <w:sz w:val="20"/>
                <w:szCs w:val="20"/>
                <w:color w:val="auto"/>
              </w:rPr>
            </w:pPr>
            <w:r>
              <w:rPr>
                <w:rFonts w:ascii="Arial" w:cs="Arial" w:eastAsia="Arial" w:hAnsi="Arial"/>
                <w:sz w:val="18"/>
                <w:szCs w:val="18"/>
                <w:color w:val="auto"/>
              </w:rPr>
              <w:t>Americas - Debt borrowings</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499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509</w:t>
            </w:r>
          </w:p>
        </w:tc>
      </w:tr>
      <w:tr>
        <w:trPr>
          <w:trHeight w:val="229"/>
        </w:trPr>
        <w:tc>
          <w:tcPr>
            <w:tcW w:w="6780" w:type="dxa"/>
            <w:vAlign w:val="bottom"/>
          </w:tcPr>
          <w:p>
            <w:pPr>
              <w:spacing w:after="0"/>
              <w:rPr>
                <w:sz w:val="20"/>
                <w:szCs w:val="20"/>
                <w:color w:val="auto"/>
              </w:rPr>
            </w:pPr>
            <w:r>
              <w:rPr>
                <w:rFonts w:ascii="Arial" w:cs="Arial" w:eastAsia="Arial" w:hAnsi="Arial"/>
                <w:sz w:val="18"/>
                <w:szCs w:val="18"/>
                <w:color w:val="auto"/>
              </w:rPr>
              <w:t>International - Debt borrowings</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1,020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1,115</w:t>
            </w:r>
          </w:p>
        </w:tc>
      </w:tr>
      <w:tr>
        <w:trPr>
          <w:trHeight w:val="229"/>
        </w:trPr>
        <w:tc>
          <w:tcPr>
            <w:tcW w:w="6780" w:type="dxa"/>
            <w:vAlign w:val="bottom"/>
          </w:tcPr>
          <w:p>
            <w:pPr>
              <w:spacing w:after="0"/>
              <w:rPr>
                <w:sz w:val="20"/>
                <w:szCs w:val="20"/>
                <w:color w:val="auto"/>
              </w:rPr>
            </w:pPr>
            <w:r>
              <w:rPr>
                <w:rFonts w:ascii="Arial" w:cs="Arial" w:eastAsia="Arial" w:hAnsi="Arial"/>
                <w:sz w:val="18"/>
                <w:szCs w:val="18"/>
                <w:color w:val="auto"/>
              </w:rPr>
              <w:t>International - Finance leases</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162</w:t>
            </w:r>
          </w:p>
        </w:tc>
      </w:tr>
      <w:tr>
        <w:trPr>
          <w:trHeight w:val="229"/>
        </w:trPr>
        <w:tc>
          <w:tcPr>
            <w:tcW w:w="6780" w:type="dxa"/>
            <w:vAlign w:val="bottom"/>
          </w:tcPr>
          <w:p>
            <w:pPr>
              <w:spacing w:after="0" w:line="230" w:lineRule="exact"/>
              <w:rPr>
                <w:sz w:val="20"/>
                <w:szCs w:val="20"/>
                <w:color w:val="auto"/>
              </w:rPr>
            </w:pPr>
            <w:r>
              <w:rPr>
                <w:rFonts w:ascii="Arial" w:cs="Arial" w:eastAsia="Arial" w:hAnsi="Arial"/>
                <w:sz w:val="18"/>
                <w:szCs w:val="18"/>
                <w:color w:val="auto"/>
              </w:rPr>
              <w:t xml:space="preserve">Deferred financing fees </w:t>
            </w:r>
            <w:r>
              <w:rPr>
                <w:rFonts w:ascii="Arial" w:cs="Arial" w:eastAsia="Arial" w:hAnsi="Arial"/>
                <w:sz w:val="23"/>
                <w:szCs w:val="23"/>
                <w:color w:val="auto"/>
                <w:vertAlign w:val="superscript"/>
              </w:rPr>
              <w:t>(a)</w:t>
            </w: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r>
      <w:tr>
        <w:trPr>
          <w:trHeight w:val="223"/>
        </w:trPr>
        <w:tc>
          <w:tcPr>
            <w:tcW w:w="6780" w:type="dxa"/>
            <w:vAlign w:val="bottom"/>
          </w:tcPr>
          <w:p>
            <w:pPr>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7,801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6,857</w:t>
            </w:r>
          </w:p>
        </w:tc>
      </w:tr>
      <w:tr>
        <w:trPr>
          <w:trHeight w:val="21"/>
        </w:trPr>
        <w:tc>
          <w:tcPr>
            <w:tcW w:w="6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1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__________</w:t>
      </w:r>
    </w:p>
    <w:p>
      <w:pPr>
        <w:spacing w:after="0" w:line="2" w:lineRule="exact"/>
        <w:rPr>
          <w:sz w:val="20"/>
          <w:szCs w:val="20"/>
          <w:color w:val="auto"/>
        </w:rPr>
      </w:pPr>
    </w:p>
    <w:p>
      <w:pPr>
        <w:ind w:left="820" w:hanging="326"/>
        <w:spacing w:after="0" w:line="261" w:lineRule="auto"/>
        <w:tabs>
          <w:tab w:leader="none" w:pos="813" w:val="left"/>
        </w:tabs>
        <w:numPr>
          <w:ilvl w:val="0"/>
          <w:numId w:val="18"/>
        </w:numPr>
        <w:rPr>
          <w:rFonts w:ascii="Arial" w:cs="Arial" w:eastAsia="Arial" w:hAnsi="Arial"/>
          <w:sz w:val="9"/>
          <w:szCs w:val="9"/>
          <w:color w:val="auto"/>
        </w:rPr>
      </w:pPr>
      <w:r>
        <w:rPr>
          <w:rFonts w:ascii="Arial" w:cs="Arial" w:eastAsia="Arial" w:hAnsi="Arial"/>
          <w:sz w:val="18"/>
          <w:szCs w:val="18"/>
          <w:color w:val="auto"/>
        </w:rPr>
        <w:t>Deferred financing fees related to Debt due to Avis Budget Rental Car Funding as of March 31, 2021 and December 31, 2020 were $32 million and $36 million, respectively.</w:t>
      </w:r>
    </w:p>
    <w:p>
      <w:pPr>
        <w:spacing w:after="0" w:line="20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Debt Maturities</w:t>
      </w:r>
    </w:p>
    <w:p>
      <w:pPr>
        <w:spacing w:after="0" w:line="274" w:lineRule="exact"/>
        <w:rPr>
          <w:sz w:val="20"/>
          <w:szCs w:val="20"/>
          <w:color w:val="auto"/>
        </w:rPr>
      </w:pPr>
    </w:p>
    <w:p>
      <w:pPr>
        <w:ind w:left="500" w:right="40"/>
        <w:spacing w:after="0" w:line="261" w:lineRule="auto"/>
        <w:rPr>
          <w:sz w:val="20"/>
          <w:szCs w:val="20"/>
          <w:color w:val="auto"/>
        </w:rPr>
      </w:pPr>
      <w:r>
        <w:rPr>
          <w:rFonts w:ascii="Arial" w:cs="Arial" w:eastAsia="Arial" w:hAnsi="Arial"/>
          <w:sz w:val="18"/>
          <w:szCs w:val="18"/>
          <w:color w:val="auto"/>
        </w:rPr>
        <w:t>The following table provides the contractual maturities of the Company’s debt under vehicle programs, including related party debt due to Avis Budget Rental Car Funding, at March 31, 2021.</w:t>
      </w:r>
    </w:p>
    <w:p>
      <w:pPr>
        <w:jc w:val="center"/>
        <w:ind w:left="8420"/>
        <w:spacing w:after="0" w:line="229" w:lineRule="auto"/>
        <w:rPr>
          <w:sz w:val="20"/>
          <w:szCs w:val="20"/>
          <w:color w:val="auto"/>
        </w:rPr>
      </w:pPr>
      <w:r>
        <w:rPr>
          <w:rFonts w:ascii="Arial" w:cs="Arial" w:eastAsia="Arial" w:hAnsi="Arial"/>
          <w:sz w:val="18"/>
          <w:szCs w:val="18"/>
          <w:b w:val="1"/>
          <w:bCs w:val="1"/>
          <w:color w:val="auto"/>
        </w:rPr>
        <w:t>Debt under</w:t>
      </w:r>
    </w:p>
    <w:p>
      <w:pPr>
        <w:jc w:val="center"/>
        <w:ind w:left="8420"/>
        <w:spacing w:after="0" w:line="193" w:lineRule="auto"/>
        <w:rPr>
          <w:sz w:val="20"/>
          <w:szCs w:val="20"/>
          <w:color w:val="auto"/>
        </w:rPr>
      </w:pPr>
      <w:r>
        <w:rPr>
          <w:rFonts w:ascii="Arial" w:cs="Arial" w:eastAsia="Arial" w:hAnsi="Arial"/>
          <w:sz w:val="12"/>
          <w:szCs w:val="12"/>
          <w:b w:val="1"/>
          <w:bCs w:val="1"/>
          <w:color w:val="auto"/>
        </w:rPr>
        <w:t>Vehicle Programs</w:t>
      </w:r>
    </w:p>
    <w:p>
      <w:pPr>
        <w:ind w:left="9780"/>
        <w:spacing w:after="0"/>
        <w:rPr>
          <w:sz w:val="20"/>
          <w:szCs w:val="20"/>
          <w:color w:val="auto"/>
        </w:rPr>
      </w:pPr>
      <w:r>
        <w:rPr>
          <w:rFonts w:ascii="Arial" w:cs="Arial" w:eastAsia="Arial" w:hAnsi="Arial"/>
          <w:sz w:val="12"/>
          <w:szCs w:val="12"/>
          <w:b w:val="1"/>
          <w:bCs w:val="1"/>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5731510</wp:posOffset>
            </wp:positionH>
            <wp:positionV relativeFrom="paragraph">
              <wp:posOffset>48260</wp:posOffset>
            </wp:positionV>
            <wp:extent cx="103695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036955" cy="8890"/>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p>
      <w:pPr>
        <w:spacing w:after="0" w:line="5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xml:space="preserve">Within 1 year </w:t>
      </w:r>
      <w:r>
        <w:rPr>
          <w:rFonts w:ascii="Arial" w:cs="Arial" w:eastAsia="Arial" w:hAnsi="Arial"/>
          <w:sz w:val="23"/>
          <w:szCs w:val="23"/>
          <w:color w:val="auto"/>
          <w:vertAlign w:val="superscript"/>
        </w:rPr>
        <w:t>(b)</w:t>
      </w:r>
    </w:p>
    <w:p>
      <w:pPr>
        <w:ind w:left="520"/>
        <w:spacing w:after="0" w:line="208" w:lineRule="auto"/>
        <w:rPr>
          <w:sz w:val="20"/>
          <w:szCs w:val="20"/>
          <w:color w:val="auto"/>
        </w:rPr>
      </w:pPr>
      <w:r>
        <w:rPr>
          <w:rFonts w:ascii="Arial" w:cs="Arial" w:eastAsia="Arial" w:hAnsi="Arial"/>
          <w:sz w:val="18"/>
          <w:szCs w:val="18"/>
          <w:color w:val="auto"/>
        </w:rPr>
        <w:t xml:space="preserve">Between 1 and 2 years </w:t>
      </w:r>
      <w:r>
        <w:rPr>
          <w:rFonts w:ascii="Arial" w:cs="Arial" w:eastAsia="Arial" w:hAnsi="Arial"/>
          <w:sz w:val="23"/>
          <w:szCs w:val="23"/>
          <w:color w:val="auto"/>
          <w:vertAlign w:val="superscript"/>
        </w:rPr>
        <w:t>(c)</w:t>
      </w:r>
    </w:p>
    <w:p>
      <w:pPr>
        <w:ind w:left="520"/>
        <w:spacing w:after="0" w:line="217" w:lineRule="auto"/>
        <w:rPr>
          <w:sz w:val="20"/>
          <w:szCs w:val="20"/>
          <w:color w:val="auto"/>
        </w:rPr>
      </w:pPr>
      <w:r>
        <w:rPr>
          <w:rFonts w:ascii="Arial" w:cs="Arial" w:eastAsia="Arial" w:hAnsi="Arial"/>
          <w:sz w:val="18"/>
          <w:szCs w:val="18"/>
          <w:color w:val="auto"/>
        </w:rPr>
        <w:t xml:space="preserve">Between 2 and 3 years </w:t>
      </w:r>
      <w:r>
        <w:rPr>
          <w:rFonts w:ascii="Arial" w:cs="Arial" w:eastAsia="Arial" w:hAnsi="Arial"/>
          <w:sz w:val="23"/>
          <w:szCs w:val="23"/>
          <w:color w:val="auto"/>
          <w:vertAlign w:val="superscript"/>
        </w:rPr>
        <w:t>(d)</w:t>
      </w:r>
    </w:p>
    <w:p>
      <w:pPr>
        <w:spacing w:after="0" w:line="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Between 3 and 4 years</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Between 4 and 5 years</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Thereafter</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Total</w:t>
      </w:r>
    </w:p>
    <w:p>
      <w:pPr>
        <w:spacing w:after="0" w:line="14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__________</w:t>
      </w:r>
    </w:p>
    <w:p>
      <w:pPr>
        <w:ind w:left="760" w:hanging="266"/>
        <w:spacing w:after="0" w:line="187" w:lineRule="auto"/>
        <w:tabs>
          <w:tab w:leader="none" w:pos="760" w:val="left"/>
        </w:tabs>
        <w:numPr>
          <w:ilvl w:val="0"/>
          <w:numId w:val="19"/>
        </w:numPr>
        <w:rPr>
          <w:rFonts w:ascii="Arial" w:cs="Arial" w:eastAsia="Arial" w:hAnsi="Arial"/>
          <w:sz w:val="19"/>
          <w:szCs w:val="19"/>
          <w:color w:val="auto"/>
          <w:vertAlign w:val="superscript"/>
        </w:rPr>
      </w:pPr>
      <w:r>
        <w:rPr>
          <w:rFonts w:ascii="Arial" w:cs="Arial" w:eastAsia="Arial" w:hAnsi="Arial"/>
          <w:sz w:val="14"/>
          <w:szCs w:val="14"/>
          <w:color w:val="auto"/>
        </w:rPr>
        <w:t>Vehicle-backed debt primarily represents asset-backed securities.</w:t>
      </w:r>
    </w:p>
    <w:p>
      <w:pPr>
        <w:ind w:left="760" w:hanging="266"/>
        <w:spacing w:after="0" w:line="187" w:lineRule="auto"/>
        <w:tabs>
          <w:tab w:leader="none" w:pos="760" w:val="left"/>
        </w:tabs>
        <w:numPr>
          <w:ilvl w:val="0"/>
          <w:numId w:val="19"/>
        </w:numPr>
        <w:rPr>
          <w:rFonts w:ascii="Arial" w:cs="Arial" w:eastAsia="Arial" w:hAnsi="Arial"/>
          <w:sz w:val="18"/>
          <w:szCs w:val="18"/>
          <w:color w:val="auto"/>
          <w:vertAlign w:val="superscript"/>
        </w:rPr>
      </w:pPr>
      <w:r>
        <w:rPr>
          <w:rFonts w:ascii="Arial" w:cs="Arial" w:eastAsia="Arial" w:hAnsi="Arial"/>
          <w:sz w:val="14"/>
          <w:szCs w:val="14"/>
          <w:color w:val="auto"/>
        </w:rPr>
        <w:t>Includes $0.4 billion of bank and bank-sponsored facilities.</w:t>
      </w:r>
    </w:p>
    <w:p>
      <w:pPr>
        <w:ind w:left="760" w:hanging="266"/>
        <w:spacing w:after="0" w:line="187" w:lineRule="auto"/>
        <w:tabs>
          <w:tab w:leader="none" w:pos="760" w:val="left"/>
        </w:tabs>
        <w:numPr>
          <w:ilvl w:val="0"/>
          <w:numId w:val="19"/>
        </w:numPr>
        <w:rPr>
          <w:rFonts w:ascii="Arial" w:cs="Arial" w:eastAsia="Arial" w:hAnsi="Arial"/>
          <w:sz w:val="18"/>
          <w:szCs w:val="18"/>
          <w:color w:val="auto"/>
          <w:vertAlign w:val="superscript"/>
        </w:rPr>
      </w:pPr>
      <w:r>
        <w:rPr>
          <w:rFonts w:ascii="Arial" w:cs="Arial" w:eastAsia="Arial" w:hAnsi="Arial"/>
          <w:sz w:val="14"/>
          <w:szCs w:val="14"/>
          <w:color w:val="auto"/>
        </w:rPr>
        <w:t>Includes $0.9 billion of bank and bank-sponsored facilities.</w:t>
      </w:r>
    </w:p>
    <w:p>
      <w:pPr>
        <w:ind w:left="760" w:hanging="266"/>
        <w:spacing w:after="0" w:line="189" w:lineRule="auto"/>
        <w:tabs>
          <w:tab w:leader="none" w:pos="760" w:val="left"/>
        </w:tabs>
        <w:numPr>
          <w:ilvl w:val="0"/>
          <w:numId w:val="19"/>
        </w:numPr>
        <w:rPr>
          <w:rFonts w:ascii="Arial" w:cs="Arial" w:eastAsia="Arial" w:hAnsi="Arial"/>
          <w:sz w:val="19"/>
          <w:szCs w:val="19"/>
          <w:color w:val="auto"/>
          <w:vertAlign w:val="superscript"/>
        </w:rPr>
      </w:pPr>
      <w:r>
        <w:rPr>
          <w:rFonts w:ascii="Arial" w:cs="Arial" w:eastAsia="Arial" w:hAnsi="Arial"/>
          <w:sz w:val="14"/>
          <w:szCs w:val="14"/>
          <w:color w:val="auto"/>
        </w:rPr>
        <w:t>Includes $0.1 billion of bank and bank-sponsored facilities.</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ind w:left="1096" w:hanging="1096"/>
        <w:spacing w:after="0"/>
        <w:tabs>
          <w:tab w:leader="none" w:pos="1096" w:val="left"/>
        </w:tabs>
        <w:numPr>
          <w:ilvl w:val="0"/>
          <w:numId w:val="20"/>
        </w:numPr>
        <w:rPr>
          <w:rFonts w:ascii="Arial" w:cs="Arial" w:eastAsia="Arial" w:hAnsi="Arial"/>
          <w:sz w:val="17"/>
          <w:szCs w:val="17"/>
          <w:color w:val="auto"/>
        </w:rPr>
      </w:pPr>
      <w:r>
        <w:rPr>
          <w:rFonts w:ascii="Arial" w:cs="Arial" w:eastAsia="Arial" w:hAnsi="Arial"/>
          <w:sz w:val="17"/>
          <w:szCs w:val="17"/>
          <w:color w:val="auto"/>
        </w:rPr>
        <w:t>1,858</w:t>
      </w:r>
    </w:p>
    <w:p>
      <w:pPr>
        <w:spacing w:after="0" w:line="34" w:lineRule="exact"/>
        <w:rPr>
          <w:rFonts w:ascii="Arial" w:cs="Arial" w:eastAsia="Arial" w:hAnsi="Arial"/>
          <w:sz w:val="17"/>
          <w:szCs w:val="17"/>
          <w:color w:val="auto"/>
        </w:rPr>
      </w:pPr>
    </w:p>
    <w:p>
      <w:pPr>
        <w:ind w:left="1096"/>
        <w:spacing w:after="0"/>
        <w:rPr>
          <w:rFonts w:ascii="Arial" w:cs="Arial" w:eastAsia="Arial" w:hAnsi="Arial"/>
          <w:sz w:val="17"/>
          <w:szCs w:val="17"/>
          <w:color w:val="auto"/>
        </w:rPr>
      </w:pPr>
      <w:r>
        <w:rPr>
          <w:rFonts w:ascii="Arial" w:cs="Arial" w:eastAsia="Arial" w:hAnsi="Arial"/>
          <w:sz w:val="17"/>
          <w:szCs w:val="17"/>
          <w:color w:val="auto"/>
        </w:rPr>
        <w:t>2,171</w:t>
      </w:r>
    </w:p>
    <w:p>
      <w:pPr>
        <w:spacing w:after="0" w:line="34" w:lineRule="exact"/>
        <w:rPr>
          <w:rFonts w:ascii="Arial" w:cs="Arial" w:eastAsia="Arial" w:hAnsi="Arial"/>
          <w:sz w:val="17"/>
          <w:szCs w:val="17"/>
          <w:color w:val="auto"/>
        </w:rPr>
      </w:pPr>
    </w:p>
    <w:p>
      <w:pPr>
        <w:ind w:left="1096"/>
        <w:spacing w:after="0"/>
        <w:rPr>
          <w:rFonts w:ascii="Arial" w:cs="Arial" w:eastAsia="Arial" w:hAnsi="Arial"/>
          <w:sz w:val="17"/>
          <w:szCs w:val="17"/>
          <w:color w:val="auto"/>
        </w:rPr>
      </w:pPr>
      <w:r>
        <w:rPr>
          <w:rFonts w:ascii="Arial" w:cs="Arial" w:eastAsia="Arial" w:hAnsi="Arial"/>
          <w:sz w:val="17"/>
          <w:szCs w:val="17"/>
          <w:color w:val="auto"/>
        </w:rPr>
        <w:t>1,253</w:t>
      </w:r>
    </w:p>
    <w:p>
      <w:pPr>
        <w:spacing w:after="0" w:line="34" w:lineRule="exact"/>
        <w:rPr>
          <w:rFonts w:ascii="Arial" w:cs="Arial" w:eastAsia="Arial" w:hAnsi="Arial"/>
          <w:sz w:val="17"/>
          <w:szCs w:val="17"/>
          <w:color w:val="auto"/>
        </w:rPr>
      </w:pPr>
    </w:p>
    <w:p>
      <w:pPr>
        <w:ind w:left="1096"/>
        <w:spacing w:after="0"/>
        <w:rPr>
          <w:rFonts w:ascii="Arial" w:cs="Arial" w:eastAsia="Arial" w:hAnsi="Arial"/>
          <w:sz w:val="17"/>
          <w:szCs w:val="17"/>
          <w:color w:val="auto"/>
        </w:rPr>
      </w:pPr>
      <w:r>
        <w:rPr>
          <w:rFonts w:ascii="Arial" w:cs="Arial" w:eastAsia="Arial" w:hAnsi="Arial"/>
          <w:sz w:val="17"/>
          <w:szCs w:val="17"/>
          <w:color w:val="auto"/>
        </w:rPr>
        <w:t>1,598</w:t>
      </w:r>
    </w:p>
    <w:p>
      <w:pPr>
        <w:spacing w:after="0" w:line="34" w:lineRule="exact"/>
        <w:rPr>
          <w:rFonts w:ascii="Arial" w:cs="Arial" w:eastAsia="Arial" w:hAnsi="Arial"/>
          <w:sz w:val="17"/>
          <w:szCs w:val="17"/>
          <w:color w:val="auto"/>
        </w:rPr>
      </w:pPr>
    </w:p>
    <w:p>
      <w:pPr>
        <w:ind w:left="1236"/>
        <w:spacing w:after="0"/>
        <w:rPr>
          <w:rFonts w:ascii="Arial" w:cs="Arial" w:eastAsia="Arial" w:hAnsi="Arial"/>
          <w:sz w:val="17"/>
          <w:szCs w:val="17"/>
          <w:color w:val="auto"/>
        </w:rPr>
      </w:pPr>
      <w:r>
        <w:rPr>
          <w:rFonts w:ascii="Arial" w:cs="Arial" w:eastAsia="Arial" w:hAnsi="Arial"/>
          <w:sz w:val="17"/>
          <w:szCs w:val="17"/>
          <w:color w:val="auto"/>
        </w:rPr>
        <w:t>960</w:t>
      </w:r>
    </w:p>
    <w:p>
      <w:pPr>
        <w:spacing w:after="0" w:line="34" w:lineRule="exact"/>
        <w:rPr>
          <w:rFonts w:ascii="Arial" w:cs="Arial" w:eastAsia="Arial" w:hAnsi="Arial"/>
          <w:sz w:val="17"/>
          <w:szCs w:val="17"/>
          <w:color w:val="auto"/>
        </w:rPr>
      </w:pPr>
    </w:p>
    <w:p>
      <w:pPr>
        <w:ind w:left="1356"/>
        <w:spacing w:after="0"/>
        <w:rPr>
          <w:rFonts w:ascii="Arial" w:cs="Arial" w:eastAsia="Arial" w:hAnsi="Arial"/>
          <w:sz w:val="17"/>
          <w:szCs w:val="17"/>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6350</wp:posOffset>
            </wp:positionV>
            <wp:extent cx="103695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036955" cy="8890"/>
                    </a:xfrm>
                    <a:prstGeom prst="rect">
                      <a:avLst/>
                    </a:prstGeom>
                    <a:noFill/>
                  </pic:spPr>
                </pic:pic>
              </a:graphicData>
            </a:graphic>
          </wp:anchor>
        </w:drawing>
      </w:r>
    </w:p>
    <w:p>
      <w:pPr>
        <w:spacing w:after="0" w:line="16" w:lineRule="exact"/>
        <w:rPr>
          <w:sz w:val="20"/>
          <w:szCs w:val="20"/>
          <w:color w:val="auto"/>
        </w:rPr>
      </w:pPr>
    </w:p>
    <w:p>
      <w:pPr>
        <w:ind w:left="1096" w:hanging="1096"/>
        <w:spacing w:after="0"/>
        <w:tabs>
          <w:tab w:leader="none" w:pos="1096" w:val="left"/>
        </w:tabs>
        <w:numPr>
          <w:ilvl w:val="0"/>
          <w:numId w:val="21"/>
        </w:numPr>
        <w:rPr>
          <w:rFonts w:ascii="Arial" w:cs="Arial" w:eastAsia="Arial" w:hAnsi="Arial"/>
          <w:sz w:val="17"/>
          <w:szCs w:val="17"/>
          <w:color w:val="auto"/>
        </w:rPr>
      </w:pPr>
      <w:r>
        <w:rPr>
          <w:rFonts w:ascii="Arial" w:cs="Arial" w:eastAsia="Arial" w:hAnsi="Arial"/>
          <w:sz w:val="17"/>
          <w:szCs w:val="17"/>
          <w:color w:val="auto"/>
        </w:rPr>
        <w:t>7,840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13335</wp:posOffset>
            </wp:positionV>
            <wp:extent cx="103695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03695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39370</wp:posOffset>
            </wp:positionV>
            <wp:extent cx="103695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036955" cy="8255"/>
                    </a:xfrm>
                    <a:prstGeom prst="rect">
                      <a:avLst/>
                    </a:prstGeom>
                    <a:noFill/>
                  </pic:spPr>
                </pic:pic>
              </a:graphicData>
            </a:graphic>
          </wp:anchor>
        </w:drawing>
      </w:r>
    </w:p>
    <w:p>
      <w:pPr>
        <w:spacing w:after="0" w:line="1235" w:lineRule="exact"/>
        <w:rPr>
          <w:sz w:val="20"/>
          <w:szCs w:val="20"/>
          <w:color w:val="auto"/>
        </w:rPr>
      </w:pPr>
    </w:p>
    <w:p>
      <w:pPr>
        <w:sectPr>
          <w:pgSz w:w="11900" w:h="16838" w:orient="portrait"/>
          <w:cols w:equalWidth="0" w:num="2">
            <w:col w:w="8324" w:space="720"/>
            <w:col w:w="2176"/>
          </w:cols>
          <w:pgMar w:left="320" w:top="140"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Committed Credit Facilities and Available Funding Arrangements</w:t>
      </w:r>
    </w:p>
    <w:p>
      <w:pPr>
        <w:spacing w:after="0" w:line="274" w:lineRule="exact"/>
        <w:rPr>
          <w:sz w:val="20"/>
          <w:szCs w:val="20"/>
          <w:color w:val="auto"/>
        </w:rPr>
      </w:pPr>
    </w:p>
    <w:p>
      <w:pPr>
        <w:ind w:left="500" w:right="20"/>
        <w:spacing w:after="0" w:line="261" w:lineRule="auto"/>
        <w:rPr>
          <w:sz w:val="20"/>
          <w:szCs w:val="20"/>
          <w:color w:val="auto"/>
        </w:rPr>
      </w:pPr>
      <w:r>
        <w:rPr>
          <w:rFonts w:ascii="Arial" w:cs="Arial" w:eastAsia="Arial" w:hAnsi="Arial"/>
          <w:sz w:val="18"/>
          <w:szCs w:val="18"/>
          <w:color w:val="auto"/>
        </w:rPr>
        <w:t>As of March 31, 2021, available funding under the Company’s vehicle programs, including related party debt due to Avis Budget Rental Car Funding, consisted of:</w:t>
      </w:r>
    </w:p>
    <w:tbl>
      <w:tblPr>
        <w:tblLayout w:type="fixed"/>
        <w:tblInd w:w="520" w:type="dxa"/>
        <w:tblCellMar>
          <w:top w:w="0" w:type="dxa"/>
          <w:left w:w="0" w:type="dxa"/>
          <w:bottom w:w="0" w:type="dxa"/>
          <w:right w:w="0" w:type="dxa"/>
        </w:tblCellMar>
      </w:tblPr>
      <w:tr>
        <w:trPr>
          <w:trHeight w:val="185"/>
        </w:trPr>
        <w:tc>
          <w:tcPr>
            <w:tcW w:w="5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gridSpan w:val="2"/>
          </w:tcPr>
          <w:p>
            <w:pPr>
              <w:jc w:val="center"/>
              <w:ind w:right="340"/>
              <w:spacing w:after="0" w:line="185" w:lineRule="exact"/>
              <w:rPr>
                <w:sz w:val="20"/>
                <w:szCs w:val="20"/>
                <w:color w:val="auto"/>
              </w:rPr>
            </w:pPr>
            <w:r>
              <w:rPr>
                <w:rFonts w:ascii="Arial" w:cs="Arial" w:eastAsia="Arial" w:hAnsi="Arial"/>
                <w:sz w:val="18"/>
                <w:szCs w:val="18"/>
                <w:b w:val="1"/>
                <w:bCs w:val="1"/>
                <w:color w:val="auto"/>
                <w:w w:val="97"/>
              </w:rPr>
              <w:t>Total</w:t>
            </w:r>
          </w:p>
        </w:tc>
        <w:tc>
          <w:tcPr>
            <w:tcW w:w="180" w:type="dxa"/>
            <w:vAlign w:val="bottom"/>
          </w:tcPr>
          <w:p>
            <w:pPr>
              <w:spacing w:after="0"/>
              <w:rPr>
                <w:sz w:val="16"/>
                <w:szCs w:val="16"/>
                <w:color w:val="auto"/>
              </w:rPr>
            </w:pPr>
          </w:p>
        </w:tc>
        <w:tc>
          <w:tcPr>
            <w:tcW w:w="1520" w:type="dxa"/>
            <w:vAlign w:val="bottom"/>
            <w:gridSpan w:val="2"/>
          </w:tcPr>
          <w:p>
            <w:pPr>
              <w:jc w:val="center"/>
              <w:ind w:right="300"/>
              <w:spacing w:after="0" w:line="185" w:lineRule="exact"/>
              <w:rPr>
                <w:sz w:val="20"/>
                <w:szCs w:val="20"/>
                <w:color w:val="auto"/>
              </w:rPr>
            </w:pPr>
            <w:r>
              <w:rPr>
                <w:rFonts w:ascii="Arial" w:cs="Arial" w:eastAsia="Arial" w:hAnsi="Arial"/>
                <w:sz w:val="18"/>
                <w:szCs w:val="18"/>
                <w:b w:val="1"/>
                <w:bCs w:val="1"/>
                <w:color w:val="auto"/>
                <w:w w:val="99"/>
              </w:rPr>
              <w:t>Outstanding</w:t>
            </w:r>
          </w:p>
        </w:tc>
        <w:tc>
          <w:tcPr>
            <w:tcW w:w="240" w:type="dxa"/>
            <w:vAlign w:val="bottom"/>
          </w:tcPr>
          <w:p>
            <w:pPr>
              <w:spacing w:after="0"/>
              <w:rPr>
                <w:sz w:val="16"/>
                <w:szCs w:val="16"/>
                <w:color w:val="auto"/>
              </w:rPr>
            </w:pPr>
          </w:p>
        </w:tc>
        <w:tc>
          <w:tcPr>
            <w:tcW w:w="1320" w:type="dxa"/>
            <w:vAlign w:val="bottom"/>
          </w:tcPr>
          <w:p>
            <w:pPr>
              <w:jc w:val="right"/>
              <w:ind w:right="310"/>
              <w:spacing w:after="0" w:line="185" w:lineRule="exact"/>
              <w:rPr>
                <w:sz w:val="20"/>
                <w:szCs w:val="20"/>
                <w:color w:val="auto"/>
              </w:rPr>
            </w:pPr>
            <w:r>
              <w:rPr>
                <w:rFonts w:ascii="Arial" w:cs="Arial" w:eastAsia="Arial" w:hAnsi="Arial"/>
                <w:sz w:val="18"/>
                <w:szCs w:val="18"/>
                <w:b w:val="1"/>
                <w:bCs w:val="1"/>
                <w:color w:val="auto"/>
              </w:rPr>
              <w:t>Available</w:t>
            </w:r>
          </w:p>
        </w:tc>
      </w:tr>
      <w:tr>
        <w:trPr>
          <w:trHeight w:val="229"/>
        </w:trPr>
        <w:tc>
          <w:tcPr>
            <w:tcW w:w="5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rPr>
              <w:t xml:space="preserve">Capacity </w:t>
            </w:r>
            <w:r>
              <w:rPr>
                <w:rFonts w:ascii="Arial" w:cs="Arial" w:eastAsia="Arial" w:hAnsi="Arial"/>
                <w:sz w:val="9"/>
                <w:szCs w:val="9"/>
                <w:color w:val="auto"/>
              </w:rPr>
              <w:t>(a)</w:t>
            </w:r>
          </w:p>
        </w:tc>
        <w:tc>
          <w:tcPr>
            <w:tcW w:w="180" w:type="dxa"/>
            <w:vAlign w:val="bottom"/>
          </w:tcPr>
          <w:p>
            <w:pPr>
              <w:spacing w:after="0"/>
              <w:rPr>
                <w:sz w:val="19"/>
                <w:szCs w:val="19"/>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9"/>
              </w:rPr>
              <w:t xml:space="preserve">Borrowings </w:t>
            </w:r>
            <w:r>
              <w:rPr>
                <w:rFonts w:ascii="Arial" w:cs="Arial" w:eastAsia="Arial" w:hAnsi="Arial"/>
                <w:sz w:val="9"/>
                <w:szCs w:val="9"/>
                <w:color w:val="auto"/>
                <w:w w:val="99"/>
              </w:rPr>
              <w:t>(b)</w:t>
            </w:r>
          </w:p>
        </w:tc>
        <w:tc>
          <w:tcPr>
            <w:tcW w:w="240" w:type="dxa"/>
            <w:vAlign w:val="bottom"/>
          </w:tcPr>
          <w:p>
            <w:pPr>
              <w:spacing w:after="0"/>
              <w:rPr>
                <w:sz w:val="19"/>
                <w:szCs w:val="19"/>
                <w:color w:val="auto"/>
              </w:rPr>
            </w:pPr>
          </w:p>
        </w:tc>
        <w:tc>
          <w:tcPr>
            <w:tcW w:w="1320" w:type="dxa"/>
            <w:vAlign w:val="bottom"/>
          </w:tcPr>
          <w:p>
            <w:pPr>
              <w:jc w:val="right"/>
              <w:ind w:right="310"/>
              <w:spacing w:after="0"/>
              <w:rPr>
                <w:sz w:val="20"/>
                <w:szCs w:val="20"/>
                <w:color w:val="auto"/>
              </w:rPr>
            </w:pPr>
            <w:r>
              <w:rPr>
                <w:rFonts w:ascii="Arial" w:cs="Arial" w:eastAsia="Arial" w:hAnsi="Arial"/>
                <w:sz w:val="18"/>
                <w:szCs w:val="18"/>
                <w:b w:val="1"/>
                <w:bCs w:val="1"/>
                <w:color w:val="auto"/>
              </w:rPr>
              <w:t>Capacity</w:t>
            </w:r>
          </w:p>
        </w:tc>
      </w:tr>
      <w:tr>
        <w:trPr>
          <w:trHeight w:val="223"/>
        </w:trPr>
        <w:tc>
          <w:tcPr>
            <w:tcW w:w="5180" w:type="dxa"/>
            <w:vAlign w:val="bottom"/>
          </w:tcPr>
          <w:p>
            <w:pPr>
              <w:spacing w:after="0"/>
              <w:rPr>
                <w:sz w:val="20"/>
                <w:szCs w:val="20"/>
                <w:color w:val="auto"/>
              </w:rPr>
            </w:pPr>
            <w:r>
              <w:rPr>
                <w:rFonts w:ascii="Arial" w:cs="Arial" w:eastAsia="Arial" w:hAnsi="Arial"/>
                <w:sz w:val="18"/>
                <w:szCs w:val="18"/>
                <w:color w:val="auto"/>
              </w:rPr>
              <w:t>Americas - Debt due to Avis Budget Rental Car Funding</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9,011</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6,181</w:t>
            </w:r>
          </w:p>
        </w:tc>
        <w:tc>
          <w:tcPr>
            <w:tcW w:w="120" w:type="dxa"/>
            <w:vAlign w:val="bottom"/>
          </w:tcPr>
          <w:p>
            <w:pPr>
              <w:spacing w:after="0"/>
              <w:rPr>
                <w:sz w:val="19"/>
                <w:szCs w:val="19"/>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2,830</w:t>
            </w:r>
          </w:p>
        </w:tc>
      </w:tr>
      <w:tr>
        <w:trPr>
          <w:trHeight w:val="229"/>
        </w:trPr>
        <w:tc>
          <w:tcPr>
            <w:tcW w:w="5180" w:type="dxa"/>
            <w:vAlign w:val="bottom"/>
          </w:tcPr>
          <w:p>
            <w:pPr>
              <w:spacing w:after="0"/>
              <w:rPr>
                <w:sz w:val="20"/>
                <w:szCs w:val="20"/>
                <w:color w:val="auto"/>
              </w:rPr>
            </w:pPr>
            <w:r>
              <w:rPr>
                <w:rFonts w:ascii="Arial" w:cs="Arial" w:eastAsia="Arial" w:hAnsi="Arial"/>
                <w:sz w:val="18"/>
                <w:szCs w:val="18"/>
                <w:color w:val="auto"/>
              </w:rPr>
              <w:t>Americas - Debt borrowings</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746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499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247</w:t>
            </w: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International - Debt borrowings</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2,713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1,020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1,693</w:t>
            </w:r>
          </w:p>
        </w:tc>
      </w:tr>
      <w:tr>
        <w:trPr>
          <w:trHeight w:val="229"/>
        </w:trPr>
        <w:tc>
          <w:tcPr>
            <w:tcW w:w="5180" w:type="dxa"/>
            <w:vAlign w:val="bottom"/>
          </w:tcPr>
          <w:p>
            <w:pPr>
              <w:spacing w:after="0"/>
              <w:rPr>
                <w:sz w:val="20"/>
                <w:szCs w:val="20"/>
                <w:color w:val="auto"/>
              </w:rPr>
            </w:pPr>
            <w:r>
              <w:rPr>
                <w:rFonts w:ascii="Arial" w:cs="Arial" w:eastAsia="Arial" w:hAnsi="Arial"/>
                <w:sz w:val="18"/>
                <w:szCs w:val="18"/>
                <w:color w:val="auto"/>
              </w:rPr>
              <w:t>International - Finance leases</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r>
      <w:tr>
        <w:trPr>
          <w:trHeight w:val="223"/>
        </w:trPr>
        <w:tc>
          <w:tcPr>
            <w:tcW w:w="5180" w:type="dxa"/>
            <w:vAlign w:val="bottom"/>
          </w:tcPr>
          <w:p>
            <w:pPr>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12,674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7,840</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4,834</w:t>
            </w:r>
          </w:p>
        </w:tc>
      </w:tr>
      <w:tr>
        <w:trPr>
          <w:trHeight w:val="21"/>
        </w:trPr>
        <w:tc>
          <w:tcPr>
            <w:tcW w:w="5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0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__________</w:t>
      </w:r>
    </w:p>
    <w:p>
      <w:pPr>
        <w:ind w:left="760" w:hanging="266"/>
        <w:spacing w:after="0" w:line="187" w:lineRule="auto"/>
        <w:tabs>
          <w:tab w:leader="none" w:pos="760" w:val="left"/>
        </w:tabs>
        <w:numPr>
          <w:ilvl w:val="0"/>
          <w:numId w:val="22"/>
        </w:numPr>
        <w:rPr>
          <w:rFonts w:ascii="Arial" w:cs="Arial" w:eastAsia="Arial" w:hAnsi="Arial"/>
          <w:sz w:val="19"/>
          <w:szCs w:val="19"/>
          <w:color w:val="auto"/>
          <w:vertAlign w:val="superscript"/>
        </w:rPr>
      </w:pPr>
      <w:r>
        <w:rPr>
          <w:rFonts w:ascii="Arial" w:cs="Arial" w:eastAsia="Arial" w:hAnsi="Arial"/>
          <w:sz w:val="14"/>
          <w:szCs w:val="14"/>
          <w:color w:val="auto"/>
        </w:rPr>
        <w:t>Capacity is subject to maintaining sufficient assets to collateralize debt.</w:t>
      </w:r>
    </w:p>
    <w:p>
      <w:pPr>
        <w:ind w:left="820" w:right="460" w:hanging="326"/>
        <w:spacing w:after="0" w:line="211" w:lineRule="auto"/>
        <w:tabs>
          <w:tab w:leader="none" w:pos="767" w:val="left"/>
        </w:tabs>
        <w:numPr>
          <w:ilvl w:val="0"/>
          <w:numId w:val="22"/>
        </w:numPr>
        <w:rPr>
          <w:rFonts w:ascii="Arial" w:cs="Arial" w:eastAsia="Arial" w:hAnsi="Arial"/>
          <w:sz w:val="19"/>
          <w:szCs w:val="19"/>
          <w:color w:val="auto"/>
          <w:vertAlign w:val="superscript"/>
        </w:rPr>
      </w:pPr>
      <w:r>
        <w:rPr>
          <w:rFonts w:ascii="Arial" w:cs="Arial" w:eastAsia="Arial" w:hAnsi="Arial"/>
          <w:sz w:val="14"/>
          <w:szCs w:val="14"/>
          <w:color w:val="auto"/>
        </w:rPr>
        <w:t>The outstanding debt is collateralized by vehicles and related assets of $7.4 billion for Americas - Debt due to Avis Budget Rental Car Funding; $0.7 billion for Americas - Debt borrowings; $1.2 billion for International - Debt borrowings; and $0.2 billion for International - Finance leases.</w:t>
      </w:r>
    </w:p>
    <w:p>
      <w:pPr>
        <w:spacing w:after="0" w:line="20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Debt Covenants</w:t>
      </w:r>
    </w:p>
    <w:p>
      <w:pPr>
        <w:spacing w:after="0" w:line="274" w:lineRule="exact"/>
        <w:rPr>
          <w:sz w:val="20"/>
          <w:szCs w:val="20"/>
          <w:color w:val="auto"/>
        </w:rPr>
      </w:pPr>
    </w:p>
    <w:p>
      <w:pPr>
        <w:ind w:left="500" w:right="20"/>
        <w:spacing w:after="0" w:line="253" w:lineRule="auto"/>
        <w:rPr>
          <w:sz w:val="20"/>
          <w:szCs w:val="20"/>
          <w:color w:val="auto"/>
        </w:rPr>
      </w:pPr>
      <w:r>
        <w:rPr>
          <w:rFonts w:ascii="Arial" w:cs="Arial" w:eastAsia="Arial" w:hAnsi="Arial"/>
          <w:sz w:val="18"/>
          <w:szCs w:val="18"/>
          <w:color w:val="auto"/>
        </w:rPr>
        <w:t>The agreements under the Company’s vehicle-backed funding programs contain restrictive covenants, including restrictions on dividends paid to the Company by certain of its subsidiaries and restrictions on indebtedness, mergers, liens, liquidations, and sale and leaseback transactions and in some cases also require compliance with certain financial requirements. As of March 31, 2021, the Company is not aware of any instances of non-compliance with any of the financial covenants contained in the debt agreements under its vehicle-backed funding programs.</w:t>
      </w:r>
    </w:p>
    <w:p>
      <w:pPr>
        <w:spacing w:after="0" w:line="210" w:lineRule="exact"/>
        <w:rPr>
          <w:sz w:val="20"/>
          <w:szCs w:val="20"/>
          <w:color w:val="auto"/>
        </w:rPr>
      </w:pPr>
    </w:p>
    <w:p>
      <w:pPr>
        <w:ind w:left="500" w:right="7920" w:hanging="492"/>
        <w:spacing w:after="0" w:line="544" w:lineRule="auto"/>
        <w:tabs>
          <w:tab w:leader="none" w:pos="464"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Contingencies</w:t>
      </w:r>
    </w:p>
    <w:p>
      <w:pPr>
        <w:spacing w:after="0" w:line="2" w:lineRule="exact"/>
        <w:rPr>
          <w:sz w:val="20"/>
          <w:szCs w:val="20"/>
          <w:color w:val="auto"/>
        </w:rPr>
      </w:pPr>
    </w:p>
    <w:p>
      <w:pPr>
        <w:ind w:left="500" w:right="200"/>
        <w:spacing w:after="0" w:line="252" w:lineRule="auto"/>
        <w:rPr>
          <w:sz w:val="20"/>
          <w:szCs w:val="20"/>
          <w:color w:val="auto"/>
        </w:rPr>
      </w:pPr>
      <w:r>
        <w:rPr>
          <w:rFonts w:ascii="Arial" w:cs="Arial" w:eastAsia="Arial" w:hAnsi="Arial"/>
          <w:sz w:val="18"/>
          <w:szCs w:val="18"/>
          <w:color w:val="auto"/>
        </w:rPr>
        <w:t>In 2006, the Company completed the spin-offs of its Realogy and Wyndham subsidiaries. The Company does not believe that the impact of any resolution of pre-existing contingent liabilities in connection with the spin-offs should result in a material liability to the Company in relation to its consolidated financial position or liquidity, as Realogy and Wyndham each have agreed to assume responsibility for these liabilities. The Company is also named in litigation that is primarily related to the businesses of its former subsidiaries, including Realogy and Wyndham. The Company is entitled to indemnification from such entities for any liability resulting from such litigation.</w:t>
      </w:r>
    </w:p>
    <w:p>
      <w:pPr>
        <w:spacing w:after="0" w:line="235" w:lineRule="exact"/>
        <w:rPr>
          <w:sz w:val="20"/>
          <w:szCs w:val="20"/>
          <w:color w:val="auto"/>
        </w:rPr>
      </w:pPr>
    </w:p>
    <w:p>
      <w:pPr>
        <w:ind w:left="500"/>
        <w:spacing w:after="0" w:line="252" w:lineRule="auto"/>
        <w:rPr>
          <w:sz w:val="20"/>
          <w:szCs w:val="20"/>
          <w:color w:val="auto"/>
        </w:rPr>
      </w:pPr>
      <w:r>
        <w:rPr>
          <w:rFonts w:ascii="Arial" w:cs="Arial" w:eastAsia="Arial" w:hAnsi="Arial"/>
          <w:sz w:val="18"/>
          <w:szCs w:val="18"/>
          <w:color w:val="auto"/>
        </w:rPr>
        <w:t>In February 2017, following state court trials in Georgia, the Company was found liable for damages in two cases brought by plaintiffs who were injured in a vehicle accident allegedly caused by an employee of an independent contractor of the Company who was acting outside of the scope of employment. In fourth quarter 2019, the Company appealed both verdicts resulting in a reversal of the judgments rendered. The Georgia Supreme Court granted the plaintiffs’ application to review the appellate court’s reversal of the judgements entered at the trial court. The Georgia Supreme Court heard oral arguments in December 2020 and on May 3, 2021 issued a decision affirming the appellate court’s judgments. Following the issuance of this decision, plaintiffs have the ability to file a motion for reconsideration. The Company has recognized a liability related to these cases, net of recoverable insurance proceeds, of approximately $12 million.</w:t>
      </w:r>
    </w:p>
    <w:p>
      <w:pPr>
        <w:spacing w:after="0" w:line="232" w:lineRule="exact"/>
        <w:rPr>
          <w:sz w:val="20"/>
          <w:szCs w:val="20"/>
          <w:color w:val="auto"/>
        </w:rPr>
      </w:pPr>
    </w:p>
    <w:p>
      <w:pPr>
        <w:ind w:left="500" w:right="240"/>
        <w:spacing w:after="0" w:line="252" w:lineRule="auto"/>
        <w:rPr>
          <w:sz w:val="20"/>
          <w:szCs w:val="20"/>
          <w:color w:val="auto"/>
        </w:rPr>
      </w:pPr>
      <w:r>
        <w:rPr>
          <w:rFonts w:ascii="Arial" w:cs="Arial" w:eastAsia="Arial" w:hAnsi="Arial"/>
          <w:sz w:val="18"/>
          <w:szCs w:val="18"/>
          <w:color w:val="auto"/>
        </w:rPr>
        <w:t>The Company is currently involved, and in the future may be involved, in claims, legal proceedings, including class actions, and governmental inquiries that are incidental to its vehicle rental and car sharing operations, including, among others, contract and licensee disputes, competition matters, employment and wage-and-hour claims, insurance and liability claims, intellectual property claims, business practice disputes and other regulatory, environmental, commercial and tax matters. Litigation is inherently unpredictable and, although the Company believes that its accruals are adequate and/or that it has valid defenses in these matters, unfavorable resolutions could occur. The Company estimates that the potential exposure resulting from adverse outcomes of current legal proceedings in which it is reasonably possible that a loss may be incurred could, in the aggregate, be up to approximately $40 million in excess of amounts accrued as of</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00" w:right="400"/>
        <w:spacing w:after="0" w:line="261" w:lineRule="auto"/>
        <w:rPr>
          <w:sz w:val="20"/>
          <w:szCs w:val="20"/>
          <w:color w:val="auto"/>
        </w:rPr>
      </w:pPr>
      <w:r>
        <w:rPr>
          <w:rFonts w:ascii="Arial" w:cs="Arial" w:eastAsia="Arial" w:hAnsi="Arial"/>
          <w:sz w:val="18"/>
          <w:szCs w:val="18"/>
          <w:color w:val="auto"/>
        </w:rPr>
        <w:t>March 31, 2021. The Company does not believe that the impact should result in a material liability to the Company in relation to its consolidated financial condition or results of operations.</w:t>
      </w:r>
    </w:p>
    <w:p>
      <w:pPr>
        <w:spacing w:after="0" w:line="20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Commitments to Purchase Vehicles</w:t>
      </w:r>
    </w:p>
    <w:p>
      <w:pPr>
        <w:spacing w:after="0" w:line="27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maintains agreements with vehicle manufacturers under which the Company has agreed to purchase approximately</w:t>
      </w:r>
    </w:p>
    <w:p>
      <w:pPr>
        <w:spacing w:after="0" w:line="9" w:lineRule="exact"/>
        <w:rPr>
          <w:sz w:val="20"/>
          <w:szCs w:val="20"/>
          <w:color w:val="auto"/>
        </w:rPr>
      </w:pPr>
    </w:p>
    <w:p>
      <w:pPr>
        <w:ind w:left="500" w:right="40"/>
        <w:spacing w:after="0" w:line="254" w:lineRule="auto"/>
        <w:rPr>
          <w:sz w:val="20"/>
          <w:szCs w:val="20"/>
          <w:color w:val="auto"/>
        </w:rPr>
      </w:pPr>
      <w:r>
        <w:rPr>
          <w:rFonts w:ascii="Arial" w:cs="Arial" w:eastAsia="Arial" w:hAnsi="Arial"/>
          <w:sz w:val="18"/>
          <w:szCs w:val="18"/>
          <w:color w:val="auto"/>
        </w:rPr>
        <w:t>$6.4 billion of vehicles from manufacturers over the next 12 months, a $2.3 billion decrease compared to December 31, 2020, financed primarily through the issuance of vehicle-backed debt and cash received upon the disposition of vehicles. Certain of these commitments are subject to the vehicle manufacturers satisfying their obligations under their respective repurchase and guaranteed depreciation agreements.</w:t>
      </w:r>
    </w:p>
    <w:p>
      <w:pPr>
        <w:spacing w:after="0" w:line="20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Concentrations</w:t>
      </w:r>
    </w:p>
    <w:p>
      <w:pPr>
        <w:spacing w:after="0" w:line="274" w:lineRule="exact"/>
        <w:rPr>
          <w:sz w:val="20"/>
          <w:szCs w:val="20"/>
          <w:color w:val="auto"/>
        </w:rPr>
      </w:pPr>
    </w:p>
    <w:p>
      <w:pPr>
        <w:ind w:left="500" w:right="420"/>
        <w:spacing w:after="0" w:line="253" w:lineRule="auto"/>
        <w:rPr>
          <w:sz w:val="20"/>
          <w:szCs w:val="20"/>
          <w:color w:val="auto"/>
        </w:rPr>
      </w:pPr>
      <w:r>
        <w:rPr>
          <w:rFonts w:ascii="Arial" w:cs="Arial" w:eastAsia="Arial" w:hAnsi="Arial"/>
          <w:sz w:val="18"/>
          <w:szCs w:val="18"/>
          <w:color w:val="auto"/>
        </w:rPr>
        <w:t>Concentrations of credit risk at March 31, 2021 include (i) risks related to the Company’s repurchase and guaranteed depreciation agreements with domestic and foreign car manufacturers, primarily with respect to receivables for program cars that have been disposed but for which the Company has not yet received payment from the manufacturers and (ii) risks related to Realogy and Wyndham, including receivables of $25 million and $15 million, respectively, related to certain contingent, income tax and other corporate liabilities assumed by Realogy and Wyndham in connection with their disposition.</w:t>
      </w:r>
    </w:p>
    <w:p>
      <w:pPr>
        <w:spacing w:after="0" w:line="210" w:lineRule="exact"/>
        <w:rPr>
          <w:sz w:val="20"/>
          <w:szCs w:val="20"/>
          <w:color w:val="auto"/>
        </w:rPr>
      </w:pPr>
    </w:p>
    <w:p>
      <w:pPr>
        <w:ind w:left="500" w:right="9000" w:hanging="492"/>
        <w:spacing w:after="0" w:line="577" w:lineRule="auto"/>
        <w:tabs>
          <w:tab w:leader="none" w:pos="464" w:val="left"/>
        </w:tabs>
        <w:numPr>
          <w:ilvl w:val="0"/>
          <w:numId w:val="2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Stockholders’ Equity </w:t>
      </w:r>
      <w:r>
        <w:rPr>
          <w:rFonts w:ascii="Arial" w:cs="Arial" w:eastAsia="Arial" w:hAnsi="Arial"/>
          <w:sz w:val="17"/>
          <w:szCs w:val="17"/>
          <w:b w:val="1"/>
          <w:bCs w:val="1"/>
          <w:i w:val="1"/>
          <w:iCs w:val="1"/>
          <w:color w:val="auto"/>
        </w:rPr>
        <w:t>Share Repurchases</w:t>
      </w:r>
    </w:p>
    <w:p>
      <w:pPr>
        <w:ind w:left="500" w:right="500"/>
        <w:spacing w:after="0" w:line="273" w:lineRule="auto"/>
        <w:rPr>
          <w:sz w:val="20"/>
          <w:szCs w:val="20"/>
          <w:color w:val="auto"/>
        </w:rPr>
      </w:pPr>
      <w:r>
        <w:rPr>
          <w:rFonts w:ascii="Arial" w:cs="Arial" w:eastAsia="Arial" w:hAnsi="Arial"/>
          <w:sz w:val="17"/>
          <w:szCs w:val="17"/>
          <w:color w:val="auto"/>
        </w:rPr>
        <w:t>The Company’s Board of Directors has authorized the repurchase of up to $1.8 billion of its common stock under a plan originally approved in 2013 and subsequently expanded, most recently in August 2019. During the first quarter of 2021, the Company has repurchased approximately 0.1 million shares of common stock at a cost of approximately $ 10 million under the program. As of March 31, 2021, approximately $66 million of authorization remains available to repurchase common stock under this plan.</w:t>
      </w:r>
    </w:p>
    <w:p>
      <w:pPr>
        <w:spacing w:after="0" w:line="19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Share Issuances</w:t>
      </w:r>
    </w:p>
    <w:p>
      <w:pPr>
        <w:spacing w:after="0" w:line="274" w:lineRule="exact"/>
        <w:rPr>
          <w:sz w:val="20"/>
          <w:szCs w:val="20"/>
          <w:color w:val="auto"/>
        </w:rPr>
      </w:pPr>
    </w:p>
    <w:p>
      <w:pPr>
        <w:ind w:left="500" w:right="20"/>
        <w:spacing w:after="0" w:line="256" w:lineRule="auto"/>
        <w:rPr>
          <w:sz w:val="20"/>
          <w:szCs w:val="20"/>
          <w:color w:val="auto"/>
        </w:rPr>
      </w:pPr>
      <w:r>
        <w:rPr>
          <w:rFonts w:ascii="Arial" w:cs="Arial" w:eastAsia="Arial" w:hAnsi="Arial"/>
          <w:sz w:val="18"/>
          <w:szCs w:val="18"/>
          <w:color w:val="auto"/>
        </w:rPr>
        <w:t>On February 10, 2020, the Company announced it had appointed a new Chairman of the Board of Directors and in connection with this appointment, the new Chairman purchased an aggregate $ 15 million of unregistered shares of the Company’s common stock at a price per share equal to the closing price of the Company’s common stock on February 7, 2020.</w:t>
      </w:r>
    </w:p>
    <w:p>
      <w:pPr>
        <w:spacing w:after="0" w:line="20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Total Comprehensive Income (Loss)</w:t>
      </w:r>
    </w:p>
    <w:p>
      <w:pPr>
        <w:spacing w:after="0" w:line="274" w:lineRule="exact"/>
        <w:rPr>
          <w:sz w:val="20"/>
          <w:szCs w:val="20"/>
          <w:color w:val="auto"/>
        </w:rPr>
      </w:pPr>
    </w:p>
    <w:p>
      <w:pPr>
        <w:ind w:left="500"/>
        <w:spacing w:after="0" w:line="261" w:lineRule="auto"/>
        <w:rPr>
          <w:sz w:val="20"/>
          <w:szCs w:val="20"/>
          <w:color w:val="auto"/>
        </w:rPr>
      </w:pPr>
      <w:r>
        <w:rPr>
          <w:rFonts w:ascii="Arial" w:cs="Arial" w:eastAsia="Arial" w:hAnsi="Arial"/>
          <w:sz w:val="18"/>
          <w:szCs w:val="18"/>
          <w:color w:val="auto"/>
        </w:rPr>
        <w:t>Comprehensive income (loss) consists of net income (loss) and other gains and losses affecting stockholders’ equity that, under GAAP, are excluded from net income (loss).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other comprehensive income (loss) were as follows:</w:t>
      </w:r>
    </w:p>
    <w:p>
      <w:pPr>
        <w:spacing w:after="0" w:line="18" w:lineRule="exact"/>
        <w:rPr>
          <w:sz w:val="20"/>
          <w:szCs w:val="20"/>
          <w:color w:val="auto"/>
        </w:rPr>
      </w:pPr>
    </w:p>
    <w:p>
      <w:pPr>
        <w:jc w:val="center"/>
        <w:ind w:left="7060"/>
        <w:spacing w:after="0"/>
        <w:rPr>
          <w:sz w:val="20"/>
          <w:szCs w:val="20"/>
          <w:color w:val="auto"/>
        </w:rPr>
      </w:pPr>
      <w:r>
        <w:rPr>
          <w:rFonts w:ascii="Arial" w:cs="Arial" w:eastAsia="Arial" w:hAnsi="Arial"/>
          <w:sz w:val="18"/>
          <w:szCs w:val="18"/>
          <w:b w:val="1"/>
          <w:bCs w:val="1"/>
          <w:color w:val="auto"/>
        </w:rPr>
        <w:t>Three Months Ended</w:t>
      </w:r>
    </w:p>
    <w:p>
      <w:pPr>
        <w:jc w:val="center"/>
        <w:ind w:left="7100"/>
        <w:spacing w:after="0"/>
        <w:rPr>
          <w:sz w:val="20"/>
          <w:szCs w:val="20"/>
          <w:color w:val="auto"/>
        </w:rPr>
      </w:pPr>
      <w:r>
        <w:rPr>
          <w:rFonts w:ascii="Arial" w:cs="Arial" w:eastAsia="Arial" w:hAnsi="Arial"/>
          <w:sz w:val="18"/>
          <w:szCs w:val="18"/>
          <w:b w:val="1"/>
          <w:bCs w:val="1"/>
          <w:color w:val="auto"/>
        </w:rPr>
        <w:t>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7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ind w:left="520"/>
              <w:spacing w:after="0"/>
              <w:rPr>
                <w:sz w:val="20"/>
                <w:szCs w:val="20"/>
                <w:color w:val="auto"/>
              </w:rPr>
            </w:pPr>
            <w:r>
              <w:rPr>
                <w:rFonts w:ascii="Arial" w:cs="Arial" w:eastAsia="Arial" w:hAnsi="Arial"/>
                <w:sz w:val="18"/>
                <w:szCs w:val="18"/>
                <w:color w:val="auto"/>
              </w:rPr>
              <w:t>Net loss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(158)</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520"/>
              <w:spacing w:after="0"/>
              <w:rPr>
                <w:sz w:val="20"/>
                <w:szCs w:val="20"/>
                <w:color w:val="auto"/>
              </w:rPr>
            </w:pPr>
            <w:r>
              <w:rPr>
                <w:rFonts w:ascii="Arial" w:cs="Arial" w:eastAsia="Arial" w:hAnsi="Arial"/>
                <w:sz w:val="18"/>
                <w:szCs w:val="18"/>
                <w:color w:val="auto"/>
              </w:rPr>
              <w:t>Other comprehensive income (loss):</w:t>
            </w: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680"/>
              <w:spacing w:after="0"/>
              <w:rPr>
                <w:sz w:val="20"/>
                <w:szCs w:val="20"/>
                <w:color w:val="auto"/>
              </w:rPr>
            </w:pPr>
            <w:r>
              <w:rPr>
                <w:rFonts w:ascii="Arial" w:cs="Arial" w:eastAsia="Arial" w:hAnsi="Arial"/>
                <w:sz w:val="18"/>
                <w:szCs w:val="18"/>
                <w:color w:val="auto"/>
              </w:rPr>
              <w:t>Currency translation adjustments (net of tax of $(12) and $(4), respectively)</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(83)</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680"/>
              <w:spacing w:after="0"/>
              <w:rPr>
                <w:sz w:val="20"/>
                <w:szCs w:val="20"/>
                <w:color w:val="auto"/>
              </w:rPr>
            </w:pPr>
            <w:r>
              <w:rPr>
                <w:rFonts w:ascii="Arial" w:cs="Arial" w:eastAsia="Arial" w:hAnsi="Arial"/>
                <w:sz w:val="18"/>
                <w:szCs w:val="18"/>
                <w:color w:val="auto"/>
              </w:rPr>
              <w:t>Net unrealized gain (loss) on cash flow hedges (net of tax of $3 and $6, respectively)</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680"/>
              <w:spacing w:after="0"/>
              <w:rPr>
                <w:sz w:val="20"/>
                <w:szCs w:val="20"/>
                <w:color w:val="auto"/>
              </w:rPr>
            </w:pPr>
            <w:r>
              <w:rPr>
                <w:rFonts w:ascii="Arial" w:cs="Arial" w:eastAsia="Arial" w:hAnsi="Arial"/>
                <w:sz w:val="18"/>
                <w:szCs w:val="18"/>
                <w:color w:val="auto"/>
              </w:rPr>
              <w:t>Minimum pension liability adjustment (net of tax of $0 and $0, respectively)</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ind w:left="520"/>
              <w:spacing w:after="0"/>
              <w:rPr>
                <w:sz w:val="20"/>
                <w:szCs w:val="20"/>
                <w:color w:val="auto"/>
              </w:rPr>
            </w:pPr>
            <w:r>
              <w:rPr>
                <w:rFonts w:ascii="Arial" w:cs="Arial" w:eastAsia="Arial" w:hAnsi="Arial"/>
                <w:sz w:val="18"/>
                <w:szCs w:val="18"/>
                <w:color w:val="auto"/>
              </w:rPr>
              <w:t>Comprehensive loss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7720" w:type="dxa"/>
            <w:vAlign w:val="bottom"/>
            <w:vMerge w:val="restart"/>
          </w:tcPr>
          <w:p>
            <w:pPr>
              <w:ind w:left="5520"/>
              <w:spacing w:after="0"/>
              <w:rPr>
                <w:sz w:val="20"/>
                <w:szCs w:val="20"/>
                <w:color w:val="auto"/>
              </w:rPr>
            </w:pPr>
            <w:r>
              <w:rPr>
                <w:rFonts w:ascii="Arial" w:cs="Arial" w:eastAsia="Arial" w:hAnsi="Arial"/>
                <w:sz w:val="18"/>
                <w:szCs w:val="18"/>
                <w:color w:val="auto"/>
              </w:rPr>
              <w:t>20</w:t>
            </w: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11"/>
        </w:trPr>
        <w:tc>
          <w:tcPr>
            <w:tcW w:w="77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7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__________</w:t>
      </w:r>
    </w:p>
    <w:p>
      <w:pPr>
        <w:spacing w:after="0" w:line="1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Currency translation adjustments exclude income taxes related to indefinite investments in foreign subsidiaries.</w:t>
      </w:r>
    </w:p>
    <w:p>
      <w:pPr>
        <w:spacing w:after="0" w:line="21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Accumulated Other Comprehensive Income (Loss)</w:t>
      </w:r>
    </w:p>
    <w:p>
      <w:pPr>
        <w:spacing w:after="0" w:line="27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accumulated other comprehensive income (loss) were as follows:</w:t>
      </w:r>
    </w:p>
    <w:p>
      <w:pPr>
        <w:spacing w:after="0" w:line="9" w:lineRule="exact"/>
        <w:rPr>
          <w:sz w:val="20"/>
          <w:szCs w:val="20"/>
          <w:color w:val="auto"/>
        </w:rPr>
      </w:pPr>
    </w:p>
    <w:tbl>
      <w:tblPr>
        <w:tblLayout w:type="fixed"/>
        <w:tblInd w:w="520" w:type="dxa"/>
        <w:tblCellMar>
          <w:top w:w="0" w:type="dxa"/>
          <w:left w:w="0" w:type="dxa"/>
          <w:bottom w:w="0" w:type="dxa"/>
          <w:right w:w="0" w:type="dxa"/>
        </w:tblCellMar>
      </w:tblPr>
      <w:tr>
        <w:trPr>
          <w:trHeight w:val="149"/>
        </w:trPr>
        <w:tc>
          <w:tcPr>
            <w:tcW w:w="2920" w:type="dxa"/>
            <w:vAlign w:val="bottom"/>
          </w:tcPr>
          <w:p>
            <w:pPr>
              <w:spacing w:after="0"/>
              <w:rPr>
                <w:sz w:val="13"/>
                <w:szCs w:val="13"/>
                <w:color w:val="auto"/>
              </w:rPr>
            </w:pPr>
          </w:p>
        </w:tc>
        <w:tc>
          <w:tcPr>
            <w:tcW w:w="1340" w:type="dxa"/>
            <w:vAlign w:val="bottom"/>
            <w:vMerge w:val="restart"/>
          </w:tcPr>
          <w:p>
            <w:pPr>
              <w:jc w:val="center"/>
              <w:ind w:left="317"/>
              <w:spacing w:after="0"/>
              <w:rPr>
                <w:sz w:val="20"/>
                <w:szCs w:val="20"/>
                <w:color w:val="auto"/>
              </w:rPr>
            </w:pPr>
            <w:r>
              <w:rPr>
                <w:rFonts w:ascii="Arial" w:cs="Arial" w:eastAsia="Arial" w:hAnsi="Arial"/>
                <w:sz w:val="13"/>
                <w:szCs w:val="13"/>
                <w:b w:val="1"/>
                <w:bCs w:val="1"/>
                <w:color w:val="auto"/>
                <w:w w:val="98"/>
              </w:rPr>
              <w:t>Currency</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8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7"/>
              </w:rPr>
              <w:t>Net Unrealized</w:t>
            </w:r>
          </w:p>
        </w:tc>
        <w:tc>
          <w:tcPr>
            <w:tcW w:w="280" w:type="dxa"/>
            <w:vAlign w:val="bottom"/>
          </w:tcPr>
          <w:p>
            <w:pPr>
              <w:spacing w:after="0"/>
              <w:rPr>
                <w:sz w:val="13"/>
                <w:szCs w:val="13"/>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8"/>
              </w:rPr>
              <w:t>Minimum</w:t>
            </w:r>
          </w:p>
        </w:tc>
        <w:tc>
          <w:tcPr>
            <w:tcW w:w="240" w:type="dxa"/>
            <w:vAlign w:val="bottom"/>
          </w:tcPr>
          <w:p>
            <w:pPr>
              <w:spacing w:after="0"/>
              <w:rPr>
                <w:sz w:val="13"/>
                <w:szCs w:val="13"/>
                <w:color w:val="auto"/>
              </w:rPr>
            </w:pPr>
          </w:p>
        </w:tc>
        <w:tc>
          <w:tcPr>
            <w:tcW w:w="1480" w:type="dxa"/>
            <w:vAlign w:val="bottom"/>
          </w:tcPr>
          <w:p>
            <w:pPr>
              <w:jc w:val="center"/>
              <w:ind w:right="177"/>
              <w:spacing w:after="0"/>
              <w:rPr>
                <w:sz w:val="20"/>
                <w:szCs w:val="20"/>
                <w:color w:val="auto"/>
              </w:rPr>
            </w:pPr>
            <w:r>
              <w:rPr>
                <w:rFonts w:ascii="Arial" w:cs="Arial" w:eastAsia="Arial" w:hAnsi="Arial"/>
                <w:sz w:val="13"/>
                <w:szCs w:val="13"/>
                <w:b w:val="1"/>
                <w:bCs w:val="1"/>
                <w:color w:val="auto"/>
                <w:w w:val="97"/>
              </w:rPr>
              <w:t>Accumulated</w:t>
            </w:r>
          </w:p>
        </w:tc>
        <w:tc>
          <w:tcPr>
            <w:tcW w:w="0" w:type="dxa"/>
            <w:vAlign w:val="bottom"/>
          </w:tcPr>
          <w:p>
            <w:pPr>
              <w:spacing w:after="0"/>
              <w:rPr>
                <w:sz w:val="1"/>
                <w:szCs w:val="1"/>
                <w:color w:val="auto"/>
              </w:rPr>
            </w:pPr>
          </w:p>
        </w:tc>
      </w:tr>
      <w:tr>
        <w:trPr>
          <w:trHeight w:val="122"/>
        </w:trPr>
        <w:tc>
          <w:tcPr>
            <w:tcW w:w="29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580" w:type="dxa"/>
            <w:vAlign w:val="bottom"/>
            <w:gridSpan w:val="2"/>
          </w:tcPr>
          <w:p>
            <w:pPr>
              <w:jc w:val="center"/>
              <w:ind w:right="360"/>
              <w:spacing w:after="0" w:line="122" w:lineRule="exact"/>
              <w:rPr>
                <w:sz w:val="20"/>
                <w:szCs w:val="20"/>
                <w:color w:val="auto"/>
              </w:rPr>
            </w:pPr>
            <w:r>
              <w:rPr>
                <w:rFonts w:ascii="Arial" w:cs="Arial" w:eastAsia="Arial" w:hAnsi="Arial"/>
                <w:sz w:val="13"/>
                <w:szCs w:val="13"/>
                <w:b w:val="1"/>
                <w:bCs w:val="1"/>
                <w:color w:val="auto"/>
                <w:w w:val="96"/>
              </w:rPr>
              <w:t>Gains (Losses)</w:t>
            </w:r>
          </w:p>
        </w:tc>
        <w:tc>
          <w:tcPr>
            <w:tcW w:w="280" w:type="dxa"/>
            <w:vAlign w:val="bottom"/>
          </w:tcPr>
          <w:p>
            <w:pPr>
              <w:spacing w:after="0"/>
              <w:rPr>
                <w:sz w:val="10"/>
                <w:szCs w:val="10"/>
                <w:color w:val="auto"/>
              </w:rPr>
            </w:pPr>
          </w:p>
        </w:tc>
        <w:tc>
          <w:tcPr>
            <w:tcW w:w="1540" w:type="dxa"/>
            <w:vAlign w:val="bottom"/>
            <w:gridSpan w:val="2"/>
          </w:tcPr>
          <w:p>
            <w:pPr>
              <w:jc w:val="center"/>
              <w:ind w:right="380"/>
              <w:spacing w:after="0" w:line="122" w:lineRule="exact"/>
              <w:rPr>
                <w:sz w:val="20"/>
                <w:szCs w:val="20"/>
                <w:color w:val="auto"/>
              </w:rPr>
            </w:pPr>
            <w:r>
              <w:rPr>
                <w:rFonts w:ascii="Arial" w:cs="Arial" w:eastAsia="Arial" w:hAnsi="Arial"/>
                <w:sz w:val="13"/>
                <w:szCs w:val="13"/>
                <w:b w:val="1"/>
                <w:bCs w:val="1"/>
                <w:color w:val="auto"/>
                <w:w w:val="94"/>
              </w:rPr>
              <w:t>Pension</w:t>
            </w:r>
          </w:p>
        </w:tc>
        <w:tc>
          <w:tcPr>
            <w:tcW w:w="240" w:type="dxa"/>
            <w:vAlign w:val="bottom"/>
          </w:tcPr>
          <w:p>
            <w:pPr>
              <w:spacing w:after="0"/>
              <w:rPr>
                <w:sz w:val="10"/>
                <w:szCs w:val="10"/>
                <w:color w:val="auto"/>
              </w:rPr>
            </w:pPr>
          </w:p>
        </w:tc>
        <w:tc>
          <w:tcPr>
            <w:tcW w:w="1480" w:type="dxa"/>
            <w:vAlign w:val="bottom"/>
          </w:tcPr>
          <w:p>
            <w:pPr>
              <w:jc w:val="center"/>
              <w:ind w:right="177"/>
              <w:spacing w:after="0" w:line="122" w:lineRule="exact"/>
              <w:rPr>
                <w:sz w:val="20"/>
                <w:szCs w:val="20"/>
                <w:color w:val="auto"/>
              </w:rPr>
            </w:pPr>
            <w:r>
              <w:rPr>
                <w:rFonts w:ascii="Arial" w:cs="Arial" w:eastAsia="Arial" w:hAnsi="Arial"/>
                <w:sz w:val="13"/>
                <w:szCs w:val="13"/>
                <w:b w:val="1"/>
                <w:bCs w:val="1"/>
                <w:color w:val="auto"/>
                <w:w w:val="92"/>
              </w:rPr>
              <w:t>Other</w:t>
            </w:r>
          </w:p>
        </w:tc>
        <w:tc>
          <w:tcPr>
            <w:tcW w:w="0" w:type="dxa"/>
            <w:vAlign w:val="bottom"/>
          </w:tcPr>
          <w:p>
            <w:pPr>
              <w:spacing w:after="0"/>
              <w:rPr>
                <w:sz w:val="1"/>
                <w:szCs w:val="1"/>
                <w:color w:val="auto"/>
              </w:rPr>
            </w:pPr>
          </w:p>
        </w:tc>
      </w:tr>
      <w:tr>
        <w:trPr>
          <w:trHeight w:val="122"/>
        </w:trPr>
        <w:tc>
          <w:tcPr>
            <w:tcW w:w="2920" w:type="dxa"/>
            <w:vAlign w:val="bottom"/>
          </w:tcPr>
          <w:p>
            <w:pPr>
              <w:spacing w:after="0"/>
              <w:rPr>
                <w:sz w:val="10"/>
                <w:szCs w:val="10"/>
                <w:color w:val="auto"/>
              </w:rPr>
            </w:pPr>
          </w:p>
        </w:tc>
        <w:tc>
          <w:tcPr>
            <w:tcW w:w="1340" w:type="dxa"/>
            <w:vAlign w:val="bottom"/>
          </w:tcPr>
          <w:p>
            <w:pPr>
              <w:jc w:val="center"/>
              <w:ind w:left="317"/>
              <w:spacing w:after="0" w:line="122" w:lineRule="exact"/>
              <w:rPr>
                <w:sz w:val="20"/>
                <w:szCs w:val="20"/>
                <w:color w:val="auto"/>
              </w:rPr>
            </w:pPr>
            <w:r>
              <w:rPr>
                <w:rFonts w:ascii="Arial" w:cs="Arial" w:eastAsia="Arial" w:hAnsi="Arial"/>
                <w:sz w:val="13"/>
                <w:szCs w:val="13"/>
                <w:b w:val="1"/>
                <w:bCs w:val="1"/>
                <w:color w:val="auto"/>
                <w:w w:val="96"/>
              </w:rPr>
              <w:t>Translation</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580" w:type="dxa"/>
            <w:vAlign w:val="bottom"/>
            <w:gridSpan w:val="2"/>
          </w:tcPr>
          <w:p>
            <w:pPr>
              <w:jc w:val="center"/>
              <w:ind w:right="360"/>
              <w:spacing w:after="0" w:line="122" w:lineRule="exact"/>
              <w:rPr>
                <w:sz w:val="20"/>
                <w:szCs w:val="20"/>
                <w:color w:val="auto"/>
              </w:rPr>
            </w:pPr>
            <w:r>
              <w:rPr>
                <w:rFonts w:ascii="Arial" w:cs="Arial" w:eastAsia="Arial" w:hAnsi="Arial"/>
                <w:sz w:val="13"/>
                <w:szCs w:val="13"/>
                <w:b w:val="1"/>
                <w:bCs w:val="1"/>
                <w:color w:val="auto"/>
                <w:w w:val="96"/>
              </w:rPr>
              <w:t>on Cash Flow</w:t>
            </w:r>
          </w:p>
        </w:tc>
        <w:tc>
          <w:tcPr>
            <w:tcW w:w="280" w:type="dxa"/>
            <w:vAlign w:val="bottom"/>
          </w:tcPr>
          <w:p>
            <w:pPr>
              <w:spacing w:after="0"/>
              <w:rPr>
                <w:sz w:val="10"/>
                <w:szCs w:val="10"/>
                <w:color w:val="auto"/>
              </w:rPr>
            </w:pPr>
          </w:p>
        </w:tc>
        <w:tc>
          <w:tcPr>
            <w:tcW w:w="1540" w:type="dxa"/>
            <w:vAlign w:val="bottom"/>
            <w:gridSpan w:val="2"/>
          </w:tcPr>
          <w:p>
            <w:pPr>
              <w:jc w:val="center"/>
              <w:ind w:right="380"/>
              <w:spacing w:after="0" w:line="122" w:lineRule="exact"/>
              <w:rPr>
                <w:sz w:val="20"/>
                <w:szCs w:val="20"/>
                <w:color w:val="auto"/>
              </w:rPr>
            </w:pPr>
            <w:r>
              <w:rPr>
                <w:rFonts w:ascii="Arial" w:cs="Arial" w:eastAsia="Arial" w:hAnsi="Arial"/>
                <w:sz w:val="13"/>
                <w:szCs w:val="13"/>
                <w:b w:val="1"/>
                <w:bCs w:val="1"/>
                <w:color w:val="auto"/>
                <w:w w:val="97"/>
              </w:rPr>
              <w:t>Liability</w:t>
            </w:r>
          </w:p>
        </w:tc>
        <w:tc>
          <w:tcPr>
            <w:tcW w:w="240" w:type="dxa"/>
            <w:vAlign w:val="bottom"/>
          </w:tcPr>
          <w:p>
            <w:pPr>
              <w:spacing w:after="0"/>
              <w:rPr>
                <w:sz w:val="10"/>
                <w:szCs w:val="10"/>
                <w:color w:val="auto"/>
              </w:rPr>
            </w:pPr>
          </w:p>
        </w:tc>
        <w:tc>
          <w:tcPr>
            <w:tcW w:w="1480" w:type="dxa"/>
            <w:vAlign w:val="bottom"/>
          </w:tcPr>
          <w:p>
            <w:pPr>
              <w:jc w:val="center"/>
              <w:ind w:right="177"/>
              <w:spacing w:after="0" w:line="122" w:lineRule="exact"/>
              <w:rPr>
                <w:sz w:val="20"/>
                <w:szCs w:val="20"/>
                <w:color w:val="auto"/>
              </w:rPr>
            </w:pPr>
            <w:r>
              <w:rPr>
                <w:rFonts w:ascii="Arial" w:cs="Arial" w:eastAsia="Arial" w:hAnsi="Arial"/>
                <w:sz w:val="13"/>
                <w:szCs w:val="13"/>
                <w:b w:val="1"/>
                <w:bCs w:val="1"/>
                <w:color w:val="auto"/>
                <w:w w:val="98"/>
              </w:rPr>
              <w:t>Comprehensive</w:t>
            </w:r>
          </w:p>
        </w:tc>
        <w:tc>
          <w:tcPr>
            <w:tcW w:w="0" w:type="dxa"/>
            <w:vAlign w:val="bottom"/>
          </w:tcPr>
          <w:p>
            <w:pPr>
              <w:spacing w:after="0"/>
              <w:rPr>
                <w:sz w:val="1"/>
                <w:szCs w:val="1"/>
                <w:color w:val="auto"/>
              </w:rPr>
            </w:pPr>
          </w:p>
        </w:tc>
      </w:tr>
      <w:tr>
        <w:trPr>
          <w:trHeight w:val="175"/>
        </w:trPr>
        <w:tc>
          <w:tcPr>
            <w:tcW w:w="2920" w:type="dxa"/>
            <w:vAlign w:val="bottom"/>
          </w:tcPr>
          <w:p>
            <w:pPr>
              <w:spacing w:after="0"/>
              <w:rPr>
                <w:sz w:val="15"/>
                <w:szCs w:val="15"/>
                <w:color w:val="auto"/>
              </w:rPr>
            </w:pPr>
          </w:p>
        </w:tc>
        <w:tc>
          <w:tcPr>
            <w:tcW w:w="1340" w:type="dxa"/>
            <w:vAlign w:val="bottom"/>
          </w:tcPr>
          <w:p>
            <w:pPr>
              <w:jc w:val="center"/>
              <w:ind w:left="317"/>
              <w:spacing w:after="0"/>
              <w:rPr>
                <w:sz w:val="20"/>
                <w:szCs w:val="20"/>
                <w:color w:val="auto"/>
              </w:rPr>
            </w:pPr>
            <w:r>
              <w:rPr>
                <w:rFonts w:ascii="Arial" w:cs="Arial" w:eastAsia="Arial" w:hAnsi="Arial"/>
                <w:sz w:val="13"/>
                <w:szCs w:val="13"/>
                <w:b w:val="1"/>
                <w:bCs w:val="1"/>
                <w:color w:val="auto"/>
                <w:w w:val="96"/>
              </w:rPr>
              <w:t>Adjustments</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80" w:type="dxa"/>
            <w:vAlign w:val="bottom"/>
            <w:gridSpan w:val="2"/>
          </w:tcPr>
          <w:p>
            <w:pPr>
              <w:jc w:val="center"/>
              <w:ind w:right="340"/>
              <w:spacing w:after="0" w:line="175" w:lineRule="exact"/>
              <w:rPr>
                <w:sz w:val="20"/>
                <w:szCs w:val="20"/>
                <w:color w:val="auto"/>
              </w:rPr>
            </w:pPr>
            <w:r>
              <w:rPr>
                <w:rFonts w:ascii="Arial" w:cs="Arial" w:eastAsia="Arial" w:hAnsi="Arial"/>
                <w:sz w:val="13"/>
                <w:szCs w:val="13"/>
                <w:b w:val="1"/>
                <w:bCs w:val="1"/>
                <w:color w:val="auto"/>
                <w:w w:val="93"/>
              </w:rPr>
              <w:t>Hedges</w:t>
            </w:r>
            <w:r>
              <w:rPr>
                <w:rFonts w:ascii="Arial" w:cs="Arial" w:eastAsia="Arial" w:hAnsi="Arial"/>
                <w:sz w:val="16"/>
                <w:szCs w:val="16"/>
                <w:b w:val="1"/>
                <w:bCs w:val="1"/>
                <w:color w:val="auto"/>
                <w:w w:val="93"/>
                <w:vertAlign w:val="superscript"/>
              </w:rPr>
              <w:t>(a)</w:t>
            </w:r>
          </w:p>
        </w:tc>
        <w:tc>
          <w:tcPr>
            <w:tcW w:w="280" w:type="dxa"/>
            <w:vAlign w:val="bottom"/>
          </w:tcPr>
          <w:p>
            <w:pPr>
              <w:spacing w:after="0"/>
              <w:rPr>
                <w:sz w:val="15"/>
                <w:szCs w:val="15"/>
                <w:color w:val="auto"/>
              </w:rPr>
            </w:pPr>
          </w:p>
        </w:tc>
        <w:tc>
          <w:tcPr>
            <w:tcW w:w="1540" w:type="dxa"/>
            <w:vAlign w:val="bottom"/>
            <w:gridSpan w:val="2"/>
          </w:tcPr>
          <w:p>
            <w:pPr>
              <w:jc w:val="center"/>
              <w:ind w:right="380"/>
              <w:spacing w:after="0" w:line="175" w:lineRule="exact"/>
              <w:rPr>
                <w:sz w:val="20"/>
                <w:szCs w:val="20"/>
                <w:color w:val="auto"/>
              </w:rPr>
            </w:pPr>
            <w:r>
              <w:rPr>
                <w:rFonts w:ascii="Arial" w:cs="Arial" w:eastAsia="Arial" w:hAnsi="Arial"/>
                <w:sz w:val="13"/>
                <w:szCs w:val="13"/>
                <w:b w:val="1"/>
                <w:bCs w:val="1"/>
                <w:color w:val="auto"/>
                <w:w w:val="93"/>
              </w:rPr>
              <w:t>Adjustment</w:t>
            </w:r>
            <w:r>
              <w:rPr>
                <w:rFonts w:ascii="Arial" w:cs="Arial" w:eastAsia="Arial" w:hAnsi="Arial"/>
                <w:sz w:val="16"/>
                <w:szCs w:val="16"/>
                <w:b w:val="1"/>
                <w:bCs w:val="1"/>
                <w:color w:val="auto"/>
                <w:w w:val="93"/>
                <w:vertAlign w:val="superscript"/>
              </w:rPr>
              <w:t>(b)</w:t>
            </w:r>
          </w:p>
        </w:tc>
        <w:tc>
          <w:tcPr>
            <w:tcW w:w="240" w:type="dxa"/>
            <w:vAlign w:val="bottom"/>
          </w:tcPr>
          <w:p>
            <w:pPr>
              <w:spacing w:after="0"/>
              <w:rPr>
                <w:sz w:val="15"/>
                <w:szCs w:val="15"/>
                <w:color w:val="auto"/>
              </w:rPr>
            </w:pPr>
          </w:p>
        </w:tc>
        <w:tc>
          <w:tcPr>
            <w:tcW w:w="1480" w:type="dxa"/>
            <w:vAlign w:val="bottom"/>
          </w:tcPr>
          <w:p>
            <w:pPr>
              <w:jc w:val="center"/>
              <w:ind w:right="177"/>
              <w:spacing w:after="0"/>
              <w:rPr>
                <w:sz w:val="20"/>
                <w:szCs w:val="20"/>
                <w:color w:val="auto"/>
              </w:rPr>
            </w:pPr>
            <w:r>
              <w:rPr>
                <w:rFonts w:ascii="Arial" w:cs="Arial" w:eastAsia="Arial" w:hAnsi="Arial"/>
                <w:sz w:val="13"/>
                <w:szCs w:val="13"/>
                <w:b w:val="1"/>
                <w:bCs w:val="1"/>
                <w:color w:val="auto"/>
                <w:w w:val="95"/>
              </w:rPr>
              <w:t>Income (Loss)</w:t>
            </w:r>
          </w:p>
        </w:tc>
        <w:tc>
          <w:tcPr>
            <w:tcW w:w="0" w:type="dxa"/>
            <w:vAlign w:val="bottom"/>
          </w:tcPr>
          <w:p>
            <w:pPr>
              <w:spacing w:after="0"/>
              <w:rPr>
                <w:sz w:val="1"/>
                <w:szCs w:val="1"/>
                <w:color w:val="auto"/>
              </w:rPr>
            </w:pPr>
          </w:p>
        </w:tc>
      </w:tr>
      <w:tr>
        <w:trPr>
          <w:trHeight w:val="153"/>
        </w:trPr>
        <w:tc>
          <w:tcPr>
            <w:tcW w:w="2920" w:type="dxa"/>
            <w:vAlign w:val="bottom"/>
          </w:tcPr>
          <w:p>
            <w:pPr>
              <w:spacing w:after="0"/>
              <w:rPr>
                <w:sz w:val="20"/>
                <w:szCs w:val="20"/>
                <w:color w:val="auto"/>
              </w:rPr>
            </w:pPr>
            <w:r>
              <w:rPr>
                <w:rFonts w:ascii="Arial" w:cs="Arial" w:eastAsia="Arial" w:hAnsi="Arial"/>
                <w:sz w:val="13"/>
                <w:szCs w:val="13"/>
                <w:color w:val="auto"/>
              </w:rPr>
              <w:t>Balance, January 1, 2021</w:t>
            </w:r>
          </w:p>
        </w:tc>
        <w:tc>
          <w:tcPr>
            <w:tcW w:w="1340" w:type="dxa"/>
            <w:vAlign w:val="bottom"/>
            <w:tcBorders>
              <w:top w:val="single" w:sz="8" w:color="auto"/>
            </w:tcBorders>
          </w:tcPr>
          <w:p>
            <w:pPr>
              <w:jc w:val="right"/>
              <w:ind w:right="1197"/>
              <w:spacing w:after="0"/>
              <w:rPr>
                <w:sz w:val="20"/>
                <w:szCs w:val="20"/>
                <w:color w:val="auto"/>
              </w:rPr>
            </w:pPr>
            <w:r>
              <w:rPr>
                <w:rFonts w:ascii="Arial" w:cs="Arial" w:eastAsia="Arial" w:hAnsi="Arial"/>
                <w:sz w:val="13"/>
                <w:szCs w:val="13"/>
                <w:color w:val="auto"/>
                <w:w w:val="82"/>
              </w:rPr>
              <w:t>$</w:t>
            </w:r>
          </w:p>
        </w:tc>
        <w:tc>
          <w:tcPr>
            <w:tcW w:w="38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40</w:t>
            </w:r>
          </w:p>
        </w:tc>
        <w:tc>
          <w:tcPr>
            <w:tcW w:w="100" w:type="dxa"/>
            <w:vAlign w:val="bottom"/>
          </w:tcPr>
          <w:p>
            <w:pPr>
              <w:spacing w:after="0"/>
              <w:rPr>
                <w:sz w:val="13"/>
                <w:szCs w:val="13"/>
                <w:color w:val="auto"/>
              </w:rPr>
            </w:pPr>
          </w:p>
        </w:tc>
        <w:tc>
          <w:tcPr>
            <w:tcW w:w="240" w:type="dxa"/>
            <w:vAlign w:val="bottom"/>
            <w:tcBorders>
              <w:top w:val="single" w:sz="8" w:color="auto"/>
            </w:tcBorders>
          </w:tcPr>
          <w:p>
            <w:pPr>
              <w:jc w:val="right"/>
              <w:ind w:right="97"/>
              <w:spacing w:after="0"/>
              <w:rPr>
                <w:sz w:val="20"/>
                <w:szCs w:val="20"/>
                <w:color w:val="auto"/>
              </w:rPr>
            </w:pPr>
            <w:r>
              <w:rPr>
                <w:rFonts w:ascii="Arial" w:cs="Arial" w:eastAsia="Arial" w:hAnsi="Arial"/>
                <w:sz w:val="13"/>
                <w:szCs w:val="13"/>
                <w:color w:val="auto"/>
                <w:w w:val="82"/>
              </w:rPr>
              <w:t>$</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(51)</w:t>
            </w:r>
          </w:p>
        </w:tc>
        <w:tc>
          <w:tcPr>
            <w:tcW w:w="100" w:type="dxa"/>
            <w:vAlign w:val="bottom"/>
          </w:tcPr>
          <w:p>
            <w:pPr>
              <w:spacing w:after="0"/>
              <w:rPr>
                <w:sz w:val="13"/>
                <w:szCs w:val="13"/>
                <w:color w:val="auto"/>
              </w:rPr>
            </w:pPr>
          </w:p>
        </w:tc>
        <w:tc>
          <w:tcPr>
            <w:tcW w:w="280" w:type="dxa"/>
            <w:vAlign w:val="bottom"/>
            <w:tcBorders>
              <w:top w:val="single" w:sz="8" w:color="auto"/>
            </w:tcBorders>
          </w:tcPr>
          <w:p>
            <w:pPr>
              <w:jc w:val="right"/>
              <w:ind w:right="117"/>
              <w:spacing w:after="0"/>
              <w:rPr>
                <w:sz w:val="20"/>
                <w:szCs w:val="20"/>
                <w:color w:val="auto"/>
              </w:rPr>
            </w:pPr>
            <w:r>
              <w:rPr>
                <w:rFonts w:ascii="Arial" w:cs="Arial" w:eastAsia="Arial" w:hAnsi="Arial"/>
                <w:sz w:val="13"/>
                <w:szCs w:val="13"/>
                <w:color w:val="auto"/>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(176)</w:t>
            </w:r>
          </w:p>
        </w:tc>
        <w:tc>
          <w:tcPr>
            <w:tcW w:w="100" w:type="dxa"/>
            <w:vAlign w:val="bottom"/>
          </w:tcPr>
          <w:p>
            <w:pPr>
              <w:spacing w:after="0"/>
              <w:rPr>
                <w:sz w:val="13"/>
                <w:szCs w:val="13"/>
                <w:color w:val="auto"/>
              </w:rPr>
            </w:pPr>
          </w:p>
        </w:tc>
        <w:tc>
          <w:tcPr>
            <w:tcW w:w="240" w:type="dxa"/>
            <w:vAlign w:val="bottom"/>
            <w:tcBorders>
              <w:top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(187)</w:t>
            </w:r>
          </w:p>
        </w:tc>
        <w:tc>
          <w:tcPr>
            <w:tcW w:w="0" w:type="dxa"/>
            <w:vAlign w:val="bottom"/>
          </w:tcPr>
          <w:p>
            <w:pPr>
              <w:spacing w:after="0"/>
              <w:rPr>
                <w:sz w:val="1"/>
                <w:szCs w:val="1"/>
                <w:color w:val="auto"/>
              </w:rPr>
            </w:pPr>
          </w:p>
        </w:tc>
      </w:tr>
      <w:tr>
        <w:trPr>
          <w:trHeight w:val="145"/>
        </w:trPr>
        <w:tc>
          <w:tcPr>
            <w:tcW w:w="2920" w:type="dxa"/>
            <w:vAlign w:val="bottom"/>
          </w:tcPr>
          <w:p>
            <w:pPr>
              <w:ind w:left="200"/>
              <w:spacing w:after="0" w:line="145" w:lineRule="exact"/>
              <w:rPr>
                <w:sz w:val="20"/>
                <w:szCs w:val="20"/>
                <w:color w:val="auto"/>
              </w:rPr>
            </w:pPr>
            <w:r>
              <w:rPr>
                <w:rFonts w:ascii="Arial" w:cs="Arial" w:eastAsia="Arial" w:hAnsi="Arial"/>
                <w:sz w:val="13"/>
                <w:szCs w:val="13"/>
                <w:color w:val="auto"/>
              </w:rPr>
              <w:t>Other comprehensive income (loss) before</w:t>
            </w:r>
          </w:p>
        </w:tc>
        <w:tc>
          <w:tcPr>
            <w:tcW w:w="1340" w:type="dxa"/>
            <w:vAlign w:val="bottom"/>
          </w:tcPr>
          <w:p>
            <w:pPr>
              <w:spacing w:after="0"/>
              <w:rPr>
                <w:sz w:val="12"/>
                <w:szCs w:val="12"/>
                <w:color w:val="auto"/>
              </w:rPr>
            </w:pPr>
          </w:p>
        </w:tc>
        <w:tc>
          <w:tcPr>
            <w:tcW w:w="380" w:type="dxa"/>
            <w:vAlign w:val="bottom"/>
            <w:vMerge w:val="restart"/>
          </w:tcPr>
          <w:p>
            <w:pPr>
              <w:jc w:val="right"/>
              <w:spacing w:after="0"/>
              <w:rPr>
                <w:sz w:val="20"/>
                <w:szCs w:val="20"/>
                <w:color w:val="auto"/>
              </w:rPr>
            </w:pPr>
            <w:r>
              <w:rPr>
                <w:rFonts w:ascii="Arial" w:cs="Arial" w:eastAsia="Arial" w:hAnsi="Arial"/>
                <w:sz w:val="13"/>
                <w:szCs w:val="13"/>
                <w:color w:val="auto"/>
              </w:rPr>
              <w:t>(14)</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vMerge w:val="restart"/>
          </w:tcPr>
          <w:p>
            <w:pPr>
              <w:jc w:val="right"/>
              <w:spacing w:after="0"/>
              <w:rPr>
                <w:sz w:val="20"/>
                <w:szCs w:val="20"/>
                <w:color w:val="auto"/>
              </w:rPr>
            </w:pPr>
            <w:r>
              <w:rPr>
                <w:rFonts w:ascii="Arial" w:cs="Arial" w:eastAsia="Arial" w:hAnsi="Arial"/>
                <w:sz w:val="13"/>
                <w:szCs w:val="13"/>
                <w:color w:val="auto"/>
              </w:rPr>
              <w:t>32</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40" w:type="dxa"/>
            <w:vAlign w:val="bottom"/>
            <w:vMerge w:val="restart"/>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vMerge w:val="restart"/>
          </w:tcPr>
          <w:p>
            <w:pPr>
              <w:jc w:val="right"/>
              <w:spacing w:after="0"/>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152"/>
        </w:trPr>
        <w:tc>
          <w:tcPr>
            <w:tcW w:w="2920" w:type="dxa"/>
            <w:vAlign w:val="bottom"/>
          </w:tcPr>
          <w:p>
            <w:pPr>
              <w:ind w:left="360"/>
              <w:spacing w:after="0"/>
              <w:rPr>
                <w:sz w:val="20"/>
                <w:szCs w:val="20"/>
                <w:color w:val="auto"/>
              </w:rPr>
            </w:pPr>
            <w:r>
              <w:rPr>
                <w:rFonts w:ascii="Arial" w:cs="Arial" w:eastAsia="Arial" w:hAnsi="Arial"/>
                <w:sz w:val="13"/>
                <w:szCs w:val="13"/>
                <w:color w:val="auto"/>
              </w:rPr>
              <w:t>reclassifications</w:t>
            </w:r>
          </w:p>
        </w:tc>
        <w:tc>
          <w:tcPr>
            <w:tcW w:w="1340" w:type="dxa"/>
            <w:vAlign w:val="bottom"/>
          </w:tcPr>
          <w:p>
            <w:pPr>
              <w:spacing w:after="0"/>
              <w:rPr>
                <w:sz w:val="13"/>
                <w:szCs w:val="13"/>
                <w:color w:val="auto"/>
              </w:rPr>
            </w:pPr>
          </w:p>
        </w:tc>
        <w:tc>
          <w:tcPr>
            <w:tcW w:w="3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920" w:type="dxa"/>
            <w:vAlign w:val="bottom"/>
          </w:tcPr>
          <w:p>
            <w:pPr>
              <w:ind w:left="200"/>
              <w:spacing w:after="0" w:line="145" w:lineRule="exact"/>
              <w:rPr>
                <w:sz w:val="20"/>
                <w:szCs w:val="20"/>
                <w:color w:val="auto"/>
              </w:rPr>
            </w:pPr>
            <w:r>
              <w:rPr>
                <w:rFonts w:ascii="Arial" w:cs="Arial" w:eastAsia="Arial" w:hAnsi="Arial"/>
                <w:sz w:val="13"/>
                <w:szCs w:val="13"/>
                <w:color w:val="auto"/>
              </w:rPr>
              <w:t>Amounts reclassified from accumulated other</w:t>
            </w:r>
          </w:p>
        </w:tc>
        <w:tc>
          <w:tcPr>
            <w:tcW w:w="1340" w:type="dxa"/>
            <w:vAlign w:val="bottom"/>
          </w:tcPr>
          <w:p>
            <w:pPr>
              <w:spacing w:after="0"/>
              <w:rPr>
                <w:sz w:val="12"/>
                <w:szCs w:val="12"/>
                <w:color w:val="auto"/>
              </w:rPr>
            </w:pPr>
          </w:p>
        </w:tc>
        <w:tc>
          <w:tcPr>
            <w:tcW w:w="48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1480" w:type="dxa"/>
            <w:vAlign w:val="bottom"/>
            <w:vMerge w:val="restart"/>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40" w:type="dxa"/>
            <w:vAlign w:val="bottom"/>
            <w:vMerge w:val="restart"/>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vMerge w:val="restart"/>
          </w:tcPr>
          <w:p>
            <w:pPr>
              <w:jc w:val="right"/>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61"/>
        </w:trPr>
        <w:tc>
          <w:tcPr>
            <w:tcW w:w="2920" w:type="dxa"/>
            <w:vAlign w:val="bottom"/>
          </w:tcPr>
          <w:p>
            <w:pPr>
              <w:ind w:left="360"/>
              <w:spacing w:after="0"/>
              <w:rPr>
                <w:sz w:val="20"/>
                <w:szCs w:val="20"/>
                <w:color w:val="auto"/>
              </w:rPr>
            </w:pPr>
            <w:r>
              <w:rPr>
                <w:rFonts w:ascii="Arial" w:cs="Arial" w:eastAsia="Arial" w:hAnsi="Arial"/>
                <w:sz w:val="13"/>
                <w:szCs w:val="13"/>
                <w:color w:val="auto"/>
              </w:rPr>
              <w:t>comprehensive income (loss)</w:t>
            </w:r>
          </w:p>
        </w:tc>
        <w:tc>
          <w:tcPr>
            <w:tcW w:w="1340" w:type="dxa"/>
            <w:vAlign w:val="bottom"/>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920" w:type="dxa"/>
            <w:vAlign w:val="bottom"/>
          </w:tcPr>
          <w:p>
            <w:pPr>
              <w:spacing w:after="0" w:line="116" w:lineRule="exact"/>
              <w:rPr>
                <w:sz w:val="20"/>
                <w:szCs w:val="20"/>
                <w:color w:val="auto"/>
              </w:rPr>
            </w:pPr>
            <w:r>
              <w:rPr>
                <w:rFonts w:ascii="Arial" w:cs="Arial" w:eastAsia="Arial" w:hAnsi="Arial"/>
                <w:sz w:val="13"/>
                <w:szCs w:val="13"/>
                <w:color w:val="auto"/>
              </w:rPr>
              <w:t>Net current-period other comprehensive income</w:t>
            </w:r>
          </w:p>
        </w:tc>
        <w:tc>
          <w:tcPr>
            <w:tcW w:w="134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(14)</w:t>
            </w:r>
          </w:p>
        </w:tc>
        <w:tc>
          <w:tcPr>
            <w:tcW w:w="1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48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35</w:t>
            </w:r>
          </w:p>
        </w:tc>
        <w:tc>
          <w:tcPr>
            <w:tcW w:w="10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48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24</w:t>
            </w:r>
          </w:p>
        </w:tc>
        <w:tc>
          <w:tcPr>
            <w:tcW w:w="0" w:type="dxa"/>
            <w:vAlign w:val="bottom"/>
          </w:tcPr>
          <w:p>
            <w:pPr>
              <w:spacing w:after="0"/>
              <w:rPr>
                <w:sz w:val="1"/>
                <w:szCs w:val="1"/>
                <w:color w:val="auto"/>
              </w:rPr>
            </w:pPr>
          </w:p>
        </w:tc>
      </w:tr>
      <w:tr>
        <w:trPr>
          <w:trHeight w:val="161"/>
        </w:trPr>
        <w:tc>
          <w:tcPr>
            <w:tcW w:w="2920" w:type="dxa"/>
            <w:vAlign w:val="bottom"/>
          </w:tcPr>
          <w:p>
            <w:pPr>
              <w:ind w:left="160"/>
              <w:spacing w:after="0"/>
              <w:rPr>
                <w:sz w:val="20"/>
                <w:szCs w:val="20"/>
                <w:color w:val="auto"/>
              </w:rPr>
            </w:pPr>
            <w:r>
              <w:rPr>
                <w:rFonts w:ascii="Arial" w:cs="Arial" w:eastAsia="Arial" w:hAnsi="Arial"/>
                <w:sz w:val="13"/>
                <w:szCs w:val="13"/>
                <w:color w:val="auto"/>
              </w:rPr>
              <w:t>(loss)</w:t>
            </w:r>
          </w:p>
        </w:tc>
        <w:tc>
          <w:tcPr>
            <w:tcW w:w="13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920" w:type="dxa"/>
            <w:vAlign w:val="bottom"/>
          </w:tcPr>
          <w:p>
            <w:pPr>
              <w:spacing w:after="0"/>
              <w:rPr>
                <w:sz w:val="20"/>
                <w:szCs w:val="20"/>
                <w:color w:val="auto"/>
              </w:rPr>
            </w:pPr>
            <w:r>
              <w:rPr>
                <w:rFonts w:ascii="Arial" w:cs="Arial" w:eastAsia="Arial" w:hAnsi="Arial"/>
                <w:sz w:val="13"/>
                <w:szCs w:val="13"/>
                <w:color w:val="auto"/>
              </w:rPr>
              <w:t>Balance, March 31, 2021</w:t>
            </w:r>
          </w:p>
        </w:tc>
        <w:tc>
          <w:tcPr>
            <w:tcW w:w="1340" w:type="dxa"/>
            <w:vAlign w:val="bottom"/>
            <w:tcBorders>
              <w:bottom w:val="single" w:sz="8" w:color="auto"/>
            </w:tcBorders>
          </w:tcPr>
          <w:p>
            <w:pPr>
              <w:jc w:val="right"/>
              <w:ind w:right="1197"/>
              <w:spacing w:after="0"/>
              <w:rPr>
                <w:sz w:val="20"/>
                <w:szCs w:val="20"/>
                <w:color w:val="auto"/>
              </w:rPr>
            </w:pPr>
            <w:r>
              <w:rPr>
                <w:rFonts w:ascii="Arial" w:cs="Arial" w:eastAsia="Arial" w:hAnsi="Arial"/>
                <w:sz w:val="13"/>
                <w:szCs w:val="13"/>
                <w:color w:val="auto"/>
                <w:w w:val="82"/>
              </w:rPr>
              <w:t>$</w:t>
            </w:r>
          </w:p>
        </w:tc>
        <w:tc>
          <w:tcPr>
            <w:tcW w:w="3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26</w:t>
            </w:r>
          </w:p>
        </w:tc>
        <w:tc>
          <w:tcPr>
            <w:tcW w:w="100" w:type="dxa"/>
            <w:vAlign w:val="bottom"/>
          </w:tcPr>
          <w:p>
            <w:pPr>
              <w:spacing w:after="0"/>
              <w:rPr>
                <w:sz w:val="15"/>
                <w:szCs w:val="15"/>
                <w:color w:val="auto"/>
              </w:rPr>
            </w:pPr>
          </w:p>
        </w:tc>
        <w:tc>
          <w:tcPr>
            <w:tcW w:w="24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w w:val="82"/>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w:t>
            </w:r>
          </w:p>
        </w:tc>
        <w:tc>
          <w:tcPr>
            <w:tcW w:w="100" w:type="dxa"/>
            <w:vAlign w:val="bottom"/>
          </w:tcPr>
          <w:p>
            <w:pPr>
              <w:spacing w:after="0"/>
              <w:rPr>
                <w:sz w:val="15"/>
                <w:szCs w:val="15"/>
                <w:color w:val="auto"/>
              </w:rPr>
            </w:pPr>
          </w:p>
        </w:tc>
        <w:tc>
          <w:tcPr>
            <w:tcW w:w="28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(173)</w:t>
            </w:r>
          </w:p>
        </w:tc>
        <w:tc>
          <w:tcPr>
            <w:tcW w:w="100" w:type="dxa"/>
            <w:vAlign w:val="bottom"/>
          </w:tcPr>
          <w:p>
            <w:pPr>
              <w:spacing w:after="0"/>
              <w:rPr>
                <w:sz w:val="15"/>
                <w:szCs w:val="15"/>
                <w:color w:val="auto"/>
              </w:rPr>
            </w:pPr>
          </w:p>
        </w:tc>
        <w:tc>
          <w:tcPr>
            <w:tcW w:w="2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(163)</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2"/>
        </w:trPr>
        <w:tc>
          <w:tcPr>
            <w:tcW w:w="2920" w:type="dxa"/>
            <w:vAlign w:val="bottom"/>
          </w:tcPr>
          <w:p>
            <w:pPr>
              <w:spacing w:after="0"/>
              <w:rPr>
                <w:sz w:val="20"/>
                <w:szCs w:val="20"/>
                <w:color w:val="auto"/>
              </w:rPr>
            </w:pPr>
            <w:r>
              <w:rPr>
                <w:rFonts w:ascii="Arial" w:cs="Arial" w:eastAsia="Arial" w:hAnsi="Arial"/>
                <w:sz w:val="13"/>
                <w:szCs w:val="13"/>
                <w:color w:val="auto"/>
              </w:rPr>
              <w:t>Balance, January 1, 2020</w:t>
            </w:r>
          </w:p>
        </w:tc>
        <w:tc>
          <w:tcPr>
            <w:tcW w:w="1340" w:type="dxa"/>
            <w:vAlign w:val="bottom"/>
          </w:tcPr>
          <w:p>
            <w:pPr>
              <w:jc w:val="right"/>
              <w:ind w:right="1197"/>
              <w:spacing w:after="0"/>
              <w:rPr>
                <w:sz w:val="20"/>
                <w:szCs w:val="20"/>
                <w:color w:val="auto"/>
              </w:rPr>
            </w:pPr>
            <w:r>
              <w:rPr>
                <w:rFonts w:ascii="Arial" w:cs="Arial" w:eastAsia="Arial" w:hAnsi="Arial"/>
                <w:sz w:val="13"/>
                <w:szCs w:val="13"/>
                <w:color w:val="auto"/>
                <w:w w:val="82"/>
              </w:rPr>
              <w:t>$</w:t>
            </w:r>
          </w:p>
        </w:tc>
        <w:tc>
          <w:tcPr>
            <w:tcW w:w="380" w:type="dxa"/>
            <w:vAlign w:val="bottom"/>
          </w:tcPr>
          <w:p>
            <w:pPr>
              <w:jc w:val="right"/>
              <w:ind w:right="17"/>
              <w:spacing w:after="0"/>
              <w:rPr>
                <w:sz w:val="20"/>
                <w:szCs w:val="20"/>
                <w:color w:val="auto"/>
              </w:rPr>
            </w:pPr>
            <w:r>
              <w:rPr>
                <w:rFonts w:ascii="Arial" w:cs="Arial" w:eastAsia="Arial" w:hAnsi="Arial"/>
                <w:sz w:val="13"/>
                <w:szCs w:val="13"/>
                <w:color w:val="auto"/>
              </w:rPr>
              <w:t>9</w:t>
            </w:r>
          </w:p>
        </w:tc>
        <w:tc>
          <w:tcPr>
            <w:tcW w:w="100" w:type="dxa"/>
            <w:vAlign w:val="bottom"/>
          </w:tcPr>
          <w:p>
            <w:pPr>
              <w:spacing w:after="0"/>
              <w:rPr>
                <w:sz w:val="24"/>
                <w:szCs w:val="24"/>
                <w:color w:val="auto"/>
              </w:rPr>
            </w:pPr>
          </w:p>
        </w:tc>
        <w:tc>
          <w:tcPr>
            <w:tcW w:w="240" w:type="dxa"/>
            <w:vAlign w:val="bottom"/>
          </w:tcPr>
          <w:p>
            <w:pPr>
              <w:jc w:val="right"/>
              <w:ind w:right="97"/>
              <w:spacing w:after="0"/>
              <w:rPr>
                <w:sz w:val="20"/>
                <w:szCs w:val="20"/>
                <w:color w:val="auto"/>
              </w:rPr>
            </w:pPr>
            <w:r>
              <w:rPr>
                <w:rFonts w:ascii="Arial" w:cs="Arial" w:eastAsia="Arial" w:hAnsi="Arial"/>
                <w:sz w:val="13"/>
                <w:szCs w:val="13"/>
                <w:color w:val="auto"/>
                <w:w w:val="82"/>
              </w:rPr>
              <w:t>$</w:t>
            </w:r>
          </w:p>
        </w:tc>
        <w:tc>
          <w:tcPr>
            <w:tcW w:w="1480" w:type="dxa"/>
            <w:vAlign w:val="bottom"/>
          </w:tcPr>
          <w:p>
            <w:pPr>
              <w:jc w:val="right"/>
              <w:spacing w:after="0"/>
              <w:rPr>
                <w:sz w:val="20"/>
                <w:szCs w:val="20"/>
                <w:color w:val="auto"/>
              </w:rPr>
            </w:pPr>
            <w:r>
              <w:rPr>
                <w:rFonts w:ascii="Arial" w:cs="Arial" w:eastAsia="Arial" w:hAnsi="Arial"/>
                <w:sz w:val="13"/>
                <w:szCs w:val="13"/>
                <w:color w:val="auto"/>
              </w:rPr>
              <w:t>(20)</w:t>
            </w:r>
          </w:p>
        </w:tc>
        <w:tc>
          <w:tcPr>
            <w:tcW w:w="100" w:type="dxa"/>
            <w:vAlign w:val="bottom"/>
          </w:tcPr>
          <w:p>
            <w:pPr>
              <w:spacing w:after="0"/>
              <w:rPr>
                <w:sz w:val="24"/>
                <w:szCs w:val="24"/>
                <w:color w:val="auto"/>
              </w:rPr>
            </w:pPr>
          </w:p>
        </w:tc>
        <w:tc>
          <w:tcPr>
            <w:tcW w:w="28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1440" w:type="dxa"/>
            <w:vAlign w:val="bottom"/>
          </w:tcPr>
          <w:p>
            <w:pPr>
              <w:jc w:val="right"/>
              <w:spacing w:after="0"/>
              <w:rPr>
                <w:sz w:val="20"/>
                <w:szCs w:val="20"/>
                <w:color w:val="auto"/>
              </w:rPr>
            </w:pPr>
            <w:r>
              <w:rPr>
                <w:rFonts w:ascii="Arial" w:cs="Arial" w:eastAsia="Arial" w:hAnsi="Arial"/>
                <w:sz w:val="13"/>
                <w:szCs w:val="13"/>
                <w:color w:val="auto"/>
              </w:rPr>
              <w:t>(146)</w:t>
            </w:r>
          </w:p>
        </w:tc>
        <w:tc>
          <w:tcPr>
            <w:tcW w:w="100" w:type="dxa"/>
            <w:vAlign w:val="bottom"/>
          </w:tcPr>
          <w:p>
            <w:pPr>
              <w:spacing w:after="0"/>
              <w:rPr>
                <w:sz w:val="24"/>
                <w:szCs w:val="24"/>
                <w:color w:val="auto"/>
              </w:rPr>
            </w:pPr>
          </w:p>
        </w:tc>
        <w:tc>
          <w:tcPr>
            <w:tcW w:w="2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480" w:type="dxa"/>
            <w:vAlign w:val="bottom"/>
          </w:tcPr>
          <w:p>
            <w:pPr>
              <w:jc w:val="right"/>
              <w:spacing w:after="0"/>
              <w:rPr>
                <w:sz w:val="20"/>
                <w:szCs w:val="20"/>
                <w:color w:val="auto"/>
              </w:rPr>
            </w:pPr>
            <w:r>
              <w:rPr>
                <w:rFonts w:ascii="Arial" w:cs="Arial" w:eastAsia="Arial" w:hAnsi="Arial"/>
                <w:sz w:val="13"/>
                <w:szCs w:val="13"/>
                <w:color w:val="auto"/>
              </w:rPr>
              <w:t>(157)</w:t>
            </w:r>
          </w:p>
        </w:tc>
        <w:tc>
          <w:tcPr>
            <w:tcW w:w="0" w:type="dxa"/>
            <w:vAlign w:val="bottom"/>
          </w:tcPr>
          <w:p>
            <w:pPr>
              <w:spacing w:after="0"/>
              <w:rPr>
                <w:sz w:val="1"/>
                <w:szCs w:val="1"/>
                <w:color w:val="auto"/>
              </w:rPr>
            </w:pPr>
          </w:p>
        </w:tc>
      </w:tr>
      <w:tr>
        <w:trPr>
          <w:trHeight w:val="145"/>
        </w:trPr>
        <w:tc>
          <w:tcPr>
            <w:tcW w:w="2920" w:type="dxa"/>
            <w:vAlign w:val="bottom"/>
          </w:tcPr>
          <w:p>
            <w:pPr>
              <w:ind w:left="360"/>
              <w:spacing w:after="0" w:line="145" w:lineRule="exact"/>
              <w:rPr>
                <w:sz w:val="20"/>
                <w:szCs w:val="20"/>
                <w:color w:val="auto"/>
              </w:rPr>
            </w:pPr>
            <w:r>
              <w:rPr>
                <w:rFonts w:ascii="Arial" w:cs="Arial" w:eastAsia="Arial" w:hAnsi="Arial"/>
                <w:sz w:val="13"/>
                <w:szCs w:val="13"/>
                <w:color w:val="auto"/>
              </w:rPr>
              <w:t>Other comprehensive income (loss) before</w:t>
            </w:r>
          </w:p>
        </w:tc>
        <w:tc>
          <w:tcPr>
            <w:tcW w:w="1340" w:type="dxa"/>
            <w:vAlign w:val="bottom"/>
          </w:tcPr>
          <w:p>
            <w:pPr>
              <w:spacing w:after="0"/>
              <w:rPr>
                <w:sz w:val="12"/>
                <w:szCs w:val="12"/>
                <w:color w:val="auto"/>
              </w:rPr>
            </w:pPr>
          </w:p>
        </w:tc>
        <w:tc>
          <w:tcPr>
            <w:tcW w:w="380" w:type="dxa"/>
            <w:vAlign w:val="bottom"/>
            <w:vMerge w:val="restart"/>
          </w:tcPr>
          <w:p>
            <w:pPr>
              <w:jc w:val="right"/>
              <w:spacing w:after="0"/>
              <w:rPr>
                <w:sz w:val="20"/>
                <w:szCs w:val="20"/>
                <w:color w:val="auto"/>
              </w:rPr>
            </w:pPr>
            <w:r>
              <w:rPr>
                <w:rFonts w:ascii="Arial" w:cs="Arial" w:eastAsia="Arial" w:hAnsi="Arial"/>
                <w:sz w:val="13"/>
                <w:szCs w:val="13"/>
                <w:color w:val="auto"/>
              </w:rPr>
              <w:t>(83)</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vMerge w:val="restart"/>
          </w:tcPr>
          <w:p>
            <w:pPr>
              <w:jc w:val="right"/>
              <w:spacing w:after="0"/>
              <w:rPr>
                <w:sz w:val="20"/>
                <w:szCs w:val="20"/>
                <w:color w:val="auto"/>
              </w:rPr>
            </w:pPr>
            <w:r>
              <w:rPr>
                <w:rFonts w:ascii="Arial" w:cs="Arial" w:eastAsia="Arial" w:hAnsi="Arial"/>
                <w:sz w:val="13"/>
                <w:szCs w:val="13"/>
                <w:color w:val="auto"/>
              </w:rPr>
              <w:t>(18)</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40" w:type="dxa"/>
            <w:vAlign w:val="bottom"/>
            <w:vMerge w:val="restart"/>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vMerge w:val="restart"/>
          </w:tcPr>
          <w:p>
            <w:pPr>
              <w:jc w:val="right"/>
              <w:spacing w:after="0"/>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52"/>
        </w:trPr>
        <w:tc>
          <w:tcPr>
            <w:tcW w:w="2920" w:type="dxa"/>
            <w:vAlign w:val="bottom"/>
          </w:tcPr>
          <w:p>
            <w:pPr>
              <w:ind w:left="360"/>
              <w:spacing w:after="0"/>
              <w:rPr>
                <w:sz w:val="20"/>
                <w:szCs w:val="20"/>
                <w:color w:val="auto"/>
              </w:rPr>
            </w:pPr>
            <w:r>
              <w:rPr>
                <w:rFonts w:ascii="Arial" w:cs="Arial" w:eastAsia="Arial" w:hAnsi="Arial"/>
                <w:sz w:val="13"/>
                <w:szCs w:val="13"/>
                <w:color w:val="auto"/>
              </w:rPr>
              <w:t>reclassifications</w:t>
            </w:r>
          </w:p>
        </w:tc>
        <w:tc>
          <w:tcPr>
            <w:tcW w:w="1340" w:type="dxa"/>
            <w:vAlign w:val="bottom"/>
          </w:tcPr>
          <w:p>
            <w:pPr>
              <w:spacing w:after="0"/>
              <w:rPr>
                <w:sz w:val="13"/>
                <w:szCs w:val="13"/>
                <w:color w:val="auto"/>
              </w:rPr>
            </w:pPr>
          </w:p>
        </w:tc>
        <w:tc>
          <w:tcPr>
            <w:tcW w:w="3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920" w:type="dxa"/>
            <w:vAlign w:val="bottom"/>
          </w:tcPr>
          <w:p>
            <w:pPr>
              <w:ind w:left="360"/>
              <w:spacing w:after="0" w:line="145" w:lineRule="exact"/>
              <w:rPr>
                <w:sz w:val="20"/>
                <w:szCs w:val="20"/>
                <w:color w:val="auto"/>
              </w:rPr>
            </w:pPr>
            <w:r>
              <w:rPr>
                <w:rFonts w:ascii="Arial" w:cs="Arial" w:eastAsia="Arial" w:hAnsi="Arial"/>
                <w:sz w:val="13"/>
                <w:szCs w:val="13"/>
                <w:color w:val="auto"/>
                <w:w w:val="97"/>
              </w:rPr>
              <w:t>Amounts reclassified from accumulated other</w:t>
            </w:r>
          </w:p>
        </w:tc>
        <w:tc>
          <w:tcPr>
            <w:tcW w:w="1340" w:type="dxa"/>
            <w:vAlign w:val="bottom"/>
          </w:tcPr>
          <w:p>
            <w:pPr>
              <w:spacing w:after="0"/>
              <w:rPr>
                <w:sz w:val="12"/>
                <w:szCs w:val="12"/>
                <w:color w:val="auto"/>
              </w:rPr>
            </w:pPr>
          </w:p>
        </w:tc>
        <w:tc>
          <w:tcPr>
            <w:tcW w:w="48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15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1440" w:type="dxa"/>
            <w:vAlign w:val="bottom"/>
            <w:vMerge w:val="restart"/>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vMerge w:val="restart"/>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61"/>
        </w:trPr>
        <w:tc>
          <w:tcPr>
            <w:tcW w:w="2920" w:type="dxa"/>
            <w:vAlign w:val="bottom"/>
          </w:tcPr>
          <w:p>
            <w:pPr>
              <w:ind w:left="360"/>
              <w:spacing w:after="0"/>
              <w:rPr>
                <w:sz w:val="20"/>
                <w:szCs w:val="20"/>
                <w:color w:val="auto"/>
              </w:rPr>
            </w:pPr>
            <w:r>
              <w:rPr>
                <w:rFonts w:ascii="Arial" w:cs="Arial" w:eastAsia="Arial" w:hAnsi="Arial"/>
                <w:sz w:val="13"/>
                <w:szCs w:val="13"/>
                <w:color w:val="auto"/>
              </w:rPr>
              <w:t>comprehensive income (loss)</w:t>
            </w:r>
          </w:p>
        </w:tc>
        <w:tc>
          <w:tcPr>
            <w:tcW w:w="1340" w:type="dxa"/>
            <w:vAlign w:val="bottom"/>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4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920" w:type="dxa"/>
            <w:vAlign w:val="bottom"/>
          </w:tcPr>
          <w:p>
            <w:pPr>
              <w:ind w:left="160"/>
              <w:spacing w:after="0" w:line="116" w:lineRule="exact"/>
              <w:rPr>
                <w:sz w:val="20"/>
                <w:szCs w:val="20"/>
                <w:color w:val="auto"/>
              </w:rPr>
            </w:pPr>
            <w:r>
              <w:rPr>
                <w:rFonts w:ascii="Arial" w:cs="Arial" w:eastAsia="Arial" w:hAnsi="Arial"/>
                <w:sz w:val="13"/>
                <w:szCs w:val="13"/>
                <w:color w:val="auto"/>
                <w:w w:val="99"/>
              </w:rPr>
              <w:t>Net current-period other comprehensive income</w:t>
            </w:r>
          </w:p>
        </w:tc>
        <w:tc>
          <w:tcPr>
            <w:tcW w:w="134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(83)</w:t>
            </w:r>
          </w:p>
        </w:tc>
        <w:tc>
          <w:tcPr>
            <w:tcW w:w="1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48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(18)</w:t>
            </w:r>
          </w:p>
        </w:tc>
        <w:tc>
          <w:tcPr>
            <w:tcW w:w="10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48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(99)</w:t>
            </w:r>
          </w:p>
        </w:tc>
        <w:tc>
          <w:tcPr>
            <w:tcW w:w="0" w:type="dxa"/>
            <w:vAlign w:val="bottom"/>
          </w:tcPr>
          <w:p>
            <w:pPr>
              <w:spacing w:after="0"/>
              <w:rPr>
                <w:sz w:val="1"/>
                <w:szCs w:val="1"/>
                <w:color w:val="auto"/>
              </w:rPr>
            </w:pPr>
          </w:p>
        </w:tc>
      </w:tr>
      <w:tr>
        <w:trPr>
          <w:trHeight w:val="161"/>
        </w:trPr>
        <w:tc>
          <w:tcPr>
            <w:tcW w:w="2920" w:type="dxa"/>
            <w:vAlign w:val="bottom"/>
          </w:tcPr>
          <w:p>
            <w:pPr>
              <w:ind w:left="160"/>
              <w:spacing w:after="0"/>
              <w:rPr>
                <w:sz w:val="20"/>
                <w:szCs w:val="20"/>
                <w:color w:val="auto"/>
              </w:rPr>
            </w:pPr>
            <w:r>
              <w:rPr>
                <w:rFonts w:ascii="Arial" w:cs="Arial" w:eastAsia="Arial" w:hAnsi="Arial"/>
                <w:sz w:val="13"/>
                <w:szCs w:val="13"/>
                <w:color w:val="auto"/>
              </w:rPr>
              <w:t>(loss)</w:t>
            </w:r>
          </w:p>
        </w:tc>
        <w:tc>
          <w:tcPr>
            <w:tcW w:w="13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920" w:type="dxa"/>
            <w:vAlign w:val="bottom"/>
          </w:tcPr>
          <w:p>
            <w:pPr>
              <w:spacing w:after="0"/>
              <w:rPr>
                <w:sz w:val="20"/>
                <w:szCs w:val="20"/>
                <w:color w:val="auto"/>
              </w:rPr>
            </w:pPr>
            <w:r>
              <w:rPr>
                <w:rFonts w:ascii="Arial" w:cs="Arial" w:eastAsia="Arial" w:hAnsi="Arial"/>
                <w:sz w:val="13"/>
                <w:szCs w:val="13"/>
                <w:color w:val="auto"/>
              </w:rPr>
              <w:t>Balance, March 31, 2020</w:t>
            </w:r>
          </w:p>
        </w:tc>
        <w:tc>
          <w:tcPr>
            <w:tcW w:w="1340" w:type="dxa"/>
            <w:vAlign w:val="bottom"/>
            <w:tcBorders>
              <w:bottom w:val="single" w:sz="8" w:color="auto"/>
            </w:tcBorders>
          </w:tcPr>
          <w:p>
            <w:pPr>
              <w:jc w:val="right"/>
              <w:ind w:right="1197"/>
              <w:spacing w:after="0"/>
              <w:rPr>
                <w:sz w:val="20"/>
                <w:szCs w:val="20"/>
                <w:color w:val="auto"/>
              </w:rPr>
            </w:pPr>
            <w:r>
              <w:rPr>
                <w:rFonts w:ascii="Arial" w:cs="Arial" w:eastAsia="Arial" w:hAnsi="Arial"/>
                <w:sz w:val="13"/>
                <w:szCs w:val="13"/>
                <w:color w:val="auto"/>
                <w:w w:val="82"/>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(74)</w:t>
            </w:r>
          </w:p>
        </w:tc>
        <w:tc>
          <w:tcPr>
            <w:tcW w:w="100" w:type="dxa"/>
            <w:vAlign w:val="bottom"/>
          </w:tcPr>
          <w:p>
            <w:pPr>
              <w:spacing w:after="0"/>
              <w:rPr>
                <w:sz w:val="15"/>
                <w:szCs w:val="15"/>
                <w:color w:val="auto"/>
              </w:rPr>
            </w:pPr>
          </w:p>
        </w:tc>
        <w:tc>
          <w:tcPr>
            <w:tcW w:w="24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w w:val="82"/>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w:t>
            </w:r>
          </w:p>
        </w:tc>
        <w:tc>
          <w:tcPr>
            <w:tcW w:w="100" w:type="dxa"/>
            <w:vAlign w:val="bottom"/>
          </w:tcPr>
          <w:p>
            <w:pPr>
              <w:spacing w:after="0"/>
              <w:rPr>
                <w:sz w:val="15"/>
                <w:szCs w:val="15"/>
                <w:color w:val="auto"/>
              </w:rPr>
            </w:pPr>
          </w:p>
        </w:tc>
        <w:tc>
          <w:tcPr>
            <w:tcW w:w="28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(144)</w:t>
            </w:r>
          </w:p>
        </w:tc>
        <w:tc>
          <w:tcPr>
            <w:tcW w:w="100" w:type="dxa"/>
            <w:vAlign w:val="bottom"/>
          </w:tcPr>
          <w:p>
            <w:pPr>
              <w:spacing w:after="0"/>
              <w:rPr>
                <w:sz w:val="15"/>
                <w:szCs w:val="15"/>
                <w:color w:val="auto"/>
              </w:rPr>
            </w:pPr>
          </w:p>
        </w:tc>
        <w:tc>
          <w:tcPr>
            <w:tcW w:w="2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(256)</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__________</w:t>
      </w:r>
    </w:p>
    <w:p>
      <w:pPr>
        <w:spacing w:after="0" w:line="15" w:lineRule="exact"/>
        <w:rPr>
          <w:sz w:val="20"/>
          <w:szCs w:val="20"/>
          <w:color w:val="auto"/>
        </w:rPr>
      </w:pPr>
    </w:p>
    <w:p>
      <w:pPr>
        <w:ind w:left="500" w:right="340"/>
        <w:spacing w:after="0" w:line="237" w:lineRule="auto"/>
        <w:rPr>
          <w:sz w:val="20"/>
          <w:szCs w:val="20"/>
          <w:color w:val="auto"/>
        </w:rPr>
      </w:pPr>
      <w:r>
        <w:rPr>
          <w:rFonts w:ascii="Arial" w:cs="Arial" w:eastAsia="Arial" w:hAnsi="Arial"/>
          <w:sz w:val="14"/>
          <w:szCs w:val="14"/>
          <w:color w:val="auto"/>
        </w:rPr>
        <w:t>All components of accumulated other comprehensive income (loss) are net of tax, except currency translation adjustments, which exclude income taxes related to indefinite investments in foreign subsidiaries and include a $47 million gain, net of tax, as of March 31, 2021 related to the Company’s hedge of its net investment in euro-denominated foreign operations (see Note 15–Financial Instruments).</w:t>
      </w:r>
    </w:p>
    <w:p>
      <w:pPr>
        <w:spacing w:after="0" w:line="9" w:lineRule="exact"/>
        <w:rPr>
          <w:sz w:val="20"/>
          <w:szCs w:val="20"/>
          <w:color w:val="auto"/>
        </w:rPr>
      </w:pPr>
    </w:p>
    <w:p>
      <w:pPr>
        <w:ind w:left="820" w:right="220" w:hanging="326"/>
        <w:spacing w:after="0" w:line="215" w:lineRule="auto"/>
        <w:tabs>
          <w:tab w:leader="none" w:pos="813" w:val="left"/>
        </w:tabs>
        <w:numPr>
          <w:ilvl w:val="1"/>
          <w:numId w:val="25"/>
        </w:numPr>
        <w:rPr>
          <w:rFonts w:ascii="Arial" w:cs="Arial" w:eastAsia="Arial" w:hAnsi="Arial"/>
          <w:sz w:val="19"/>
          <w:szCs w:val="19"/>
          <w:color w:val="auto"/>
          <w:vertAlign w:val="superscript"/>
        </w:rPr>
      </w:pPr>
      <w:r>
        <w:rPr>
          <w:rFonts w:ascii="Arial" w:cs="Arial" w:eastAsia="Arial" w:hAnsi="Arial"/>
          <w:sz w:val="14"/>
          <w:szCs w:val="14"/>
          <w:color w:val="auto"/>
        </w:rPr>
        <w:t>For the three months ended March 31, 2021, the amount reclassified from accumulated other comprehensive income (loss) into corporate interest expense was $1 million ($0 million, net of tax). For the three months ended March 31, 2021, the amount reclassified from accumulated other comprehensive income (loss) into vehicle interest expense was $4 million ($3 million, net of tax).</w:t>
      </w:r>
    </w:p>
    <w:p>
      <w:pPr>
        <w:spacing w:after="0" w:line="1" w:lineRule="exact"/>
        <w:rPr>
          <w:rFonts w:ascii="Arial" w:cs="Arial" w:eastAsia="Arial" w:hAnsi="Arial"/>
          <w:sz w:val="19"/>
          <w:szCs w:val="19"/>
          <w:color w:val="auto"/>
          <w:vertAlign w:val="superscript"/>
        </w:rPr>
      </w:pPr>
    </w:p>
    <w:p>
      <w:pPr>
        <w:ind w:left="820" w:right="560" w:hanging="326"/>
        <w:spacing w:after="0" w:line="211" w:lineRule="auto"/>
        <w:tabs>
          <w:tab w:leader="none" w:pos="813" w:val="left"/>
        </w:tabs>
        <w:numPr>
          <w:ilvl w:val="1"/>
          <w:numId w:val="25"/>
        </w:numPr>
        <w:rPr>
          <w:rFonts w:ascii="Arial" w:cs="Arial" w:eastAsia="Arial" w:hAnsi="Arial"/>
          <w:sz w:val="19"/>
          <w:szCs w:val="19"/>
          <w:color w:val="auto"/>
          <w:vertAlign w:val="superscript"/>
        </w:rPr>
      </w:pPr>
      <w:r>
        <w:rPr>
          <w:rFonts w:ascii="Arial" w:cs="Arial" w:eastAsia="Arial" w:hAnsi="Arial"/>
          <w:sz w:val="14"/>
          <w:szCs w:val="14"/>
          <w:color w:val="auto"/>
        </w:rPr>
        <w:t>For the three months ended March 31, 2021 and 2020, amounts reclassified from accumulated other comprehensive income (loss) into selling, general and administrative expenses were $3 million ($2 million, net of tax) and $2 million ($1 million, net of tax), respectively..</w:t>
      </w:r>
    </w:p>
    <w:p>
      <w:pPr>
        <w:spacing w:after="0" w:line="205" w:lineRule="exact"/>
        <w:rPr>
          <w:rFonts w:ascii="Arial" w:cs="Arial" w:eastAsia="Arial" w:hAnsi="Arial"/>
          <w:sz w:val="19"/>
          <w:szCs w:val="19"/>
          <w:color w:val="auto"/>
          <w:vertAlign w:val="superscript"/>
        </w:rPr>
      </w:pPr>
    </w:p>
    <w:p>
      <w:pPr>
        <w:ind w:left="460" w:hanging="452"/>
        <w:spacing w:after="0"/>
        <w:tabs>
          <w:tab w:leader="none" w:pos="4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74" w:lineRule="exact"/>
        <w:rPr>
          <w:sz w:val="20"/>
          <w:szCs w:val="20"/>
          <w:color w:val="auto"/>
        </w:rPr>
      </w:pPr>
    </w:p>
    <w:p>
      <w:pPr>
        <w:ind w:left="500" w:right="40"/>
        <w:spacing w:after="0" w:line="261" w:lineRule="auto"/>
        <w:rPr>
          <w:sz w:val="20"/>
          <w:szCs w:val="20"/>
          <w:color w:val="auto"/>
        </w:rPr>
      </w:pPr>
      <w:r>
        <w:rPr>
          <w:rFonts w:ascii="Arial" w:cs="Arial" w:eastAsia="Arial" w:hAnsi="Arial"/>
          <w:sz w:val="18"/>
          <w:szCs w:val="18"/>
          <w:color w:val="auto"/>
        </w:rPr>
        <w:t>The Company recorded stock-based compensation expense of $4 million and $(2) million ($3 million and $(1) million, net of tax) during the three months ended March 31, 2021 and 2020, respectively.</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 June 2020, the Company granted market-based restricted stock units (“RSUs”) that vest based on absolute stock price attainment.</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grant date fair value of this award is estimated using a Monte Carlo simulation model.</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560" w:type="dxa"/>
            <w:vAlign w:val="bottom"/>
          </w:tcPr>
          <w:p>
            <w:pPr>
              <w:ind w:left="500"/>
              <w:spacing w:after="0"/>
              <w:rPr>
                <w:sz w:val="20"/>
                <w:szCs w:val="20"/>
                <w:color w:val="auto"/>
              </w:rPr>
            </w:pPr>
            <w:r>
              <w:rPr>
                <w:rFonts w:ascii="Arial" w:cs="Arial" w:eastAsia="Arial" w:hAnsi="Arial"/>
                <w:sz w:val="18"/>
                <w:szCs w:val="18"/>
                <w:color w:val="auto"/>
              </w:rPr>
              <w:t>The weighted average assumptions used in the model are as follows:</w:t>
            </w:r>
          </w:p>
        </w:tc>
        <w:tc>
          <w:tcPr>
            <w:tcW w:w="3680" w:type="dxa"/>
            <w:vAlign w:val="bottom"/>
          </w:tcPr>
          <w:p>
            <w:pPr>
              <w:spacing w:after="0"/>
              <w:rPr>
                <w:sz w:val="18"/>
                <w:szCs w:val="18"/>
                <w:color w:val="auto"/>
              </w:rPr>
            </w:pPr>
          </w:p>
        </w:tc>
      </w:tr>
      <w:tr>
        <w:trPr>
          <w:trHeight w:val="500"/>
        </w:trPr>
        <w:tc>
          <w:tcPr>
            <w:tcW w:w="7560" w:type="dxa"/>
            <w:vAlign w:val="bottom"/>
          </w:tcPr>
          <w:p>
            <w:pPr>
              <w:ind w:left="520"/>
              <w:spacing w:after="0"/>
              <w:rPr>
                <w:sz w:val="20"/>
                <w:szCs w:val="20"/>
                <w:color w:val="auto"/>
              </w:rPr>
            </w:pPr>
            <w:r>
              <w:rPr>
                <w:rFonts w:ascii="Arial" w:cs="Arial" w:eastAsia="Arial" w:hAnsi="Arial"/>
                <w:sz w:val="18"/>
                <w:szCs w:val="18"/>
                <w:color w:val="auto"/>
              </w:rPr>
              <w:t>Expected volatility of stock price</w:t>
            </w:r>
          </w:p>
        </w:tc>
        <w:tc>
          <w:tcPr>
            <w:tcW w:w="3680" w:type="dxa"/>
            <w:vAlign w:val="bottom"/>
          </w:tcPr>
          <w:p>
            <w:pPr>
              <w:jc w:val="center"/>
              <w:spacing w:after="0"/>
              <w:rPr>
                <w:sz w:val="20"/>
                <w:szCs w:val="20"/>
                <w:color w:val="auto"/>
              </w:rPr>
            </w:pPr>
            <w:r>
              <w:rPr>
                <w:rFonts w:ascii="Arial" w:cs="Arial" w:eastAsia="Arial" w:hAnsi="Arial"/>
                <w:sz w:val="18"/>
                <w:szCs w:val="18"/>
                <w:color w:val="auto"/>
                <w:w w:val="99"/>
              </w:rPr>
              <w:t>91%</w:t>
            </w:r>
          </w:p>
        </w:tc>
      </w:tr>
      <w:tr>
        <w:trPr>
          <w:trHeight w:val="230"/>
        </w:trPr>
        <w:tc>
          <w:tcPr>
            <w:tcW w:w="7560" w:type="dxa"/>
            <w:vAlign w:val="bottom"/>
          </w:tcPr>
          <w:p>
            <w:pPr>
              <w:ind w:left="520"/>
              <w:spacing w:after="0"/>
              <w:rPr>
                <w:sz w:val="20"/>
                <w:szCs w:val="20"/>
                <w:color w:val="auto"/>
              </w:rPr>
            </w:pPr>
            <w:r>
              <w:rPr>
                <w:rFonts w:ascii="Arial" w:cs="Arial" w:eastAsia="Arial" w:hAnsi="Arial"/>
                <w:sz w:val="18"/>
                <w:szCs w:val="18"/>
                <w:color w:val="auto"/>
              </w:rPr>
              <w:t>Risk-free interest rate</w:t>
            </w:r>
          </w:p>
        </w:tc>
        <w:tc>
          <w:tcPr>
            <w:tcW w:w="3680" w:type="dxa"/>
            <w:vAlign w:val="bottom"/>
          </w:tcPr>
          <w:p>
            <w:pPr>
              <w:jc w:val="center"/>
              <w:spacing w:after="0"/>
              <w:rPr>
                <w:sz w:val="20"/>
                <w:szCs w:val="20"/>
                <w:color w:val="auto"/>
              </w:rPr>
            </w:pPr>
            <w:r>
              <w:rPr>
                <w:rFonts w:ascii="Arial" w:cs="Arial" w:eastAsia="Arial" w:hAnsi="Arial"/>
                <w:sz w:val="18"/>
                <w:szCs w:val="18"/>
                <w:color w:val="auto"/>
                <w:w w:val="97"/>
              </w:rPr>
              <w:t>0.18%</w:t>
            </w:r>
          </w:p>
        </w:tc>
      </w:tr>
      <w:tr>
        <w:trPr>
          <w:trHeight w:val="229"/>
        </w:trPr>
        <w:tc>
          <w:tcPr>
            <w:tcW w:w="7560" w:type="dxa"/>
            <w:vAlign w:val="bottom"/>
          </w:tcPr>
          <w:p>
            <w:pPr>
              <w:ind w:left="520"/>
              <w:spacing w:after="0"/>
              <w:rPr>
                <w:sz w:val="20"/>
                <w:szCs w:val="20"/>
                <w:color w:val="auto"/>
              </w:rPr>
            </w:pPr>
            <w:r>
              <w:rPr>
                <w:rFonts w:ascii="Arial" w:cs="Arial" w:eastAsia="Arial" w:hAnsi="Arial"/>
                <w:sz w:val="18"/>
                <w:szCs w:val="18"/>
                <w:color w:val="auto"/>
              </w:rPr>
              <w:t>Valuation period</w:t>
            </w:r>
          </w:p>
        </w:tc>
        <w:tc>
          <w:tcPr>
            <w:tcW w:w="3680" w:type="dxa"/>
            <w:vAlign w:val="bottom"/>
          </w:tcPr>
          <w:p>
            <w:pPr>
              <w:ind w:left="1560"/>
              <w:spacing w:after="0"/>
              <w:rPr>
                <w:sz w:val="20"/>
                <w:szCs w:val="20"/>
                <w:color w:val="auto"/>
              </w:rPr>
            </w:pPr>
            <w:r>
              <w:rPr>
                <w:rFonts w:ascii="Arial" w:cs="Arial" w:eastAsia="Arial" w:hAnsi="Arial"/>
                <w:sz w:val="18"/>
                <w:szCs w:val="18"/>
                <w:color w:val="auto"/>
              </w:rPr>
              <w:t>3 years</w:t>
            </w:r>
          </w:p>
        </w:tc>
      </w:tr>
      <w:tr>
        <w:trPr>
          <w:trHeight w:val="230"/>
        </w:trPr>
        <w:tc>
          <w:tcPr>
            <w:tcW w:w="7560" w:type="dxa"/>
            <w:vAlign w:val="bottom"/>
          </w:tcPr>
          <w:p>
            <w:pPr>
              <w:ind w:left="520"/>
              <w:spacing w:after="0"/>
              <w:rPr>
                <w:sz w:val="20"/>
                <w:szCs w:val="20"/>
                <w:color w:val="auto"/>
              </w:rPr>
            </w:pPr>
            <w:r>
              <w:rPr>
                <w:rFonts w:ascii="Arial" w:cs="Arial" w:eastAsia="Arial" w:hAnsi="Arial"/>
                <w:sz w:val="18"/>
                <w:szCs w:val="18"/>
                <w:color w:val="auto"/>
              </w:rPr>
              <w:t>Dividend yield</w:t>
            </w:r>
          </w:p>
        </w:tc>
        <w:tc>
          <w:tcPr>
            <w:tcW w:w="368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567"/>
        </w:trPr>
        <w:tc>
          <w:tcPr>
            <w:tcW w:w="7560" w:type="dxa"/>
            <w:vAlign w:val="bottom"/>
          </w:tcPr>
          <w:p>
            <w:pPr>
              <w:ind w:left="500"/>
              <w:spacing w:after="0"/>
              <w:rPr>
                <w:sz w:val="20"/>
                <w:szCs w:val="20"/>
                <w:color w:val="auto"/>
              </w:rPr>
            </w:pPr>
            <w:r>
              <w:rPr>
                <w:rFonts w:ascii="Arial" w:cs="Arial" w:eastAsia="Arial" w:hAnsi="Arial"/>
                <w:sz w:val="18"/>
                <w:szCs w:val="18"/>
                <w:color w:val="auto"/>
              </w:rPr>
              <w:t>The activity related to RSUs consisted of (in thousands of shares):</w:t>
            </w:r>
          </w:p>
        </w:tc>
        <w:tc>
          <w:tcPr>
            <w:tcW w:w="3680" w:type="dxa"/>
            <w:vAlign w:val="bottom"/>
          </w:tcPr>
          <w:p>
            <w:pPr>
              <w:spacing w:after="0"/>
              <w:rPr>
                <w:sz w:val="24"/>
                <w:szCs w:val="24"/>
                <w:color w:val="auto"/>
              </w:rPr>
            </w:pPr>
          </w:p>
        </w:tc>
      </w:tr>
      <w:tr>
        <w:trPr>
          <w:trHeight w:val="810"/>
        </w:trPr>
        <w:tc>
          <w:tcPr>
            <w:tcW w:w="7560" w:type="dxa"/>
            <w:vAlign w:val="bottom"/>
          </w:tcPr>
          <w:p>
            <w:pPr>
              <w:ind w:left="5520"/>
              <w:spacing w:after="0"/>
              <w:rPr>
                <w:sz w:val="20"/>
                <w:szCs w:val="20"/>
                <w:color w:val="auto"/>
              </w:rPr>
            </w:pPr>
            <w:r>
              <w:rPr>
                <w:rFonts w:ascii="Arial" w:cs="Arial" w:eastAsia="Arial" w:hAnsi="Arial"/>
                <w:sz w:val="18"/>
                <w:szCs w:val="18"/>
                <w:color w:val="auto"/>
              </w:rPr>
              <w:t>21</w:t>
            </w:r>
          </w:p>
        </w:tc>
        <w:tc>
          <w:tcPr>
            <w:tcW w:w="3680" w:type="dxa"/>
            <w:vAlign w:val="bottom"/>
          </w:tcPr>
          <w:p>
            <w:pPr>
              <w:spacing w:after="0"/>
              <w:rPr>
                <w:sz w:val="24"/>
                <w:szCs w:val="24"/>
                <w:color w:val="auto"/>
              </w:rPr>
            </w:pPr>
          </w:p>
        </w:tc>
      </w:tr>
      <w:tr>
        <w:trPr>
          <w:trHeight w:val="115"/>
        </w:trPr>
        <w:tc>
          <w:tcPr>
            <w:tcW w:w="7560" w:type="dxa"/>
            <w:vAlign w:val="bottom"/>
            <w:tcBorders>
              <w:bottom w:val="single" w:sz="8" w:color="9A9A9A"/>
            </w:tcBorders>
          </w:tcPr>
          <w:p>
            <w:pPr>
              <w:spacing w:after="0"/>
              <w:rPr>
                <w:sz w:val="10"/>
                <w:szCs w:val="10"/>
                <w:color w:val="auto"/>
              </w:rPr>
            </w:pPr>
          </w:p>
        </w:tc>
        <w:tc>
          <w:tcPr>
            <w:tcW w:w="36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520" w:type="dxa"/>
        <w:tblCellMar>
          <w:top w:w="0" w:type="dxa"/>
          <w:left w:w="0" w:type="dxa"/>
          <w:bottom w:w="0" w:type="dxa"/>
          <w:right w:w="0" w:type="dxa"/>
        </w:tblCellMar>
      </w:tblPr>
      <w:tr>
        <w:trPr>
          <w:trHeight w:val="184"/>
        </w:trPr>
        <w:tc>
          <w:tcPr>
            <w:tcW w:w="48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9"/>
              </w:rPr>
              <w:t>Weighted</w:t>
            </w: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Weighted</w:t>
            </w: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8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34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rPr>
              <w:t>Average</w:t>
            </w:r>
          </w:p>
        </w:tc>
        <w:tc>
          <w:tcPr>
            <w:tcW w:w="140" w:type="dxa"/>
            <w:vAlign w:val="bottom"/>
          </w:tcPr>
          <w:p>
            <w:pPr>
              <w:spacing w:after="0"/>
              <w:rPr>
                <w:sz w:val="14"/>
                <w:szCs w:val="14"/>
                <w:color w:val="auto"/>
              </w:rPr>
            </w:pPr>
          </w:p>
        </w:tc>
        <w:tc>
          <w:tcPr>
            <w:tcW w:w="1120" w:type="dxa"/>
            <w:vAlign w:val="bottom"/>
            <w:vMerge w:val="restart"/>
          </w:tcPr>
          <w:p>
            <w:pPr>
              <w:jc w:val="center"/>
              <w:ind w:right="39"/>
              <w:spacing w:after="0"/>
              <w:rPr>
                <w:sz w:val="20"/>
                <w:szCs w:val="20"/>
                <w:color w:val="auto"/>
              </w:rPr>
            </w:pPr>
            <w:r>
              <w:rPr>
                <w:rFonts w:ascii="Arial" w:cs="Arial" w:eastAsia="Arial" w:hAnsi="Arial"/>
                <w:sz w:val="16"/>
                <w:szCs w:val="16"/>
                <w:b w:val="1"/>
                <w:bCs w:val="1"/>
                <w:color w:val="auto"/>
              </w:rPr>
              <w:t>Aggregate</w:t>
            </w:r>
          </w:p>
        </w:tc>
        <w:tc>
          <w:tcPr>
            <w:tcW w:w="0" w:type="dxa"/>
            <w:vAlign w:val="bottom"/>
          </w:tcPr>
          <w:p>
            <w:pPr>
              <w:spacing w:after="0"/>
              <w:rPr>
                <w:sz w:val="1"/>
                <w:szCs w:val="1"/>
                <w:color w:val="auto"/>
              </w:rPr>
            </w:pPr>
          </w:p>
        </w:tc>
      </w:tr>
      <w:tr>
        <w:trPr>
          <w:trHeight w:val="162"/>
        </w:trPr>
        <w:tc>
          <w:tcPr>
            <w:tcW w:w="4840" w:type="dxa"/>
            <w:vAlign w:val="bottom"/>
          </w:tcPr>
          <w:p>
            <w:pPr>
              <w:spacing w:after="0"/>
              <w:rPr>
                <w:sz w:val="14"/>
                <w:szCs w:val="14"/>
                <w:color w:val="auto"/>
              </w:rPr>
            </w:pPr>
          </w:p>
        </w:tc>
        <w:tc>
          <w:tcPr>
            <w:tcW w:w="122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Number of</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rPr>
              <w:t>Average</w:t>
            </w:r>
          </w:p>
        </w:tc>
        <w:tc>
          <w:tcPr>
            <w:tcW w:w="134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rPr>
              <w:t>Remaining</w:t>
            </w:r>
          </w:p>
        </w:tc>
        <w:tc>
          <w:tcPr>
            <w:tcW w:w="14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4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rPr>
              <w:t>Grant Date</w:t>
            </w:r>
          </w:p>
        </w:tc>
        <w:tc>
          <w:tcPr>
            <w:tcW w:w="1340" w:type="dxa"/>
            <w:vAlign w:val="bottom"/>
            <w:gridSpan w:val="2"/>
          </w:tcPr>
          <w:p>
            <w:pPr>
              <w:jc w:val="center"/>
              <w:ind w:right="80"/>
              <w:spacing w:after="0" w:line="162" w:lineRule="exact"/>
              <w:rPr>
                <w:sz w:val="20"/>
                <w:szCs w:val="20"/>
                <w:color w:val="auto"/>
              </w:rPr>
            </w:pPr>
            <w:r>
              <w:rPr>
                <w:rFonts w:ascii="Arial" w:cs="Arial" w:eastAsia="Arial" w:hAnsi="Arial"/>
                <w:sz w:val="16"/>
                <w:szCs w:val="16"/>
                <w:b w:val="1"/>
                <w:bCs w:val="1"/>
                <w:color w:val="auto"/>
              </w:rPr>
              <w:t>Contractual</w:t>
            </w:r>
          </w:p>
        </w:tc>
        <w:tc>
          <w:tcPr>
            <w:tcW w:w="126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rPr>
              <w:t>Intrinsic Value</w:t>
            </w:r>
          </w:p>
        </w:tc>
        <w:tc>
          <w:tcPr>
            <w:tcW w:w="0" w:type="dxa"/>
            <w:vAlign w:val="bottom"/>
          </w:tcPr>
          <w:p>
            <w:pPr>
              <w:spacing w:after="0"/>
              <w:rPr>
                <w:sz w:val="1"/>
                <w:szCs w:val="1"/>
                <w:color w:val="auto"/>
              </w:rPr>
            </w:pPr>
          </w:p>
        </w:tc>
      </w:tr>
      <w:tr>
        <w:trPr>
          <w:trHeight w:val="215"/>
        </w:trPr>
        <w:tc>
          <w:tcPr>
            <w:tcW w:w="4840" w:type="dxa"/>
            <w:vAlign w:val="bottom"/>
          </w:tcPr>
          <w:p>
            <w:pPr>
              <w:spacing w:after="0"/>
              <w:rPr>
                <w:sz w:val="18"/>
                <w:szCs w:val="18"/>
                <w:color w:val="auto"/>
              </w:rPr>
            </w:pPr>
          </w:p>
        </w:tc>
        <w:tc>
          <w:tcPr>
            <w:tcW w:w="1220" w:type="dxa"/>
            <w:vAlign w:val="bottom"/>
          </w:tcPr>
          <w:p>
            <w:pPr>
              <w:jc w:val="right"/>
              <w:ind w:right="259"/>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9"/>
              </w:rPr>
              <w:t>Fair Value</w:t>
            </w: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Term (years)</w:t>
            </w:r>
          </w:p>
        </w:tc>
        <w:tc>
          <w:tcPr>
            <w:tcW w:w="140" w:type="dxa"/>
            <w:vAlign w:val="bottom"/>
          </w:tcPr>
          <w:p>
            <w:pPr>
              <w:spacing w:after="0"/>
              <w:rPr>
                <w:sz w:val="18"/>
                <w:szCs w:val="18"/>
                <w:color w:val="auto"/>
              </w:rPr>
            </w:pPr>
          </w:p>
        </w:tc>
        <w:tc>
          <w:tcPr>
            <w:tcW w:w="1120" w:type="dxa"/>
            <w:vAlign w:val="bottom"/>
          </w:tcPr>
          <w:p>
            <w:pPr>
              <w:jc w:val="center"/>
              <w:ind w:right="59"/>
              <w:spacing w:after="0"/>
              <w:rPr>
                <w:sz w:val="20"/>
                <w:szCs w:val="20"/>
                <w:color w:val="auto"/>
              </w:rPr>
            </w:pPr>
            <w:r>
              <w:rPr>
                <w:rFonts w:ascii="Arial" w:cs="Arial" w:eastAsia="Arial" w:hAnsi="Arial"/>
                <w:sz w:val="16"/>
                <w:szCs w:val="16"/>
                <w:b w:val="1"/>
                <w:bCs w:val="1"/>
                <w:color w:val="auto"/>
              </w:rPr>
              <w:t>(in millions)</w:t>
            </w:r>
          </w:p>
        </w:tc>
        <w:tc>
          <w:tcPr>
            <w:tcW w:w="0" w:type="dxa"/>
            <w:vAlign w:val="bottom"/>
          </w:tcPr>
          <w:p>
            <w:pPr>
              <w:spacing w:after="0"/>
              <w:rPr>
                <w:sz w:val="1"/>
                <w:szCs w:val="1"/>
                <w:color w:val="auto"/>
              </w:rPr>
            </w:pPr>
          </w:p>
        </w:tc>
      </w:tr>
      <w:tr>
        <w:trPr>
          <w:trHeight w:val="195"/>
        </w:trPr>
        <w:tc>
          <w:tcPr>
            <w:tcW w:w="4840" w:type="dxa"/>
            <w:vAlign w:val="bottom"/>
          </w:tcPr>
          <w:p>
            <w:pPr>
              <w:spacing w:after="0"/>
              <w:rPr>
                <w:sz w:val="20"/>
                <w:szCs w:val="20"/>
                <w:color w:val="auto"/>
              </w:rPr>
            </w:pPr>
            <w:r>
              <w:rPr>
                <w:rFonts w:ascii="Arial" w:cs="Arial" w:eastAsia="Arial" w:hAnsi="Arial"/>
                <w:sz w:val="16"/>
                <w:szCs w:val="16"/>
                <w:b w:val="1"/>
                <w:bCs w:val="1"/>
                <w:color w:val="auto"/>
              </w:rPr>
              <w:t>Time-based RSUs</w:t>
            </w:r>
          </w:p>
        </w:tc>
        <w:tc>
          <w:tcPr>
            <w:tcW w:w="12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840" w:type="dxa"/>
            <w:vAlign w:val="bottom"/>
          </w:tcPr>
          <w:p>
            <w:pPr>
              <w:ind w:left="160"/>
              <w:spacing w:after="0"/>
              <w:rPr>
                <w:sz w:val="20"/>
                <w:szCs w:val="20"/>
                <w:color w:val="auto"/>
              </w:rPr>
            </w:pPr>
            <w:r>
              <w:rPr>
                <w:rFonts w:ascii="Arial" w:cs="Arial" w:eastAsia="Arial" w:hAnsi="Arial"/>
                <w:sz w:val="16"/>
                <w:szCs w:val="16"/>
                <w:color w:val="auto"/>
              </w:rPr>
              <w:t>Outstanding at January 1, 2021</w:t>
            </w:r>
          </w:p>
        </w:tc>
        <w:tc>
          <w:tcPr>
            <w:tcW w:w="1220" w:type="dxa"/>
            <w:vAlign w:val="bottom"/>
          </w:tcPr>
          <w:p>
            <w:pPr>
              <w:jc w:val="right"/>
              <w:spacing w:after="0"/>
              <w:rPr>
                <w:sz w:val="20"/>
                <w:szCs w:val="20"/>
                <w:color w:val="auto"/>
              </w:rPr>
            </w:pPr>
            <w:r>
              <w:rPr>
                <w:rFonts w:ascii="Arial" w:cs="Arial" w:eastAsia="Arial" w:hAnsi="Arial"/>
                <w:sz w:val="16"/>
                <w:szCs w:val="16"/>
                <w:color w:val="auto"/>
              </w:rPr>
              <w:t>1,070</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27.47</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4840" w:type="dxa"/>
            <w:vAlign w:val="bottom"/>
          </w:tcPr>
          <w:p>
            <w:pPr>
              <w:ind w:left="360"/>
              <w:spacing w:after="0" w:line="235" w:lineRule="exact"/>
              <w:rPr>
                <w:sz w:val="20"/>
                <w:szCs w:val="20"/>
                <w:color w:val="auto"/>
              </w:rPr>
            </w:pPr>
            <w:r>
              <w:rPr>
                <w:rFonts w:ascii="Arial" w:cs="Arial" w:eastAsia="Arial" w:hAnsi="Arial"/>
                <w:sz w:val="16"/>
                <w:szCs w:val="16"/>
                <w:color w:val="auto"/>
              </w:rPr>
              <w:t xml:space="preserve">Granted </w:t>
            </w:r>
            <w:r>
              <w:rPr>
                <w:rFonts w:ascii="Arial" w:cs="Arial" w:eastAsia="Arial" w:hAnsi="Arial"/>
                <w:sz w:val="21"/>
                <w:szCs w:val="21"/>
                <w:color w:val="auto"/>
                <w:vertAlign w:val="superscript"/>
              </w:rPr>
              <w:t>(a)</w:t>
            </w:r>
          </w:p>
        </w:tc>
        <w:tc>
          <w:tcPr>
            <w:tcW w:w="1220" w:type="dxa"/>
            <w:vAlign w:val="bottom"/>
          </w:tcPr>
          <w:p>
            <w:pPr>
              <w:jc w:val="right"/>
              <w:spacing w:after="0"/>
              <w:rPr>
                <w:sz w:val="20"/>
                <w:szCs w:val="20"/>
                <w:color w:val="auto"/>
              </w:rPr>
            </w:pPr>
            <w:r>
              <w:rPr>
                <w:rFonts w:ascii="Arial" w:cs="Arial" w:eastAsia="Arial" w:hAnsi="Arial"/>
                <w:sz w:val="16"/>
                <w:szCs w:val="16"/>
                <w:color w:val="auto"/>
              </w:rPr>
              <w:t>240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63.12</w:t>
            </w: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4840" w:type="dxa"/>
            <w:vAlign w:val="bottom"/>
          </w:tcPr>
          <w:p>
            <w:pPr>
              <w:ind w:left="360"/>
              <w:spacing w:after="0" w:line="219" w:lineRule="exact"/>
              <w:rPr>
                <w:sz w:val="20"/>
                <w:szCs w:val="20"/>
                <w:color w:val="auto"/>
              </w:rPr>
            </w:pPr>
            <w:r>
              <w:rPr>
                <w:rFonts w:ascii="Arial" w:cs="Arial" w:eastAsia="Arial" w:hAnsi="Arial"/>
                <w:sz w:val="16"/>
                <w:szCs w:val="16"/>
                <w:color w:val="auto"/>
              </w:rPr>
              <w:t xml:space="preserve">Vested </w:t>
            </w:r>
            <w:r>
              <w:rPr>
                <w:rFonts w:ascii="Arial" w:cs="Arial" w:eastAsia="Arial" w:hAnsi="Arial"/>
                <w:sz w:val="21"/>
                <w:szCs w:val="21"/>
                <w:color w:val="auto"/>
                <w:vertAlign w:val="superscript"/>
              </w:rPr>
              <w:t>(b)</w:t>
            </w:r>
          </w:p>
        </w:tc>
        <w:tc>
          <w:tcPr>
            <w:tcW w:w="1220" w:type="dxa"/>
            <w:vAlign w:val="bottom"/>
          </w:tcPr>
          <w:p>
            <w:pPr>
              <w:jc w:val="right"/>
              <w:spacing w:after="0"/>
              <w:rPr>
                <w:sz w:val="20"/>
                <w:szCs w:val="20"/>
                <w:color w:val="auto"/>
              </w:rPr>
            </w:pPr>
            <w:r>
              <w:rPr>
                <w:rFonts w:ascii="Arial" w:cs="Arial" w:eastAsia="Arial" w:hAnsi="Arial"/>
                <w:sz w:val="16"/>
                <w:szCs w:val="16"/>
                <w:color w:val="auto"/>
              </w:rPr>
              <w:t>(375)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30.05</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840" w:type="dxa"/>
            <w:vAlign w:val="bottom"/>
          </w:tcPr>
          <w:p>
            <w:pPr>
              <w:ind w:left="360"/>
              <w:spacing w:after="0"/>
              <w:rPr>
                <w:sz w:val="20"/>
                <w:szCs w:val="20"/>
                <w:color w:val="auto"/>
              </w:rPr>
            </w:pPr>
            <w:r>
              <w:rPr>
                <w:rFonts w:ascii="Arial" w:cs="Arial" w:eastAsia="Arial" w:hAnsi="Arial"/>
                <w:sz w:val="16"/>
                <w:szCs w:val="16"/>
                <w:color w:val="auto"/>
              </w:rPr>
              <w:t>Forfeited</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25.35</w:t>
            </w: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840" w:type="dxa"/>
            <w:vAlign w:val="bottom"/>
          </w:tcPr>
          <w:p>
            <w:pPr>
              <w:ind w:left="160"/>
              <w:spacing w:after="0" w:line="213" w:lineRule="exact"/>
              <w:rPr>
                <w:sz w:val="20"/>
                <w:szCs w:val="20"/>
                <w:color w:val="auto"/>
              </w:rPr>
            </w:pPr>
            <w:r>
              <w:rPr>
                <w:rFonts w:ascii="Arial" w:cs="Arial" w:eastAsia="Arial" w:hAnsi="Arial"/>
                <w:sz w:val="16"/>
                <w:szCs w:val="16"/>
                <w:color w:val="auto"/>
              </w:rPr>
              <w:t xml:space="preserve">Outstanding and expected to vest at March 31, 2021 </w:t>
            </w:r>
            <w:r>
              <w:rPr>
                <w:rFonts w:ascii="Arial" w:cs="Arial" w:eastAsia="Arial" w:hAnsi="Arial"/>
                <w:sz w:val="21"/>
                <w:szCs w:val="21"/>
                <w:color w:val="auto"/>
                <w:vertAlign w:val="superscript"/>
              </w:rPr>
              <w:t>(c)</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928</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35.66</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1"/>
        </w:trPr>
        <w:tc>
          <w:tcPr>
            <w:tcW w:w="4840" w:type="dxa"/>
            <w:vAlign w:val="bottom"/>
            <w:vMerge w:val="restart"/>
          </w:tcPr>
          <w:p>
            <w:pPr>
              <w:spacing w:after="0"/>
              <w:rPr>
                <w:sz w:val="20"/>
                <w:szCs w:val="20"/>
                <w:color w:val="auto"/>
              </w:rPr>
            </w:pPr>
            <w:r>
              <w:rPr>
                <w:rFonts w:ascii="Arial" w:cs="Arial" w:eastAsia="Arial" w:hAnsi="Arial"/>
                <w:sz w:val="16"/>
                <w:szCs w:val="16"/>
                <w:b w:val="1"/>
                <w:bCs w:val="1"/>
                <w:color w:val="auto"/>
              </w:rPr>
              <w:t>Performance-based and market-based RSUs</w:t>
            </w: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7"/>
        </w:trPr>
        <w:tc>
          <w:tcPr>
            <w:tcW w:w="4840" w:type="dxa"/>
            <w:vAlign w:val="bottom"/>
            <w:vMerge w:val="continue"/>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840" w:type="dxa"/>
            <w:vAlign w:val="bottom"/>
          </w:tcPr>
          <w:p>
            <w:pPr>
              <w:ind w:left="160"/>
              <w:spacing w:after="0"/>
              <w:rPr>
                <w:sz w:val="20"/>
                <w:szCs w:val="20"/>
                <w:color w:val="auto"/>
              </w:rPr>
            </w:pPr>
            <w:r>
              <w:rPr>
                <w:rFonts w:ascii="Arial" w:cs="Arial" w:eastAsia="Arial" w:hAnsi="Arial"/>
                <w:sz w:val="16"/>
                <w:szCs w:val="16"/>
                <w:color w:val="auto"/>
              </w:rPr>
              <w:t>Outstanding at January 1, 2021</w:t>
            </w:r>
          </w:p>
        </w:tc>
        <w:tc>
          <w:tcPr>
            <w:tcW w:w="1220" w:type="dxa"/>
            <w:vAlign w:val="bottom"/>
          </w:tcPr>
          <w:p>
            <w:pPr>
              <w:jc w:val="right"/>
              <w:spacing w:after="0"/>
              <w:rPr>
                <w:sz w:val="20"/>
                <w:szCs w:val="20"/>
                <w:color w:val="auto"/>
              </w:rPr>
            </w:pPr>
            <w:r>
              <w:rPr>
                <w:rFonts w:ascii="Arial" w:cs="Arial" w:eastAsia="Arial" w:hAnsi="Arial"/>
                <w:sz w:val="16"/>
                <w:szCs w:val="16"/>
                <w:color w:val="auto"/>
              </w:rPr>
              <w:t>988</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32.41</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4840" w:type="dxa"/>
            <w:vAlign w:val="bottom"/>
          </w:tcPr>
          <w:p>
            <w:pPr>
              <w:ind w:left="360"/>
              <w:spacing w:after="0" w:line="235" w:lineRule="exact"/>
              <w:rPr>
                <w:sz w:val="20"/>
                <w:szCs w:val="20"/>
                <w:color w:val="auto"/>
              </w:rPr>
            </w:pPr>
            <w:r>
              <w:rPr>
                <w:rFonts w:ascii="Arial" w:cs="Arial" w:eastAsia="Arial" w:hAnsi="Arial"/>
                <w:sz w:val="16"/>
                <w:szCs w:val="16"/>
                <w:color w:val="auto"/>
              </w:rPr>
              <w:t xml:space="preserve">Granted </w:t>
            </w:r>
            <w:r>
              <w:rPr>
                <w:rFonts w:ascii="Arial" w:cs="Arial" w:eastAsia="Arial" w:hAnsi="Arial"/>
                <w:sz w:val="21"/>
                <w:szCs w:val="21"/>
                <w:color w:val="auto"/>
                <w:vertAlign w:val="superscript"/>
              </w:rPr>
              <w:t>(a)</w:t>
            </w:r>
          </w:p>
        </w:tc>
        <w:tc>
          <w:tcPr>
            <w:tcW w:w="1220" w:type="dxa"/>
            <w:vAlign w:val="bottom"/>
          </w:tcPr>
          <w:p>
            <w:pPr>
              <w:jc w:val="right"/>
              <w:spacing w:after="0"/>
              <w:rPr>
                <w:sz w:val="20"/>
                <w:szCs w:val="20"/>
                <w:color w:val="auto"/>
              </w:rPr>
            </w:pPr>
            <w:r>
              <w:rPr>
                <w:rFonts w:ascii="Arial" w:cs="Arial" w:eastAsia="Arial" w:hAnsi="Arial"/>
                <w:sz w:val="16"/>
                <w:szCs w:val="16"/>
                <w:color w:val="auto"/>
              </w:rPr>
              <w:t>236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62.27</w:t>
            </w: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4840" w:type="dxa"/>
            <w:vAlign w:val="bottom"/>
          </w:tcPr>
          <w:p>
            <w:pPr>
              <w:ind w:left="360"/>
              <w:spacing w:after="0" w:line="219" w:lineRule="exact"/>
              <w:rPr>
                <w:sz w:val="20"/>
                <w:szCs w:val="20"/>
                <w:color w:val="auto"/>
              </w:rPr>
            </w:pPr>
            <w:r>
              <w:rPr>
                <w:rFonts w:ascii="Arial" w:cs="Arial" w:eastAsia="Arial" w:hAnsi="Arial"/>
                <w:sz w:val="16"/>
                <w:szCs w:val="16"/>
                <w:color w:val="auto"/>
              </w:rPr>
              <w:t xml:space="preserve">Vested </w:t>
            </w:r>
            <w:r>
              <w:rPr>
                <w:rFonts w:ascii="Arial" w:cs="Arial" w:eastAsia="Arial" w:hAnsi="Arial"/>
                <w:sz w:val="21"/>
                <w:szCs w:val="21"/>
                <w:color w:val="auto"/>
                <w:vertAlign w:val="superscript"/>
              </w:rPr>
              <w:t>(b)</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840" w:type="dxa"/>
            <w:vAlign w:val="bottom"/>
          </w:tcPr>
          <w:p>
            <w:pPr>
              <w:ind w:left="360"/>
              <w:spacing w:after="0"/>
              <w:rPr>
                <w:sz w:val="20"/>
                <w:szCs w:val="20"/>
                <w:color w:val="auto"/>
              </w:rPr>
            </w:pPr>
            <w:r>
              <w:rPr>
                <w:rFonts w:ascii="Arial" w:cs="Arial" w:eastAsia="Arial" w:hAnsi="Arial"/>
                <w:sz w:val="16"/>
                <w:szCs w:val="16"/>
                <w:color w:val="auto"/>
              </w:rPr>
              <w:t>Forfeited</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48.72</w:t>
            </w: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840" w:type="dxa"/>
            <w:vAlign w:val="bottom"/>
          </w:tcPr>
          <w:p>
            <w:pPr>
              <w:ind w:left="160"/>
              <w:spacing w:after="0"/>
              <w:rPr>
                <w:sz w:val="20"/>
                <w:szCs w:val="20"/>
                <w:color w:val="auto"/>
              </w:rPr>
            </w:pPr>
            <w:r>
              <w:rPr>
                <w:rFonts w:ascii="Arial" w:cs="Arial" w:eastAsia="Arial" w:hAnsi="Arial"/>
                <w:sz w:val="16"/>
                <w:szCs w:val="16"/>
                <w:color w:val="auto"/>
              </w:rPr>
              <w:t>Outstanding at March 31, 2021</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952</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35.14</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20"/>
        </w:trPr>
        <w:tc>
          <w:tcPr>
            <w:tcW w:w="4840" w:type="dxa"/>
            <w:vAlign w:val="bottom"/>
            <w:vMerge w:val="restart"/>
          </w:tcPr>
          <w:p>
            <w:pPr>
              <w:ind w:left="160"/>
              <w:spacing w:after="0"/>
              <w:rPr>
                <w:sz w:val="20"/>
                <w:szCs w:val="20"/>
                <w:color w:val="auto"/>
              </w:rPr>
            </w:pPr>
            <w:r>
              <w:rPr>
                <w:rFonts w:ascii="Arial" w:cs="Arial" w:eastAsia="Arial" w:hAnsi="Arial"/>
                <w:sz w:val="16"/>
                <w:szCs w:val="16"/>
                <w:color w:val="auto"/>
              </w:rPr>
              <w:t xml:space="preserve">Outstanding and expected to vest at March 31, 2021 </w:t>
            </w:r>
            <w:r>
              <w:rPr>
                <w:rFonts w:ascii="Arial" w:cs="Arial" w:eastAsia="Arial" w:hAnsi="Arial"/>
                <w:sz w:val="21"/>
                <w:szCs w:val="21"/>
                <w:color w:val="auto"/>
                <w:vertAlign w:val="superscript"/>
              </w:rPr>
              <w:t>(c)</w:t>
            </w: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4"/>
        </w:trPr>
        <w:tc>
          <w:tcPr>
            <w:tcW w:w="4840" w:type="dxa"/>
            <w:vAlign w:val="bottom"/>
            <w:vMerge w:val="continue"/>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203</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54.59</w:t>
            </w:r>
          </w:p>
        </w:tc>
        <w:tc>
          <w:tcPr>
            <w:tcW w:w="1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500"/>
        <w:spacing w:after="0"/>
        <w:rPr>
          <w:sz w:val="20"/>
          <w:szCs w:val="20"/>
          <w:color w:val="auto"/>
        </w:rPr>
      </w:pPr>
      <w:r>
        <w:rPr>
          <w:rFonts w:ascii="Arial" w:cs="Arial" w:eastAsia="Arial" w:hAnsi="Arial"/>
          <w:sz w:val="14"/>
          <w:szCs w:val="14"/>
          <w:color w:val="auto"/>
        </w:rPr>
        <w:t>__________</w:t>
      </w:r>
    </w:p>
    <w:p>
      <w:pPr>
        <w:spacing w:after="0" w:line="8" w:lineRule="exact"/>
        <w:rPr>
          <w:sz w:val="20"/>
          <w:szCs w:val="20"/>
          <w:color w:val="auto"/>
        </w:rPr>
      </w:pPr>
    </w:p>
    <w:p>
      <w:pPr>
        <w:ind w:left="820" w:hanging="326"/>
        <w:spacing w:after="0" w:line="215" w:lineRule="auto"/>
        <w:tabs>
          <w:tab w:leader="none" w:pos="813" w:val="left"/>
        </w:tabs>
        <w:numPr>
          <w:ilvl w:val="1"/>
          <w:numId w:val="27"/>
        </w:numPr>
        <w:rPr>
          <w:rFonts w:ascii="Arial" w:cs="Arial" w:eastAsia="Arial" w:hAnsi="Arial"/>
          <w:sz w:val="19"/>
          <w:szCs w:val="19"/>
          <w:color w:val="auto"/>
          <w:vertAlign w:val="superscript"/>
        </w:rPr>
      </w:pPr>
      <w:r>
        <w:rPr>
          <w:rFonts w:ascii="Arial" w:cs="Arial" w:eastAsia="Arial" w:hAnsi="Arial"/>
          <w:sz w:val="14"/>
          <w:szCs w:val="14"/>
          <w:color w:val="auto"/>
        </w:rPr>
        <w:t>Reflects the maximum number of stock units assuming achievement of all performance-, market- and time-vesting criteria and does not include those for non-employee directors. The weighted-average fair value of time-based RSUs and performance-based and market-based RSUs granted during the three months ended March 31, 2020 was $21.67 and $21.09, respectively.</w:t>
      </w:r>
    </w:p>
    <w:p>
      <w:pPr>
        <w:spacing w:after="0" w:line="1" w:lineRule="exact"/>
        <w:rPr>
          <w:rFonts w:ascii="Arial" w:cs="Arial" w:eastAsia="Arial" w:hAnsi="Arial"/>
          <w:sz w:val="19"/>
          <w:szCs w:val="19"/>
          <w:color w:val="auto"/>
          <w:vertAlign w:val="superscript"/>
        </w:rPr>
      </w:pPr>
    </w:p>
    <w:p>
      <w:pPr>
        <w:ind w:left="820" w:hanging="326"/>
        <w:spacing w:after="0" w:line="187" w:lineRule="auto"/>
        <w:tabs>
          <w:tab w:leader="none" w:pos="820" w:val="left"/>
        </w:tabs>
        <w:numPr>
          <w:ilvl w:val="1"/>
          <w:numId w:val="27"/>
        </w:numPr>
        <w:rPr>
          <w:rFonts w:ascii="Arial" w:cs="Arial" w:eastAsia="Arial" w:hAnsi="Arial"/>
          <w:sz w:val="18"/>
          <w:szCs w:val="18"/>
          <w:color w:val="auto"/>
          <w:vertAlign w:val="superscript"/>
        </w:rPr>
      </w:pPr>
      <w:r>
        <w:rPr>
          <w:rFonts w:ascii="Arial" w:cs="Arial" w:eastAsia="Arial" w:hAnsi="Arial"/>
          <w:sz w:val="14"/>
          <w:szCs w:val="14"/>
          <w:color w:val="auto"/>
        </w:rPr>
        <w:t>The total fair value of RSUs vested during March 31, 2021 and 2020 was $11 million and $17 million, respectively.</w:t>
      </w:r>
    </w:p>
    <w:p>
      <w:pPr>
        <w:ind w:left="820" w:right="40" w:hanging="326"/>
        <w:spacing w:after="0" w:line="211" w:lineRule="auto"/>
        <w:tabs>
          <w:tab w:leader="none" w:pos="807" w:val="left"/>
        </w:tabs>
        <w:numPr>
          <w:ilvl w:val="1"/>
          <w:numId w:val="27"/>
        </w:numPr>
        <w:rPr>
          <w:rFonts w:ascii="Arial" w:cs="Arial" w:eastAsia="Arial" w:hAnsi="Arial"/>
          <w:sz w:val="19"/>
          <w:szCs w:val="19"/>
          <w:color w:val="auto"/>
          <w:vertAlign w:val="superscript"/>
        </w:rPr>
      </w:pPr>
      <w:r>
        <w:rPr>
          <w:rFonts w:ascii="Arial" w:cs="Arial" w:eastAsia="Arial" w:hAnsi="Arial"/>
          <w:sz w:val="14"/>
          <w:szCs w:val="14"/>
          <w:color w:val="auto"/>
        </w:rPr>
        <w:t>Aggregate unrecognized compensation expense related to time-based RSUs and performance-based and market-based RSUs amounted to $39 million and will be recognized over a weighted average vesting period of 1.6 years.</w:t>
      </w:r>
    </w:p>
    <w:p>
      <w:pPr>
        <w:spacing w:after="0" w:line="205" w:lineRule="exact"/>
        <w:rPr>
          <w:rFonts w:ascii="Arial" w:cs="Arial" w:eastAsia="Arial" w:hAnsi="Arial"/>
          <w:sz w:val="19"/>
          <w:szCs w:val="19"/>
          <w:color w:val="auto"/>
          <w:vertAlign w:val="superscript"/>
        </w:rPr>
      </w:pPr>
    </w:p>
    <w:p>
      <w:pPr>
        <w:ind w:left="460" w:hanging="452"/>
        <w:spacing w:after="0"/>
        <w:tabs>
          <w:tab w:leader="none" w:pos="46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Derivative Instruments and Hedging Activities</w:t>
      </w:r>
    </w:p>
    <w:p>
      <w:pPr>
        <w:spacing w:after="0" w:line="175" w:lineRule="exact"/>
        <w:rPr>
          <w:sz w:val="20"/>
          <w:szCs w:val="20"/>
          <w:color w:val="auto"/>
        </w:rPr>
      </w:pPr>
    </w:p>
    <w:p>
      <w:pPr>
        <w:ind w:left="500" w:right="100"/>
        <w:spacing w:after="0" w:line="255" w:lineRule="auto"/>
        <w:rPr>
          <w:sz w:val="20"/>
          <w:szCs w:val="20"/>
          <w:color w:val="auto"/>
        </w:rPr>
      </w:pPr>
      <w:r>
        <w:rPr>
          <w:rFonts w:ascii="Arial" w:cs="Arial" w:eastAsia="Arial" w:hAnsi="Arial"/>
          <w:sz w:val="18"/>
          <w:szCs w:val="18"/>
          <w:i w:val="1"/>
          <w:iCs w:val="1"/>
          <w:color w:val="auto"/>
        </w:rPr>
        <w:t xml:space="preserve">Currency Risk. </w:t>
      </w:r>
      <w:r>
        <w:rPr>
          <w:rFonts w:ascii="Arial" w:cs="Arial" w:eastAsia="Arial" w:hAnsi="Arial"/>
          <w:sz w:val="18"/>
          <w:szCs w:val="18"/>
          <w:color w:val="auto"/>
        </w:rPr>
        <w:t>The Company uses currency exchange contracts to manage its exposure to changes in currency exchange rates</w:t>
      </w:r>
      <w:r>
        <w:rPr>
          <w:rFonts w:ascii="Arial" w:cs="Arial" w:eastAsia="Arial" w:hAnsi="Arial"/>
          <w:sz w:val="18"/>
          <w:szCs w:val="18"/>
          <w:i w:val="1"/>
          <w:iCs w:val="1"/>
          <w:color w:val="auto"/>
        </w:rPr>
        <w:t xml:space="preserve"> </w:t>
      </w:r>
      <w:r>
        <w:rPr>
          <w:rFonts w:ascii="Arial" w:cs="Arial" w:eastAsia="Arial" w:hAnsi="Arial"/>
          <w:sz w:val="18"/>
          <w:szCs w:val="18"/>
          <w:color w:val="auto"/>
        </w:rPr>
        <w:t>associated with certain of its non-U.S.-dollar denominated receivables and forecasted royalties, forecasted earnings of non-U.S. subsidiaries and forecasted non-U.S.-dollar denominated acquisitions. The Company primarily hedges a portion of its current-year currency exposure to the Australian, Canadian and New Zealand dollars, the euro and the British pound sterling. The majority of forward contracts do not qualify for hedge accounting treatment. The fluctuations in the value of these forward contracts do, however, largely offset the impact of changes in the value of the underlying risk they economically hedge. Forward contracts used to hedge forecasted third-party receipts and disbursements up to 12 months are designated and do qualify as cash flow hedges. The Company has designated its euro-denominated notes as a hedge of its investment in euro-denominated foreign operations.</w:t>
      </w:r>
    </w:p>
    <w:p>
      <w:pPr>
        <w:spacing w:after="0" w:line="149" w:lineRule="exact"/>
        <w:rPr>
          <w:sz w:val="20"/>
          <w:szCs w:val="20"/>
          <w:color w:val="auto"/>
        </w:rPr>
      </w:pPr>
    </w:p>
    <w:p>
      <w:pPr>
        <w:ind w:left="500" w:right="500"/>
        <w:spacing w:after="0" w:line="261" w:lineRule="auto"/>
        <w:rPr>
          <w:sz w:val="20"/>
          <w:szCs w:val="20"/>
          <w:color w:val="auto"/>
        </w:rPr>
      </w:pPr>
      <w:r>
        <w:rPr>
          <w:rFonts w:ascii="Arial" w:cs="Arial" w:eastAsia="Arial" w:hAnsi="Arial"/>
          <w:sz w:val="18"/>
          <w:szCs w:val="18"/>
          <w:color w:val="auto"/>
        </w:rPr>
        <w:t>The estimated net amount of existing gains or losses the Company expects to reclassify from accumulated other comprehensive income (loss) to earnings for cash flow and net investment hedges over the next 12 months is not material.</w:t>
      </w:r>
    </w:p>
    <w:p>
      <w:pPr>
        <w:spacing w:after="0" w:line="207" w:lineRule="exact"/>
        <w:rPr>
          <w:sz w:val="20"/>
          <w:szCs w:val="20"/>
          <w:color w:val="auto"/>
        </w:rPr>
      </w:pPr>
    </w:p>
    <w:p>
      <w:pPr>
        <w:ind w:left="500"/>
        <w:spacing w:after="0" w:line="254" w:lineRule="auto"/>
        <w:rPr>
          <w:sz w:val="20"/>
          <w:szCs w:val="20"/>
          <w:color w:val="auto"/>
        </w:rPr>
      </w:pPr>
      <w:r>
        <w:rPr>
          <w:rFonts w:ascii="Arial" w:cs="Arial" w:eastAsia="Arial" w:hAnsi="Arial"/>
          <w:sz w:val="18"/>
          <w:szCs w:val="18"/>
          <w:i w:val="1"/>
          <w:iCs w:val="1"/>
          <w:color w:val="auto"/>
        </w:rPr>
        <w:t xml:space="preserve">Interest Rate Risk. </w:t>
      </w:r>
      <w:r>
        <w:rPr>
          <w:rFonts w:ascii="Arial" w:cs="Arial" w:eastAsia="Arial" w:hAnsi="Arial"/>
          <w:sz w:val="18"/>
          <w:szCs w:val="18"/>
          <w:color w:val="auto"/>
        </w:rPr>
        <w:t>The Company uses various hedging strategies including interest rate swaps and interest rate caps to create what it</w:t>
      </w:r>
      <w:r>
        <w:rPr>
          <w:rFonts w:ascii="Arial" w:cs="Arial" w:eastAsia="Arial" w:hAnsi="Arial"/>
          <w:sz w:val="18"/>
          <w:szCs w:val="18"/>
          <w:i w:val="1"/>
          <w:iCs w:val="1"/>
          <w:color w:val="auto"/>
        </w:rPr>
        <w:t xml:space="preserve"> </w:t>
      </w:r>
      <w:r>
        <w:rPr>
          <w:rFonts w:ascii="Arial" w:cs="Arial" w:eastAsia="Arial" w:hAnsi="Arial"/>
          <w:sz w:val="18"/>
          <w:szCs w:val="18"/>
          <w:color w:val="auto"/>
        </w:rPr>
        <w:t>deems an appropriate mix of fixed and floating rate assets and liabilities. The Company uses interest rate swaps and interest rate caps to manage the risk related to its floating rate corporate debt and its floating rate vehicle-backed debt. The Company records the changes in the fair value of its cash flow hedges to other comprehensive income (loss), net of tax, and subsequently reclassifies these amounts into earnings in the period during which the hedged transaction affects earnings and is presented in the same income statement line item as the earnings effect of the hedged item. The Company records the gains or losses related to freestanding derivatives, which are not designated as a hedge for accounting purposes, currently in earnings and are presented in the same line of the income statement expected for the hedged item. The Company estimates that approximately $20 million of losses currently recorded in accumulated other comprehensive income (loss) will be recognized in earnings over the next 12 months.</w:t>
      </w:r>
    </w:p>
    <w:p>
      <w:pPr>
        <w:spacing w:after="0" w:line="215" w:lineRule="exact"/>
        <w:rPr>
          <w:sz w:val="20"/>
          <w:szCs w:val="20"/>
          <w:color w:val="auto"/>
        </w:rPr>
      </w:pPr>
    </w:p>
    <w:p>
      <w:pPr>
        <w:ind w:left="500" w:right="20"/>
        <w:spacing w:after="0" w:line="282" w:lineRule="auto"/>
        <w:rPr>
          <w:sz w:val="20"/>
          <w:szCs w:val="20"/>
          <w:color w:val="auto"/>
        </w:rPr>
      </w:pPr>
      <w:r>
        <w:rPr>
          <w:rFonts w:ascii="Arial" w:cs="Arial" w:eastAsia="Arial" w:hAnsi="Arial"/>
          <w:sz w:val="18"/>
          <w:szCs w:val="18"/>
          <w:i w:val="1"/>
          <w:iCs w:val="1"/>
          <w:color w:val="auto"/>
        </w:rPr>
        <w:t xml:space="preserve">Commodity Risk. </w:t>
      </w:r>
      <w:r>
        <w:rPr>
          <w:rFonts w:ascii="Arial" w:cs="Arial" w:eastAsia="Arial" w:hAnsi="Arial"/>
          <w:sz w:val="18"/>
          <w:szCs w:val="18"/>
          <w:color w:val="auto"/>
        </w:rPr>
        <w:t>The Company periodically enters into derivative commodity contracts to manage its exposure to changes in the price</w:t>
      </w:r>
      <w:r>
        <w:rPr>
          <w:rFonts w:ascii="Arial" w:cs="Arial" w:eastAsia="Arial" w:hAnsi="Arial"/>
          <w:sz w:val="18"/>
          <w:szCs w:val="18"/>
          <w:i w:val="1"/>
          <w:iCs w:val="1"/>
          <w:color w:val="auto"/>
        </w:rPr>
        <w:t xml:space="preserve"> </w:t>
      </w:r>
      <w:r>
        <w:rPr>
          <w:rFonts w:ascii="Arial" w:cs="Arial" w:eastAsia="Arial" w:hAnsi="Arial"/>
          <w:sz w:val="18"/>
          <w:szCs w:val="18"/>
          <w:color w:val="auto"/>
        </w:rPr>
        <w:t>of gasoline. These instruments were designated as freestanding</w:t>
      </w: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00" w:right="720"/>
        <w:spacing w:after="0" w:line="261" w:lineRule="auto"/>
        <w:rPr>
          <w:sz w:val="20"/>
          <w:szCs w:val="20"/>
          <w:color w:val="auto"/>
        </w:rPr>
      </w:pPr>
      <w:r>
        <w:rPr>
          <w:rFonts w:ascii="Arial" w:cs="Arial" w:eastAsia="Arial" w:hAnsi="Arial"/>
          <w:sz w:val="18"/>
          <w:szCs w:val="18"/>
          <w:color w:val="auto"/>
        </w:rPr>
        <w:t>derivatives and the changes in fair value are recorded in earnings and are presented in the same line of the income statement expected for the hedged item.</w:t>
      </w:r>
    </w:p>
    <w:p>
      <w:pPr>
        <w:spacing w:after="0" w:line="225" w:lineRule="exact"/>
        <w:rPr>
          <w:sz w:val="20"/>
          <w:szCs w:val="20"/>
          <w:color w:val="auto"/>
        </w:rPr>
      </w:pPr>
    </w:p>
    <w:tbl>
      <w:tblPr>
        <w:tblLayout w:type="fixed"/>
        <w:tblInd w:w="500" w:type="dxa"/>
        <w:tblCellMar>
          <w:top w:w="0" w:type="dxa"/>
          <w:left w:w="0" w:type="dxa"/>
          <w:bottom w:w="0" w:type="dxa"/>
          <w:right w:w="0" w:type="dxa"/>
        </w:tblCellMar>
      </w:tblPr>
      <w:tr>
        <w:trPr>
          <w:trHeight w:val="217"/>
        </w:trPr>
        <w:tc>
          <w:tcPr>
            <w:tcW w:w="8220" w:type="dxa"/>
            <w:vAlign w:val="bottom"/>
          </w:tcPr>
          <w:p>
            <w:pPr>
              <w:spacing w:after="0"/>
              <w:rPr>
                <w:sz w:val="20"/>
                <w:szCs w:val="20"/>
                <w:color w:val="auto"/>
              </w:rPr>
            </w:pPr>
            <w:r>
              <w:rPr>
                <w:rFonts w:ascii="Arial" w:cs="Arial" w:eastAsia="Arial" w:hAnsi="Arial"/>
                <w:sz w:val="18"/>
                <w:szCs w:val="18"/>
                <w:color w:val="auto"/>
              </w:rPr>
              <w:t>The Company held derivative instruments with absolute notional values as follows:</w:t>
            </w:r>
          </w:p>
        </w:tc>
        <w:tc>
          <w:tcPr>
            <w:tcW w:w="7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57"/>
        </w:trPr>
        <w:tc>
          <w:tcPr>
            <w:tcW w:w="8220" w:type="dxa"/>
            <w:vAlign w:val="bottom"/>
          </w:tcPr>
          <w:p>
            <w:pPr>
              <w:spacing w:after="0"/>
              <w:rPr>
                <w:sz w:val="22"/>
                <w:szCs w:val="22"/>
                <w:color w:val="auto"/>
              </w:rPr>
            </w:pPr>
          </w:p>
        </w:tc>
        <w:tc>
          <w:tcPr>
            <w:tcW w:w="1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As of March 31, 2021</w:t>
            </w:r>
          </w:p>
        </w:tc>
      </w:tr>
      <w:tr>
        <w:trPr>
          <w:trHeight w:val="223"/>
        </w:trPr>
        <w:tc>
          <w:tcPr>
            <w:tcW w:w="8220" w:type="dxa"/>
            <w:vAlign w:val="bottom"/>
          </w:tcPr>
          <w:p>
            <w:pPr>
              <w:ind w:left="20"/>
              <w:spacing w:after="0"/>
              <w:rPr>
                <w:sz w:val="20"/>
                <w:szCs w:val="20"/>
                <w:color w:val="auto"/>
              </w:rPr>
            </w:pPr>
            <w:r>
              <w:rPr>
                <w:rFonts w:ascii="Arial" w:cs="Arial" w:eastAsia="Arial" w:hAnsi="Arial"/>
                <w:sz w:val="18"/>
                <w:szCs w:val="18"/>
                <w:color w:val="auto"/>
              </w:rPr>
              <w:t>Foreign exchange contracts</w:t>
            </w:r>
          </w:p>
        </w:tc>
        <w:tc>
          <w:tcPr>
            <w:tcW w:w="760" w:type="dxa"/>
            <w:vAlign w:val="bottom"/>
          </w:tcPr>
          <w:p>
            <w:pPr>
              <w:jc w:val="right"/>
              <w:ind w:right="5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1,711</w:t>
            </w:r>
          </w:p>
        </w:tc>
      </w:tr>
      <w:tr>
        <w:trPr>
          <w:trHeight w:val="242"/>
        </w:trPr>
        <w:tc>
          <w:tcPr>
            <w:tcW w:w="8220" w:type="dxa"/>
            <w:vAlign w:val="bottom"/>
          </w:tcPr>
          <w:p>
            <w:pPr>
              <w:ind w:left="20"/>
              <w:spacing w:after="0" w:line="242" w:lineRule="exact"/>
              <w:rPr>
                <w:sz w:val="20"/>
                <w:szCs w:val="20"/>
                <w:color w:val="auto"/>
              </w:rPr>
            </w:pPr>
            <w:r>
              <w:rPr>
                <w:rFonts w:ascii="Arial" w:cs="Arial" w:eastAsia="Arial" w:hAnsi="Arial"/>
                <w:sz w:val="18"/>
                <w:szCs w:val="18"/>
                <w:color w:val="auto"/>
              </w:rPr>
              <w:t xml:space="preserve">Interest rate caps </w:t>
            </w:r>
            <w:r>
              <w:rPr>
                <w:rFonts w:ascii="Arial" w:cs="Arial" w:eastAsia="Arial" w:hAnsi="Arial"/>
                <w:sz w:val="23"/>
                <w:szCs w:val="23"/>
                <w:color w:val="auto"/>
                <w:vertAlign w:val="superscript"/>
              </w:rPr>
              <w:t>(a)</w:t>
            </w:r>
          </w:p>
        </w:tc>
        <w:tc>
          <w:tcPr>
            <w:tcW w:w="7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8,686</w:t>
            </w:r>
          </w:p>
        </w:tc>
      </w:tr>
      <w:tr>
        <w:trPr>
          <w:trHeight w:val="217"/>
        </w:trPr>
        <w:tc>
          <w:tcPr>
            <w:tcW w:w="8220" w:type="dxa"/>
            <w:vAlign w:val="bottom"/>
          </w:tcPr>
          <w:p>
            <w:pPr>
              <w:ind w:left="20"/>
              <w:spacing w:after="0"/>
              <w:rPr>
                <w:sz w:val="20"/>
                <w:szCs w:val="20"/>
                <w:color w:val="auto"/>
              </w:rPr>
            </w:pPr>
            <w:r>
              <w:rPr>
                <w:rFonts w:ascii="Arial" w:cs="Arial" w:eastAsia="Arial" w:hAnsi="Arial"/>
                <w:sz w:val="18"/>
                <w:szCs w:val="18"/>
                <w:color w:val="auto"/>
              </w:rPr>
              <w:t>Interest rate swaps</w:t>
            </w:r>
          </w:p>
        </w:tc>
        <w:tc>
          <w:tcPr>
            <w:tcW w:w="7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1,950</w:t>
            </w:r>
          </w:p>
        </w:tc>
      </w:tr>
    </w:tbl>
    <w:p>
      <w:pPr>
        <w:spacing w:after="0" w:line="10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__________</w:t>
      </w:r>
    </w:p>
    <w:p>
      <w:pPr>
        <w:spacing w:after="0" w:line="15" w:lineRule="exact"/>
        <w:rPr>
          <w:sz w:val="20"/>
          <w:szCs w:val="20"/>
          <w:color w:val="auto"/>
        </w:rPr>
      </w:pPr>
    </w:p>
    <w:p>
      <w:pPr>
        <w:ind w:left="820" w:hanging="326"/>
        <w:spacing w:after="0" w:line="211" w:lineRule="auto"/>
        <w:tabs>
          <w:tab w:leader="none" w:pos="813" w:val="left"/>
        </w:tabs>
        <w:numPr>
          <w:ilvl w:val="0"/>
          <w:numId w:val="29"/>
        </w:numPr>
        <w:rPr>
          <w:rFonts w:ascii="Arial" w:cs="Arial" w:eastAsia="Arial" w:hAnsi="Arial"/>
          <w:sz w:val="19"/>
          <w:szCs w:val="19"/>
          <w:color w:val="auto"/>
          <w:vertAlign w:val="superscript"/>
        </w:rPr>
      </w:pPr>
      <w:r>
        <w:rPr>
          <w:rFonts w:ascii="Arial" w:cs="Arial" w:eastAsia="Arial" w:hAnsi="Arial"/>
          <w:sz w:val="14"/>
          <w:szCs w:val="14"/>
          <w:color w:val="auto"/>
        </w:rPr>
        <w:t>Represents $5.8 billion of interest rate caps sold, partially offset by approximately $2.8 billion of interest rate caps purchased. These amounts exclude $3.0 billion of interest rate caps purchased by the Company’s Avis Budget Rental Car Funding subsidiary as it is not consolidated by the Company.</w:t>
      </w:r>
    </w:p>
    <w:p>
      <w:pPr>
        <w:spacing w:after="0" w:line="22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Estimated fair values (Level 2) of derivative instruments were as follows:</w:t>
      </w:r>
    </w:p>
    <w:p>
      <w:pPr>
        <w:spacing w:after="0" w:line="32" w:lineRule="exact"/>
        <w:rPr>
          <w:sz w:val="20"/>
          <w:szCs w:val="20"/>
          <w:color w:val="auto"/>
        </w:rPr>
      </w:pPr>
    </w:p>
    <w:tbl>
      <w:tblPr>
        <w:tblLayout w:type="fixed"/>
        <w:tblInd w:w="680" w:type="dxa"/>
        <w:tblCellMar>
          <w:top w:w="0" w:type="dxa"/>
          <w:left w:w="0" w:type="dxa"/>
          <w:bottom w:w="0" w:type="dxa"/>
          <w:right w:w="0" w:type="dxa"/>
        </w:tblCellMar>
      </w:tblPr>
      <w:tr>
        <w:trPr>
          <w:trHeight w:val="218"/>
        </w:trPr>
        <w:tc>
          <w:tcPr>
            <w:tcW w:w="4040" w:type="dxa"/>
            <w:vAlign w:val="bottom"/>
          </w:tcPr>
          <w:p>
            <w:pPr>
              <w:spacing w:after="0"/>
              <w:rPr>
                <w:sz w:val="18"/>
                <w:szCs w:val="18"/>
                <w:color w:val="auto"/>
              </w:rPr>
            </w:pPr>
          </w:p>
        </w:tc>
        <w:tc>
          <w:tcPr>
            <w:tcW w:w="2640" w:type="dxa"/>
            <w:vAlign w:val="bottom"/>
            <w:tcBorders>
              <w:bottom w:val="single" w:sz="8" w:color="auto"/>
            </w:tcBorders>
            <w:gridSpan w:val="4"/>
          </w:tcPr>
          <w:p>
            <w:pPr>
              <w:jc w:val="right"/>
              <w:ind w:right="299"/>
              <w:spacing w:after="0"/>
              <w:rPr>
                <w:sz w:val="20"/>
                <w:szCs w:val="20"/>
                <w:color w:val="auto"/>
              </w:rPr>
            </w:pPr>
            <w:r>
              <w:rPr>
                <w:rFonts w:ascii="Arial" w:cs="Arial" w:eastAsia="Arial" w:hAnsi="Arial"/>
                <w:sz w:val="16"/>
                <w:szCs w:val="16"/>
                <w:b w:val="1"/>
                <w:bCs w:val="1"/>
                <w:color w:val="auto"/>
              </w:rPr>
              <w:t>As of March 31, 2021</w:t>
            </w:r>
          </w:p>
        </w:tc>
        <w:tc>
          <w:tcPr>
            <w:tcW w:w="2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4"/>
          </w:tcPr>
          <w:p>
            <w:pPr>
              <w:jc w:val="right"/>
              <w:ind w:right="419"/>
              <w:spacing w:after="0"/>
              <w:rPr>
                <w:sz w:val="20"/>
                <w:szCs w:val="20"/>
                <w:color w:val="auto"/>
              </w:rPr>
            </w:pPr>
            <w:r>
              <w:rPr>
                <w:rFonts w:ascii="Arial" w:cs="Arial" w:eastAsia="Arial" w:hAnsi="Arial"/>
                <w:sz w:val="16"/>
                <w:szCs w:val="16"/>
                <w:b w:val="1"/>
                <w:bCs w:val="1"/>
                <w:color w:val="auto"/>
              </w:rPr>
              <w:t>As of December 31, 2020</w:t>
            </w:r>
          </w:p>
        </w:tc>
      </w:tr>
      <w:tr>
        <w:trPr>
          <w:trHeight w:val="158"/>
        </w:trPr>
        <w:tc>
          <w:tcPr>
            <w:tcW w:w="4040" w:type="dxa"/>
            <w:vAlign w:val="bottom"/>
          </w:tcPr>
          <w:p>
            <w:pPr>
              <w:spacing w:after="0"/>
              <w:rPr>
                <w:sz w:val="13"/>
                <w:szCs w:val="13"/>
                <w:color w:val="auto"/>
              </w:rPr>
            </w:pPr>
          </w:p>
        </w:tc>
        <w:tc>
          <w:tcPr>
            <w:tcW w:w="1120" w:type="dxa"/>
            <w:vAlign w:val="bottom"/>
          </w:tcPr>
          <w:p>
            <w:pPr>
              <w:jc w:val="center"/>
              <w:ind w:left="199"/>
              <w:spacing w:after="0" w:line="158" w:lineRule="exact"/>
              <w:rPr>
                <w:sz w:val="20"/>
                <w:szCs w:val="20"/>
                <w:color w:val="auto"/>
              </w:rPr>
            </w:pPr>
            <w:r>
              <w:rPr>
                <w:rFonts w:ascii="Arial" w:cs="Arial" w:eastAsia="Arial" w:hAnsi="Arial"/>
                <w:sz w:val="16"/>
                <w:szCs w:val="16"/>
                <w:b w:val="1"/>
                <w:bCs w:val="1"/>
                <w:color w:val="auto"/>
                <w:w w:val="98"/>
              </w:rPr>
              <w:t>Fair Value,</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center"/>
              <w:ind w:left="179"/>
              <w:spacing w:after="0" w:line="158" w:lineRule="exact"/>
              <w:rPr>
                <w:sz w:val="20"/>
                <w:szCs w:val="20"/>
                <w:color w:val="auto"/>
              </w:rPr>
            </w:pPr>
            <w:r>
              <w:rPr>
                <w:rFonts w:ascii="Arial" w:cs="Arial" w:eastAsia="Arial" w:hAnsi="Arial"/>
                <w:sz w:val="16"/>
                <w:szCs w:val="16"/>
                <w:b w:val="1"/>
                <w:bCs w:val="1"/>
                <w:color w:val="auto"/>
              </w:rPr>
              <w:t>Fair Value,</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gridSpan w:val="2"/>
          </w:tcPr>
          <w:p>
            <w:pPr>
              <w:jc w:val="center"/>
              <w:ind w:right="300"/>
              <w:spacing w:after="0" w:line="158" w:lineRule="exact"/>
              <w:rPr>
                <w:sz w:val="20"/>
                <w:szCs w:val="20"/>
                <w:color w:val="auto"/>
              </w:rPr>
            </w:pPr>
            <w:r>
              <w:rPr>
                <w:rFonts w:ascii="Arial" w:cs="Arial" w:eastAsia="Arial" w:hAnsi="Arial"/>
                <w:sz w:val="16"/>
                <w:szCs w:val="16"/>
                <w:b w:val="1"/>
                <w:bCs w:val="1"/>
                <w:color w:val="auto"/>
              </w:rPr>
              <w:t>Fair Value,</w:t>
            </w:r>
          </w:p>
        </w:tc>
        <w:tc>
          <w:tcPr>
            <w:tcW w:w="200" w:type="dxa"/>
            <w:vAlign w:val="bottom"/>
          </w:tcPr>
          <w:p>
            <w:pPr>
              <w:spacing w:after="0"/>
              <w:rPr>
                <w:sz w:val="13"/>
                <w:szCs w:val="13"/>
                <w:color w:val="auto"/>
              </w:rPr>
            </w:pPr>
          </w:p>
        </w:tc>
        <w:tc>
          <w:tcPr>
            <w:tcW w:w="1200" w:type="dxa"/>
            <w:vAlign w:val="bottom"/>
          </w:tcPr>
          <w:p>
            <w:pPr>
              <w:jc w:val="center"/>
              <w:ind w:right="119"/>
              <w:spacing w:after="0" w:line="158" w:lineRule="exact"/>
              <w:rPr>
                <w:sz w:val="20"/>
                <w:szCs w:val="20"/>
                <w:color w:val="auto"/>
              </w:rPr>
            </w:pPr>
            <w:r>
              <w:rPr>
                <w:rFonts w:ascii="Arial" w:cs="Arial" w:eastAsia="Arial" w:hAnsi="Arial"/>
                <w:sz w:val="16"/>
                <w:szCs w:val="16"/>
                <w:b w:val="1"/>
                <w:bCs w:val="1"/>
                <w:color w:val="auto"/>
                <w:w w:val="98"/>
              </w:rPr>
              <w:t>Fair Value,</w:t>
            </w:r>
          </w:p>
        </w:tc>
      </w:tr>
      <w:tr>
        <w:trPr>
          <w:trHeight w:val="162"/>
        </w:trPr>
        <w:tc>
          <w:tcPr>
            <w:tcW w:w="4040" w:type="dxa"/>
            <w:vAlign w:val="bottom"/>
          </w:tcPr>
          <w:p>
            <w:pPr>
              <w:spacing w:after="0"/>
              <w:rPr>
                <w:sz w:val="14"/>
                <w:szCs w:val="14"/>
                <w:color w:val="auto"/>
              </w:rPr>
            </w:pPr>
          </w:p>
        </w:tc>
        <w:tc>
          <w:tcPr>
            <w:tcW w:w="1120" w:type="dxa"/>
            <w:vAlign w:val="bottom"/>
          </w:tcPr>
          <w:p>
            <w:pPr>
              <w:jc w:val="center"/>
              <w:ind w:left="199"/>
              <w:spacing w:after="0" w:line="162" w:lineRule="exact"/>
              <w:rPr>
                <w:sz w:val="20"/>
                <w:szCs w:val="20"/>
                <w:color w:val="auto"/>
              </w:rPr>
            </w:pPr>
            <w:r>
              <w:rPr>
                <w:rFonts w:ascii="Arial" w:cs="Arial" w:eastAsia="Arial" w:hAnsi="Arial"/>
                <w:sz w:val="16"/>
                <w:szCs w:val="16"/>
                <w:b w:val="1"/>
                <w:bCs w:val="1"/>
                <w:color w:val="auto"/>
                <w:w w:val="99"/>
              </w:rPr>
              <w:t>Derivative</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center"/>
              <w:ind w:left="179"/>
              <w:spacing w:after="0" w:line="162" w:lineRule="exact"/>
              <w:rPr>
                <w:sz w:val="20"/>
                <w:szCs w:val="20"/>
                <w:color w:val="auto"/>
              </w:rPr>
            </w:pPr>
            <w:r>
              <w:rPr>
                <w:rFonts w:ascii="Arial" w:cs="Arial" w:eastAsia="Arial" w:hAnsi="Arial"/>
                <w:sz w:val="16"/>
                <w:szCs w:val="16"/>
                <w:b w:val="1"/>
                <w:bCs w:val="1"/>
                <w:color w:val="auto"/>
              </w:rPr>
              <w:t>Derivative</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tcPr>
          <w:p>
            <w:pPr>
              <w:jc w:val="center"/>
              <w:ind w:right="300"/>
              <w:spacing w:after="0" w:line="162" w:lineRule="exact"/>
              <w:rPr>
                <w:sz w:val="20"/>
                <w:szCs w:val="20"/>
                <w:color w:val="auto"/>
              </w:rPr>
            </w:pPr>
            <w:r>
              <w:rPr>
                <w:rFonts w:ascii="Arial" w:cs="Arial" w:eastAsia="Arial" w:hAnsi="Arial"/>
                <w:sz w:val="16"/>
                <w:szCs w:val="16"/>
                <w:b w:val="1"/>
                <w:bCs w:val="1"/>
                <w:color w:val="auto"/>
              </w:rPr>
              <w:t>Derivative</w:t>
            </w:r>
          </w:p>
        </w:tc>
        <w:tc>
          <w:tcPr>
            <w:tcW w:w="200" w:type="dxa"/>
            <w:vAlign w:val="bottom"/>
          </w:tcPr>
          <w:p>
            <w:pPr>
              <w:spacing w:after="0"/>
              <w:rPr>
                <w:sz w:val="14"/>
                <w:szCs w:val="14"/>
                <w:color w:val="auto"/>
              </w:rPr>
            </w:pPr>
          </w:p>
        </w:tc>
        <w:tc>
          <w:tcPr>
            <w:tcW w:w="1200" w:type="dxa"/>
            <w:vAlign w:val="bottom"/>
          </w:tcPr>
          <w:p>
            <w:pPr>
              <w:jc w:val="center"/>
              <w:ind w:right="119"/>
              <w:spacing w:after="0" w:line="162" w:lineRule="exact"/>
              <w:rPr>
                <w:sz w:val="20"/>
                <w:szCs w:val="20"/>
                <w:color w:val="auto"/>
              </w:rPr>
            </w:pPr>
            <w:r>
              <w:rPr>
                <w:rFonts w:ascii="Arial" w:cs="Arial" w:eastAsia="Arial" w:hAnsi="Arial"/>
                <w:sz w:val="16"/>
                <w:szCs w:val="16"/>
                <w:b w:val="1"/>
                <w:bCs w:val="1"/>
                <w:color w:val="auto"/>
                <w:w w:val="99"/>
              </w:rPr>
              <w:t>Derivative</w:t>
            </w:r>
          </w:p>
        </w:tc>
      </w:tr>
      <w:tr>
        <w:trPr>
          <w:trHeight w:val="215"/>
        </w:trPr>
        <w:tc>
          <w:tcPr>
            <w:tcW w:w="4040" w:type="dxa"/>
            <w:vAlign w:val="bottom"/>
          </w:tcPr>
          <w:p>
            <w:pPr>
              <w:spacing w:after="0"/>
              <w:rPr>
                <w:sz w:val="18"/>
                <w:szCs w:val="18"/>
                <w:color w:val="auto"/>
              </w:rPr>
            </w:pPr>
          </w:p>
        </w:tc>
        <w:tc>
          <w:tcPr>
            <w:tcW w:w="1120" w:type="dxa"/>
            <w:vAlign w:val="bottom"/>
          </w:tcPr>
          <w:p>
            <w:pPr>
              <w:jc w:val="center"/>
              <w:ind w:left="199"/>
              <w:spacing w:after="0"/>
              <w:rPr>
                <w:sz w:val="20"/>
                <w:szCs w:val="20"/>
                <w:color w:val="auto"/>
              </w:rPr>
            </w:pPr>
            <w:r>
              <w:rPr>
                <w:rFonts w:ascii="Arial" w:cs="Arial" w:eastAsia="Arial" w:hAnsi="Arial"/>
                <w:sz w:val="16"/>
                <w:szCs w:val="16"/>
                <w:b w:val="1"/>
                <w:bCs w:val="1"/>
                <w:color w:val="auto"/>
                <w:w w:val="99"/>
              </w:rPr>
              <w:t>Assets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ind w:left="179"/>
              <w:spacing w:after="0"/>
              <w:rPr>
                <w:sz w:val="20"/>
                <w:szCs w:val="20"/>
                <w:color w:val="auto"/>
              </w:rPr>
            </w:pPr>
            <w:r>
              <w:rPr>
                <w:rFonts w:ascii="Arial" w:cs="Arial" w:eastAsia="Arial" w:hAnsi="Arial"/>
                <w:sz w:val="16"/>
                <w:szCs w:val="16"/>
                <w:b w:val="1"/>
                <w:bCs w:val="1"/>
                <w:color w:val="auto"/>
              </w:rPr>
              <w:t>Liabilities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Assets</w:t>
            </w:r>
          </w:p>
        </w:tc>
        <w:tc>
          <w:tcPr>
            <w:tcW w:w="200" w:type="dxa"/>
            <w:vAlign w:val="bottom"/>
          </w:tcPr>
          <w:p>
            <w:pPr>
              <w:spacing w:after="0"/>
              <w:rPr>
                <w:sz w:val="18"/>
                <w:szCs w:val="18"/>
                <w:color w:val="auto"/>
              </w:rPr>
            </w:pPr>
          </w:p>
        </w:tc>
        <w:tc>
          <w:tcPr>
            <w:tcW w:w="1200" w:type="dxa"/>
            <w:vAlign w:val="bottom"/>
          </w:tcPr>
          <w:p>
            <w:pPr>
              <w:jc w:val="center"/>
              <w:ind w:right="119"/>
              <w:spacing w:after="0"/>
              <w:rPr>
                <w:sz w:val="20"/>
                <w:szCs w:val="20"/>
                <w:color w:val="auto"/>
              </w:rPr>
            </w:pPr>
            <w:r>
              <w:rPr>
                <w:rFonts w:ascii="Arial" w:cs="Arial" w:eastAsia="Arial" w:hAnsi="Arial"/>
                <w:sz w:val="16"/>
                <w:szCs w:val="16"/>
                <w:b w:val="1"/>
                <w:bCs w:val="1"/>
                <w:color w:val="auto"/>
              </w:rPr>
              <w:t>Liabilities</w:t>
            </w:r>
          </w:p>
        </w:tc>
      </w:tr>
      <w:tr>
        <w:trPr>
          <w:trHeight w:val="195"/>
        </w:trPr>
        <w:tc>
          <w:tcPr>
            <w:tcW w:w="4040" w:type="dxa"/>
            <w:vAlign w:val="bottom"/>
          </w:tcPr>
          <w:p>
            <w:pPr>
              <w:spacing w:after="0"/>
              <w:rPr>
                <w:sz w:val="20"/>
                <w:szCs w:val="20"/>
                <w:color w:val="auto"/>
              </w:rPr>
            </w:pPr>
            <w:r>
              <w:rPr>
                <w:rFonts w:ascii="Arial" w:cs="Arial" w:eastAsia="Arial" w:hAnsi="Arial"/>
                <w:sz w:val="16"/>
                <w:szCs w:val="16"/>
                <w:b w:val="1"/>
                <w:bCs w:val="1"/>
                <w:color w:val="auto"/>
              </w:rPr>
              <w:t>Derivatives designated as hedging instruments</w:t>
            </w:r>
          </w:p>
        </w:tc>
        <w:tc>
          <w:tcPr>
            <w:tcW w:w="11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r>
      <w:tr>
        <w:trPr>
          <w:trHeight w:val="284"/>
        </w:trPr>
        <w:tc>
          <w:tcPr>
            <w:tcW w:w="4040" w:type="dxa"/>
            <w:vAlign w:val="bottom"/>
          </w:tcPr>
          <w:p>
            <w:pPr>
              <w:ind w:left="40"/>
              <w:spacing w:after="0"/>
              <w:rPr>
                <w:sz w:val="20"/>
                <w:szCs w:val="20"/>
                <w:color w:val="auto"/>
              </w:rPr>
            </w:pPr>
            <w:r>
              <w:rPr>
                <w:rFonts w:ascii="Arial" w:cs="Arial" w:eastAsia="Arial" w:hAnsi="Arial"/>
                <w:sz w:val="16"/>
                <w:szCs w:val="16"/>
                <w:color w:val="auto"/>
              </w:rPr>
              <w:t xml:space="preserve">Interest rate swaps </w:t>
            </w:r>
            <w:r>
              <w:rPr>
                <w:rFonts w:ascii="Arial" w:cs="Arial" w:eastAsia="Arial" w:hAnsi="Arial"/>
                <w:sz w:val="21"/>
                <w:szCs w:val="21"/>
                <w:color w:val="auto"/>
                <w:vertAlign w:val="superscript"/>
              </w:rPr>
              <w:t>(a)</w:t>
            </w:r>
          </w:p>
        </w:tc>
        <w:tc>
          <w:tcPr>
            <w:tcW w:w="1120" w:type="dxa"/>
            <w:vAlign w:val="bottom"/>
          </w:tcPr>
          <w:p>
            <w:pPr>
              <w:jc w:val="right"/>
              <w:ind w:right="939"/>
              <w:spacing w:after="0"/>
              <w:rPr>
                <w:sz w:val="20"/>
                <w:szCs w:val="20"/>
                <w:color w:val="auto"/>
              </w:rPr>
            </w:pPr>
            <w:r>
              <w:rPr>
                <w:rFonts w:ascii="Arial" w:cs="Arial" w:eastAsia="Arial" w:hAnsi="Arial"/>
                <w:sz w:val="16"/>
                <w:szCs w:val="16"/>
                <w:color w:val="auto"/>
                <w:w w:val="89"/>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4"/>
                <w:szCs w:val="24"/>
                <w:color w:val="auto"/>
              </w:rPr>
            </w:pPr>
          </w:p>
        </w:tc>
        <w:tc>
          <w:tcPr>
            <w:tcW w:w="1120" w:type="dxa"/>
            <w:vAlign w:val="bottom"/>
          </w:tcPr>
          <w:p>
            <w:pPr>
              <w:jc w:val="right"/>
              <w:ind w:right="939"/>
              <w:spacing w:after="0"/>
              <w:rPr>
                <w:sz w:val="20"/>
                <w:szCs w:val="20"/>
                <w:color w:val="auto"/>
              </w:rPr>
            </w:pPr>
            <w:r>
              <w:rPr>
                <w:rFonts w:ascii="Arial" w:cs="Arial" w:eastAsia="Arial" w:hAnsi="Arial"/>
                <w:sz w:val="16"/>
                <w:szCs w:val="16"/>
                <w:color w:val="auto"/>
                <w:w w:val="89"/>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69</w:t>
            </w:r>
          </w:p>
        </w:tc>
      </w:tr>
      <w:tr>
        <w:trPr>
          <w:trHeight w:val="361"/>
        </w:trPr>
        <w:tc>
          <w:tcPr>
            <w:tcW w:w="4040" w:type="dxa"/>
            <w:vAlign w:val="bottom"/>
          </w:tcPr>
          <w:p>
            <w:pPr>
              <w:spacing w:after="0"/>
              <w:rPr>
                <w:sz w:val="20"/>
                <w:szCs w:val="20"/>
                <w:color w:val="auto"/>
              </w:rPr>
            </w:pPr>
            <w:r>
              <w:rPr>
                <w:rFonts w:ascii="Arial" w:cs="Arial" w:eastAsia="Arial" w:hAnsi="Arial"/>
                <w:sz w:val="16"/>
                <w:szCs w:val="16"/>
                <w:b w:val="1"/>
                <w:bCs w:val="1"/>
                <w:color w:val="auto"/>
              </w:rPr>
              <w:t>Derivatives not designated as hedging instruments</w:t>
            </w: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35"/>
        </w:trPr>
        <w:tc>
          <w:tcPr>
            <w:tcW w:w="4040" w:type="dxa"/>
            <w:vAlign w:val="bottom"/>
          </w:tcPr>
          <w:p>
            <w:pPr>
              <w:ind w:left="40"/>
              <w:spacing w:after="0" w:line="235" w:lineRule="exact"/>
              <w:rPr>
                <w:sz w:val="20"/>
                <w:szCs w:val="20"/>
                <w:color w:val="auto"/>
              </w:rPr>
            </w:pPr>
            <w:r>
              <w:rPr>
                <w:rFonts w:ascii="Arial" w:cs="Arial" w:eastAsia="Arial" w:hAnsi="Arial"/>
                <w:sz w:val="16"/>
                <w:szCs w:val="16"/>
                <w:color w:val="auto"/>
              </w:rPr>
              <w:t xml:space="preserve">Foreign exchange contracts </w:t>
            </w:r>
            <w:r>
              <w:rPr>
                <w:rFonts w:ascii="Arial" w:cs="Arial" w:eastAsia="Arial" w:hAnsi="Arial"/>
                <w:sz w:val="21"/>
                <w:szCs w:val="21"/>
                <w:color w:val="auto"/>
                <w:vertAlign w:val="superscript"/>
              </w:rPr>
              <w:t>(b)</w:t>
            </w:r>
          </w:p>
        </w:tc>
        <w:tc>
          <w:tcPr>
            <w:tcW w:w="112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03"/>
        </w:trPr>
        <w:tc>
          <w:tcPr>
            <w:tcW w:w="4040" w:type="dxa"/>
            <w:vAlign w:val="bottom"/>
          </w:tcPr>
          <w:p>
            <w:pPr>
              <w:ind w:left="40"/>
              <w:spacing w:after="0" w:line="204" w:lineRule="exact"/>
              <w:rPr>
                <w:sz w:val="20"/>
                <w:szCs w:val="20"/>
                <w:color w:val="auto"/>
              </w:rPr>
            </w:pPr>
            <w:r>
              <w:rPr>
                <w:rFonts w:ascii="Arial" w:cs="Arial" w:eastAsia="Arial" w:hAnsi="Arial"/>
                <w:sz w:val="16"/>
                <w:szCs w:val="16"/>
                <w:color w:val="auto"/>
              </w:rPr>
              <w:t xml:space="preserve">Interest rate caps </w:t>
            </w:r>
            <w:r>
              <w:rPr>
                <w:rFonts w:ascii="Arial" w:cs="Arial" w:eastAsia="Arial" w:hAnsi="Arial"/>
                <w:sz w:val="21"/>
                <w:szCs w:val="21"/>
                <w:color w:val="auto"/>
                <w:vertAlign w:val="superscript"/>
              </w:rPr>
              <w:t>(c)</w:t>
            </w:r>
          </w:p>
        </w:tc>
        <w:tc>
          <w:tcPr>
            <w:tcW w:w="112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4040" w:type="dxa"/>
            <w:vAlign w:val="bottom"/>
          </w:tcPr>
          <w:p>
            <w:pPr>
              <w:ind w:left="40"/>
              <w:spacing w:after="0"/>
              <w:rPr>
                <w:sz w:val="20"/>
                <w:szCs w:val="20"/>
                <w:color w:val="auto"/>
              </w:rPr>
            </w:pPr>
            <w:r>
              <w:rPr>
                <w:rFonts w:ascii="Arial" w:cs="Arial" w:eastAsia="Arial" w:hAnsi="Arial"/>
                <w:sz w:val="16"/>
                <w:szCs w:val="16"/>
                <w:color w:val="auto"/>
              </w:rPr>
              <w:t>Total</w:t>
            </w:r>
          </w:p>
        </w:tc>
        <w:tc>
          <w:tcPr>
            <w:tcW w:w="1120" w:type="dxa"/>
            <w:vAlign w:val="bottom"/>
            <w:tcBorders>
              <w:top w:val="single" w:sz="8" w:color="auto"/>
              <w:bottom w:val="single" w:sz="8" w:color="auto"/>
            </w:tcBorders>
          </w:tcPr>
          <w:p>
            <w:pPr>
              <w:jc w:val="right"/>
              <w:ind w:right="939"/>
              <w:spacing w:after="0"/>
              <w:rPr>
                <w:sz w:val="20"/>
                <w:szCs w:val="20"/>
                <w:color w:val="auto"/>
              </w:rPr>
            </w:pPr>
            <w:r>
              <w:rPr>
                <w:rFonts w:ascii="Arial" w:cs="Arial" w:eastAsia="Arial" w:hAnsi="Arial"/>
                <w:sz w:val="16"/>
                <w:szCs w:val="16"/>
                <w:color w:val="auto"/>
                <w:w w:val="89"/>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ind w:right="939"/>
              <w:spacing w:after="0"/>
              <w:rPr>
                <w:sz w:val="20"/>
                <w:szCs w:val="20"/>
                <w:color w:val="auto"/>
              </w:rPr>
            </w:pPr>
            <w:r>
              <w:rPr>
                <w:rFonts w:ascii="Arial" w:cs="Arial" w:eastAsia="Arial" w:hAnsi="Arial"/>
                <w:sz w:val="16"/>
                <w:szCs w:val="16"/>
                <w:color w:val="auto"/>
                <w:w w:val="89"/>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80</w:t>
            </w:r>
          </w:p>
        </w:tc>
      </w:tr>
      <w:tr>
        <w:trPr>
          <w:trHeight w:val="21"/>
        </w:trPr>
        <w:tc>
          <w:tcPr>
            <w:tcW w:w="40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1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__________</w:t>
      </w:r>
    </w:p>
    <w:p>
      <w:pPr>
        <w:spacing w:after="0" w:line="8" w:lineRule="exact"/>
        <w:rPr>
          <w:sz w:val="20"/>
          <w:szCs w:val="20"/>
          <w:color w:val="auto"/>
        </w:rPr>
      </w:pPr>
    </w:p>
    <w:p>
      <w:pPr>
        <w:ind w:left="500" w:right="60"/>
        <w:spacing w:after="0" w:line="235" w:lineRule="auto"/>
        <w:rPr>
          <w:sz w:val="20"/>
          <w:szCs w:val="20"/>
          <w:color w:val="auto"/>
        </w:rPr>
      </w:pPr>
      <w:r>
        <w:rPr>
          <w:rFonts w:ascii="Arial" w:cs="Arial" w:eastAsia="Arial" w:hAnsi="Arial"/>
          <w:sz w:val="14"/>
          <w:szCs w:val="14"/>
          <w:color w:val="auto"/>
        </w:rPr>
        <w:t>Amounts in this table exclude derivatives issued by Avis Budget Rental Car Funding, as it is not consolidated by the Company; however, certain amounts related to the derivatives held by Avis Budget Rental Car Funding are included within accumulated other comprehensive income (loss), as discussed in Note 13–Stockholders’ Equity.</w:t>
      </w:r>
    </w:p>
    <w:p>
      <w:pPr>
        <w:ind w:left="820" w:hanging="326"/>
        <w:spacing w:after="0" w:line="187" w:lineRule="auto"/>
        <w:tabs>
          <w:tab w:leader="none" w:pos="820" w:val="left"/>
        </w:tabs>
        <w:numPr>
          <w:ilvl w:val="0"/>
          <w:numId w:val="30"/>
        </w:numPr>
        <w:rPr>
          <w:rFonts w:ascii="Arial" w:cs="Arial" w:eastAsia="Arial" w:hAnsi="Arial"/>
          <w:sz w:val="19"/>
          <w:szCs w:val="19"/>
          <w:color w:val="auto"/>
          <w:vertAlign w:val="superscript"/>
        </w:rPr>
      </w:pPr>
      <w:r>
        <w:rPr>
          <w:rFonts w:ascii="Arial" w:cs="Arial" w:eastAsia="Arial" w:hAnsi="Arial"/>
          <w:sz w:val="14"/>
          <w:szCs w:val="14"/>
          <w:color w:val="auto"/>
        </w:rPr>
        <w:t>Included in other non-current assets or other non-current liabilities.</w:t>
      </w:r>
    </w:p>
    <w:p>
      <w:pPr>
        <w:ind w:left="820" w:hanging="326"/>
        <w:spacing w:after="0" w:line="187" w:lineRule="auto"/>
        <w:tabs>
          <w:tab w:leader="none" w:pos="820" w:val="left"/>
        </w:tabs>
        <w:numPr>
          <w:ilvl w:val="0"/>
          <w:numId w:val="30"/>
        </w:numPr>
        <w:rPr>
          <w:rFonts w:ascii="Arial" w:cs="Arial" w:eastAsia="Arial" w:hAnsi="Arial"/>
          <w:sz w:val="18"/>
          <w:szCs w:val="18"/>
          <w:color w:val="auto"/>
          <w:vertAlign w:val="superscript"/>
        </w:rPr>
      </w:pPr>
      <w:r>
        <w:rPr>
          <w:rFonts w:ascii="Arial" w:cs="Arial" w:eastAsia="Arial" w:hAnsi="Arial"/>
          <w:sz w:val="14"/>
          <w:szCs w:val="14"/>
          <w:color w:val="auto"/>
        </w:rPr>
        <w:t>Included in other current assets or other current liabilities.</w:t>
      </w:r>
    </w:p>
    <w:p>
      <w:pPr>
        <w:ind w:left="800" w:hanging="306"/>
        <w:spacing w:after="0" w:line="189" w:lineRule="auto"/>
        <w:tabs>
          <w:tab w:leader="none" w:pos="800" w:val="left"/>
        </w:tabs>
        <w:numPr>
          <w:ilvl w:val="0"/>
          <w:numId w:val="30"/>
        </w:numPr>
        <w:rPr>
          <w:rFonts w:ascii="Arial" w:cs="Arial" w:eastAsia="Arial" w:hAnsi="Arial"/>
          <w:sz w:val="19"/>
          <w:szCs w:val="19"/>
          <w:color w:val="auto"/>
          <w:vertAlign w:val="superscript"/>
        </w:rPr>
      </w:pPr>
      <w:r>
        <w:rPr>
          <w:rFonts w:ascii="Arial" w:cs="Arial" w:eastAsia="Arial" w:hAnsi="Arial"/>
          <w:sz w:val="14"/>
          <w:szCs w:val="14"/>
          <w:color w:val="auto"/>
        </w:rPr>
        <w:t>Included in assets under vehicle programs or liabilities under vehicle programs.</w:t>
      </w:r>
    </w:p>
    <w:p>
      <w:pPr>
        <w:spacing w:after="0" w:line="22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effects of derivatives recognized in the Company’s Consolidated Condensed Financial Statements were as follows:</w:t>
      </w:r>
    </w:p>
    <w:p>
      <w:pPr>
        <w:spacing w:after="0" w:line="30" w:lineRule="exact"/>
        <w:rPr>
          <w:sz w:val="20"/>
          <w:szCs w:val="20"/>
          <w:color w:val="auto"/>
        </w:rPr>
      </w:pPr>
    </w:p>
    <w:p>
      <w:pPr>
        <w:jc w:val="center"/>
        <w:ind w:left="6900"/>
        <w:spacing w:after="0"/>
        <w:rPr>
          <w:sz w:val="20"/>
          <w:szCs w:val="20"/>
          <w:color w:val="auto"/>
        </w:rPr>
      </w:pPr>
      <w:r>
        <w:rPr>
          <w:rFonts w:ascii="Arial" w:cs="Arial" w:eastAsia="Arial" w:hAnsi="Arial"/>
          <w:sz w:val="16"/>
          <w:szCs w:val="16"/>
          <w:b w:val="1"/>
          <w:bCs w:val="1"/>
          <w:color w:val="auto"/>
        </w:rPr>
        <w:t>Three Months Ended</w:t>
      </w:r>
    </w:p>
    <w:p>
      <w:pPr>
        <w:jc w:val="center"/>
        <w:ind w:left="6940"/>
        <w:spacing w:after="0"/>
        <w:rPr>
          <w:sz w:val="20"/>
          <w:szCs w:val="20"/>
          <w:color w:val="auto"/>
        </w:rPr>
      </w:pPr>
      <w:r>
        <w:rPr>
          <w:rFonts w:ascii="Arial" w:cs="Arial" w:eastAsia="Arial" w:hAnsi="Arial"/>
          <w:sz w:val="16"/>
          <w:szCs w:val="16"/>
          <w:b w:val="1"/>
          <w:bCs w:val="1"/>
          <w:color w:val="auto"/>
        </w:rPr>
        <w:t>March 31,</w:t>
      </w:r>
    </w:p>
    <w:p>
      <w:pPr>
        <w:spacing w:after="0" w:line="11" w:lineRule="exact"/>
        <w:rPr>
          <w:sz w:val="20"/>
          <w:szCs w:val="20"/>
          <w:color w:val="auto"/>
        </w:rPr>
      </w:pPr>
    </w:p>
    <w:tbl>
      <w:tblPr>
        <w:tblLayout w:type="fixed"/>
        <w:tblInd w:w="520" w:type="dxa"/>
        <w:tblCellMar>
          <w:top w:w="0" w:type="dxa"/>
          <w:left w:w="0" w:type="dxa"/>
          <w:bottom w:w="0" w:type="dxa"/>
          <w:right w:w="0" w:type="dxa"/>
        </w:tblCellMar>
      </w:tblPr>
      <w:tr>
        <w:trPr>
          <w:trHeight w:val="215"/>
        </w:trPr>
        <w:tc>
          <w:tcPr>
            <w:tcW w:w="712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2021</w:t>
            </w:r>
          </w:p>
        </w:tc>
        <w:tc>
          <w:tcPr>
            <w:tcW w:w="3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r>
      <w:tr>
        <w:trPr>
          <w:trHeight w:val="210"/>
        </w:trPr>
        <w:tc>
          <w:tcPr>
            <w:tcW w:w="7120" w:type="dxa"/>
            <w:vAlign w:val="bottom"/>
          </w:tcPr>
          <w:p>
            <w:pPr>
              <w:spacing w:after="0" w:line="210" w:lineRule="exact"/>
              <w:rPr>
                <w:sz w:val="20"/>
                <w:szCs w:val="20"/>
                <w:color w:val="auto"/>
              </w:rPr>
            </w:pPr>
            <w:r>
              <w:rPr>
                <w:rFonts w:ascii="Arial" w:cs="Arial" w:eastAsia="Arial" w:hAnsi="Arial"/>
                <w:sz w:val="16"/>
                <w:szCs w:val="16"/>
                <w:b w:val="1"/>
                <w:bCs w:val="1"/>
                <w:color w:val="auto"/>
              </w:rPr>
              <w:t xml:space="preserve">Derivatives designated as hedging instruments </w:t>
            </w:r>
            <w:r>
              <w:rPr>
                <w:rFonts w:ascii="Arial" w:cs="Arial" w:eastAsia="Arial" w:hAnsi="Arial"/>
                <w:sz w:val="21"/>
                <w:szCs w:val="21"/>
                <w:b w:val="1"/>
                <w:bCs w:val="1"/>
                <w:color w:val="auto"/>
                <w:vertAlign w:val="superscript"/>
              </w:rPr>
              <w:t>(a)</w:t>
            </w: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7120" w:type="dxa"/>
            <w:vAlign w:val="bottom"/>
          </w:tcPr>
          <w:p>
            <w:pPr>
              <w:ind w:left="160"/>
              <w:spacing w:after="0" w:line="216" w:lineRule="exact"/>
              <w:rPr>
                <w:sz w:val="20"/>
                <w:szCs w:val="20"/>
                <w:color w:val="auto"/>
              </w:rPr>
            </w:pPr>
            <w:r>
              <w:rPr>
                <w:rFonts w:ascii="Arial" w:cs="Arial" w:eastAsia="Arial" w:hAnsi="Arial"/>
                <w:sz w:val="16"/>
                <w:szCs w:val="16"/>
                <w:color w:val="auto"/>
              </w:rPr>
              <w:t xml:space="preserve">Interest rate swaps </w:t>
            </w:r>
            <w:r>
              <w:rPr>
                <w:rFonts w:ascii="Arial" w:cs="Arial" w:eastAsia="Arial" w:hAnsi="Arial"/>
                <w:sz w:val="21"/>
                <w:szCs w:val="21"/>
                <w:color w:val="auto"/>
                <w:vertAlign w:val="superscript"/>
              </w:rPr>
              <w:t>(b)</w:t>
            </w:r>
          </w:p>
        </w:tc>
        <w:tc>
          <w:tcPr>
            <w:tcW w:w="1020" w:type="dxa"/>
            <w:vAlign w:val="bottom"/>
          </w:tcPr>
          <w:p>
            <w:pPr>
              <w:jc w:val="right"/>
              <w:ind w:right="839"/>
              <w:spacing w:after="0"/>
              <w:rPr>
                <w:sz w:val="20"/>
                <w:szCs w:val="20"/>
                <w:color w:val="auto"/>
              </w:rPr>
            </w:pPr>
            <w:r>
              <w:rPr>
                <w:rFonts w:ascii="Arial" w:cs="Arial" w:eastAsia="Arial" w:hAnsi="Arial"/>
                <w:sz w:val="16"/>
                <w:szCs w:val="16"/>
                <w:color w:val="auto"/>
                <w:w w:val="89"/>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199"/>
        </w:trPr>
        <w:tc>
          <w:tcPr>
            <w:tcW w:w="7120" w:type="dxa"/>
            <w:vAlign w:val="bottom"/>
          </w:tcPr>
          <w:p>
            <w:pPr>
              <w:ind w:left="160"/>
              <w:spacing w:after="0" w:line="199" w:lineRule="exact"/>
              <w:rPr>
                <w:sz w:val="20"/>
                <w:szCs w:val="20"/>
                <w:color w:val="auto"/>
              </w:rPr>
            </w:pPr>
            <w:r>
              <w:rPr>
                <w:rFonts w:ascii="Arial" w:cs="Arial" w:eastAsia="Arial" w:hAnsi="Arial"/>
                <w:sz w:val="16"/>
                <w:szCs w:val="16"/>
                <w:color w:val="auto"/>
              </w:rPr>
              <w:t xml:space="preserve">Euro-denominated notes </w:t>
            </w:r>
            <w:r>
              <w:rPr>
                <w:rFonts w:ascii="Arial" w:cs="Arial" w:eastAsia="Arial" w:hAnsi="Arial"/>
                <w:sz w:val="21"/>
                <w:szCs w:val="21"/>
                <w:color w:val="auto"/>
                <w:vertAlign w:val="superscript"/>
              </w:rPr>
              <w:t>(c)</w:t>
            </w:r>
          </w:p>
        </w:tc>
        <w:tc>
          <w:tcPr>
            <w:tcW w:w="102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33"/>
        </w:trPr>
        <w:tc>
          <w:tcPr>
            <w:tcW w:w="7120" w:type="dxa"/>
            <w:vAlign w:val="bottom"/>
          </w:tcPr>
          <w:p>
            <w:pPr>
              <w:spacing w:after="0" w:line="233" w:lineRule="exact"/>
              <w:rPr>
                <w:sz w:val="20"/>
                <w:szCs w:val="20"/>
                <w:color w:val="auto"/>
              </w:rPr>
            </w:pPr>
            <w:r>
              <w:rPr>
                <w:rFonts w:ascii="Arial" w:cs="Arial" w:eastAsia="Arial" w:hAnsi="Arial"/>
                <w:sz w:val="16"/>
                <w:szCs w:val="16"/>
                <w:b w:val="1"/>
                <w:bCs w:val="1"/>
                <w:color w:val="auto"/>
              </w:rPr>
              <w:t xml:space="preserve">Derivatives not designated as hedging instruments </w:t>
            </w:r>
            <w:r>
              <w:rPr>
                <w:rFonts w:ascii="Arial" w:cs="Arial" w:eastAsia="Arial" w:hAnsi="Arial"/>
                <w:sz w:val="21"/>
                <w:szCs w:val="21"/>
                <w:b w:val="1"/>
                <w:bCs w:val="1"/>
                <w:color w:val="auto"/>
                <w:vertAlign w:val="superscript"/>
              </w:rPr>
              <w:t>(d)</w:t>
            </w:r>
          </w:p>
        </w:tc>
        <w:tc>
          <w:tcPr>
            <w:tcW w:w="10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16"/>
        </w:trPr>
        <w:tc>
          <w:tcPr>
            <w:tcW w:w="7120" w:type="dxa"/>
            <w:vAlign w:val="bottom"/>
          </w:tcPr>
          <w:p>
            <w:pPr>
              <w:ind w:left="160"/>
              <w:spacing w:after="0" w:line="216" w:lineRule="exact"/>
              <w:rPr>
                <w:sz w:val="20"/>
                <w:szCs w:val="20"/>
                <w:color w:val="auto"/>
              </w:rPr>
            </w:pPr>
            <w:r>
              <w:rPr>
                <w:rFonts w:ascii="Arial" w:cs="Arial" w:eastAsia="Arial" w:hAnsi="Arial"/>
                <w:sz w:val="16"/>
                <w:szCs w:val="16"/>
                <w:color w:val="auto"/>
              </w:rPr>
              <w:t xml:space="preserve">Foreign exchange contracts </w:t>
            </w:r>
            <w:r>
              <w:rPr>
                <w:rFonts w:ascii="Arial" w:cs="Arial" w:eastAsia="Arial" w:hAnsi="Arial"/>
                <w:sz w:val="21"/>
                <w:szCs w:val="21"/>
                <w:color w:val="auto"/>
                <w:vertAlign w:val="superscript"/>
              </w:rPr>
              <w:t>(e)</w:t>
            </w:r>
          </w:p>
        </w:tc>
        <w:tc>
          <w:tcPr>
            <w:tcW w:w="10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216"/>
        </w:trPr>
        <w:tc>
          <w:tcPr>
            <w:tcW w:w="7120" w:type="dxa"/>
            <w:vAlign w:val="bottom"/>
          </w:tcPr>
          <w:p>
            <w:pPr>
              <w:ind w:left="160"/>
              <w:spacing w:after="0" w:line="216" w:lineRule="exact"/>
              <w:rPr>
                <w:sz w:val="20"/>
                <w:szCs w:val="20"/>
                <w:color w:val="auto"/>
              </w:rPr>
            </w:pPr>
            <w:r>
              <w:rPr>
                <w:rFonts w:ascii="Arial" w:cs="Arial" w:eastAsia="Arial" w:hAnsi="Arial"/>
                <w:sz w:val="16"/>
                <w:szCs w:val="16"/>
                <w:color w:val="auto"/>
              </w:rPr>
              <w:t xml:space="preserve">Interest rate swap </w:t>
            </w:r>
            <w:r>
              <w:rPr>
                <w:rFonts w:ascii="Arial" w:cs="Arial" w:eastAsia="Arial" w:hAnsi="Arial"/>
                <w:sz w:val="21"/>
                <w:szCs w:val="21"/>
                <w:color w:val="auto"/>
                <w:vertAlign w:val="superscript"/>
              </w:rPr>
              <w:t>(f)</w:t>
            </w:r>
          </w:p>
        </w:tc>
        <w:tc>
          <w:tcPr>
            <w:tcW w:w="10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7120" w:type="dxa"/>
            <w:vAlign w:val="bottom"/>
          </w:tcPr>
          <w:p>
            <w:pPr>
              <w:ind w:left="160"/>
              <w:spacing w:after="0" w:line="204" w:lineRule="exact"/>
              <w:rPr>
                <w:sz w:val="20"/>
                <w:szCs w:val="20"/>
                <w:color w:val="auto"/>
              </w:rPr>
            </w:pPr>
            <w:r>
              <w:rPr>
                <w:rFonts w:ascii="Arial" w:cs="Arial" w:eastAsia="Arial" w:hAnsi="Arial"/>
                <w:sz w:val="16"/>
                <w:szCs w:val="16"/>
                <w:color w:val="auto"/>
              </w:rPr>
              <w:t xml:space="preserve">Commodity contracts </w:t>
            </w:r>
            <w:r>
              <w:rPr>
                <w:rFonts w:ascii="Arial" w:cs="Arial" w:eastAsia="Arial" w:hAnsi="Arial"/>
                <w:sz w:val="21"/>
                <w:szCs w:val="21"/>
                <w:color w:val="auto"/>
                <w:vertAlign w:val="superscript"/>
              </w:rPr>
              <w:t>(g)</w:t>
            </w:r>
          </w:p>
        </w:tc>
        <w:tc>
          <w:tcPr>
            <w:tcW w:w="1020" w:type="dxa"/>
            <w:vAlign w:val="bottom"/>
          </w:tcPr>
          <w:p>
            <w:pPr>
              <w:spacing w:after="0"/>
              <w:rPr>
                <w:sz w:val="17"/>
                <w:szCs w:val="17"/>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10"/>
        </w:trPr>
        <w:tc>
          <w:tcPr>
            <w:tcW w:w="7120" w:type="dxa"/>
            <w:vAlign w:val="bottom"/>
          </w:tcPr>
          <w:p>
            <w:pPr>
              <w:ind w:left="160"/>
              <w:spacing w:after="0"/>
              <w:rPr>
                <w:sz w:val="20"/>
                <w:szCs w:val="20"/>
                <w:color w:val="auto"/>
              </w:rPr>
            </w:pPr>
            <w:r>
              <w:rPr>
                <w:rFonts w:ascii="Arial" w:cs="Arial" w:eastAsia="Arial" w:hAnsi="Arial"/>
                <w:sz w:val="16"/>
                <w:szCs w:val="16"/>
                <w:color w:val="auto"/>
              </w:rPr>
              <w:t>Total</w:t>
            </w:r>
          </w:p>
        </w:tc>
        <w:tc>
          <w:tcPr>
            <w:tcW w:w="1020" w:type="dxa"/>
            <w:vAlign w:val="bottom"/>
            <w:tcBorders>
              <w:top w:val="single" w:sz="8" w:color="auto"/>
              <w:bottom w:val="single" w:sz="8" w:color="auto"/>
            </w:tcBorders>
          </w:tcPr>
          <w:p>
            <w:pPr>
              <w:jc w:val="right"/>
              <w:ind w:right="839"/>
              <w:spacing w:after="0"/>
              <w:rPr>
                <w:sz w:val="20"/>
                <w:szCs w:val="20"/>
                <w:color w:val="auto"/>
              </w:rPr>
            </w:pPr>
            <w:r>
              <w:rPr>
                <w:rFonts w:ascii="Arial" w:cs="Arial" w:eastAsia="Arial" w:hAnsi="Arial"/>
                <w:sz w:val="16"/>
                <w:szCs w:val="16"/>
                <w:color w:val="auto"/>
                <w:w w:val="8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w:t>
            </w:r>
          </w:p>
        </w:tc>
      </w:tr>
      <w:tr>
        <w:trPr>
          <w:trHeight w:val="20"/>
        </w:trPr>
        <w:tc>
          <w:tcPr>
            <w:tcW w:w="7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__________</w:t>
      </w:r>
    </w:p>
    <w:p>
      <w:pPr>
        <w:ind w:left="820" w:hanging="326"/>
        <w:spacing w:after="0" w:line="194" w:lineRule="auto"/>
        <w:tabs>
          <w:tab w:leader="none" w:pos="820" w:val="left"/>
        </w:tabs>
        <w:numPr>
          <w:ilvl w:val="0"/>
          <w:numId w:val="31"/>
        </w:numPr>
        <w:rPr>
          <w:rFonts w:ascii="Arial" w:cs="Arial" w:eastAsia="Arial" w:hAnsi="Arial"/>
          <w:sz w:val="19"/>
          <w:szCs w:val="19"/>
          <w:color w:val="auto"/>
          <w:vertAlign w:val="superscript"/>
        </w:rPr>
      </w:pPr>
      <w:r>
        <w:rPr>
          <w:rFonts w:ascii="Arial" w:cs="Arial" w:eastAsia="Arial" w:hAnsi="Arial"/>
          <w:sz w:val="14"/>
          <w:szCs w:val="14"/>
          <w:color w:val="auto"/>
        </w:rPr>
        <w:t>Recognized, net of tax, as a component of other comprehensive income (loss) within stockholders’ equity.</w:t>
      </w:r>
    </w:p>
    <w:p>
      <w:pPr>
        <w:ind w:left="820" w:right="460" w:hanging="326"/>
        <w:spacing w:after="0" w:line="204" w:lineRule="auto"/>
        <w:tabs>
          <w:tab w:leader="none" w:pos="813" w:val="left"/>
        </w:tabs>
        <w:numPr>
          <w:ilvl w:val="0"/>
          <w:numId w:val="31"/>
        </w:numPr>
        <w:rPr>
          <w:rFonts w:ascii="Arial" w:cs="Arial" w:eastAsia="Arial" w:hAnsi="Arial"/>
          <w:sz w:val="19"/>
          <w:szCs w:val="19"/>
          <w:color w:val="auto"/>
          <w:vertAlign w:val="superscript"/>
        </w:rPr>
      </w:pPr>
      <w:r>
        <w:rPr>
          <w:rFonts w:ascii="Arial" w:cs="Arial" w:eastAsia="Arial" w:hAnsi="Arial"/>
          <w:sz w:val="14"/>
          <w:szCs w:val="14"/>
          <w:color w:val="auto"/>
        </w:rPr>
        <w:t>Classified as a net unrealized gain (loss) on cash flow hedges in accumulated other comprehensive income (loss). Refer to Note 13–Stockholders’ Equity for amounts reclassified from accumulated other comprehensive income into earnings.</w:t>
      </w:r>
    </w:p>
    <w:p>
      <w:pPr>
        <w:spacing w:after="0" w:line="1" w:lineRule="exact"/>
        <w:rPr>
          <w:rFonts w:ascii="Arial" w:cs="Arial" w:eastAsia="Arial" w:hAnsi="Arial"/>
          <w:sz w:val="19"/>
          <w:szCs w:val="19"/>
          <w:color w:val="auto"/>
          <w:vertAlign w:val="superscript"/>
        </w:rPr>
      </w:pPr>
    </w:p>
    <w:p>
      <w:pPr>
        <w:ind w:left="800" w:hanging="306"/>
        <w:spacing w:after="0" w:line="187" w:lineRule="auto"/>
        <w:tabs>
          <w:tab w:leader="none" w:pos="800" w:val="left"/>
        </w:tabs>
        <w:numPr>
          <w:ilvl w:val="0"/>
          <w:numId w:val="31"/>
        </w:numPr>
        <w:rPr>
          <w:rFonts w:ascii="Arial" w:cs="Arial" w:eastAsia="Arial" w:hAnsi="Arial"/>
          <w:sz w:val="18"/>
          <w:szCs w:val="18"/>
          <w:color w:val="auto"/>
          <w:vertAlign w:val="superscript"/>
        </w:rPr>
      </w:pPr>
      <w:r>
        <w:rPr>
          <w:rFonts w:ascii="Arial" w:cs="Arial" w:eastAsia="Arial" w:hAnsi="Arial"/>
          <w:sz w:val="14"/>
          <w:szCs w:val="14"/>
          <w:color w:val="auto"/>
        </w:rPr>
        <w:t>Classified as a net investment hedge within currency translation adjustment in accumulated other comprehensive income (loss).</w:t>
      </w:r>
    </w:p>
    <w:p>
      <w:pPr>
        <w:ind w:left="820" w:hanging="326"/>
        <w:spacing w:after="0" w:line="187" w:lineRule="auto"/>
        <w:tabs>
          <w:tab w:leader="none" w:pos="820" w:val="left"/>
        </w:tabs>
        <w:numPr>
          <w:ilvl w:val="0"/>
          <w:numId w:val="31"/>
        </w:numPr>
        <w:rPr>
          <w:rFonts w:ascii="Arial" w:cs="Arial" w:eastAsia="Arial" w:hAnsi="Arial"/>
          <w:sz w:val="18"/>
          <w:szCs w:val="18"/>
          <w:color w:val="auto"/>
          <w:vertAlign w:val="superscript"/>
        </w:rPr>
      </w:pPr>
      <w:r>
        <w:rPr>
          <w:rFonts w:ascii="Arial" w:cs="Arial" w:eastAsia="Arial" w:hAnsi="Arial"/>
          <w:sz w:val="14"/>
          <w:szCs w:val="14"/>
          <w:color w:val="auto"/>
        </w:rPr>
        <w:t>Gains (losses) related to derivative instruments are expected to be largely offset by (losses) gains on the underlying exposures being hedged.</w:t>
      </w:r>
    </w:p>
    <w:p>
      <w:pPr>
        <w:ind w:left="820" w:hanging="326"/>
        <w:spacing w:after="0" w:line="189" w:lineRule="auto"/>
        <w:tabs>
          <w:tab w:leader="none" w:pos="820" w:val="left"/>
        </w:tabs>
        <w:numPr>
          <w:ilvl w:val="0"/>
          <w:numId w:val="31"/>
        </w:numPr>
        <w:rPr>
          <w:rFonts w:ascii="Arial" w:cs="Arial" w:eastAsia="Arial" w:hAnsi="Arial"/>
          <w:sz w:val="19"/>
          <w:szCs w:val="19"/>
          <w:color w:val="auto"/>
          <w:vertAlign w:val="superscript"/>
        </w:rPr>
      </w:pPr>
      <w:r>
        <w:rPr>
          <w:rFonts w:ascii="Arial" w:cs="Arial" w:eastAsia="Arial" w:hAnsi="Arial"/>
          <w:sz w:val="14"/>
          <w:szCs w:val="14"/>
          <w:color w:val="auto"/>
        </w:rPr>
        <w:t>For the three months ended March 31, 2021, included a $7 million loss in interest expense and a $1 million loss in operating</w:t>
      </w: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400" w:lineRule="exact"/>
        <w:rPr>
          <w:sz w:val="20"/>
          <w:szCs w:val="20"/>
          <w:color w:val="auto"/>
        </w:rPr>
      </w:pPr>
    </w:p>
    <w:p>
      <w:pPr>
        <w:ind w:left="820"/>
        <w:spacing w:after="0"/>
        <w:rPr>
          <w:sz w:val="20"/>
          <w:szCs w:val="20"/>
          <w:color w:val="auto"/>
        </w:rPr>
      </w:pPr>
      <w:r>
        <w:rPr>
          <w:rFonts w:ascii="Arial" w:cs="Arial" w:eastAsia="Arial" w:hAnsi="Arial"/>
          <w:sz w:val="14"/>
          <w:szCs w:val="14"/>
          <w:color w:val="auto"/>
        </w:rPr>
        <w:t>expense. For the three months ended March 31, 2020, included $28 million gain in interest expense and a $1 million loss in operating expense.</w:t>
      </w:r>
    </w:p>
    <w:p>
      <w:pPr>
        <w:ind w:left="820" w:hanging="326"/>
        <w:spacing w:after="0" w:line="187" w:lineRule="auto"/>
        <w:tabs>
          <w:tab w:leader="none" w:pos="820" w:val="left"/>
        </w:tabs>
        <w:numPr>
          <w:ilvl w:val="0"/>
          <w:numId w:val="32"/>
        </w:numPr>
        <w:rPr>
          <w:rFonts w:ascii="Arial" w:cs="Arial" w:eastAsia="Arial" w:hAnsi="Arial"/>
          <w:sz w:val="19"/>
          <w:szCs w:val="19"/>
          <w:color w:val="auto"/>
          <w:vertAlign w:val="superscript"/>
        </w:rPr>
      </w:pPr>
      <w:r>
        <w:rPr>
          <w:rFonts w:ascii="Arial" w:cs="Arial" w:eastAsia="Arial" w:hAnsi="Arial"/>
          <w:sz w:val="14"/>
          <w:szCs w:val="14"/>
          <w:color w:val="auto"/>
        </w:rPr>
        <w:t>Included primarily in vehicle interest, net.</w:t>
      </w:r>
    </w:p>
    <w:p>
      <w:pPr>
        <w:ind w:left="820" w:hanging="326"/>
        <w:spacing w:after="0" w:line="189" w:lineRule="auto"/>
        <w:tabs>
          <w:tab w:leader="none" w:pos="820" w:val="left"/>
        </w:tabs>
        <w:numPr>
          <w:ilvl w:val="0"/>
          <w:numId w:val="32"/>
        </w:numPr>
        <w:rPr>
          <w:rFonts w:ascii="Arial" w:cs="Arial" w:eastAsia="Arial" w:hAnsi="Arial"/>
          <w:sz w:val="19"/>
          <w:szCs w:val="19"/>
          <w:color w:val="auto"/>
          <w:vertAlign w:val="superscript"/>
        </w:rPr>
      </w:pPr>
      <w:r>
        <w:rPr>
          <w:rFonts w:ascii="Arial" w:cs="Arial" w:eastAsia="Arial" w:hAnsi="Arial"/>
          <w:sz w:val="14"/>
          <w:szCs w:val="14"/>
          <w:color w:val="auto"/>
        </w:rPr>
        <w:t>Included in operating expense.</w:t>
      </w:r>
    </w:p>
    <w:p>
      <w:pPr>
        <w:spacing w:after="0" w:line="20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Debt Instruments</w:t>
      </w:r>
    </w:p>
    <w:p>
      <w:pPr>
        <w:spacing w:after="0" w:line="27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carrying amounts and estimated fair values (Level 2) of debt instruments were as follows:</w:t>
      </w:r>
    </w:p>
    <w:p>
      <w:pPr>
        <w:spacing w:after="0" w:line="32" w:lineRule="exact"/>
        <w:rPr>
          <w:sz w:val="20"/>
          <w:szCs w:val="20"/>
          <w:color w:val="auto"/>
        </w:rPr>
      </w:pPr>
    </w:p>
    <w:tbl>
      <w:tblPr>
        <w:tblLayout w:type="fixed"/>
        <w:tblInd w:w="520" w:type="dxa"/>
        <w:tblCellMar>
          <w:top w:w="0" w:type="dxa"/>
          <w:left w:w="0" w:type="dxa"/>
          <w:bottom w:w="0" w:type="dxa"/>
          <w:right w:w="0" w:type="dxa"/>
        </w:tblCellMar>
      </w:tblPr>
      <w:tr>
        <w:trPr>
          <w:trHeight w:val="218"/>
        </w:trPr>
        <w:tc>
          <w:tcPr>
            <w:tcW w:w="4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80" w:type="dxa"/>
            <w:vAlign w:val="bottom"/>
            <w:gridSpan w:val="5"/>
          </w:tcPr>
          <w:p>
            <w:pPr>
              <w:ind w:left="420"/>
              <w:spacing w:after="0"/>
              <w:rPr>
                <w:sz w:val="20"/>
                <w:szCs w:val="20"/>
                <w:color w:val="auto"/>
              </w:rPr>
            </w:pPr>
            <w:r>
              <w:rPr>
                <w:rFonts w:ascii="Arial" w:cs="Arial" w:eastAsia="Arial" w:hAnsi="Arial"/>
                <w:sz w:val="16"/>
                <w:szCs w:val="16"/>
                <w:b w:val="1"/>
                <w:bCs w:val="1"/>
                <w:color w:val="auto"/>
              </w:rPr>
              <w:t>As of March 31, 2021</w:t>
            </w:r>
          </w:p>
        </w:tc>
        <w:tc>
          <w:tcPr>
            <w:tcW w:w="240" w:type="dxa"/>
            <w:vAlign w:val="bottom"/>
          </w:tcPr>
          <w:p>
            <w:pPr>
              <w:spacing w:after="0"/>
              <w:rPr>
                <w:sz w:val="18"/>
                <w:szCs w:val="18"/>
                <w:color w:val="auto"/>
              </w:rPr>
            </w:pPr>
          </w:p>
        </w:tc>
        <w:tc>
          <w:tcPr>
            <w:tcW w:w="2680" w:type="dxa"/>
            <w:vAlign w:val="bottom"/>
            <w:gridSpan w:val="4"/>
          </w:tcPr>
          <w:p>
            <w:pPr>
              <w:jc w:val="right"/>
              <w:ind w:right="419"/>
              <w:spacing w:after="0"/>
              <w:rPr>
                <w:sz w:val="20"/>
                <w:szCs w:val="20"/>
                <w:color w:val="auto"/>
              </w:rPr>
            </w:pPr>
            <w:r>
              <w:rPr>
                <w:rFonts w:ascii="Arial" w:cs="Arial" w:eastAsia="Arial" w:hAnsi="Arial"/>
                <w:sz w:val="16"/>
                <w:szCs w:val="16"/>
                <w:b w:val="1"/>
                <w:bCs w:val="1"/>
                <w:color w:val="auto"/>
              </w:rPr>
              <w:t>As of December 31, 2020</w:t>
            </w:r>
          </w:p>
        </w:tc>
        <w:tc>
          <w:tcPr>
            <w:tcW w:w="0" w:type="dxa"/>
            <w:vAlign w:val="bottom"/>
          </w:tcPr>
          <w:p>
            <w:pPr>
              <w:spacing w:after="0"/>
              <w:rPr>
                <w:sz w:val="1"/>
                <w:szCs w:val="1"/>
                <w:color w:val="auto"/>
              </w:rPr>
            </w:pPr>
          </w:p>
        </w:tc>
      </w:tr>
      <w:tr>
        <w:trPr>
          <w:trHeight w:val="159"/>
        </w:trPr>
        <w:tc>
          <w:tcPr>
            <w:tcW w:w="414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gridSpan w:val="2"/>
            <w:vMerge w:val="restart"/>
          </w:tcPr>
          <w:p>
            <w:pPr>
              <w:jc w:val="center"/>
              <w:ind w:right="340"/>
              <w:spacing w:after="0"/>
              <w:rPr>
                <w:sz w:val="20"/>
                <w:szCs w:val="20"/>
                <w:color w:val="auto"/>
              </w:rPr>
            </w:pPr>
            <w:r>
              <w:rPr>
                <w:rFonts w:ascii="Arial" w:cs="Arial" w:eastAsia="Arial" w:hAnsi="Arial"/>
                <w:sz w:val="16"/>
                <w:szCs w:val="16"/>
                <w:b w:val="1"/>
                <w:bCs w:val="1"/>
                <w:color w:val="auto"/>
              </w:rPr>
              <w:t>Carrying</w:t>
            </w:r>
          </w:p>
        </w:tc>
        <w:tc>
          <w:tcPr>
            <w:tcW w:w="20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center"/>
              <w:ind w:right="139"/>
              <w:spacing w:after="0" w:line="158" w:lineRule="exact"/>
              <w:rPr>
                <w:sz w:val="20"/>
                <w:szCs w:val="20"/>
                <w:color w:val="auto"/>
              </w:rPr>
            </w:pPr>
            <w:r>
              <w:rPr>
                <w:rFonts w:ascii="Arial" w:cs="Arial" w:eastAsia="Arial" w:hAnsi="Arial"/>
                <w:sz w:val="16"/>
                <w:szCs w:val="16"/>
                <w:b w:val="1"/>
                <w:bCs w:val="1"/>
                <w:color w:val="auto"/>
              </w:rPr>
              <w:t>Estimated</w:t>
            </w: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gridSpan w:val="2"/>
            <w:vMerge w:val="restart"/>
          </w:tcPr>
          <w:p>
            <w:pPr>
              <w:jc w:val="center"/>
              <w:ind w:right="340"/>
              <w:spacing w:after="0"/>
              <w:rPr>
                <w:sz w:val="20"/>
                <w:szCs w:val="20"/>
                <w:color w:val="auto"/>
              </w:rPr>
            </w:pPr>
            <w:r>
              <w:rPr>
                <w:rFonts w:ascii="Arial" w:cs="Arial" w:eastAsia="Arial" w:hAnsi="Arial"/>
                <w:sz w:val="16"/>
                <w:szCs w:val="16"/>
                <w:b w:val="1"/>
                <w:bCs w:val="1"/>
                <w:color w:val="auto"/>
              </w:rPr>
              <w:t>Carrying</w:t>
            </w:r>
          </w:p>
        </w:tc>
        <w:tc>
          <w:tcPr>
            <w:tcW w:w="20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center"/>
              <w:ind w:right="139"/>
              <w:spacing w:after="0" w:line="158" w:lineRule="exact"/>
              <w:rPr>
                <w:sz w:val="20"/>
                <w:szCs w:val="20"/>
                <w:color w:val="auto"/>
              </w:rPr>
            </w:pPr>
            <w:r>
              <w:rPr>
                <w:rFonts w:ascii="Arial" w:cs="Arial" w:eastAsia="Arial" w:hAnsi="Arial"/>
                <w:sz w:val="16"/>
                <w:szCs w:val="16"/>
                <w:b w:val="1"/>
                <w:bCs w:val="1"/>
                <w:color w:val="auto"/>
              </w:rPr>
              <w:t>Estimated</w:t>
            </w:r>
          </w:p>
        </w:tc>
        <w:tc>
          <w:tcPr>
            <w:tcW w:w="0" w:type="dxa"/>
            <w:vAlign w:val="bottom"/>
          </w:tcPr>
          <w:p>
            <w:pPr>
              <w:spacing w:after="0"/>
              <w:rPr>
                <w:sz w:val="1"/>
                <w:szCs w:val="1"/>
                <w:color w:val="auto"/>
              </w:rPr>
            </w:pPr>
          </w:p>
        </w:tc>
      </w:tr>
      <w:tr>
        <w:trPr>
          <w:trHeight w:val="162"/>
        </w:trPr>
        <w:tc>
          <w:tcPr>
            <w:tcW w:w="4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ind w:right="320"/>
              <w:spacing w:after="0" w:line="162" w:lineRule="exact"/>
              <w:rPr>
                <w:sz w:val="20"/>
                <w:szCs w:val="20"/>
                <w:color w:val="auto"/>
              </w:rPr>
            </w:pPr>
            <w:r>
              <w:rPr>
                <w:rFonts w:ascii="Arial" w:cs="Arial" w:eastAsia="Arial" w:hAnsi="Arial"/>
                <w:sz w:val="16"/>
                <w:szCs w:val="16"/>
                <w:b w:val="1"/>
                <w:bCs w:val="1"/>
                <w:color w:val="auto"/>
              </w:rPr>
              <w:t>Fair</w:t>
            </w:r>
          </w:p>
        </w:tc>
        <w:tc>
          <w:tcPr>
            <w:tcW w:w="24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jc w:val="center"/>
              <w:ind w:right="139"/>
              <w:spacing w:after="0" w:line="162" w:lineRule="exact"/>
              <w:rPr>
                <w:sz w:val="20"/>
                <w:szCs w:val="20"/>
                <w:color w:val="auto"/>
              </w:rPr>
            </w:pPr>
            <w:r>
              <w:rPr>
                <w:rFonts w:ascii="Arial" w:cs="Arial" w:eastAsia="Arial" w:hAnsi="Arial"/>
                <w:sz w:val="16"/>
                <w:szCs w:val="16"/>
                <w:b w:val="1"/>
                <w:bCs w:val="1"/>
                <w:color w:val="auto"/>
              </w:rPr>
              <w:t>Fair</w:t>
            </w:r>
          </w:p>
        </w:tc>
        <w:tc>
          <w:tcPr>
            <w:tcW w:w="0" w:type="dxa"/>
            <w:vAlign w:val="bottom"/>
          </w:tcPr>
          <w:p>
            <w:pPr>
              <w:spacing w:after="0"/>
              <w:rPr>
                <w:sz w:val="1"/>
                <w:szCs w:val="1"/>
                <w:color w:val="auto"/>
              </w:rPr>
            </w:pPr>
          </w:p>
        </w:tc>
      </w:tr>
      <w:tr>
        <w:trPr>
          <w:trHeight w:val="215"/>
        </w:trPr>
        <w:tc>
          <w:tcPr>
            <w:tcW w:w="4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Amount</w:t>
            </w:r>
          </w:p>
        </w:tc>
        <w:tc>
          <w:tcPr>
            <w:tcW w:w="200" w:type="dxa"/>
            <w:vAlign w:val="bottom"/>
          </w:tcPr>
          <w:p>
            <w:pPr>
              <w:spacing w:after="0"/>
              <w:rPr>
                <w:sz w:val="18"/>
                <w:szCs w:val="18"/>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8"/>
              </w:rPr>
              <w:t>Value</w:t>
            </w:r>
          </w:p>
        </w:tc>
        <w:tc>
          <w:tcPr>
            <w:tcW w:w="24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Amount</w:t>
            </w:r>
          </w:p>
        </w:tc>
        <w:tc>
          <w:tcPr>
            <w:tcW w:w="200" w:type="dxa"/>
            <w:vAlign w:val="bottom"/>
          </w:tcPr>
          <w:p>
            <w:pPr>
              <w:spacing w:after="0"/>
              <w:rPr>
                <w:sz w:val="18"/>
                <w:szCs w:val="18"/>
                <w:color w:val="auto"/>
              </w:rPr>
            </w:pPr>
          </w:p>
        </w:tc>
        <w:tc>
          <w:tcPr>
            <w:tcW w:w="1200" w:type="dxa"/>
            <w:vAlign w:val="bottom"/>
          </w:tcPr>
          <w:p>
            <w:pPr>
              <w:jc w:val="center"/>
              <w:ind w:right="139"/>
              <w:spacing w:after="0"/>
              <w:rPr>
                <w:sz w:val="20"/>
                <w:szCs w:val="20"/>
                <w:color w:val="auto"/>
              </w:rPr>
            </w:pPr>
            <w:r>
              <w:rPr>
                <w:rFonts w:ascii="Arial" w:cs="Arial" w:eastAsia="Arial" w:hAnsi="Arial"/>
                <w:sz w:val="16"/>
                <w:szCs w:val="16"/>
                <w:b w:val="1"/>
                <w:bCs w:val="1"/>
                <w:color w:val="auto"/>
                <w:w w:val="98"/>
              </w:rPr>
              <w:t>Value</w:t>
            </w:r>
          </w:p>
        </w:tc>
        <w:tc>
          <w:tcPr>
            <w:tcW w:w="0" w:type="dxa"/>
            <w:vAlign w:val="bottom"/>
          </w:tcPr>
          <w:p>
            <w:pPr>
              <w:spacing w:after="0"/>
              <w:rPr>
                <w:sz w:val="1"/>
                <w:szCs w:val="1"/>
                <w:color w:val="auto"/>
              </w:rPr>
            </w:pPr>
          </w:p>
        </w:tc>
      </w:tr>
      <w:tr>
        <w:trPr>
          <w:trHeight w:val="195"/>
        </w:trPr>
        <w:tc>
          <w:tcPr>
            <w:tcW w:w="4140" w:type="dxa"/>
            <w:vAlign w:val="bottom"/>
          </w:tcPr>
          <w:p>
            <w:pPr>
              <w:spacing w:after="0"/>
              <w:rPr>
                <w:sz w:val="20"/>
                <w:szCs w:val="20"/>
                <w:color w:val="auto"/>
              </w:rPr>
            </w:pPr>
            <w:r>
              <w:rPr>
                <w:rFonts w:ascii="Arial" w:cs="Arial" w:eastAsia="Arial" w:hAnsi="Arial"/>
                <w:sz w:val="16"/>
                <w:szCs w:val="16"/>
                <w:b w:val="1"/>
                <w:bCs w:val="1"/>
                <w:color w:val="auto"/>
              </w:rPr>
              <w:t>Corporate debt</w:t>
            </w:r>
          </w:p>
        </w:tc>
        <w:tc>
          <w:tcPr>
            <w:tcW w:w="2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140" w:type="dxa"/>
            <w:vAlign w:val="bottom"/>
          </w:tcPr>
          <w:p>
            <w:pPr>
              <w:ind w:left="200"/>
              <w:spacing w:after="0"/>
              <w:rPr>
                <w:sz w:val="20"/>
                <w:szCs w:val="20"/>
                <w:color w:val="auto"/>
              </w:rPr>
            </w:pPr>
            <w:r>
              <w:rPr>
                <w:rFonts w:ascii="Arial" w:cs="Arial" w:eastAsia="Arial" w:hAnsi="Arial"/>
                <w:sz w:val="16"/>
                <w:szCs w:val="16"/>
                <w:color w:val="auto"/>
              </w:rPr>
              <w:t>Short-term debt and current portion of long-term debt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16"/>
        </w:trPr>
        <w:tc>
          <w:tcPr>
            <w:tcW w:w="4140" w:type="dxa"/>
            <w:vAlign w:val="bottom"/>
          </w:tcPr>
          <w:p>
            <w:pPr>
              <w:ind w:left="200"/>
              <w:spacing w:after="0"/>
              <w:rPr>
                <w:sz w:val="20"/>
                <w:szCs w:val="20"/>
                <w:color w:val="auto"/>
              </w:rPr>
            </w:pPr>
            <w:r>
              <w:rPr>
                <w:rFonts w:ascii="Arial" w:cs="Arial" w:eastAsia="Arial" w:hAnsi="Arial"/>
                <w:sz w:val="16"/>
                <w:szCs w:val="16"/>
                <w:color w:val="auto"/>
              </w:rPr>
              <w:t>Long-term debt</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4,264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4,408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4,191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4,337</w:t>
            </w:r>
          </w:p>
        </w:tc>
        <w:tc>
          <w:tcPr>
            <w:tcW w:w="0" w:type="dxa"/>
            <w:vAlign w:val="bottom"/>
          </w:tcPr>
          <w:p>
            <w:pPr>
              <w:spacing w:after="0"/>
              <w:rPr>
                <w:sz w:val="1"/>
                <w:szCs w:val="1"/>
                <w:color w:val="auto"/>
              </w:rPr>
            </w:pPr>
          </w:p>
        </w:tc>
      </w:tr>
      <w:tr>
        <w:trPr>
          <w:trHeight w:val="378"/>
        </w:trPr>
        <w:tc>
          <w:tcPr>
            <w:tcW w:w="4140" w:type="dxa"/>
            <w:vAlign w:val="bottom"/>
          </w:tcPr>
          <w:p>
            <w:pPr>
              <w:spacing w:after="0"/>
              <w:rPr>
                <w:sz w:val="20"/>
                <w:szCs w:val="20"/>
                <w:color w:val="auto"/>
              </w:rPr>
            </w:pPr>
            <w:r>
              <w:rPr>
                <w:rFonts w:ascii="Arial" w:cs="Arial" w:eastAsia="Arial" w:hAnsi="Arial"/>
                <w:sz w:val="16"/>
                <w:szCs w:val="16"/>
                <w:b w:val="1"/>
                <w:bCs w:val="1"/>
                <w:color w:val="auto"/>
              </w:rPr>
              <w:t>Debt under vehicle programs</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4140" w:type="dxa"/>
            <w:vAlign w:val="bottom"/>
          </w:tcPr>
          <w:p>
            <w:pPr>
              <w:ind w:left="200"/>
              <w:spacing w:after="0"/>
              <w:rPr>
                <w:sz w:val="20"/>
                <w:szCs w:val="20"/>
                <w:color w:val="auto"/>
              </w:rPr>
            </w:pPr>
            <w:r>
              <w:rPr>
                <w:rFonts w:ascii="Arial" w:cs="Arial" w:eastAsia="Arial" w:hAnsi="Arial"/>
                <w:sz w:val="16"/>
                <w:szCs w:val="16"/>
                <w:color w:val="auto"/>
              </w:rPr>
              <w:t>Vehicle-backed debt due to Avis Budget Rental Car</w:t>
            </w: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4140" w:type="dxa"/>
            <w:vAlign w:val="bottom"/>
          </w:tcPr>
          <w:p>
            <w:pPr>
              <w:ind w:left="380"/>
              <w:spacing w:after="0"/>
              <w:rPr>
                <w:sz w:val="20"/>
                <w:szCs w:val="20"/>
                <w:color w:val="auto"/>
              </w:rPr>
            </w:pPr>
            <w:r>
              <w:rPr>
                <w:rFonts w:ascii="Arial" w:cs="Arial" w:eastAsia="Arial" w:hAnsi="Arial"/>
                <w:sz w:val="16"/>
                <w:szCs w:val="16"/>
                <w:color w:val="auto"/>
              </w:rPr>
              <w:t>Funding</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6,149</w:t>
            </w:r>
          </w:p>
        </w:tc>
        <w:tc>
          <w:tcPr>
            <w:tcW w:w="120" w:type="dxa"/>
            <w:vAlign w:val="bottom"/>
          </w:tcPr>
          <w:p>
            <w:pPr>
              <w:spacing w:after="0"/>
              <w:rPr>
                <w:sz w:val="16"/>
                <w:szCs w:val="16"/>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6,429</w:t>
            </w:r>
          </w:p>
        </w:tc>
        <w:tc>
          <w:tcPr>
            <w:tcW w:w="100" w:type="dxa"/>
            <w:vAlign w:val="bottom"/>
          </w:tcPr>
          <w:p>
            <w:pPr>
              <w:spacing w:after="0"/>
              <w:rPr>
                <w:sz w:val="16"/>
                <w:szCs w:val="16"/>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5,080</w:t>
            </w:r>
          </w:p>
        </w:tc>
        <w:tc>
          <w:tcPr>
            <w:tcW w:w="120" w:type="dxa"/>
            <w:vAlign w:val="bottom"/>
          </w:tcPr>
          <w:p>
            <w:pPr>
              <w:spacing w:after="0"/>
              <w:rPr>
                <w:sz w:val="16"/>
                <w:szCs w:val="16"/>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5,317</w:t>
            </w:r>
          </w:p>
        </w:tc>
        <w:tc>
          <w:tcPr>
            <w:tcW w:w="0" w:type="dxa"/>
            <w:vAlign w:val="bottom"/>
          </w:tcPr>
          <w:p>
            <w:pPr>
              <w:spacing w:after="0"/>
              <w:rPr>
                <w:sz w:val="1"/>
                <w:szCs w:val="1"/>
                <w:color w:val="auto"/>
              </w:rPr>
            </w:pPr>
          </w:p>
        </w:tc>
      </w:tr>
      <w:tr>
        <w:trPr>
          <w:trHeight w:val="216"/>
        </w:trPr>
        <w:tc>
          <w:tcPr>
            <w:tcW w:w="4140" w:type="dxa"/>
            <w:vAlign w:val="bottom"/>
          </w:tcPr>
          <w:p>
            <w:pPr>
              <w:ind w:left="200"/>
              <w:spacing w:after="0"/>
              <w:rPr>
                <w:sz w:val="20"/>
                <w:szCs w:val="20"/>
                <w:color w:val="auto"/>
              </w:rPr>
            </w:pPr>
            <w:r>
              <w:rPr>
                <w:rFonts w:ascii="Arial" w:cs="Arial" w:eastAsia="Arial" w:hAnsi="Arial"/>
                <w:sz w:val="16"/>
                <w:szCs w:val="16"/>
                <w:color w:val="auto"/>
              </w:rPr>
              <w:t>Vehicle-backed debt</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1,649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1,668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1,775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1,796</w:t>
            </w:r>
          </w:p>
        </w:tc>
        <w:tc>
          <w:tcPr>
            <w:tcW w:w="0" w:type="dxa"/>
            <w:vAlign w:val="bottom"/>
          </w:tcPr>
          <w:p>
            <w:pPr>
              <w:spacing w:after="0"/>
              <w:rPr>
                <w:sz w:val="1"/>
                <w:szCs w:val="1"/>
                <w:color w:val="auto"/>
              </w:rPr>
            </w:pPr>
          </w:p>
        </w:tc>
      </w:tr>
      <w:tr>
        <w:trPr>
          <w:trHeight w:val="287"/>
        </w:trPr>
        <w:tc>
          <w:tcPr>
            <w:tcW w:w="4140" w:type="dxa"/>
            <w:vAlign w:val="bottom"/>
          </w:tcPr>
          <w:p>
            <w:pPr>
              <w:ind w:left="200"/>
              <w:spacing w:after="0"/>
              <w:rPr>
                <w:sz w:val="20"/>
                <w:szCs w:val="20"/>
                <w:color w:val="auto"/>
              </w:rPr>
            </w:pPr>
            <w:r>
              <w:rPr>
                <w:rFonts w:ascii="Arial" w:cs="Arial" w:eastAsia="Arial" w:hAnsi="Arial"/>
                <w:sz w:val="16"/>
                <w:szCs w:val="16"/>
                <w:color w:val="auto"/>
              </w:rPr>
              <w:t xml:space="preserve">Interest rate swaps and interest rate caps </w:t>
            </w:r>
            <w:r>
              <w:rPr>
                <w:rFonts w:ascii="Arial" w:cs="Arial" w:eastAsia="Arial" w:hAnsi="Arial"/>
                <w:sz w:val="21"/>
                <w:szCs w:val="21"/>
                <w:color w:val="auto"/>
                <w:vertAlign w:val="superscript"/>
              </w:rPr>
              <w:t>(a)</w:t>
            </w:r>
          </w:p>
        </w:tc>
        <w:tc>
          <w:tcPr>
            <w:tcW w:w="2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bl>
    <w:p>
      <w:pPr>
        <w:spacing w:after="0" w:line="4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__________</w:t>
      </w:r>
    </w:p>
    <w:p>
      <w:pPr>
        <w:ind w:left="720" w:hanging="226"/>
        <w:spacing w:after="0" w:line="205" w:lineRule="auto"/>
        <w:tabs>
          <w:tab w:leader="none" w:pos="720" w:val="left"/>
        </w:tabs>
        <w:numPr>
          <w:ilvl w:val="1"/>
          <w:numId w:val="33"/>
        </w:numPr>
        <w:rPr>
          <w:rFonts w:ascii="Arial" w:cs="Arial" w:eastAsia="Arial" w:hAnsi="Arial"/>
          <w:sz w:val="19"/>
          <w:szCs w:val="19"/>
          <w:color w:val="auto"/>
          <w:vertAlign w:val="superscript"/>
        </w:rPr>
      </w:pPr>
      <w:r>
        <w:rPr>
          <w:rFonts w:ascii="Arial" w:cs="Arial" w:eastAsia="Arial" w:hAnsi="Arial"/>
          <w:sz w:val="14"/>
          <w:szCs w:val="14"/>
          <w:color w:val="auto"/>
        </w:rPr>
        <w:t>Derivatives in a liability position.</w:t>
      </w:r>
    </w:p>
    <w:p>
      <w:pPr>
        <w:spacing w:after="0" w:line="205" w:lineRule="exact"/>
        <w:rPr>
          <w:rFonts w:ascii="Arial" w:cs="Arial" w:eastAsia="Arial" w:hAnsi="Arial"/>
          <w:sz w:val="19"/>
          <w:szCs w:val="19"/>
          <w:color w:val="auto"/>
          <w:vertAlign w:val="superscript"/>
        </w:rPr>
      </w:pPr>
    </w:p>
    <w:p>
      <w:pPr>
        <w:ind w:left="460" w:hanging="452"/>
        <w:spacing w:after="0"/>
        <w:tabs>
          <w:tab w:leader="none" w:pos="46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274" w:lineRule="exact"/>
        <w:rPr>
          <w:sz w:val="20"/>
          <w:szCs w:val="20"/>
          <w:color w:val="auto"/>
        </w:rPr>
      </w:pPr>
    </w:p>
    <w:p>
      <w:pPr>
        <w:ind w:left="500" w:right="320"/>
        <w:spacing w:after="0" w:line="254" w:lineRule="auto"/>
        <w:rPr>
          <w:sz w:val="20"/>
          <w:szCs w:val="20"/>
          <w:color w:val="auto"/>
        </w:rPr>
      </w:pPr>
      <w:r>
        <w:rPr>
          <w:rFonts w:ascii="Arial" w:cs="Arial" w:eastAsia="Arial" w:hAnsi="Arial"/>
          <w:sz w:val="18"/>
          <w:szCs w:val="18"/>
          <w:color w:val="auto"/>
        </w:rPr>
        <w:t>The Company’s chief operating decision-maker assesses performance and allocates resources based upon the separate financial information from each of the Company’s operating segments. In identifying its reportable segments, the Company considered the nature of services provided, the geographical areas in which the segments operated and other relevant factors. The Company aggregates certain of its operating segments into its reportable segments.</w:t>
      </w:r>
    </w:p>
    <w:p>
      <w:pPr>
        <w:spacing w:after="0" w:line="231" w:lineRule="exact"/>
        <w:rPr>
          <w:sz w:val="20"/>
          <w:szCs w:val="20"/>
          <w:color w:val="auto"/>
        </w:rPr>
      </w:pPr>
    </w:p>
    <w:p>
      <w:pPr>
        <w:ind w:left="500"/>
        <w:spacing w:after="0" w:line="251" w:lineRule="auto"/>
        <w:rPr>
          <w:sz w:val="20"/>
          <w:szCs w:val="20"/>
          <w:color w:val="auto"/>
        </w:rPr>
      </w:pPr>
      <w:r>
        <w:rPr>
          <w:rFonts w:ascii="Arial" w:cs="Arial" w:eastAsia="Arial" w:hAnsi="Arial"/>
          <w:sz w:val="18"/>
          <w:szCs w:val="18"/>
          <w:color w:val="auto"/>
        </w:rPr>
        <w:t>Management evaluates the operating results of each of its reportable segments based upon revenues and “Adjusted EBITDA,” which the Company defines as income (loss) from continuing operations before non-vehicle related depreciation and amortization, any impairment charges, restructuring and other related charges, early extinguishment of debt costs, non-vehicle related interest, transaction-related costs, net, charges for unprecedented personal-injury and other legal matters, non-operational charges related to shareholder activist activity, which include third party advisory, legal and other professional service fees, gain on sale of equity method investment in China, COVID-19 charges and income taxes. COVID-19 charges include unusual, direct and incremental costs due to the COVID-19 pandemic such as minimum annual guaranteed rent in excess of concession fees for the period, overflow parking for idle vehicles and related shuttling costs, incremental cleaning supplies to sanitize vehicles and facilities, and losses associated with vehicles damaged in overflow parking lots, net of insurance proceeds. The Company’s presentation of Adjusted EBITDA may not be comparable to similarly-titled measures used by other companies.</w:t>
      </w:r>
    </w:p>
    <w:p>
      <w:pPr>
        <w:spacing w:after="0" w:line="200" w:lineRule="exact"/>
        <w:rPr>
          <w:sz w:val="20"/>
          <w:szCs w:val="20"/>
          <w:color w:val="auto"/>
        </w:rPr>
      </w:pPr>
    </w:p>
    <w:p>
      <w:pPr>
        <w:spacing w:after="0" w:line="38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0" w:right="4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07"/>
        </w:trPr>
        <w:tc>
          <w:tcPr>
            <w:tcW w:w="484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871"/>
        </w:trPr>
        <w:tc>
          <w:tcPr>
            <w:tcW w:w="1400" w:type="dxa"/>
            <w:vAlign w:val="bottom"/>
            <w:tcBorders>
              <w:top w:val="single" w:sz="8" w:color="0000FF"/>
            </w:tcBorders>
          </w:tcPr>
          <w:p>
            <w:pPr>
              <w:spacing w:after="0"/>
              <w:rPr>
                <w:sz w:val="24"/>
                <w:szCs w:val="24"/>
                <w:color w:val="auto"/>
              </w:rPr>
            </w:pPr>
          </w:p>
        </w:tc>
        <w:tc>
          <w:tcPr>
            <w:tcW w:w="34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5"/>
          </w:tcPr>
          <w:p>
            <w:pPr>
              <w:ind w:left="20"/>
              <w:spacing w:after="0"/>
              <w:rPr>
                <w:sz w:val="20"/>
                <w:szCs w:val="20"/>
                <w:color w:val="auto"/>
              </w:rPr>
            </w:pPr>
            <w:r>
              <w:rPr>
                <w:rFonts w:ascii="Arial" w:cs="Arial" w:eastAsia="Arial" w:hAnsi="Arial"/>
                <w:sz w:val="18"/>
                <w:szCs w:val="18"/>
                <w:color w:val="auto"/>
              </w:rPr>
              <w:t>Three Months Ended March 31,</w:t>
            </w:r>
          </w:p>
        </w:tc>
        <w:tc>
          <w:tcPr>
            <w:tcW w:w="2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r>
      <w:tr>
        <w:trPr>
          <w:trHeight w:val="223"/>
        </w:trPr>
        <w:tc>
          <w:tcPr>
            <w:tcW w:w="140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2021</w:t>
            </w:r>
          </w:p>
        </w:tc>
        <w:tc>
          <w:tcPr>
            <w:tcW w:w="12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color w:val="auto"/>
              </w:rPr>
              <w:t>2020</w:t>
            </w:r>
          </w:p>
        </w:tc>
        <w:tc>
          <w:tcPr>
            <w:tcW w:w="1160" w:type="dxa"/>
            <w:vAlign w:val="bottom"/>
            <w:tcBorders>
              <w:bottom w:val="single" w:sz="8" w:color="auto"/>
            </w:tcBorders>
          </w:tcPr>
          <w:p>
            <w:pPr>
              <w:spacing w:after="0"/>
              <w:rPr>
                <w:sz w:val="19"/>
                <w:szCs w:val="19"/>
                <w:color w:val="auto"/>
              </w:rPr>
            </w:pPr>
          </w:p>
        </w:tc>
      </w:tr>
      <w:tr>
        <w:trPr>
          <w:trHeight w:val="182"/>
        </w:trPr>
        <w:tc>
          <w:tcPr>
            <w:tcW w:w="140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jc w:val="center"/>
              <w:ind w:right="70"/>
              <w:spacing w:after="0" w:line="182" w:lineRule="exact"/>
              <w:rPr>
                <w:sz w:val="20"/>
                <w:szCs w:val="20"/>
                <w:color w:val="auto"/>
              </w:rPr>
            </w:pPr>
            <w:r>
              <w:rPr>
                <w:rFonts w:ascii="Arial" w:cs="Arial" w:eastAsia="Arial" w:hAnsi="Arial"/>
                <w:sz w:val="18"/>
                <w:szCs w:val="18"/>
                <w:color w:val="auto"/>
                <w:w w:val="99"/>
              </w:rPr>
              <w:t>Adjusted</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jc w:val="center"/>
              <w:ind w:right="170"/>
              <w:spacing w:after="0" w:line="182" w:lineRule="exact"/>
              <w:rPr>
                <w:sz w:val="20"/>
                <w:szCs w:val="20"/>
                <w:color w:val="auto"/>
              </w:rPr>
            </w:pPr>
            <w:r>
              <w:rPr>
                <w:rFonts w:ascii="Arial" w:cs="Arial" w:eastAsia="Arial" w:hAnsi="Arial"/>
                <w:sz w:val="18"/>
                <w:szCs w:val="18"/>
                <w:color w:val="auto"/>
                <w:w w:val="99"/>
              </w:rPr>
              <w:t>Adjusted</w:t>
            </w:r>
          </w:p>
        </w:tc>
      </w:tr>
      <w:tr>
        <w:trPr>
          <w:trHeight w:val="217"/>
        </w:trPr>
        <w:tc>
          <w:tcPr>
            <w:tcW w:w="140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Revenues</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rPr>
              <w:t>EBITDA</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Revenues</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98"/>
              </w:rPr>
              <w:t>EBITDA</w:t>
            </w:r>
          </w:p>
        </w:tc>
      </w:tr>
      <w:tr>
        <w:trPr>
          <w:trHeight w:val="223"/>
        </w:trPr>
        <w:tc>
          <w:tcPr>
            <w:tcW w:w="4840" w:type="dxa"/>
            <w:vAlign w:val="bottom"/>
            <w:gridSpan w:val="2"/>
          </w:tcPr>
          <w:p>
            <w:pPr>
              <w:ind w:left="520"/>
              <w:spacing w:after="0"/>
              <w:rPr>
                <w:sz w:val="20"/>
                <w:szCs w:val="20"/>
                <w:color w:val="auto"/>
              </w:rPr>
            </w:pPr>
            <w:r>
              <w:rPr>
                <w:rFonts w:ascii="Arial" w:cs="Arial" w:eastAsia="Arial" w:hAnsi="Arial"/>
                <w:sz w:val="18"/>
                <w:szCs w:val="18"/>
                <w:color w:val="auto"/>
              </w:rPr>
              <w:t>Americas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1,080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108</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1,257</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4840" w:type="dxa"/>
            <w:vAlign w:val="bottom"/>
            <w:gridSpan w:val="2"/>
          </w:tcPr>
          <w:p>
            <w:pPr>
              <w:ind w:left="520"/>
              <w:spacing w:after="0"/>
              <w:rPr>
                <w:sz w:val="20"/>
                <w:szCs w:val="20"/>
                <w:color w:val="auto"/>
              </w:rPr>
            </w:pPr>
            <w:r>
              <w:rPr>
                <w:rFonts w:ascii="Arial" w:cs="Arial" w:eastAsia="Arial" w:hAnsi="Arial"/>
                <w:sz w:val="18"/>
                <w:szCs w:val="18"/>
                <w:color w:val="auto"/>
              </w:rPr>
              <w:t>International</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496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29"/>
        </w:trPr>
        <w:tc>
          <w:tcPr>
            <w:tcW w:w="4840" w:type="dxa"/>
            <w:vAlign w:val="bottom"/>
            <w:gridSpan w:val="2"/>
          </w:tcPr>
          <w:p>
            <w:pPr>
              <w:ind w:left="520"/>
              <w:spacing w:after="0" w:line="230" w:lineRule="exact"/>
              <w:rPr>
                <w:sz w:val="20"/>
                <w:szCs w:val="20"/>
                <w:color w:val="auto"/>
              </w:rPr>
            </w:pPr>
            <w:r>
              <w:rPr>
                <w:rFonts w:ascii="Arial" w:cs="Arial" w:eastAsia="Arial" w:hAnsi="Arial"/>
                <w:sz w:val="18"/>
                <w:szCs w:val="18"/>
                <w:color w:val="auto"/>
              </w:rPr>
              <w:t xml:space="preserve">Corporate and Other </w:t>
            </w:r>
            <w:r>
              <w:rPr>
                <w:rFonts w:ascii="Arial" w:cs="Arial" w:eastAsia="Arial" w:hAnsi="Arial"/>
                <w:sz w:val="23"/>
                <w:szCs w:val="23"/>
                <w:color w:val="auto"/>
                <w:vertAlign w:val="superscript"/>
              </w:rPr>
              <w:t>(a)</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r>
      <w:tr>
        <w:trPr>
          <w:trHeight w:val="223"/>
        </w:trPr>
        <w:tc>
          <w:tcPr>
            <w:tcW w:w="4840" w:type="dxa"/>
            <w:vAlign w:val="bottom"/>
            <w:gridSpan w:val="2"/>
          </w:tcPr>
          <w:p>
            <w:pPr>
              <w:ind w:left="760"/>
              <w:spacing w:after="0"/>
              <w:rPr>
                <w:sz w:val="20"/>
                <w:szCs w:val="20"/>
                <w:color w:val="auto"/>
              </w:rPr>
            </w:pPr>
            <w:r>
              <w:rPr>
                <w:rFonts w:ascii="Arial" w:cs="Arial" w:eastAsia="Arial" w:hAnsi="Arial"/>
                <w:sz w:val="18"/>
                <w:szCs w:val="18"/>
                <w:color w:val="auto"/>
              </w:rPr>
              <w:t>Total Company</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1,372</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r>
      <w:tr>
        <w:trPr>
          <w:trHeight w:val="21"/>
        </w:trPr>
        <w:tc>
          <w:tcPr>
            <w:tcW w:w="4840" w:type="dxa"/>
            <w:vAlign w:val="bottom"/>
            <w:gridSpan w:val="2"/>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453"/>
        </w:trPr>
        <w:tc>
          <w:tcPr>
            <w:tcW w:w="6360" w:type="dxa"/>
            <w:vAlign w:val="bottom"/>
            <w:gridSpan w:val="5"/>
          </w:tcPr>
          <w:p>
            <w:pPr>
              <w:ind w:left="520"/>
              <w:spacing w:after="0"/>
              <w:rPr>
                <w:sz w:val="20"/>
                <w:szCs w:val="20"/>
                <w:color w:val="auto"/>
              </w:rPr>
            </w:pPr>
            <w:r>
              <w:rPr>
                <w:rFonts w:ascii="Arial" w:cs="Arial" w:eastAsia="Arial" w:hAnsi="Arial"/>
                <w:sz w:val="18"/>
                <w:szCs w:val="18"/>
                <w:color w:val="auto"/>
              </w:rPr>
              <w:t>Reconciliation of Adjusted EBITDA to income (loss) before income taxes</w:t>
            </w:r>
          </w:p>
        </w:tc>
        <w:tc>
          <w:tcPr>
            <w:tcW w:w="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r>
      <w:tr>
        <w:trPr>
          <w:trHeight w:val="223"/>
        </w:trPr>
        <w:tc>
          <w:tcPr>
            <w:tcW w:w="140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9"/>
              </w:rPr>
              <w:t>2021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99"/>
              </w:rPr>
              <w:t>2020</w:t>
            </w:r>
          </w:p>
        </w:tc>
      </w:tr>
      <w:tr>
        <w:trPr>
          <w:trHeight w:val="223"/>
        </w:trPr>
        <w:tc>
          <w:tcPr>
            <w:tcW w:w="4840" w:type="dxa"/>
            <w:vAlign w:val="bottom"/>
            <w:gridSpan w:val="2"/>
          </w:tcPr>
          <w:p>
            <w:pPr>
              <w:ind w:left="520"/>
              <w:spacing w:after="0"/>
              <w:rPr>
                <w:sz w:val="20"/>
                <w:szCs w:val="20"/>
                <w:color w:val="auto"/>
              </w:rPr>
            </w:pPr>
            <w:r>
              <w:rPr>
                <w:rFonts w:ascii="Arial" w:cs="Arial" w:eastAsia="Arial" w:hAnsi="Arial"/>
                <w:sz w:val="18"/>
                <w:szCs w:val="18"/>
                <w:color w:val="auto"/>
              </w:rPr>
              <w:t>Adjusted EBITDA</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30"/>
        </w:trPr>
        <w:tc>
          <w:tcPr>
            <w:tcW w:w="6360" w:type="dxa"/>
            <w:vAlign w:val="bottom"/>
            <w:gridSpan w:val="5"/>
          </w:tcPr>
          <w:p>
            <w:pPr>
              <w:ind w:left="520"/>
              <w:spacing w:after="0"/>
              <w:rPr>
                <w:sz w:val="20"/>
                <w:szCs w:val="20"/>
                <w:color w:val="auto"/>
              </w:rPr>
            </w:pPr>
            <w:r>
              <w:rPr>
                <w:rFonts w:ascii="Arial" w:cs="Arial" w:eastAsia="Arial" w:hAnsi="Arial"/>
                <w:sz w:val="18"/>
                <w:szCs w:val="18"/>
                <w:color w:val="auto"/>
              </w:rPr>
              <w:t>Less:   Non-vehicle related depreciation and amortization</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29"/>
        </w:trPr>
        <w:tc>
          <w:tcPr>
            <w:tcW w:w="5060" w:type="dxa"/>
            <w:vAlign w:val="bottom"/>
            <w:gridSpan w:val="3"/>
          </w:tcPr>
          <w:p>
            <w:pPr>
              <w:ind w:left="1200"/>
              <w:spacing w:after="0"/>
              <w:rPr>
                <w:sz w:val="20"/>
                <w:szCs w:val="20"/>
                <w:color w:val="auto"/>
              </w:rPr>
            </w:pPr>
            <w:r>
              <w:rPr>
                <w:rFonts w:ascii="Arial" w:cs="Arial" w:eastAsia="Arial" w:hAnsi="Arial"/>
                <w:sz w:val="18"/>
                <w:szCs w:val="18"/>
                <w:color w:val="auto"/>
              </w:rPr>
              <w:t>Interest expense related to corporate debt, net:</w:t>
            </w: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4840" w:type="dxa"/>
            <w:vAlign w:val="bottom"/>
            <w:gridSpan w:val="2"/>
          </w:tcPr>
          <w:p>
            <w:pPr>
              <w:ind w:left="132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30"/>
        </w:trPr>
        <w:tc>
          <w:tcPr>
            <w:tcW w:w="4840" w:type="dxa"/>
            <w:vAlign w:val="bottom"/>
            <w:gridSpan w:val="2"/>
          </w:tcPr>
          <w:p>
            <w:pPr>
              <w:ind w:left="1320"/>
              <w:spacing w:after="0"/>
              <w:rPr>
                <w:sz w:val="20"/>
                <w:szCs w:val="20"/>
                <w:color w:val="auto"/>
              </w:rPr>
            </w:pPr>
            <w:r>
              <w:rPr>
                <w:rFonts w:ascii="Arial" w:cs="Arial" w:eastAsia="Arial" w:hAnsi="Arial"/>
                <w:sz w:val="18"/>
                <w:szCs w:val="18"/>
                <w:color w:val="auto"/>
              </w:rPr>
              <w:t>Early extinguishment of debt</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4840" w:type="dxa"/>
            <w:vAlign w:val="bottom"/>
            <w:gridSpan w:val="2"/>
          </w:tcPr>
          <w:p>
            <w:pPr>
              <w:ind w:left="1200"/>
              <w:spacing w:after="0"/>
              <w:rPr>
                <w:sz w:val="20"/>
                <w:szCs w:val="20"/>
                <w:color w:val="auto"/>
              </w:rPr>
            </w:pPr>
            <w:r>
              <w:rPr>
                <w:rFonts w:ascii="Arial" w:cs="Arial" w:eastAsia="Arial" w:hAnsi="Arial"/>
                <w:sz w:val="18"/>
                <w:szCs w:val="18"/>
                <w:color w:val="auto"/>
              </w:rPr>
              <w:t>Restructuring and other related charges</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42"/>
        </w:trPr>
        <w:tc>
          <w:tcPr>
            <w:tcW w:w="4840" w:type="dxa"/>
            <w:vAlign w:val="bottom"/>
            <w:gridSpan w:val="2"/>
          </w:tcPr>
          <w:p>
            <w:pPr>
              <w:ind w:left="1200"/>
              <w:spacing w:after="0" w:line="242" w:lineRule="exact"/>
              <w:rPr>
                <w:sz w:val="20"/>
                <w:szCs w:val="20"/>
                <w:color w:val="auto"/>
              </w:rPr>
            </w:pPr>
            <w:r>
              <w:rPr>
                <w:rFonts w:ascii="Arial" w:cs="Arial" w:eastAsia="Arial" w:hAnsi="Arial"/>
                <w:sz w:val="18"/>
                <w:szCs w:val="18"/>
                <w:color w:val="auto"/>
              </w:rPr>
              <w:t xml:space="preserve">COVID-19 charges </w:t>
            </w:r>
            <w:r>
              <w:rPr>
                <w:rFonts w:ascii="Arial" w:cs="Arial" w:eastAsia="Arial" w:hAnsi="Arial"/>
                <w:sz w:val="23"/>
                <w:szCs w:val="23"/>
                <w:color w:val="auto"/>
                <w:vertAlign w:val="superscript"/>
              </w:rPr>
              <w:t>(b)</w:t>
            </w: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7"/>
        </w:trPr>
        <w:tc>
          <w:tcPr>
            <w:tcW w:w="4840" w:type="dxa"/>
            <w:vAlign w:val="bottom"/>
            <w:gridSpan w:val="2"/>
          </w:tcPr>
          <w:p>
            <w:pPr>
              <w:ind w:left="1200"/>
              <w:spacing w:after="0"/>
              <w:rPr>
                <w:sz w:val="20"/>
                <w:szCs w:val="20"/>
                <w:color w:val="auto"/>
              </w:rPr>
            </w:pPr>
            <w:r>
              <w:rPr>
                <w:rFonts w:ascii="Arial" w:cs="Arial" w:eastAsia="Arial" w:hAnsi="Arial"/>
                <w:sz w:val="18"/>
                <w:szCs w:val="18"/>
                <w:color w:val="auto"/>
              </w:rPr>
              <w:t>Transaction-related costs, net</w:t>
            </w: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178"/>
        </w:trPr>
        <w:tc>
          <w:tcPr>
            <w:tcW w:w="5060" w:type="dxa"/>
            <w:vAlign w:val="bottom"/>
            <w:gridSpan w:val="3"/>
          </w:tcPr>
          <w:p>
            <w:pPr>
              <w:ind w:left="1200"/>
              <w:spacing w:after="0" w:line="178" w:lineRule="exact"/>
              <w:rPr>
                <w:sz w:val="20"/>
                <w:szCs w:val="20"/>
                <w:color w:val="auto"/>
              </w:rPr>
            </w:pPr>
            <w:r>
              <w:rPr>
                <w:rFonts w:ascii="Arial" w:cs="Arial" w:eastAsia="Arial" w:hAnsi="Arial"/>
                <w:sz w:val="18"/>
                <w:szCs w:val="18"/>
                <w:color w:val="auto"/>
              </w:rPr>
              <w:t>Non-operational charges related to shareholder</w:t>
            </w: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27"/>
        </w:trPr>
        <w:tc>
          <w:tcPr>
            <w:tcW w:w="4840" w:type="dxa"/>
            <w:vAlign w:val="bottom"/>
            <w:gridSpan w:val="2"/>
          </w:tcPr>
          <w:p>
            <w:pPr>
              <w:ind w:left="1360"/>
              <w:spacing w:after="0" w:line="228" w:lineRule="exact"/>
              <w:rPr>
                <w:sz w:val="20"/>
                <w:szCs w:val="20"/>
                <w:color w:val="auto"/>
              </w:rPr>
            </w:pPr>
            <w:r>
              <w:rPr>
                <w:rFonts w:ascii="Arial" w:cs="Arial" w:eastAsia="Arial" w:hAnsi="Arial"/>
                <w:sz w:val="18"/>
                <w:szCs w:val="18"/>
                <w:color w:val="auto"/>
              </w:rPr>
              <w:t xml:space="preserve">activist activity </w:t>
            </w:r>
            <w:r>
              <w:rPr>
                <w:rFonts w:ascii="Arial" w:cs="Arial" w:eastAsia="Arial" w:hAnsi="Arial"/>
                <w:sz w:val="23"/>
                <w:szCs w:val="23"/>
                <w:color w:val="auto"/>
                <w:vertAlign w:val="superscript"/>
              </w:rPr>
              <w:t>(c)</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4840" w:type="dxa"/>
            <w:vAlign w:val="bottom"/>
            <w:gridSpan w:val="2"/>
          </w:tcPr>
          <w:p>
            <w:pPr>
              <w:ind w:left="520"/>
              <w:spacing w:after="0"/>
              <w:rPr>
                <w:sz w:val="20"/>
                <w:szCs w:val="20"/>
                <w:color w:val="auto"/>
              </w:rPr>
            </w:pPr>
            <w:r>
              <w:rPr>
                <w:rFonts w:ascii="Arial" w:cs="Arial" w:eastAsia="Arial" w:hAnsi="Arial"/>
                <w:sz w:val="18"/>
                <w:szCs w:val="18"/>
                <w:color w:val="auto"/>
              </w:rPr>
              <w:t>Loss before income taxes</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w:t>
            </w:r>
          </w:p>
        </w:tc>
      </w:tr>
      <w:tr>
        <w:trPr>
          <w:trHeight w:val="21"/>
        </w:trPr>
        <w:tc>
          <w:tcPr>
            <w:tcW w:w="14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0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__________</w:t>
      </w:r>
    </w:p>
    <w:p>
      <w:pPr>
        <w:ind w:left="820" w:hanging="326"/>
        <w:spacing w:after="0" w:line="187" w:lineRule="auto"/>
        <w:tabs>
          <w:tab w:leader="none" w:pos="820" w:val="left"/>
        </w:tabs>
        <w:numPr>
          <w:ilvl w:val="0"/>
          <w:numId w:val="35"/>
        </w:numPr>
        <w:rPr>
          <w:rFonts w:ascii="Arial" w:cs="Arial" w:eastAsia="Arial" w:hAnsi="Arial"/>
          <w:sz w:val="19"/>
          <w:szCs w:val="19"/>
          <w:color w:val="auto"/>
          <w:vertAlign w:val="superscript"/>
        </w:rPr>
      </w:pPr>
      <w:r>
        <w:rPr>
          <w:rFonts w:ascii="Arial" w:cs="Arial" w:eastAsia="Arial" w:hAnsi="Arial"/>
          <w:sz w:val="14"/>
          <w:szCs w:val="14"/>
          <w:color w:val="auto"/>
        </w:rPr>
        <w:t>Includes unallocated corporate overhead which is not attributable to a particular segment.</w:t>
      </w:r>
    </w:p>
    <w:p>
      <w:pPr>
        <w:ind w:left="820" w:right="180" w:hanging="326"/>
        <w:spacing w:after="0" w:line="225" w:lineRule="auto"/>
        <w:tabs>
          <w:tab w:leader="none" w:pos="813" w:val="left"/>
        </w:tabs>
        <w:numPr>
          <w:ilvl w:val="0"/>
          <w:numId w:val="35"/>
        </w:numPr>
        <w:rPr>
          <w:rFonts w:ascii="Arial" w:cs="Arial" w:eastAsia="Arial" w:hAnsi="Arial"/>
          <w:sz w:val="19"/>
          <w:szCs w:val="19"/>
          <w:color w:val="auto"/>
          <w:vertAlign w:val="superscript"/>
        </w:rPr>
      </w:pPr>
      <w:r>
        <w:rPr>
          <w:rFonts w:ascii="Arial" w:cs="Arial" w:eastAsia="Arial" w:hAnsi="Arial"/>
          <w:sz w:val="14"/>
          <w:szCs w:val="14"/>
          <w:color w:val="auto"/>
        </w:rPr>
        <w:t>For three months ended March 31, 2021 consists of $17 million within operating expenses and $1 million within selling, general and administrative expenses, primarily consisting of $19 million of minimum annual guaranteed rent in excess of concession fees, $5 million of other charges and $(6) million associated with vehicles damaged in overflow parking lots, net of insurance proceeds. For the three months ended March 31, 2020, consists of $7 million within operating expenses, primarily consisting of $5 million associated with vehicles damaged in overflow parking lots, net of insurance proceeds and $2 million of incremental cleaning supplies to sanitize vehicles and facilities, and over flow parking.</w:t>
      </w:r>
    </w:p>
    <w:p>
      <w:pPr>
        <w:spacing w:after="0" w:line="1" w:lineRule="exact"/>
        <w:rPr>
          <w:rFonts w:ascii="Arial" w:cs="Arial" w:eastAsia="Arial" w:hAnsi="Arial"/>
          <w:sz w:val="19"/>
          <w:szCs w:val="19"/>
          <w:color w:val="auto"/>
          <w:vertAlign w:val="superscript"/>
        </w:rPr>
      </w:pPr>
    </w:p>
    <w:p>
      <w:pPr>
        <w:ind w:left="800" w:hanging="306"/>
        <w:spacing w:after="0" w:line="189" w:lineRule="auto"/>
        <w:tabs>
          <w:tab w:leader="none" w:pos="800" w:val="left"/>
        </w:tabs>
        <w:numPr>
          <w:ilvl w:val="0"/>
          <w:numId w:val="35"/>
        </w:numPr>
        <w:rPr>
          <w:rFonts w:ascii="Arial" w:cs="Arial" w:eastAsia="Arial" w:hAnsi="Arial"/>
          <w:sz w:val="19"/>
          <w:szCs w:val="19"/>
          <w:color w:val="auto"/>
          <w:vertAlign w:val="superscript"/>
        </w:rPr>
      </w:pPr>
      <w:r>
        <w:rPr>
          <w:rFonts w:ascii="Arial" w:cs="Arial" w:eastAsia="Arial" w:hAnsi="Arial"/>
          <w:sz w:val="14"/>
          <w:szCs w:val="14"/>
          <w:color w:val="auto"/>
        </w:rPr>
        <w:t>Reported within selling, general and administrative expenses.</w:t>
      </w:r>
    </w:p>
    <w:p>
      <w:pPr>
        <w:spacing w:after="0" w:line="227" w:lineRule="exact"/>
        <w:rPr>
          <w:sz w:val="20"/>
          <w:szCs w:val="20"/>
          <w:color w:val="auto"/>
        </w:rPr>
      </w:pPr>
    </w:p>
    <w:p>
      <w:pPr>
        <w:ind w:left="500"/>
        <w:spacing w:after="0" w:line="253" w:lineRule="auto"/>
        <w:rPr>
          <w:sz w:val="20"/>
          <w:szCs w:val="20"/>
          <w:color w:val="auto"/>
        </w:rPr>
      </w:pPr>
      <w:r>
        <w:rPr>
          <w:rFonts w:ascii="Arial" w:cs="Arial" w:eastAsia="Arial" w:hAnsi="Arial"/>
          <w:sz w:val="18"/>
          <w:szCs w:val="18"/>
          <w:color w:val="auto"/>
        </w:rPr>
        <w:t>Since December 31, 2020, there have been no significant changes in segment assets exclusive of assets under vehicle programs. As of March 31, 2021 and December 31, 2020, Americas’ segment assets under vehicle programs were approximately $8.2 billion and $7.2 billion, respectively, and International segment assets under vehicle programs were approximately $ 1.9 billion and $2.0 billion, respectively. The changes in assets under vehicle programs is primarily due to the increase in the size of our vehicle rental fleet to meet increase in rental demand.</w:t>
      </w:r>
    </w:p>
    <w:p>
      <w:pPr>
        <w:spacing w:after="0" w:line="240"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 * * *</w:t>
      </w:r>
    </w:p>
    <w:p>
      <w:pPr>
        <w:spacing w:after="0" w:line="200" w:lineRule="exact"/>
        <w:rPr>
          <w:sz w:val="20"/>
          <w:szCs w:val="20"/>
          <w:color w:val="auto"/>
        </w:rPr>
      </w:pPr>
    </w:p>
    <w:p>
      <w:pPr>
        <w:spacing w:after="0" w:line="3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08" w:right="47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56" w:lineRule="exact"/>
        <w:rPr>
          <w:sz w:val="20"/>
          <w:szCs w:val="20"/>
          <w:color w:val="auto"/>
        </w:rPr>
      </w:pPr>
    </w:p>
    <w:p>
      <w:pPr>
        <w:spacing w:after="0" w:line="261" w:lineRule="auto"/>
        <w:rPr>
          <w:sz w:val="20"/>
          <w:szCs w:val="20"/>
          <w:color w:val="auto"/>
        </w:rPr>
      </w:pPr>
      <w:r>
        <w:rPr>
          <w:rFonts w:ascii="Arial" w:cs="Arial" w:eastAsia="Arial" w:hAnsi="Arial"/>
          <w:sz w:val="18"/>
          <w:szCs w:val="18"/>
          <w:i w:val="1"/>
          <w:iCs w:val="1"/>
          <w:color w:val="auto"/>
        </w:rPr>
        <w:t>The following discussion should be read in conjunction with our Consolidated Condensed Financial Statements and accompanying Notes included in this Quarterly Report on Form 10-Q, and with our 2020 Form 10-K. Our actual results of operations may differ materially from those discussed in forward-looking statements as a result of various factors, including those discussed in “Forward-Looking Statements”. See “Forward-Looking Statements” for additional information. Unless otherwise noted, all dollar amounts in tables are in millions.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OVERVIEW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Company</w:t>
      </w:r>
    </w:p>
    <w:p>
      <w:pPr>
        <w:spacing w:after="0" w:line="27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operate three of the most globally recognized brands in mobility solutions, Avis, Budget and Zipcar, together with several other brands well recognized in their respective markets. We are a leading vehicle rental operator in North America, Europe, Australasia and certain other regions we serve, with an average rental fleet during 2020 of nearly 533,000 vehicles. We also license the use of our trademarks to licensees in the areas in which we do not operate directly. We and our licensees operate our brands in approximately 180 countries throughout the world.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Segments</w:t>
      </w:r>
    </w:p>
    <w:p>
      <w:pPr>
        <w:spacing w:after="0" w:line="256" w:lineRule="exact"/>
        <w:rPr>
          <w:sz w:val="20"/>
          <w:szCs w:val="20"/>
          <w:color w:val="auto"/>
        </w:rPr>
      </w:pPr>
    </w:p>
    <w:p>
      <w:pPr>
        <w:jc w:val="both"/>
        <w:ind w:right="100"/>
        <w:spacing w:after="0" w:line="281" w:lineRule="auto"/>
        <w:rPr>
          <w:sz w:val="20"/>
          <w:szCs w:val="20"/>
          <w:color w:val="auto"/>
        </w:rPr>
      </w:pPr>
      <w:r>
        <w:rPr>
          <w:rFonts w:ascii="Arial" w:cs="Arial" w:eastAsia="Arial" w:hAnsi="Arial"/>
          <w:sz w:val="17"/>
          <w:szCs w:val="17"/>
          <w:color w:val="auto"/>
        </w:rPr>
        <w:t xml:space="preserve">We categorize our operations into two reportable business segments: </w:t>
      </w:r>
      <w:r>
        <w:rPr>
          <w:rFonts w:ascii="Arial" w:cs="Arial" w:eastAsia="Arial" w:hAnsi="Arial"/>
          <w:sz w:val="17"/>
          <w:szCs w:val="17"/>
          <w:i w:val="1"/>
          <w:iCs w:val="1"/>
          <w:color w:val="auto"/>
        </w:rPr>
        <w:t>Americas</w:t>
      </w:r>
      <w:r>
        <w:rPr>
          <w:rFonts w:ascii="Arial" w:cs="Arial" w:eastAsia="Arial" w:hAnsi="Arial"/>
          <w:sz w:val="17"/>
          <w:szCs w:val="17"/>
          <w:color w:val="auto"/>
        </w:rPr>
        <w:t xml:space="preserve">, consisting primarily of our vehicle rental operations in North America, South America, Central America and the Caribbean, car sharing operations in certain of these markets, and licensees in the areas in which we do not operate directly; and </w:t>
      </w:r>
      <w:r>
        <w:rPr>
          <w:rFonts w:ascii="Arial" w:cs="Arial" w:eastAsia="Arial" w:hAnsi="Arial"/>
          <w:sz w:val="17"/>
          <w:szCs w:val="17"/>
          <w:i w:val="1"/>
          <w:iCs w:val="1"/>
          <w:color w:val="auto"/>
        </w:rPr>
        <w:t>International</w:t>
      </w:r>
      <w:r>
        <w:rPr>
          <w:rFonts w:ascii="Arial" w:cs="Arial" w:eastAsia="Arial" w:hAnsi="Arial"/>
          <w:sz w:val="17"/>
          <w:szCs w:val="17"/>
          <w:color w:val="auto"/>
        </w:rPr>
        <w:t>, consisting primarily of our vehicle rental operations in Europe, the Middle East, Africa, Asia and Australasia, car sharing operations in certain of these markets, and licensees in the areas in which we do not operate directly.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and Trends</w:t>
      </w:r>
    </w:p>
    <w:p>
      <w:pPr>
        <w:spacing w:after="0" w:line="274"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The positive momentum from the fourth quarter of 2020 carried into the first quarter 2021, during which we generated revenues of $1,372 million, net loss of $170 million and Adjusted EBITDA of $47 million. These results were driven by disciplined cost removal achieved in 2020 and continued fleet management. Our utilization was 67%, a 5.1 point improvement compared to fourth quarter 2020, showing our ability to align our fleet with demand, and per-unit fleet costs per month decreased to $205, or 3% compared to fourth quarter 2020. Revenue per day increased to $55.24, or 2%, compared to fourth quarter 2020.</w:t>
      </w:r>
    </w:p>
    <w:p>
      <w:pPr>
        <w:spacing w:after="0" w:line="232"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As the world is looking forward to the easing of restrictions put in place due to COVID-19, there are a number of encouraging developments, such as widespread distribution of effective vaccines, suggesting a steady return to historic travel trends, and we have positioned ourselves to capitalize on the expected surge in travel demand. Although our revenues have yet to reach pre-pandemic levels, we have taken actions to put us on a path of profitability. We continue to look for ways to capitalize on the changes prompted by the pandemic and to expand our business in a post-COVID-19 environment.</w:t>
      </w:r>
    </w:p>
    <w:p>
      <w:pPr>
        <w:spacing w:after="0" w:line="232"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Although we have seen substantial improvement, these trends could be delayed if the ongoing effects of the virus were to bring a significant shift in the economy and consumer choices or if travel demand does not return to pre-pandemic levels. Significant events affecting travel have historically had an impact on vehicle rental volumes, with the full extent of the impact generally determined by the length of time the event influences travel decisions. As a consequence, we cannot estimate the impact on our business, financial condition or forecast financial or operational results with reasonable certainty.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RESULTS OF OPERATIONS</w:t>
      </w:r>
    </w:p>
    <w:p>
      <w:pPr>
        <w:spacing w:after="0" w:line="274"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We measure performance principally using the following key metrics: (i) rental days, which represent the total number of days (or portion thereof) a vehicle was rented, (ii) revenue per day, which represents revenues divided by rental days, (iii) vehicle utilization, which represents rental days divided by available rental days, with available rental days defined as average rental fleet times the number of days in the period, and (iv) per-unit fleet costs, which represent vehicle depreciation, lease charges and gain or loss on vehicle sales, divided by average rental fleet. Our rental days, revenue per day and vehicle utilization metrics are all calculated based on the actual rental of the vehicle during a 24-hour period. We believe that this methodology provides us with the most relevant metrics in order to manage the business. Our calculation may not be comparable to the calculation of similarly-titled metrics by other companies. We present currency exchange rate effects to provide a method of assessing how our business performed excluding the effects of foreign currency rate fluctuations. Currency exchange rate effects are calculated by translating the current-year results at the prior-period average exchange rate plus any related gains and losses on currency hedges.</w:t>
      </w:r>
    </w:p>
    <w:p>
      <w:pPr>
        <w:spacing w:after="0" w:line="238"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We assess performance and allocate resources based upon the separate financial information of our operating segments. In identifying our reportable segments, we also consider the nature of services provided by our operating segments, the geographical areas in which our segments operate and other relevant factors. Management evaluates the operating results of each of our reportable segments based upon revenues and “Adjusted EBITDA,” which we define as income from continuing operations before non-vehicle related depreciation and amortization, any impairment charges, restructuring and other related charges, early extinguishment of debt costs, non-vehicle related interest, transaction-related costs, net, charges for unprecedented personal-injury and other legal matters, non-operational charges related to shareholder activist activity, which include third party advisory, legal and other professional service fees, gain on sale of equity method investment in China, COVID-19 charges and income taxes. COVID-19 charges include unusual, direct and incremental costs due to the COVID-19 pandemic such as minimum annual guaranteed rent in excess of concession fees for the period, overflow parking for idle vehicles and related shuttling costs, incremental cleaning supplies to sanitize vehicles and facilities, and losses associated with vehicles damaged in overflow parking lots, net of insurance proceeds. We believe Adjusted EBITDA is useful as a supplemental measure in evaluating the performance of our operating businesses and in comparing our results from period to period. We also believe that Adjusted EBITDA is useful to investors because it allows them to assess our results of operations and financial condition on the same basis that management uses internally. Adjusted EBITDA is a non-GAAP measure and should not be considered in isolation or as a substitute for net income or other income statement data prepared in accordance with U.S. GAAP. Our presentation of Adjusted EBITDA may not be comparable to similarly-titled measures used by other companies.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March 31, 2021:</w:t>
      </w:r>
    </w:p>
    <w:p>
      <w:pPr>
        <w:spacing w:after="0" w:line="252" w:lineRule="exact"/>
        <w:rPr>
          <w:sz w:val="20"/>
          <w:szCs w:val="20"/>
          <w:color w:val="auto"/>
        </w:rPr>
      </w:pPr>
    </w:p>
    <w:p>
      <w:pPr>
        <w:ind w:left="660" w:right="60" w:hanging="328"/>
        <w:spacing w:after="0" w:line="261"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revenues totaled $1.4 billion and decreased 22% compared to the similar period in 2020, primarily due to reduced rental volume due to impacts directly related to COVID-19.</w:t>
      </w:r>
    </w:p>
    <w:p>
      <w:pPr>
        <w:spacing w:after="0" w:line="224" w:lineRule="exact"/>
        <w:rPr>
          <w:rFonts w:ascii="Arial" w:cs="Arial" w:eastAsia="Arial" w:hAnsi="Arial"/>
          <w:sz w:val="18"/>
          <w:szCs w:val="18"/>
          <w:color w:val="auto"/>
        </w:rPr>
      </w:pPr>
    </w:p>
    <w:p>
      <w:pPr>
        <w:ind w:left="660" w:right="220" w:hanging="328"/>
        <w:spacing w:after="0" w:line="261"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net loss was $170 million, representing an increased loss of $12 million year-over-year, primarily due to premiums paid for the early redemption of our corporate debt, partially offset by strategic cost reduction initiatives to right size the business.</w:t>
      </w:r>
    </w:p>
    <w:p>
      <w:pPr>
        <w:spacing w:after="0" w:line="224" w:lineRule="exact"/>
        <w:rPr>
          <w:rFonts w:ascii="Arial" w:cs="Arial" w:eastAsia="Arial" w:hAnsi="Arial"/>
          <w:sz w:val="18"/>
          <w:szCs w:val="18"/>
          <w:color w:val="auto"/>
        </w:rPr>
      </w:pPr>
    </w:p>
    <w:p>
      <w:pPr>
        <w:jc w:val="both"/>
        <w:ind w:left="660" w:right="160" w:hanging="328"/>
        <w:spacing w:after="0" w:line="256"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Adjusted EBITDA was $47 million, representing an increase of $134 million year-over-year, primarily due to a 20% decrease in per-unit fleet costs, excluding exchange rate effects and strategic cost reduction initiatives to right size the business, partially offset by impacts directly related to COVID-19.</w:t>
      </w:r>
    </w:p>
    <w:p>
      <w:pPr>
        <w:spacing w:after="0" w:line="228"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repurchased $10 million of our common stock, reducing our shares outstanding by approximately 0.1 million shares.</w:t>
      </w:r>
    </w:p>
    <w:p>
      <w:pPr>
        <w:spacing w:after="0" w:line="252" w:lineRule="exact"/>
        <w:rPr>
          <w:rFonts w:ascii="Arial" w:cs="Arial" w:eastAsia="Arial" w:hAnsi="Arial"/>
          <w:sz w:val="18"/>
          <w:szCs w:val="18"/>
          <w:color w:val="auto"/>
        </w:rPr>
      </w:pPr>
    </w:p>
    <w:p>
      <w:pPr>
        <w:ind w:left="660" w:right="180" w:hanging="328"/>
        <w:spacing w:after="0" w:line="256"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issued $600 million and $500 million of 5.375% Senior Notes due March 2029 and 4.75% Senior Notes due March 2028, respectively, with proceeds used to redeem our 10.5% Senior Secured Notes due May 2025, our 6.375% Senior Notes due in April 2024 and a portion of our 5.25% Senior Notes due in March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07"/>
        </w:trPr>
        <w:tc>
          <w:tcPr>
            <w:tcW w:w="582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00" w:type="dxa"/>
            <w:vAlign w:val="bottom"/>
            <w:shd w:val="clear" w:color="auto" w:fill="0000FF"/>
          </w:tcPr>
          <w:p>
            <w:pPr>
              <w:spacing w:after="0" w:line="20" w:lineRule="exact"/>
              <w:rPr>
                <w:sz w:val="1"/>
                <w:szCs w:val="1"/>
                <w:color w:val="auto"/>
              </w:rPr>
            </w:pPr>
          </w:p>
        </w:tc>
        <w:tc>
          <w:tcPr>
            <w:tcW w:w="56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0"/>
        </w:trPr>
        <w:tc>
          <w:tcPr>
            <w:tcW w:w="7140" w:type="dxa"/>
            <w:vAlign w:val="bottom"/>
            <w:gridSpan w:val="5"/>
          </w:tcPr>
          <w:p>
            <w:pPr>
              <w:spacing w:after="0"/>
              <w:rPr>
                <w:sz w:val="20"/>
                <w:szCs w:val="20"/>
                <w:color w:val="auto"/>
              </w:rPr>
            </w:pPr>
            <w:r>
              <w:rPr>
                <w:rFonts w:ascii="Arial" w:cs="Arial" w:eastAsia="Arial" w:hAnsi="Arial"/>
                <w:sz w:val="18"/>
                <w:szCs w:val="18"/>
                <w:b w:val="1"/>
                <w:bCs w:val="1"/>
                <w:i w:val="1"/>
                <w:iCs w:val="1"/>
                <w:color w:val="auto"/>
              </w:rPr>
              <w:t>Three Months Ended March 31, 2021 vs. Three Months Ended March 31, 2020</w:t>
            </w: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6060" w:type="dxa"/>
            <w:vAlign w:val="bottom"/>
            <w:gridSpan w:val="3"/>
          </w:tcPr>
          <w:p>
            <w:pPr>
              <w:spacing w:after="0"/>
              <w:rPr>
                <w:sz w:val="20"/>
                <w:szCs w:val="20"/>
                <w:color w:val="auto"/>
              </w:rPr>
            </w:pPr>
            <w:r>
              <w:rPr>
                <w:rFonts w:ascii="Arial" w:cs="Arial" w:eastAsia="Arial" w:hAnsi="Arial"/>
                <w:sz w:val="18"/>
                <w:szCs w:val="18"/>
                <w:color w:val="auto"/>
              </w:rPr>
              <w:t>Our consolidated condensed results of operations comprised the following:</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40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0" w:type="dxa"/>
            <w:vAlign w:val="bottom"/>
            <w:gridSpan w:val="5"/>
          </w:tcPr>
          <w:p>
            <w:pPr>
              <w:ind w:left="120"/>
              <w:spacing w:after="0" w:line="202" w:lineRule="exact"/>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140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0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9"/>
              </w:rPr>
              <w:t>2020</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 Change</w:t>
            </w:r>
          </w:p>
        </w:tc>
        <w:tc>
          <w:tcPr>
            <w:tcW w:w="100" w:type="dxa"/>
            <w:vAlign w:val="bottom"/>
          </w:tcPr>
          <w:p>
            <w:pPr>
              <w:spacing w:after="0"/>
              <w:rPr>
                <w:sz w:val="19"/>
                <w:szCs w:val="19"/>
                <w:color w:val="auto"/>
              </w:rPr>
            </w:pPr>
          </w:p>
        </w:tc>
        <w:tc>
          <w:tcPr>
            <w:tcW w:w="14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23"/>
        </w:trPr>
        <w:tc>
          <w:tcPr>
            <w:tcW w:w="5820" w:type="dxa"/>
            <w:vAlign w:val="bottom"/>
            <w:gridSpan w:val="2"/>
          </w:tcPr>
          <w:p>
            <w:pPr>
              <w:ind w:left="20"/>
              <w:spacing w:after="0"/>
              <w:rPr>
                <w:sz w:val="20"/>
                <w:szCs w:val="20"/>
                <w:color w:val="auto"/>
              </w:rPr>
            </w:pPr>
            <w:r>
              <w:rPr>
                <w:rFonts w:ascii="Arial" w:cs="Arial" w:eastAsia="Arial" w:hAnsi="Arial"/>
                <w:sz w:val="18"/>
                <w:szCs w:val="18"/>
                <w:b w:val="1"/>
                <w:bCs w:val="1"/>
                <w:color w:val="auto"/>
              </w:rPr>
              <w:t>Revenues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1,372</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1,753</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372"/>
        </w:trPr>
        <w:tc>
          <w:tcPr>
            <w:tcW w:w="5820" w:type="dxa"/>
            <w:vAlign w:val="bottom"/>
            <w:gridSpan w:val="2"/>
          </w:tcPr>
          <w:p>
            <w:pPr>
              <w:ind w:left="20"/>
              <w:spacing w:after="0"/>
              <w:rPr>
                <w:sz w:val="20"/>
                <w:szCs w:val="20"/>
                <w:color w:val="auto"/>
              </w:rPr>
            </w:pPr>
            <w:r>
              <w:rPr>
                <w:rFonts w:ascii="Arial" w:cs="Arial" w:eastAsia="Arial" w:hAnsi="Arial"/>
                <w:sz w:val="18"/>
                <w:szCs w:val="18"/>
                <w:b w:val="1"/>
                <w:bCs w:val="1"/>
                <w:color w:val="auto"/>
              </w:rPr>
              <w:t>Expenses</w:t>
            </w: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820" w:type="dxa"/>
            <w:vAlign w:val="bottom"/>
            <w:gridSpan w:val="2"/>
          </w:tcPr>
          <w:p>
            <w:pPr>
              <w:ind w:left="220"/>
              <w:spacing w:after="0"/>
              <w:rPr>
                <w:sz w:val="20"/>
                <w:szCs w:val="20"/>
                <w:color w:val="auto"/>
              </w:rPr>
            </w:pPr>
            <w:r>
              <w:rPr>
                <w:rFonts w:ascii="Arial" w:cs="Arial" w:eastAsia="Arial" w:hAnsi="Arial"/>
                <w:sz w:val="18"/>
                <w:szCs w:val="18"/>
                <w:color w:val="auto"/>
              </w:rPr>
              <w:t>Operating</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832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1,058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(226)</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29"/>
        </w:trPr>
        <w:tc>
          <w:tcPr>
            <w:tcW w:w="5820" w:type="dxa"/>
            <w:vAlign w:val="bottom"/>
            <w:gridSpan w:val="2"/>
          </w:tcPr>
          <w:p>
            <w:pPr>
              <w:ind w:left="220"/>
              <w:spacing w:after="0"/>
              <w:rPr>
                <w:sz w:val="20"/>
                <w:szCs w:val="20"/>
                <w:color w:val="auto"/>
              </w:rPr>
            </w:pPr>
            <w:r>
              <w:rPr>
                <w:rFonts w:ascii="Arial" w:cs="Arial" w:eastAsia="Arial" w:hAnsi="Arial"/>
                <w:sz w:val="18"/>
                <w:szCs w:val="18"/>
                <w:color w:val="auto"/>
              </w:rPr>
              <w:t>Vehicle depreciation and lease charges, net</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(205)</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(45 %)</w:t>
            </w:r>
          </w:p>
        </w:tc>
        <w:tc>
          <w:tcPr>
            <w:tcW w:w="0" w:type="dxa"/>
            <w:vAlign w:val="bottom"/>
          </w:tcPr>
          <w:p>
            <w:pPr>
              <w:spacing w:after="0"/>
              <w:rPr>
                <w:sz w:val="1"/>
                <w:szCs w:val="1"/>
                <w:color w:val="auto"/>
              </w:rPr>
            </w:pPr>
          </w:p>
        </w:tc>
      </w:tr>
      <w:tr>
        <w:trPr>
          <w:trHeight w:val="229"/>
        </w:trPr>
        <w:tc>
          <w:tcPr>
            <w:tcW w:w="5820" w:type="dxa"/>
            <w:vAlign w:val="bottom"/>
            <w:gridSpan w:val="2"/>
          </w:tcPr>
          <w:p>
            <w:pPr>
              <w:ind w:left="22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(69)</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230"/>
        </w:trPr>
        <w:tc>
          <w:tcPr>
            <w:tcW w:w="5820" w:type="dxa"/>
            <w:vAlign w:val="bottom"/>
            <w:gridSpan w:val="2"/>
          </w:tcPr>
          <w:p>
            <w:pPr>
              <w:ind w:left="220"/>
              <w:spacing w:after="0"/>
              <w:rPr>
                <w:sz w:val="20"/>
                <w:szCs w:val="20"/>
                <w:color w:val="auto"/>
              </w:rPr>
            </w:pPr>
            <w:r>
              <w:rPr>
                <w:rFonts w:ascii="Arial" w:cs="Arial" w:eastAsia="Arial" w:hAnsi="Arial"/>
                <w:sz w:val="18"/>
                <w:szCs w:val="18"/>
                <w:color w:val="auto"/>
              </w:rPr>
              <w:t>Vehicle interest, net</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29"/>
        </w:trPr>
        <w:tc>
          <w:tcPr>
            <w:tcW w:w="5820" w:type="dxa"/>
            <w:vAlign w:val="bottom"/>
            <w:gridSpan w:val="2"/>
          </w:tcPr>
          <w:p>
            <w:pPr>
              <w:ind w:left="220"/>
              <w:spacing w:after="0"/>
              <w:rPr>
                <w:sz w:val="20"/>
                <w:szCs w:val="20"/>
                <w:color w:val="auto"/>
              </w:rPr>
            </w:pPr>
            <w:r>
              <w:rPr>
                <w:rFonts w:ascii="Arial" w:cs="Arial" w:eastAsia="Arial" w:hAnsi="Arial"/>
                <w:sz w:val="18"/>
                <w:szCs w:val="18"/>
                <w:color w:val="auto"/>
              </w:rPr>
              <w:t>Non-vehicle related depreciation and amortization</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30"/>
        </w:trPr>
        <w:tc>
          <w:tcPr>
            <w:tcW w:w="5820" w:type="dxa"/>
            <w:vAlign w:val="bottom"/>
            <w:gridSpan w:val="2"/>
          </w:tcPr>
          <w:p>
            <w:pPr>
              <w:ind w:left="220"/>
              <w:spacing w:after="0"/>
              <w:rPr>
                <w:sz w:val="20"/>
                <w:szCs w:val="20"/>
                <w:color w:val="auto"/>
              </w:rPr>
            </w:pPr>
            <w:r>
              <w:rPr>
                <w:rFonts w:ascii="Arial" w:cs="Arial" w:eastAsia="Arial" w:hAnsi="Arial"/>
                <w:sz w:val="18"/>
                <w:szCs w:val="18"/>
                <w:color w:val="auto"/>
              </w:rPr>
              <w:t>Interest expense related to corporate debt, net:</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20" w:type="dxa"/>
            <w:vAlign w:val="bottom"/>
            <w:gridSpan w:val="2"/>
          </w:tcPr>
          <w:p>
            <w:pPr>
              <w:ind w:left="36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229"/>
        </w:trPr>
        <w:tc>
          <w:tcPr>
            <w:tcW w:w="5820" w:type="dxa"/>
            <w:vAlign w:val="bottom"/>
            <w:gridSpan w:val="2"/>
          </w:tcPr>
          <w:p>
            <w:pPr>
              <w:ind w:left="360"/>
              <w:spacing w:after="0"/>
              <w:rPr>
                <w:sz w:val="20"/>
                <w:szCs w:val="20"/>
                <w:color w:val="auto"/>
              </w:rPr>
            </w:pPr>
            <w:r>
              <w:rPr>
                <w:rFonts w:ascii="Arial" w:cs="Arial" w:eastAsia="Arial" w:hAnsi="Arial"/>
                <w:sz w:val="18"/>
                <w:szCs w:val="18"/>
                <w:color w:val="auto"/>
              </w:rPr>
              <w:t>Early extinguishment of debt</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5820" w:type="dxa"/>
            <w:vAlign w:val="bottom"/>
            <w:gridSpan w:val="2"/>
          </w:tcPr>
          <w:p>
            <w:pPr>
              <w:ind w:left="220"/>
              <w:spacing w:after="0"/>
              <w:rPr>
                <w:sz w:val="20"/>
                <w:szCs w:val="20"/>
                <w:color w:val="auto"/>
              </w:rPr>
            </w:pPr>
            <w:r>
              <w:rPr>
                <w:rFonts w:ascii="Arial" w:cs="Arial" w:eastAsia="Arial" w:hAnsi="Arial"/>
                <w:sz w:val="18"/>
                <w:szCs w:val="18"/>
                <w:color w:val="auto"/>
              </w:rPr>
              <w:t>Restructuring and other related charges</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(55 %)</w:t>
            </w:r>
          </w:p>
        </w:tc>
        <w:tc>
          <w:tcPr>
            <w:tcW w:w="0" w:type="dxa"/>
            <w:vAlign w:val="bottom"/>
          </w:tcPr>
          <w:p>
            <w:pPr>
              <w:spacing w:after="0"/>
              <w:rPr>
                <w:sz w:val="1"/>
                <w:szCs w:val="1"/>
                <w:color w:val="auto"/>
              </w:rPr>
            </w:pPr>
          </w:p>
        </w:tc>
      </w:tr>
      <w:tr>
        <w:trPr>
          <w:trHeight w:val="229"/>
        </w:trPr>
        <w:tc>
          <w:tcPr>
            <w:tcW w:w="5820" w:type="dxa"/>
            <w:vAlign w:val="bottom"/>
            <w:gridSpan w:val="2"/>
          </w:tcPr>
          <w:p>
            <w:pPr>
              <w:ind w:left="220"/>
              <w:spacing w:after="0"/>
              <w:rPr>
                <w:sz w:val="20"/>
                <w:szCs w:val="20"/>
                <w:color w:val="auto"/>
              </w:rPr>
            </w:pPr>
            <w:r>
              <w:rPr>
                <w:rFonts w:ascii="Arial" w:cs="Arial" w:eastAsia="Arial" w:hAnsi="Arial"/>
                <w:sz w:val="18"/>
                <w:szCs w:val="18"/>
                <w:color w:val="auto"/>
              </w:rPr>
              <w:t>Transaction-related costs, net</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(50 %)</w:t>
            </w:r>
          </w:p>
        </w:tc>
        <w:tc>
          <w:tcPr>
            <w:tcW w:w="0" w:type="dxa"/>
            <w:vAlign w:val="bottom"/>
          </w:tcPr>
          <w:p>
            <w:pPr>
              <w:spacing w:after="0"/>
              <w:rPr>
                <w:sz w:val="1"/>
                <w:szCs w:val="1"/>
                <w:color w:val="auto"/>
              </w:rPr>
            </w:pPr>
          </w:p>
        </w:tc>
      </w:tr>
      <w:tr>
        <w:trPr>
          <w:trHeight w:val="223"/>
        </w:trPr>
        <w:tc>
          <w:tcPr>
            <w:tcW w:w="5820" w:type="dxa"/>
            <w:vAlign w:val="bottom"/>
            <w:gridSpan w:val="2"/>
          </w:tcPr>
          <w:p>
            <w:pPr>
              <w:ind w:left="20"/>
              <w:spacing w:after="0"/>
              <w:rPr>
                <w:sz w:val="20"/>
                <w:szCs w:val="20"/>
                <w:color w:val="auto"/>
              </w:rPr>
            </w:pPr>
            <w:r>
              <w:rPr>
                <w:rFonts w:ascii="Arial" w:cs="Arial" w:eastAsia="Arial" w:hAnsi="Arial"/>
                <w:sz w:val="18"/>
                <w:szCs w:val="18"/>
                <w:color w:val="auto"/>
              </w:rPr>
              <w:t>Total expenses</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1,622</w:t>
            </w: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371"/>
        </w:trPr>
        <w:tc>
          <w:tcPr>
            <w:tcW w:w="5820" w:type="dxa"/>
            <w:vAlign w:val="bottom"/>
            <w:gridSpan w:val="2"/>
          </w:tcPr>
          <w:p>
            <w:pPr>
              <w:ind w:left="20"/>
              <w:spacing w:after="0"/>
              <w:rPr>
                <w:sz w:val="20"/>
                <w:szCs w:val="20"/>
                <w:color w:val="auto"/>
              </w:rPr>
            </w:pPr>
            <w:r>
              <w:rPr>
                <w:rFonts w:ascii="Arial" w:cs="Arial" w:eastAsia="Arial" w:hAnsi="Arial"/>
                <w:sz w:val="18"/>
                <w:szCs w:val="18"/>
                <w:b w:val="1"/>
                <w:bCs w:val="1"/>
                <w:color w:val="auto"/>
              </w:rPr>
              <w:t>Loss before income taxes</w:t>
            </w: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30"/>
        </w:trPr>
        <w:tc>
          <w:tcPr>
            <w:tcW w:w="5820" w:type="dxa"/>
            <w:vAlign w:val="bottom"/>
            <w:gridSpan w:val="2"/>
          </w:tcPr>
          <w:p>
            <w:pPr>
              <w:ind w:left="20"/>
              <w:spacing w:after="0"/>
              <w:rPr>
                <w:sz w:val="20"/>
                <w:szCs w:val="20"/>
                <w:color w:val="auto"/>
              </w:rPr>
            </w:pPr>
            <w:r>
              <w:rPr>
                <w:rFonts w:ascii="Arial" w:cs="Arial" w:eastAsia="Arial" w:hAnsi="Arial"/>
                <w:sz w:val="18"/>
                <w:szCs w:val="18"/>
                <w:color w:val="auto"/>
              </w:rPr>
              <w:t>Benefit from income taxes</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371"/>
        </w:trPr>
        <w:tc>
          <w:tcPr>
            <w:tcW w:w="582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loss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24"/>
                <w:szCs w:val="24"/>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1"/>
        </w:trPr>
        <w:tc>
          <w:tcPr>
            <w:tcW w:w="140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4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5"/>
        </w:trPr>
        <w:tc>
          <w:tcPr>
            <w:tcW w:w="1400" w:type="dxa"/>
            <w:vAlign w:val="bottom"/>
            <w:vMerge w:val="continue"/>
          </w:tcPr>
          <w:p>
            <w:pPr>
              <w:spacing w:after="0"/>
              <w:rPr>
                <w:sz w:val="24"/>
                <w:szCs w:val="24"/>
                <w:color w:val="auto"/>
              </w:rPr>
            </w:pPr>
          </w:p>
        </w:tc>
        <w:tc>
          <w:tcPr>
            <w:tcW w:w="4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5820" w:type="dxa"/>
            <w:vAlign w:val="bottom"/>
            <w:gridSpan w:val="2"/>
          </w:tcPr>
          <w:p>
            <w:pPr>
              <w:spacing w:after="0"/>
              <w:rPr>
                <w:sz w:val="20"/>
                <w:szCs w:val="20"/>
                <w:color w:val="auto"/>
              </w:rPr>
            </w:pPr>
            <w:r>
              <w:rPr>
                <w:rFonts w:ascii="Arial" w:cs="Arial" w:eastAsia="Arial" w:hAnsi="Arial"/>
                <w:sz w:val="14"/>
                <w:szCs w:val="14"/>
                <w:color w:val="auto"/>
              </w:rPr>
              <w:t>n/m  Not meaningful.</w:t>
            </w: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27"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Revenues decreased during the three months ended March 31, 2021 compared to the similar period in 2020, primarily due to a 28% decrease in volume as a result of the impact of COVID-19, partially offset by a 6% increase in revenue per day excluding exchange rate movements and a $30 million positive impact from currency exchange rate movements. Total expenses decreased during the three months ended March 31, 2021, compared to the similar period in 2020, primarily due to strategic cost reduction initiatives and reduced operational activities as a result of the impact of COVID-19. Our effective tax rates were benefits of 32% and 40% for the three months ended March 31, 2021 and 2020, respectively. As a result of these items, our net loss increased by $12 million compared to the similar period in 2020. For the three months ended March 31, 2021 and 2020, the Company reported losses of $2.43 and $2.16 per diluted share, respectively.</w:t>
      </w:r>
    </w:p>
    <w:p>
      <w:pPr>
        <w:spacing w:after="0" w:line="23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Operating expenses increased to 60.6% of revenue during the three months ended March 31, 2021 compared to 60.3% during the similar period in 2020, primarily due to impacts directly related to COVID-19. Vehicle depreciation and lease charges decreased to 18.5% of revenue during the three months ended March 31, 2021 compared to 26.2% during the similar period in 2020, primarily due to 20% lower per-unit fleet costs per month, excluding exchange rate effects. Selling, general and administrative costs decreased to 13.3% of revenue during the three months ended March 31, 2021 compared to 14.3% during the similar period in 2020, primarily due to strategic cost reduction initiatives to right size the business. Vehicle interest costs increased to 5.5% of revenue during the three months ended March 31, 2021 compared to 4.7% during the similar period in 2020, primarily due to impacts directly related to COVID-19.</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more detailed discussion of the results of each of our reportable segments and reconciliation of net loss to Adjusted EBITDA:</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07"/>
        </w:trPr>
        <w:tc>
          <w:tcPr>
            <w:tcW w:w="5060" w:type="dxa"/>
            <w:vAlign w:val="bottom"/>
            <w:gridSpan w:val="3"/>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71"/>
        </w:trPr>
        <w:tc>
          <w:tcPr>
            <w:tcW w:w="720" w:type="dxa"/>
            <w:vAlign w:val="bottom"/>
            <w:tcBorders>
              <w:top w:val="single" w:sz="8" w:color="0000FF"/>
            </w:tcBorders>
          </w:tcPr>
          <w:p>
            <w:pPr>
              <w:spacing w:after="0"/>
              <w:rPr>
                <w:sz w:val="24"/>
                <w:szCs w:val="24"/>
                <w:color w:val="auto"/>
              </w:rPr>
            </w:pPr>
          </w:p>
        </w:tc>
        <w:tc>
          <w:tcPr>
            <w:tcW w:w="680" w:type="dxa"/>
            <w:vAlign w:val="bottom"/>
            <w:tcBorders>
              <w:top w:val="single" w:sz="8" w:color="0000FF"/>
            </w:tcBorders>
          </w:tcPr>
          <w:p>
            <w:pPr>
              <w:spacing w:after="0"/>
              <w:rPr>
                <w:sz w:val="24"/>
                <w:szCs w:val="24"/>
                <w:color w:val="auto"/>
              </w:rPr>
            </w:pPr>
          </w:p>
        </w:tc>
        <w:tc>
          <w:tcPr>
            <w:tcW w:w="36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5"/>
          </w:tcPr>
          <w:p>
            <w:pPr>
              <w:ind w:left="20"/>
              <w:spacing w:after="0"/>
              <w:rPr>
                <w:sz w:val="20"/>
                <w:szCs w:val="20"/>
                <w:color w:val="auto"/>
              </w:rPr>
            </w:pPr>
            <w:r>
              <w:rPr>
                <w:rFonts w:ascii="Arial" w:cs="Arial" w:eastAsia="Arial" w:hAnsi="Arial"/>
                <w:sz w:val="18"/>
                <w:szCs w:val="18"/>
                <w:b w:val="1"/>
                <w:bCs w:val="1"/>
                <w:color w:val="auto"/>
              </w:rPr>
              <w:t>Three Months Ended March 31,</w:t>
            </w: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2021</w:t>
            </w:r>
          </w:p>
        </w:tc>
        <w:tc>
          <w:tcPr>
            <w:tcW w:w="13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2020</w:t>
            </w:r>
          </w:p>
        </w:tc>
        <w:tc>
          <w:tcPr>
            <w:tcW w:w="12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Revenues</w:t>
            </w:r>
          </w:p>
        </w:tc>
        <w:tc>
          <w:tcPr>
            <w:tcW w:w="160" w:type="dxa"/>
            <w:vAlign w:val="bottom"/>
          </w:tcPr>
          <w:p>
            <w:pPr>
              <w:spacing w:after="0"/>
              <w:rPr>
                <w:sz w:val="14"/>
                <w:szCs w:val="14"/>
                <w:color w:val="auto"/>
              </w:rPr>
            </w:pPr>
          </w:p>
        </w:tc>
        <w:tc>
          <w:tcPr>
            <w:tcW w:w="1300" w:type="dxa"/>
            <w:vAlign w:val="bottom"/>
          </w:tcPr>
          <w:p>
            <w:pPr>
              <w:jc w:val="center"/>
              <w:ind w:right="70"/>
              <w:spacing w:after="0" w:line="169" w:lineRule="exact"/>
              <w:rPr>
                <w:sz w:val="20"/>
                <w:szCs w:val="20"/>
                <w:color w:val="auto"/>
              </w:rPr>
            </w:pPr>
            <w:r>
              <w:rPr>
                <w:rFonts w:ascii="Arial" w:cs="Arial" w:eastAsia="Arial" w:hAnsi="Arial"/>
                <w:sz w:val="18"/>
                <w:szCs w:val="18"/>
                <w:b w:val="1"/>
                <w:bCs w:val="1"/>
                <w:color w:val="auto"/>
              </w:rPr>
              <w:t>Adjusted</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Revenues</w:t>
            </w:r>
          </w:p>
        </w:tc>
        <w:tc>
          <w:tcPr>
            <w:tcW w:w="240" w:type="dxa"/>
            <w:vAlign w:val="bottom"/>
          </w:tcPr>
          <w:p>
            <w:pPr>
              <w:spacing w:after="0"/>
              <w:rPr>
                <w:sz w:val="14"/>
                <w:szCs w:val="14"/>
                <w:color w:val="auto"/>
              </w:rPr>
            </w:pPr>
          </w:p>
        </w:tc>
        <w:tc>
          <w:tcPr>
            <w:tcW w:w="1220" w:type="dxa"/>
            <w:vAlign w:val="bottom"/>
          </w:tcPr>
          <w:p>
            <w:pPr>
              <w:jc w:val="center"/>
              <w:ind w:right="170"/>
              <w:spacing w:after="0" w:line="169" w:lineRule="exact"/>
              <w:rPr>
                <w:sz w:val="20"/>
                <w:szCs w:val="20"/>
                <w:color w:val="auto"/>
              </w:rPr>
            </w:pPr>
            <w:r>
              <w:rPr>
                <w:rFonts w:ascii="Arial" w:cs="Arial" w:eastAsia="Arial" w:hAnsi="Arial"/>
                <w:sz w:val="18"/>
                <w:szCs w:val="18"/>
                <w:b w:val="1"/>
                <w:bCs w:val="1"/>
                <w:color w:val="auto"/>
                <w:w w:val="98"/>
              </w:rPr>
              <w:t>Adjusted</w:t>
            </w:r>
          </w:p>
        </w:tc>
        <w:tc>
          <w:tcPr>
            <w:tcW w:w="0" w:type="dxa"/>
            <w:vAlign w:val="bottom"/>
          </w:tcPr>
          <w:p>
            <w:pPr>
              <w:spacing w:after="0"/>
              <w:rPr>
                <w:sz w:val="1"/>
                <w:szCs w:val="1"/>
                <w:color w:val="auto"/>
              </w:rPr>
            </w:pPr>
          </w:p>
        </w:tc>
      </w:tr>
      <w:tr>
        <w:trPr>
          <w:trHeight w:val="229"/>
        </w:trPr>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8"/>
              </w:rPr>
              <w:t>EBITDA</w:t>
            </w:r>
          </w:p>
        </w:tc>
        <w:tc>
          <w:tcPr>
            <w:tcW w:w="220" w:type="dxa"/>
            <w:vAlign w:val="bottom"/>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center"/>
              <w:ind w:right="170"/>
              <w:spacing w:after="0"/>
              <w:rPr>
                <w:sz w:val="20"/>
                <w:szCs w:val="20"/>
                <w:color w:val="auto"/>
              </w:rPr>
            </w:pPr>
            <w:r>
              <w:rPr>
                <w:rFonts w:ascii="Arial" w:cs="Arial" w:eastAsia="Arial" w:hAnsi="Arial"/>
                <w:sz w:val="18"/>
                <w:szCs w:val="18"/>
                <w:b w:val="1"/>
                <w:bCs w:val="1"/>
                <w:color w:val="auto"/>
              </w:rPr>
              <w:t>EBITDA</w:t>
            </w:r>
          </w:p>
        </w:tc>
        <w:tc>
          <w:tcPr>
            <w:tcW w:w="0" w:type="dxa"/>
            <w:vAlign w:val="bottom"/>
          </w:tcPr>
          <w:p>
            <w:pPr>
              <w:spacing w:after="0"/>
              <w:rPr>
                <w:sz w:val="1"/>
                <w:szCs w:val="1"/>
                <w:color w:val="auto"/>
              </w:rPr>
            </w:pPr>
          </w:p>
        </w:tc>
      </w:tr>
      <w:tr>
        <w:trPr>
          <w:trHeight w:val="223"/>
        </w:trPr>
        <w:tc>
          <w:tcPr>
            <w:tcW w:w="5060" w:type="dxa"/>
            <w:vAlign w:val="bottom"/>
            <w:gridSpan w:val="3"/>
          </w:tcPr>
          <w:p>
            <w:pPr>
              <w:ind w:left="20"/>
              <w:spacing w:after="0"/>
              <w:rPr>
                <w:sz w:val="20"/>
                <w:szCs w:val="20"/>
                <w:color w:val="auto"/>
              </w:rPr>
            </w:pPr>
            <w:r>
              <w:rPr>
                <w:rFonts w:ascii="Arial" w:cs="Arial" w:eastAsia="Arial" w:hAnsi="Arial"/>
                <w:sz w:val="18"/>
                <w:szCs w:val="18"/>
                <w:color w:val="auto"/>
              </w:rPr>
              <w:t>Americas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1,080</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9"/>
                <w:szCs w:val="19"/>
                <w:color w:val="auto"/>
              </w:rPr>
            </w:pPr>
          </w:p>
        </w:tc>
        <w:tc>
          <w:tcPr>
            <w:tcW w:w="2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1,257</w:t>
            </w:r>
          </w:p>
        </w:tc>
        <w:tc>
          <w:tcPr>
            <w:tcW w:w="120" w:type="dxa"/>
            <w:vAlign w:val="bottom"/>
          </w:tcPr>
          <w:p>
            <w:pPr>
              <w:spacing w:after="0"/>
              <w:rPr>
                <w:sz w:val="19"/>
                <w:szCs w:val="19"/>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0"/>
        </w:trPr>
        <w:tc>
          <w:tcPr>
            <w:tcW w:w="5060" w:type="dxa"/>
            <w:vAlign w:val="bottom"/>
            <w:gridSpan w:val="3"/>
          </w:tcPr>
          <w:p>
            <w:pPr>
              <w:ind w:left="20"/>
              <w:spacing w:after="0"/>
              <w:rPr>
                <w:sz w:val="20"/>
                <w:szCs w:val="20"/>
                <w:color w:val="auto"/>
              </w:rPr>
            </w:pPr>
            <w:r>
              <w:rPr>
                <w:rFonts w:ascii="Arial" w:cs="Arial" w:eastAsia="Arial" w:hAnsi="Arial"/>
                <w:sz w:val="18"/>
                <w:szCs w:val="18"/>
                <w:color w:val="auto"/>
              </w:rPr>
              <w:t>International</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292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496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9"/>
        </w:trPr>
        <w:tc>
          <w:tcPr>
            <w:tcW w:w="5060" w:type="dxa"/>
            <w:vAlign w:val="bottom"/>
            <w:gridSpan w:val="3"/>
          </w:tcPr>
          <w:p>
            <w:pPr>
              <w:ind w:left="20"/>
              <w:spacing w:after="0"/>
              <w:rPr>
                <w:sz w:val="20"/>
                <w:szCs w:val="20"/>
                <w:color w:val="auto"/>
              </w:rPr>
            </w:pPr>
            <w:r>
              <w:rPr>
                <w:rFonts w:ascii="Arial" w:cs="Arial" w:eastAsia="Arial" w:hAnsi="Arial"/>
                <w:sz w:val="18"/>
                <w:szCs w:val="18"/>
                <w:color w:val="auto"/>
              </w:rPr>
              <w:t xml:space="preserve">Corporate and Other </w:t>
            </w:r>
            <w:r>
              <w:rPr>
                <w:rFonts w:ascii="Arial" w:cs="Arial" w:eastAsia="Arial" w:hAnsi="Arial"/>
                <w:sz w:val="9"/>
                <w:szCs w:val="9"/>
                <w:color w:val="auto"/>
              </w:rPr>
              <w:t>(a)</w:t>
            </w:r>
          </w:p>
        </w:tc>
        <w:tc>
          <w:tcPr>
            <w:tcW w:w="20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3"/>
        </w:trPr>
        <w:tc>
          <w:tcPr>
            <w:tcW w:w="5060" w:type="dxa"/>
            <w:vAlign w:val="bottom"/>
            <w:gridSpan w:val="3"/>
          </w:tcPr>
          <w:p>
            <w:pPr>
              <w:ind w:left="300"/>
              <w:spacing w:after="0"/>
              <w:rPr>
                <w:sz w:val="20"/>
                <w:szCs w:val="20"/>
                <w:color w:val="auto"/>
              </w:rPr>
            </w:pPr>
            <w:r>
              <w:rPr>
                <w:rFonts w:ascii="Arial" w:cs="Arial" w:eastAsia="Arial" w:hAnsi="Arial"/>
                <w:sz w:val="18"/>
                <w:szCs w:val="18"/>
                <w:color w:val="auto"/>
              </w:rPr>
              <w:t>Total Company</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1,372</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1,753</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
        </w:trPr>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8"/>
        </w:trPr>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5"/>
          </w:tcPr>
          <w:p>
            <w:pPr>
              <w:ind w:left="20"/>
              <w:spacing w:after="0"/>
              <w:rPr>
                <w:sz w:val="20"/>
                <w:szCs w:val="20"/>
                <w:color w:val="auto"/>
              </w:rPr>
            </w:pPr>
            <w:r>
              <w:rPr>
                <w:rFonts w:ascii="Arial" w:cs="Arial" w:eastAsia="Arial" w:hAnsi="Arial"/>
                <w:sz w:val="18"/>
                <w:szCs w:val="18"/>
                <w:b w:val="1"/>
                <w:bCs w:val="1"/>
                <w:color w:val="auto"/>
              </w:rPr>
              <w:t>Reconciliation to Adjusted EBITDA</w:t>
            </w:r>
          </w:p>
        </w:tc>
        <w:tc>
          <w:tcPr>
            <w:tcW w:w="0" w:type="dxa"/>
            <w:vAlign w:val="bottom"/>
          </w:tcPr>
          <w:p>
            <w:pPr>
              <w:spacing w:after="0"/>
              <w:rPr>
                <w:sz w:val="1"/>
                <w:szCs w:val="1"/>
                <w:color w:val="auto"/>
              </w:rPr>
            </w:pPr>
          </w:p>
        </w:tc>
      </w:tr>
      <w:tr>
        <w:trPr>
          <w:trHeight w:val="223"/>
        </w:trPr>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9"/>
              </w:rPr>
              <w:t>2020</w:t>
            </w:r>
          </w:p>
        </w:tc>
        <w:tc>
          <w:tcPr>
            <w:tcW w:w="0" w:type="dxa"/>
            <w:vAlign w:val="bottom"/>
          </w:tcPr>
          <w:p>
            <w:pPr>
              <w:spacing w:after="0"/>
              <w:rPr>
                <w:sz w:val="1"/>
                <w:szCs w:val="1"/>
                <w:color w:val="auto"/>
              </w:rPr>
            </w:pPr>
          </w:p>
        </w:tc>
      </w:tr>
      <w:tr>
        <w:trPr>
          <w:trHeight w:val="223"/>
        </w:trPr>
        <w:tc>
          <w:tcPr>
            <w:tcW w:w="720" w:type="dxa"/>
            <w:vAlign w:val="bottom"/>
          </w:tcPr>
          <w:p>
            <w:pPr>
              <w:ind w:left="20"/>
              <w:spacing w:after="0"/>
              <w:rPr>
                <w:sz w:val="20"/>
                <w:szCs w:val="20"/>
                <w:color w:val="auto"/>
              </w:rPr>
            </w:pPr>
            <w:r>
              <w:rPr>
                <w:rFonts w:ascii="Arial" w:cs="Arial" w:eastAsia="Arial" w:hAnsi="Arial"/>
                <w:sz w:val="18"/>
                <w:szCs w:val="18"/>
                <w:color w:val="auto"/>
              </w:rPr>
              <w:t>Net loss</w:t>
            </w:r>
          </w:p>
        </w:tc>
        <w:tc>
          <w:tcPr>
            <w:tcW w:w="68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29"/>
        </w:trPr>
        <w:tc>
          <w:tcPr>
            <w:tcW w:w="5060" w:type="dxa"/>
            <w:vAlign w:val="bottom"/>
            <w:gridSpan w:val="3"/>
          </w:tcPr>
          <w:p>
            <w:pPr>
              <w:ind w:left="20"/>
              <w:spacing w:after="0"/>
              <w:rPr>
                <w:sz w:val="20"/>
                <w:szCs w:val="20"/>
                <w:color w:val="auto"/>
              </w:rPr>
            </w:pPr>
            <w:r>
              <w:rPr>
                <w:rFonts w:ascii="Arial" w:cs="Arial" w:eastAsia="Arial" w:hAnsi="Arial"/>
                <w:sz w:val="18"/>
                <w:szCs w:val="18"/>
                <w:color w:val="auto"/>
              </w:rPr>
              <w:t>Benefit from income taxes</w:t>
            </w: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23"/>
        </w:trPr>
        <w:tc>
          <w:tcPr>
            <w:tcW w:w="5060" w:type="dxa"/>
            <w:vAlign w:val="bottom"/>
            <w:gridSpan w:val="3"/>
          </w:tcPr>
          <w:p>
            <w:pPr>
              <w:ind w:left="20"/>
              <w:spacing w:after="0"/>
              <w:rPr>
                <w:sz w:val="20"/>
                <w:szCs w:val="20"/>
                <w:color w:val="auto"/>
              </w:rPr>
            </w:pPr>
            <w:r>
              <w:rPr>
                <w:rFonts w:ascii="Arial" w:cs="Arial" w:eastAsia="Arial" w:hAnsi="Arial"/>
                <w:sz w:val="18"/>
                <w:szCs w:val="18"/>
                <w:color w:val="auto"/>
              </w:rPr>
              <w:t>Loss before income taxes</w:t>
            </w: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392"/>
        </w:trPr>
        <w:tc>
          <w:tcPr>
            <w:tcW w:w="720" w:type="dxa"/>
            <w:vAlign w:val="bottom"/>
          </w:tcPr>
          <w:p>
            <w:pPr>
              <w:ind w:left="20"/>
              <w:spacing w:after="0"/>
              <w:rPr>
                <w:sz w:val="20"/>
                <w:szCs w:val="20"/>
                <w:color w:val="auto"/>
              </w:rPr>
            </w:pPr>
            <w:r>
              <w:rPr>
                <w:rFonts w:ascii="Arial" w:cs="Arial" w:eastAsia="Arial" w:hAnsi="Arial"/>
                <w:sz w:val="18"/>
                <w:szCs w:val="18"/>
                <w:color w:val="auto"/>
              </w:rPr>
              <w:t>Add:</w:t>
            </w:r>
          </w:p>
        </w:tc>
        <w:tc>
          <w:tcPr>
            <w:tcW w:w="4340" w:type="dxa"/>
            <w:vAlign w:val="bottom"/>
            <w:gridSpan w:val="2"/>
          </w:tcPr>
          <w:p>
            <w:pPr>
              <w:ind w:left="40"/>
              <w:spacing w:after="0"/>
              <w:rPr>
                <w:sz w:val="20"/>
                <w:szCs w:val="20"/>
                <w:color w:val="auto"/>
              </w:rPr>
            </w:pPr>
            <w:r>
              <w:rPr>
                <w:rFonts w:ascii="Arial" w:cs="Arial" w:eastAsia="Arial" w:hAnsi="Arial"/>
                <w:sz w:val="18"/>
                <w:szCs w:val="18"/>
                <w:color w:val="auto"/>
              </w:rPr>
              <w:t>Non-vehicle related depreciation and amortization</w:t>
            </w: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9"/>
        </w:trPr>
        <w:tc>
          <w:tcPr>
            <w:tcW w:w="720" w:type="dxa"/>
            <w:vAlign w:val="bottom"/>
          </w:tcPr>
          <w:p>
            <w:pPr>
              <w:spacing w:after="0"/>
              <w:rPr>
                <w:sz w:val="19"/>
                <w:szCs w:val="19"/>
                <w:color w:val="auto"/>
              </w:rPr>
            </w:pPr>
          </w:p>
        </w:tc>
        <w:tc>
          <w:tcPr>
            <w:tcW w:w="4340" w:type="dxa"/>
            <w:vAlign w:val="bottom"/>
            <w:gridSpan w:val="2"/>
          </w:tcPr>
          <w:p>
            <w:pPr>
              <w:ind w:left="40"/>
              <w:spacing w:after="0"/>
              <w:rPr>
                <w:sz w:val="20"/>
                <w:szCs w:val="20"/>
                <w:color w:val="auto"/>
              </w:rPr>
            </w:pPr>
            <w:r>
              <w:rPr>
                <w:rFonts w:ascii="Arial" w:cs="Arial" w:eastAsia="Arial" w:hAnsi="Arial"/>
                <w:sz w:val="18"/>
                <w:szCs w:val="18"/>
                <w:color w:val="auto"/>
              </w:rPr>
              <w:t>Interest expense related to corporate debt, net:</w:t>
            </w: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0" w:type="dxa"/>
            <w:vAlign w:val="bottom"/>
          </w:tcPr>
          <w:p>
            <w:pPr>
              <w:spacing w:after="0"/>
              <w:rPr>
                <w:sz w:val="19"/>
                <w:szCs w:val="19"/>
                <w:color w:val="auto"/>
              </w:rPr>
            </w:pPr>
          </w:p>
        </w:tc>
        <w:tc>
          <w:tcPr>
            <w:tcW w:w="4340" w:type="dxa"/>
            <w:vAlign w:val="bottom"/>
            <w:gridSpan w:val="2"/>
          </w:tcPr>
          <w:p>
            <w:pPr>
              <w:ind w:left="26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30"/>
        </w:trPr>
        <w:tc>
          <w:tcPr>
            <w:tcW w:w="720" w:type="dxa"/>
            <w:vAlign w:val="bottom"/>
          </w:tcPr>
          <w:p>
            <w:pPr>
              <w:spacing w:after="0"/>
              <w:rPr>
                <w:sz w:val="19"/>
                <w:szCs w:val="19"/>
                <w:color w:val="auto"/>
              </w:rPr>
            </w:pPr>
          </w:p>
        </w:tc>
        <w:tc>
          <w:tcPr>
            <w:tcW w:w="4340" w:type="dxa"/>
            <w:vAlign w:val="bottom"/>
            <w:gridSpan w:val="2"/>
          </w:tcPr>
          <w:p>
            <w:pPr>
              <w:ind w:left="260"/>
              <w:spacing w:after="0"/>
              <w:rPr>
                <w:sz w:val="20"/>
                <w:szCs w:val="20"/>
                <w:color w:val="auto"/>
              </w:rPr>
            </w:pPr>
            <w:r>
              <w:rPr>
                <w:rFonts w:ascii="Arial" w:cs="Arial" w:eastAsia="Arial" w:hAnsi="Arial"/>
                <w:sz w:val="18"/>
                <w:szCs w:val="18"/>
                <w:color w:val="auto"/>
              </w:rPr>
              <w:t>Early extinguishment of debt</w:t>
            </w: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720" w:type="dxa"/>
            <w:vAlign w:val="bottom"/>
          </w:tcPr>
          <w:p>
            <w:pPr>
              <w:spacing w:after="0"/>
              <w:rPr>
                <w:sz w:val="19"/>
                <w:szCs w:val="19"/>
                <w:color w:val="auto"/>
              </w:rPr>
            </w:pPr>
          </w:p>
        </w:tc>
        <w:tc>
          <w:tcPr>
            <w:tcW w:w="4340" w:type="dxa"/>
            <w:vAlign w:val="bottom"/>
            <w:gridSpan w:val="2"/>
          </w:tcPr>
          <w:p>
            <w:pPr>
              <w:ind w:left="40"/>
              <w:spacing w:after="0"/>
              <w:rPr>
                <w:sz w:val="20"/>
                <w:szCs w:val="20"/>
                <w:color w:val="auto"/>
              </w:rPr>
            </w:pPr>
            <w:r>
              <w:rPr>
                <w:rFonts w:ascii="Arial" w:cs="Arial" w:eastAsia="Arial" w:hAnsi="Arial"/>
                <w:sz w:val="18"/>
                <w:szCs w:val="18"/>
                <w:color w:val="auto"/>
              </w:rPr>
              <w:t>Restructuring and other related charges</w:t>
            </w: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30"/>
        </w:trPr>
        <w:tc>
          <w:tcPr>
            <w:tcW w:w="720" w:type="dxa"/>
            <w:vAlign w:val="bottom"/>
          </w:tcPr>
          <w:p>
            <w:pPr>
              <w:spacing w:after="0"/>
              <w:rPr>
                <w:sz w:val="19"/>
                <w:szCs w:val="19"/>
                <w:color w:val="auto"/>
              </w:rPr>
            </w:pPr>
          </w:p>
        </w:tc>
        <w:tc>
          <w:tcPr>
            <w:tcW w:w="4340" w:type="dxa"/>
            <w:vAlign w:val="bottom"/>
            <w:gridSpan w:val="2"/>
          </w:tcPr>
          <w:p>
            <w:pPr>
              <w:ind w:left="40"/>
              <w:spacing w:after="0"/>
              <w:rPr>
                <w:sz w:val="20"/>
                <w:szCs w:val="20"/>
                <w:color w:val="auto"/>
              </w:rPr>
            </w:pPr>
            <w:r>
              <w:rPr>
                <w:rFonts w:ascii="Arial" w:cs="Arial" w:eastAsia="Arial" w:hAnsi="Arial"/>
                <w:sz w:val="18"/>
                <w:szCs w:val="18"/>
                <w:color w:val="auto"/>
              </w:rPr>
              <w:t xml:space="preserve">COVID-19 charges </w:t>
            </w:r>
            <w:r>
              <w:rPr>
                <w:rFonts w:ascii="Arial" w:cs="Arial" w:eastAsia="Arial" w:hAnsi="Arial"/>
                <w:sz w:val="9"/>
                <w:szCs w:val="9"/>
                <w:color w:val="auto"/>
              </w:rPr>
              <w:t>(b)</w:t>
            </w: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9"/>
        </w:trPr>
        <w:tc>
          <w:tcPr>
            <w:tcW w:w="720" w:type="dxa"/>
            <w:vAlign w:val="bottom"/>
          </w:tcPr>
          <w:p>
            <w:pPr>
              <w:spacing w:after="0"/>
              <w:rPr>
                <w:sz w:val="19"/>
                <w:szCs w:val="19"/>
                <w:color w:val="auto"/>
              </w:rPr>
            </w:pPr>
          </w:p>
        </w:tc>
        <w:tc>
          <w:tcPr>
            <w:tcW w:w="5900" w:type="dxa"/>
            <w:vAlign w:val="bottom"/>
            <w:gridSpan w:val="5"/>
          </w:tcPr>
          <w:p>
            <w:pPr>
              <w:ind w:left="40"/>
              <w:spacing w:after="0"/>
              <w:rPr>
                <w:sz w:val="20"/>
                <w:szCs w:val="20"/>
                <w:color w:val="auto"/>
              </w:rPr>
            </w:pPr>
            <w:r>
              <w:rPr>
                <w:rFonts w:ascii="Arial" w:cs="Arial" w:eastAsia="Arial" w:hAnsi="Arial"/>
                <w:sz w:val="18"/>
                <w:szCs w:val="18"/>
                <w:color w:val="auto"/>
              </w:rPr>
              <w:t xml:space="preserve">Non-operational charges related to shareholder activist activity </w:t>
            </w:r>
            <w:r>
              <w:rPr>
                <w:rFonts w:ascii="Arial" w:cs="Arial" w:eastAsia="Arial" w:hAnsi="Arial"/>
                <w:sz w:val="9"/>
                <w:szCs w:val="9"/>
                <w:color w:val="auto"/>
              </w:rPr>
              <w:t>(c)</w:t>
            </w: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720" w:type="dxa"/>
            <w:vAlign w:val="bottom"/>
          </w:tcPr>
          <w:p>
            <w:pPr>
              <w:spacing w:after="0"/>
              <w:rPr>
                <w:sz w:val="19"/>
                <w:szCs w:val="19"/>
                <w:color w:val="auto"/>
              </w:rPr>
            </w:pPr>
          </w:p>
        </w:tc>
        <w:tc>
          <w:tcPr>
            <w:tcW w:w="4340" w:type="dxa"/>
            <w:vAlign w:val="bottom"/>
            <w:gridSpan w:val="2"/>
          </w:tcPr>
          <w:p>
            <w:pPr>
              <w:ind w:left="40"/>
              <w:spacing w:after="0"/>
              <w:rPr>
                <w:sz w:val="20"/>
                <w:szCs w:val="20"/>
                <w:color w:val="auto"/>
              </w:rPr>
            </w:pPr>
            <w:r>
              <w:rPr>
                <w:rFonts w:ascii="Arial" w:cs="Arial" w:eastAsia="Arial" w:hAnsi="Arial"/>
                <w:sz w:val="18"/>
                <w:szCs w:val="18"/>
                <w:color w:val="auto"/>
              </w:rPr>
              <w:t>Transaction-related costs, net</w:t>
            </w: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5060" w:type="dxa"/>
            <w:vAlign w:val="bottom"/>
            <w:gridSpan w:val="3"/>
          </w:tcPr>
          <w:p>
            <w:pPr>
              <w:ind w:left="20"/>
              <w:spacing w:after="0"/>
              <w:rPr>
                <w:sz w:val="20"/>
                <w:szCs w:val="20"/>
                <w:color w:val="auto"/>
              </w:rPr>
            </w:pPr>
            <w:r>
              <w:rPr>
                <w:rFonts w:ascii="Arial" w:cs="Arial" w:eastAsia="Arial" w:hAnsi="Arial"/>
                <w:sz w:val="18"/>
                <w:szCs w:val="18"/>
                <w:color w:val="auto"/>
              </w:rPr>
              <w:t>Adjusted EBITDA</w:t>
            </w: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ind w:left="320" w:hanging="312"/>
        <w:spacing w:after="0" w:line="187" w:lineRule="auto"/>
        <w:tabs>
          <w:tab w:leader="none" w:pos="320" w:val="left"/>
        </w:tabs>
        <w:numPr>
          <w:ilvl w:val="0"/>
          <w:numId w:val="37"/>
        </w:numPr>
        <w:rPr>
          <w:rFonts w:ascii="Arial" w:cs="Arial" w:eastAsia="Arial" w:hAnsi="Arial"/>
          <w:sz w:val="19"/>
          <w:szCs w:val="19"/>
          <w:color w:val="auto"/>
          <w:vertAlign w:val="superscript"/>
        </w:rPr>
      </w:pPr>
      <w:r>
        <w:rPr>
          <w:rFonts w:ascii="Arial" w:cs="Arial" w:eastAsia="Arial" w:hAnsi="Arial"/>
          <w:sz w:val="14"/>
          <w:szCs w:val="14"/>
          <w:color w:val="auto"/>
        </w:rPr>
        <w:t>Includes unallocated corporate overhead which is not attributable to a particular segment.</w:t>
      </w:r>
    </w:p>
    <w:p>
      <w:pPr>
        <w:ind w:left="340" w:right="40" w:hanging="332"/>
        <w:spacing w:after="0" w:line="225" w:lineRule="auto"/>
        <w:tabs>
          <w:tab w:leader="none" w:pos="346" w:val="left"/>
        </w:tabs>
        <w:numPr>
          <w:ilvl w:val="0"/>
          <w:numId w:val="37"/>
        </w:numPr>
        <w:rPr>
          <w:rFonts w:ascii="Arial" w:cs="Arial" w:eastAsia="Arial" w:hAnsi="Arial"/>
          <w:sz w:val="19"/>
          <w:szCs w:val="19"/>
          <w:color w:val="auto"/>
          <w:vertAlign w:val="superscript"/>
        </w:rPr>
      </w:pPr>
      <w:r>
        <w:rPr>
          <w:rFonts w:ascii="Arial" w:cs="Arial" w:eastAsia="Arial" w:hAnsi="Arial"/>
          <w:sz w:val="14"/>
          <w:szCs w:val="14"/>
          <w:color w:val="auto"/>
        </w:rPr>
        <w:t>For three months ended March 31, 2021, consists of $17 million within operating expenses and $1 million within selling, general and administrative expenses in our consolidated condensed results of operations, primarily consisting of $19 million of minimum annual guaranteed rent in excess of concession fees, $5 million of other charges and $(6) million associated with vehicles damaged in overflow parking lots, net of insurance proceeds. For the three months ended March 31, 2020, consists of $7 million within operating expenses, primarily consisting of $5 million associated with vehicles damaged in overflow parking lots, net of insurance proceeds and $2 million of incremental cleaning supplies to sanitize vehicles and facilities, and over flow parking.</w:t>
      </w:r>
    </w:p>
    <w:p>
      <w:pPr>
        <w:spacing w:after="0" w:line="1" w:lineRule="exact"/>
        <w:rPr>
          <w:rFonts w:ascii="Arial" w:cs="Arial" w:eastAsia="Arial" w:hAnsi="Arial"/>
          <w:sz w:val="19"/>
          <w:szCs w:val="19"/>
          <w:color w:val="auto"/>
          <w:vertAlign w:val="superscript"/>
        </w:rPr>
      </w:pPr>
    </w:p>
    <w:p>
      <w:pPr>
        <w:ind w:left="320" w:hanging="312"/>
        <w:spacing w:after="0" w:line="189" w:lineRule="auto"/>
        <w:tabs>
          <w:tab w:leader="none" w:pos="320" w:val="left"/>
        </w:tabs>
        <w:numPr>
          <w:ilvl w:val="0"/>
          <w:numId w:val="37"/>
        </w:numPr>
        <w:rPr>
          <w:rFonts w:ascii="Arial" w:cs="Arial" w:eastAsia="Arial" w:hAnsi="Arial"/>
          <w:sz w:val="19"/>
          <w:szCs w:val="19"/>
          <w:color w:val="auto"/>
          <w:vertAlign w:val="superscript"/>
        </w:rPr>
      </w:pPr>
      <w:r>
        <w:rPr>
          <w:rFonts w:ascii="Arial" w:cs="Arial" w:eastAsia="Arial" w:hAnsi="Arial"/>
          <w:sz w:val="14"/>
          <w:szCs w:val="14"/>
          <w:color w:val="auto"/>
        </w:rPr>
        <w:t>Reported within selling, general and administrative expenses in our consolidated condensed results of operations.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060" w:type="dxa"/>
            <w:vAlign w:val="bottom"/>
          </w:tcPr>
          <w:p>
            <w:pPr>
              <w:spacing w:after="0"/>
              <w:rPr>
                <w:sz w:val="20"/>
                <w:szCs w:val="20"/>
                <w:color w:val="auto"/>
              </w:rPr>
            </w:pPr>
            <w:r>
              <w:rPr>
                <w:rFonts w:ascii="Arial" w:cs="Arial" w:eastAsia="Arial" w:hAnsi="Arial"/>
                <w:sz w:val="18"/>
                <w:szCs w:val="18"/>
                <w:b w:val="1"/>
                <w:bCs w:val="1"/>
                <w:i w:val="1"/>
                <w:iCs w:val="1"/>
                <w:color w:val="auto"/>
              </w:rPr>
              <w:t>Americas</w:t>
            </w: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03"/>
        </w:trPr>
        <w:tc>
          <w:tcPr>
            <w:tcW w:w="7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20" w:type="dxa"/>
            <w:vAlign w:val="bottom"/>
            <w:gridSpan w:val="5"/>
          </w:tcPr>
          <w:p>
            <w:pPr>
              <w:jc w:val="right"/>
              <w:ind w:right="520"/>
              <w:spacing w:after="0" w:line="202" w:lineRule="exact"/>
              <w:rPr>
                <w:sz w:val="20"/>
                <w:szCs w:val="20"/>
                <w:color w:val="auto"/>
              </w:rPr>
            </w:pPr>
            <w:r>
              <w:rPr>
                <w:rFonts w:ascii="Arial" w:cs="Arial" w:eastAsia="Arial" w:hAnsi="Arial"/>
                <w:sz w:val="18"/>
                <w:szCs w:val="18"/>
                <w:b w:val="1"/>
                <w:bCs w:val="1"/>
                <w:color w:val="auto"/>
              </w:rPr>
              <w:t>Three Months Ended</w:t>
            </w:r>
          </w:p>
        </w:tc>
        <w:tc>
          <w:tcPr>
            <w:tcW w:w="1420" w:type="dxa"/>
            <w:vAlign w:val="bottom"/>
          </w:tcPr>
          <w:p>
            <w:pPr>
              <w:spacing w:after="0"/>
              <w:rPr>
                <w:sz w:val="17"/>
                <w:szCs w:val="17"/>
                <w:color w:val="auto"/>
              </w:rPr>
            </w:pPr>
          </w:p>
        </w:tc>
      </w:tr>
      <w:tr>
        <w:trPr>
          <w:trHeight w:val="229"/>
        </w:trPr>
        <w:tc>
          <w:tcPr>
            <w:tcW w:w="70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8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r>
      <w:tr>
        <w:trPr>
          <w:trHeight w:val="223"/>
        </w:trPr>
        <w:tc>
          <w:tcPr>
            <w:tcW w:w="70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9"/>
                <w:szCs w:val="19"/>
                <w:color w:val="auto"/>
              </w:rPr>
            </w:pPr>
          </w:p>
        </w:tc>
        <w:tc>
          <w:tcPr>
            <w:tcW w:w="14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7060" w:type="dxa"/>
            <w:vAlign w:val="bottom"/>
          </w:tcPr>
          <w:p>
            <w:pPr>
              <w:ind w:left="20"/>
              <w:spacing w:after="0"/>
              <w:rPr>
                <w:sz w:val="20"/>
                <w:szCs w:val="20"/>
                <w:color w:val="auto"/>
              </w:rPr>
            </w:pPr>
            <w:r>
              <w:rPr>
                <w:rFonts w:ascii="Arial" w:cs="Arial" w:eastAsia="Arial" w:hAnsi="Arial"/>
                <w:sz w:val="18"/>
                <w:szCs w:val="18"/>
                <w:color w:val="auto"/>
              </w:rPr>
              <w:t>Revenues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1,080</w:t>
            </w:r>
          </w:p>
        </w:tc>
        <w:tc>
          <w:tcPr>
            <w:tcW w:w="12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1,257</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(14 %)</w:t>
            </w:r>
          </w:p>
        </w:tc>
      </w:tr>
      <w:tr>
        <w:trPr>
          <w:trHeight w:val="230"/>
        </w:trPr>
        <w:tc>
          <w:tcPr>
            <w:tcW w:w="706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n/m</w:t>
            </w:r>
          </w:p>
        </w:tc>
      </w:tr>
    </w:tbl>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8" w:lineRule="exact"/>
        <w:rPr>
          <w:sz w:val="20"/>
          <w:szCs w:val="20"/>
          <w:color w:val="auto"/>
        </w:rPr>
      </w:pPr>
    </w:p>
    <w:p>
      <w:pPr>
        <w:spacing w:after="0"/>
        <w:tabs>
          <w:tab w:leader="none" w:pos="380" w:val="left"/>
        </w:tabs>
        <w:rPr>
          <w:sz w:val="20"/>
          <w:szCs w:val="20"/>
          <w:color w:val="auto"/>
        </w:rPr>
      </w:pPr>
      <w:r>
        <w:rPr>
          <w:rFonts w:ascii="Arial" w:cs="Arial" w:eastAsia="Arial" w:hAnsi="Arial"/>
          <w:sz w:val="14"/>
          <w:szCs w:val="14"/>
          <w:color w:val="auto"/>
        </w:rPr>
        <w:t>n/m</w:t>
        <w:tab/>
        <w:t>Not meaningful.</w:t>
      </w:r>
    </w:p>
    <w:p>
      <w:pPr>
        <w:spacing w:after="0" w:line="238"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Revenues decreased 14% during the three months ended March 31, 2021 compared to the similar period in 2020, primarily due to a 23% decrease in volume, partially offset by a 12% increase in revenue per day as a result of the impacts of COVID-19.</w:t>
      </w:r>
    </w:p>
    <w:p>
      <w:pPr>
        <w:spacing w:after="0" w:line="225"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Operating expenses decreased to 57.9% of revenue during the three months ended March 31, 2021 compared to 58.7% during the similar period in 2020, primarily due to strategic cost reduction initiatives to right size the business. Vehicle depreciation and lease charges decreased to 17.0% of revenue during the three months ended March 31, 2021 compared to 26.4% during the similar period in 2020, primarily due to 22% lower per-unit fleet costs. Selling, general and administrative costs decreased to 10.6% of revenue during the three months ended March 31, 2021 compared to 12.3% during the similar period in 2020, primarily due to strategic cost reduction initiatives to right size the business. Vehicle interest costs increased to 5.8% of revenue during the three months ended March 31, 2021 compared to 5.6% during the similar period in 2020, primarily due to impacts directly related to COVID-19.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Adjusted EBITDA was $138 million higher during the three months ended March 31, 2021 compared to the similar period in 2020, primarily due to strategic cost reduction initiatives to right size the business, lower per-unit fleet costs and increased revenue per day.</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060" w:type="dxa"/>
            <w:vAlign w:val="bottom"/>
          </w:tcPr>
          <w:p>
            <w:pPr>
              <w:spacing w:after="0"/>
              <w:rPr>
                <w:sz w:val="20"/>
                <w:szCs w:val="20"/>
                <w:color w:val="auto"/>
              </w:rPr>
            </w:pPr>
            <w:r>
              <w:rPr>
                <w:rFonts w:ascii="Arial" w:cs="Arial" w:eastAsia="Arial" w:hAnsi="Arial"/>
                <w:sz w:val="18"/>
                <w:szCs w:val="18"/>
                <w:b w:val="1"/>
                <w:bCs w:val="1"/>
                <w:i w:val="1"/>
                <w:iCs w:val="1"/>
                <w:color w:val="auto"/>
              </w:rPr>
              <w:t>International</w:t>
            </w:r>
          </w:p>
        </w:tc>
        <w:tc>
          <w:tcPr>
            <w:tcW w:w="8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03"/>
        </w:trPr>
        <w:tc>
          <w:tcPr>
            <w:tcW w:w="7060" w:type="dxa"/>
            <w:vAlign w:val="bottom"/>
          </w:tcPr>
          <w:p>
            <w:pPr>
              <w:spacing w:after="0"/>
              <w:rPr>
                <w:sz w:val="17"/>
                <w:szCs w:val="17"/>
                <w:color w:val="auto"/>
              </w:rPr>
            </w:pPr>
          </w:p>
        </w:tc>
        <w:tc>
          <w:tcPr>
            <w:tcW w:w="2160" w:type="dxa"/>
            <w:vAlign w:val="bottom"/>
            <w:gridSpan w:val="4"/>
          </w:tcPr>
          <w:p>
            <w:pPr>
              <w:jc w:val="right"/>
              <w:spacing w:after="0" w:line="202" w:lineRule="exact"/>
              <w:rPr>
                <w:sz w:val="20"/>
                <w:szCs w:val="20"/>
                <w:color w:val="auto"/>
              </w:rPr>
            </w:pPr>
            <w:r>
              <w:rPr>
                <w:rFonts w:ascii="Arial" w:cs="Arial" w:eastAsia="Arial" w:hAnsi="Arial"/>
                <w:sz w:val="18"/>
                <w:szCs w:val="18"/>
                <w:b w:val="1"/>
                <w:bCs w:val="1"/>
                <w:color w:val="auto"/>
              </w:rPr>
              <w:t>Three Months Ended</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29"/>
        </w:trPr>
        <w:tc>
          <w:tcPr>
            <w:tcW w:w="706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March 31,</w:t>
            </w:r>
          </w:p>
        </w:tc>
        <w:tc>
          <w:tcPr>
            <w:tcW w:w="3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r>
      <w:tr>
        <w:trPr>
          <w:trHeight w:val="223"/>
        </w:trPr>
        <w:tc>
          <w:tcPr>
            <w:tcW w:w="706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3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3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7060" w:type="dxa"/>
            <w:vAlign w:val="bottom"/>
          </w:tcPr>
          <w:p>
            <w:pPr>
              <w:ind w:left="20"/>
              <w:spacing w:after="0"/>
              <w:rPr>
                <w:sz w:val="20"/>
                <w:szCs w:val="20"/>
                <w:color w:val="auto"/>
              </w:rPr>
            </w:pPr>
            <w:r>
              <w:rPr>
                <w:rFonts w:ascii="Arial" w:cs="Arial" w:eastAsia="Arial" w:hAnsi="Arial"/>
                <w:sz w:val="18"/>
                <w:szCs w:val="18"/>
                <w:color w:val="auto"/>
              </w:rPr>
              <w:t>Revenues</w:t>
            </w:r>
          </w:p>
        </w:tc>
        <w:tc>
          <w:tcPr>
            <w:tcW w:w="840" w:type="dxa"/>
            <w:vAlign w:val="bottom"/>
          </w:tcPr>
          <w:p>
            <w:pPr>
              <w:jc w:val="right"/>
              <w:ind w:right="630"/>
              <w:spacing w:after="0"/>
              <w:rPr>
                <w:sz w:val="20"/>
                <w:szCs w:val="20"/>
                <w:color w:val="auto"/>
              </w:rPr>
            </w:pPr>
            <w:r>
              <w:rPr>
                <w:rFonts w:ascii="Arial" w:cs="Arial" w:eastAsia="Arial" w:hAnsi="Arial"/>
                <w:sz w:val="18"/>
                <w:szCs w:val="18"/>
                <w:color w:val="auto"/>
                <w:w w:val="99"/>
              </w:rPr>
              <w:t>$</w:t>
            </w:r>
          </w:p>
        </w:tc>
        <w:tc>
          <w:tcPr>
            <w:tcW w:w="380" w:type="dxa"/>
            <w:vAlign w:val="bottom"/>
          </w:tcPr>
          <w:p>
            <w:pPr>
              <w:spacing w:after="0"/>
              <w:rPr>
                <w:sz w:val="20"/>
                <w:szCs w:val="20"/>
                <w:color w:val="auto"/>
              </w:rPr>
            </w:pPr>
            <w:r>
              <w:rPr>
                <w:rFonts w:ascii="Arial" w:cs="Arial" w:eastAsia="Arial" w:hAnsi="Arial"/>
                <w:sz w:val="18"/>
                <w:szCs w:val="18"/>
                <w:color w:val="auto"/>
              </w:rPr>
              <w:t>292</w:t>
            </w:r>
          </w:p>
        </w:tc>
        <w:tc>
          <w:tcPr>
            <w:tcW w:w="120" w:type="dxa"/>
            <w:vAlign w:val="bottom"/>
          </w:tcPr>
          <w:p>
            <w:pPr>
              <w:spacing w:after="0"/>
              <w:rPr>
                <w:sz w:val="19"/>
                <w:szCs w:val="19"/>
                <w:color w:val="auto"/>
              </w:rPr>
            </w:pPr>
          </w:p>
        </w:tc>
        <w:tc>
          <w:tcPr>
            <w:tcW w:w="820" w:type="dxa"/>
            <w:vAlign w:val="bottom"/>
          </w:tcPr>
          <w:p>
            <w:pPr>
              <w:jc w:val="right"/>
              <w:ind w:right="630"/>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93"/>
              </w:rPr>
              <w:t>496</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(41 %)</w:t>
            </w:r>
          </w:p>
        </w:tc>
      </w:tr>
      <w:tr>
        <w:trPr>
          <w:trHeight w:val="229"/>
        </w:trPr>
        <w:tc>
          <w:tcPr>
            <w:tcW w:w="706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840" w:type="dxa"/>
            <w:vAlign w:val="bottom"/>
          </w:tcPr>
          <w:p>
            <w:pPr>
              <w:spacing w:after="0"/>
              <w:rPr>
                <w:sz w:val="19"/>
                <w:szCs w:val="19"/>
                <w:color w:val="auto"/>
              </w:rPr>
            </w:pPr>
          </w:p>
        </w:tc>
        <w:tc>
          <w:tcPr>
            <w:tcW w:w="380" w:type="dxa"/>
            <w:vAlign w:val="bottom"/>
          </w:tcPr>
          <w:p>
            <w:pPr>
              <w:ind w:left="40"/>
              <w:spacing w:after="0"/>
              <w:rPr>
                <w:sz w:val="20"/>
                <w:szCs w:val="20"/>
                <w:color w:val="auto"/>
              </w:rPr>
            </w:pPr>
            <w:r>
              <w:rPr>
                <w:rFonts w:ascii="Arial" w:cs="Arial" w:eastAsia="Arial" w:hAnsi="Arial"/>
                <w:sz w:val="18"/>
                <w:szCs w:val="18"/>
                <w:color w:val="auto"/>
                <w:w w:val="99"/>
              </w:rPr>
              <w:t>(50)</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25 %</w:t>
            </w:r>
          </w:p>
        </w:tc>
      </w:tr>
    </w:tbl>
    <w:p>
      <w:pPr>
        <w:spacing w:after="0" w:line="350" w:lineRule="exact"/>
        <w:rPr>
          <w:sz w:val="20"/>
          <w:szCs w:val="20"/>
          <w:color w:val="auto"/>
        </w:rPr>
      </w:pPr>
    </w:p>
    <w:p>
      <w:pPr>
        <w:jc w:val="both"/>
        <w:ind w:right="260"/>
        <w:spacing w:after="0" w:line="256" w:lineRule="auto"/>
        <w:rPr>
          <w:sz w:val="20"/>
          <w:szCs w:val="20"/>
          <w:color w:val="auto"/>
        </w:rPr>
      </w:pPr>
      <w:r>
        <w:rPr>
          <w:rFonts w:ascii="Arial" w:cs="Arial" w:eastAsia="Arial" w:hAnsi="Arial"/>
          <w:sz w:val="18"/>
          <w:szCs w:val="18"/>
          <w:color w:val="auto"/>
        </w:rPr>
        <w:t>Revenues decreased 41% during the three months ended March 31, 2021, compared to the similar period in 2020, primarily due to a 38% decrease in volume and a 13% decrease in revenue per day excluding exchange rate movements as a result of the impacts of COVID-19, partially offset by a $28 million benefit from currency exchange rate movements.</w:t>
      </w:r>
    </w:p>
    <w:p>
      <w:pPr>
        <w:spacing w:after="0" w:line="22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Operating expenses increased to 71.2% of revenue during the three months ended March 31, 2021 compared to 63.9% during the similar period in 2020, primarily due to impacts directly related to COVID-19. Vehicle depreciation and lease charges decreased to 24.0% of revenue during the three months ended March 31, 2021 compared to 25.6% during the similar period in 2020, primarily due to 16% lower per-unit fleet costs, excluding exchange rate effects. Selling, general and administrative costs increased to 19.0% of revenue during the three months ended March 31, 2021 compared to 16.0% during the similar period in 2020, primarily due to impacts directly related to COVID-19. Vehicle interest costs increased to 4.4% of revenue during the three months ended March 31, 2021 compared to 2.6% during the similar period in 2020, primarily due to impacts directly related to COVID-19.</w:t>
      </w:r>
    </w:p>
    <w:p>
      <w:pPr>
        <w:spacing w:after="0" w:line="234"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Adjusted EBITDA was $10 million lower in first quarter 2021 compared to the similar period in 2020, primarily due to a $9 million negative impact from currency exchange rate movements, as lower revenues directly related to COVID-19 were offset by strategic cost reduction initiatives to right size the business and lower per-unit fleet costs.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19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present separately the financial data of our vehicle programs. These programs are distinct from our other activities as the assets under vehicle programs are generally funded through the issuance of debt that is collateralized by such assets. The income generated by these assets is used, in part, to repay the principal and interest associated with the debt. Cash inflows and outflows relating to the generation or acquisition of such assets and the principal debt repayment or financing of such assets are classified as activities of our vehicle programs. We believe it is appropriate to segregate the financial data of our vehicle programs because, ultimately, the source of repayment of such debt is the realization of such assets.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040" w:type="dxa"/>
            <w:vAlign w:val="bottom"/>
          </w:tcPr>
          <w:p>
            <w:pPr>
              <w:spacing w:after="0"/>
              <w:rPr>
                <w:sz w:val="20"/>
                <w:szCs w:val="20"/>
                <w:color w:val="auto"/>
              </w:rPr>
            </w:pPr>
            <w:r>
              <w:rPr>
                <w:rFonts w:ascii="Arial" w:cs="Arial" w:eastAsia="Arial" w:hAnsi="Arial"/>
                <w:sz w:val="18"/>
                <w:szCs w:val="18"/>
                <w:b w:val="1"/>
                <w:bCs w:val="1"/>
                <w:color w:val="auto"/>
              </w:rPr>
              <w:t>FINANCIAL CONDITION</w:t>
            </w:r>
          </w:p>
        </w:tc>
        <w:tc>
          <w:tcPr>
            <w:tcW w:w="1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56"/>
        </w:trPr>
        <w:tc>
          <w:tcPr>
            <w:tcW w:w="60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20" w:type="dxa"/>
            <w:vAlign w:val="bottom"/>
            <w:gridSpan w:val="2"/>
          </w:tcPr>
          <w:p>
            <w:pPr>
              <w:ind w:left="40"/>
              <w:spacing w:after="0"/>
              <w:rPr>
                <w:sz w:val="20"/>
                <w:szCs w:val="20"/>
                <w:color w:val="auto"/>
              </w:rPr>
            </w:pPr>
            <w:r>
              <w:rPr>
                <w:rFonts w:ascii="Arial" w:cs="Arial" w:eastAsia="Arial" w:hAnsi="Arial"/>
                <w:sz w:val="18"/>
                <w:szCs w:val="18"/>
                <w:b w:val="1"/>
                <w:bCs w:val="1"/>
                <w:color w:val="auto"/>
              </w:rPr>
              <w:t>March 31, 2021</w:t>
            </w:r>
          </w:p>
        </w:tc>
        <w:tc>
          <w:tcPr>
            <w:tcW w:w="180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December 31, 2020</w:t>
            </w:r>
          </w:p>
        </w:tc>
        <w:tc>
          <w:tcPr>
            <w:tcW w:w="280" w:type="dxa"/>
            <w:vAlign w:val="bottom"/>
          </w:tcPr>
          <w:p>
            <w:pPr>
              <w:spacing w:after="0"/>
              <w:rPr>
                <w:sz w:val="22"/>
                <w:szCs w:val="22"/>
                <w:color w:val="auto"/>
              </w:rPr>
            </w:pPr>
          </w:p>
        </w:tc>
        <w:tc>
          <w:tcPr>
            <w:tcW w:w="1280" w:type="dxa"/>
            <w:vAlign w:val="bottom"/>
          </w:tcPr>
          <w:p>
            <w:pPr>
              <w:jc w:val="right"/>
              <w:ind w:right="350"/>
              <w:spacing w:after="0"/>
              <w:rPr>
                <w:sz w:val="20"/>
                <w:szCs w:val="20"/>
                <w:color w:val="auto"/>
              </w:rPr>
            </w:pPr>
            <w:r>
              <w:rPr>
                <w:rFonts w:ascii="Arial" w:cs="Arial" w:eastAsia="Arial" w:hAnsi="Arial"/>
                <w:sz w:val="18"/>
                <w:szCs w:val="18"/>
                <w:b w:val="1"/>
                <w:bCs w:val="1"/>
                <w:color w:val="auto"/>
              </w:rPr>
              <w:t>Change</w:t>
            </w:r>
          </w:p>
        </w:tc>
      </w:tr>
      <w:tr>
        <w:trPr>
          <w:trHeight w:val="223"/>
        </w:trPr>
        <w:tc>
          <w:tcPr>
            <w:tcW w:w="6040" w:type="dxa"/>
            <w:vAlign w:val="bottom"/>
          </w:tcPr>
          <w:p>
            <w:pPr>
              <w:ind w:left="20"/>
              <w:spacing w:after="0"/>
              <w:rPr>
                <w:sz w:val="20"/>
                <w:szCs w:val="20"/>
                <w:color w:val="auto"/>
              </w:rPr>
            </w:pPr>
            <w:r>
              <w:rPr>
                <w:rFonts w:ascii="Arial" w:cs="Arial" w:eastAsia="Arial" w:hAnsi="Arial"/>
                <w:sz w:val="18"/>
                <w:szCs w:val="18"/>
                <w:color w:val="auto"/>
              </w:rPr>
              <w:t>Total assets exclusive of assets under vehicle programs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8,474</w:t>
            </w:r>
          </w:p>
        </w:tc>
        <w:tc>
          <w:tcPr>
            <w:tcW w:w="100" w:type="dxa"/>
            <w:vAlign w:val="bottom"/>
          </w:tcPr>
          <w:p>
            <w:pPr>
              <w:spacing w:after="0"/>
              <w:rPr>
                <w:sz w:val="19"/>
                <w:szCs w:val="19"/>
                <w:color w:val="auto"/>
              </w:rPr>
            </w:pPr>
          </w:p>
        </w:tc>
        <w:tc>
          <w:tcPr>
            <w:tcW w:w="64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8,365</w:t>
            </w:r>
          </w:p>
        </w:tc>
        <w:tc>
          <w:tcPr>
            <w:tcW w:w="100" w:type="dxa"/>
            <w:vAlign w:val="bottom"/>
          </w:tcPr>
          <w:p>
            <w:pPr>
              <w:spacing w:after="0"/>
              <w:rPr>
                <w:sz w:val="19"/>
                <w:szCs w:val="19"/>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w:t>
            </w:r>
          </w:p>
        </w:tc>
      </w:tr>
      <w:tr>
        <w:trPr>
          <w:trHeight w:val="230"/>
        </w:trPr>
        <w:tc>
          <w:tcPr>
            <w:tcW w:w="6040" w:type="dxa"/>
            <w:vAlign w:val="bottom"/>
          </w:tcPr>
          <w:p>
            <w:pPr>
              <w:ind w:left="20"/>
              <w:spacing w:after="0"/>
              <w:rPr>
                <w:sz w:val="20"/>
                <w:szCs w:val="20"/>
                <w:color w:val="auto"/>
              </w:rPr>
            </w:pPr>
            <w:r>
              <w:rPr>
                <w:rFonts w:ascii="Arial" w:cs="Arial" w:eastAsia="Arial" w:hAnsi="Arial"/>
                <w:sz w:val="18"/>
                <w:szCs w:val="18"/>
                <w:color w:val="auto"/>
              </w:rPr>
              <w:t>Total liabilities exclusive of liabilities under vehicle programs</w:t>
            </w: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9,160</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9,053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30"/>
        </w:trPr>
        <w:tc>
          <w:tcPr>
            <w:tcW w:w="6040" w:type="dxa"/>
            <w:vAlign w:val="bottom"/>
          </w:tcPr>
          <w:p>
            <w:pPr>
              <w:ind w:left="20"/>
              <w:spacing w:after="0"/>
              <w:rPr>
                <w:sz w:val="20"/>
                <w:szCs w:val="20"/>
                <w:color w:val="auto"/>
              </w:rPr>
            </w:pPr>
            <w:r>
              <w:rPr>
                <w:rFonts w:ascii="Arial" w:cs="Arial" w:eastAsia="Arial" w:hAnsi="Arial"/>
                <w:sz w:val="18"/>
                <w:szCs w:val="18"/>
                <w:color w:val="auto"/>
              </w:rPr>
              <w:t>Assets under vehicle programs</w:t>
            </w: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10,135</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9,173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962</w:t>
            </w:r>
          </w:p>
        </w:tc>
      </w:tr>
      <w:tr>
        <w:trPr>
          <w:trHeight w:val="230"/>
        </w:trPr>
        <w:tc>
          <w:tcPr>
            <w:tcW w:w="6040" w:type="dxa"/>
            <w:vAlign w:val="bottom"/>
          </w:tcPr>
          <w:p>
            <w:pPr>
              <w:ind w:left="20"/>
              <w:spacing w:after="0"/>
              <w:rPr>
                <w:sz w:val="20"/>
                <w:szCs w:val="20"/>
                <w:color w:val="auto"/>
              </w:rPr>
            </w:pPr>
            <w:r>
              <w:rPr>
                <w:rFonts w:ascii="Arial" w:cs="Arial" w:eastAsia="Arial" w:hAnsi="Arial"/>
                <w:sz w:val="18"/>
                <w:szCs w:val="18"/>
                <w:color w:val="auto"/>
              </w:rPr>
              <w:t>Liabilities under vehicle programs</w:t>
            </w: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9,765</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8,640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1,125</w:t>
            </w:r>
          </w:p>
        </w:tc>
      </w:tr>
      <w:tr>
        <w:trPr>
          <w:trHeight w:val="229"/>
        </w:trPr>
        <w:tc>
          <w:tcPr>
            <w:tcW w:w="604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(316)</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(161)</w:t>
            </w:r>
          </w:p>
        </w:tc>
      </w:tr>
    </w:tbl>
    <w:p>
      <w:pPr>
        <w:spacing w:after="0" w:line="350" w:lineRule="exact"/>
        <w:rPr>
          <w:sz w:val="20"/>
          <w:szCs w:val="20"/>
          <w:color w:val="auto"/>
        </w:rPr>
      </w:pPr>
    </w:p>
    <w:p>
      <w:pPr>
        <w:jc w:val="both"/>
        <w:ind w:right="40"/>
        <w:spacing w:after="0" w:line="261" w:lineRule="auto"/>
        <w:rPr>
          <w:sz w:val="20"/>
          <w:szCs w:val="20"/>
          <w:color w:val="auto"/>
        </w:rPr>
      </w:pPr>
      <w:r>
        <w:rPr>
          <w:rFonts w:ascii="Arial" w:cs="Arial" w:eastAsia="Arial" w:hAnsi="Arial"/>
          <w:sz w:val="18"/>
          <w:szCs w:val="18"/>
          <w:color w:val="auto"/>
        </w:rPr>
        <w:t>The increases in assets under vehicle programs and liabilities under vehicle programs are principally related to the increase in the size of our vehicle rental fleet to meet increased rental demand. The decrease in stockholders’ equity is primarily due to our comprehensive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74"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Our principal sources of liquidity are cash on hand and our ability to generate cash through operations and financing activities, as well as available funding arrangements and committed credit facilities, each of which is discussed below.</w:t>
      </w:r>
    </w:p>
    <w:p>
      <w:pPr>
        <w:spacing w:after="0" w:line="225"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In March 2021, we issued $600 million of 5.375% Senior Notes due March 2029, at par. We used the proceeds, together with cash on hand, to redeem all of our outstanding 10.5% Senior Secured Notes due 2025. In March 2021, we issued $500 million of 4.75% Senior Unsecured Notes due March 2028. We used the proceeds, together with cash on hand, to redeem all of our outstanding 6.375% Senior Notes due in 2024 and $140 million in aggregate principal amount of our 5.25% Senior Notes due in 2025. We have no meaningful corporate debt maturities until 2023.</w:t>
      </w:r>
    </w:p>
    <w:p>
      <w:pPr>
        <w:spacing w:after="0" w:line="232"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262626"/>
        </w:rPr>
        <w:t>The Company</w:t>
      </w:r>
      <w:r>
        <w:rPr>
          <w:rFonts w:ascii="Arial" w:cs="Arial" w:eastAsia="Arial" w:hAnsi="Arial"/>
          <w:sz w:val="18"/>
          <w:szCs w:val="18"/>
          <w:color w:val="000000"/>
        </w:rPr>
        <w:t>’</w:t>
      </w:r>
      <w:r>
        <w:rPr>
          <w:rFonts w:ascii="Arial" w:cs="Arial" w:eastAsia="Arial" w:hAnsi="Arial"/>
          <w:sz w:val="18"/>
          <w:szCs w:val="18"/>
          <w:color w:val="262626"/>
        </w:rPr>
        <w:t>s Board of Directors has authorized the repurchase of up to $1.8 billion of its common stock under a plan originally approved in 2013 and subsequently expanded, most recently in August 2019</w:t>
      </w:r>
      <w:r>
        <w:rPr>
          <w:rFonts w:ascii="Arial" w:cs="Arial" w:eastAsia="Arial" w:hAnsi="Arial"/>
          <w:sz w:val="18"/>
          <w:szCs w:val="18"/>
          <w:color w:val="000000"/>
        </w:rPr>
        <w:t>.</w:t>
      </w:r>
      <w:r>
        <w:rPr>
          <w:rFonts w:ascii="Arial" w:cs="Arial" w:eastAsia="Arial" w:hAnsi="Arial"/>
          <w:sz w:val="18"/>
          <w:szCs w:val="18"/>
          <w:color w:val="262626"/>
        </w:rPr>
        <w:t xml:space="preserve"> The Company</w:t>
      </w:r>
      <w:r>
        <w:rPr>
          <w:rFonts w:ascii="Arial" w:cs="Arial" w:eastAsia="Arial" w:hAnsi="Arial"/>
          <w:sz w:val="18"/>
          <w:szCs w:val="18"/>
          <w:color w:val="000000"/>
        </w:rPr>
        <w:t>’</w:t>
      </w:r>
      <w:r>
        <w:rPr>
          <w:rFonts w:ascii="Arial" w:cs="Arial" w:eastAsia="Arial" w:hAnsi="Arial"/>
          <w:sz w:val="18"/>
          <w:szCs w:val="18"/>
          <w:color w:val="262626"/>
        </w:rPr>
        <w:t xml:space="preserve">s stock repurchases may occur through open market purchases or trading plans pursuant to Rule 10b5-1 of the Securities Exchange Act of 1934. The amount and timing of specific repurchases are subject to market conditions, applicable legal requirements and other factors. The repurchase program may be suspended, modified or discontinued at any time without prior notice. The repurchase program has no set expiration or termination date. During the </w:t>
      </w:r>
      <w:r>
        <w:rPr>
          <w:rFonts w:ascii="Arial" w:cs="Arial" w:eastAsia="Arial" w:hAnsi="Arial"/>
          <w:sz w:val="18"/>
          <w:szCs w:val="18"/>
          <w:color w:val="000000"/>
        </w:rPr>
        <w:t>three months</w:t>
      </w:r>
      <w:r>
        <w:rPr>
          <w:rFonts w:ascii="Arial" w:cs="Arial" w:eastAsia="Arial" w:hAnsi="Arial"/>
          <w:sz w:val="18"/>
          <w:szCs w:val="18"/>
          <w:color w:val="262626"/>
        </w:rPr>
        <w:t xml:space="preserve"> </w:t>
      </w:r>
      <w:r>
        <w:rPr>
          <w:rFonts w:ascii="Arial" w:cs="Arial" w:eastAsia="Arial" w:hAnsi="Arial"/>
          <w:sz w:val="18"/>
          <w:szCs w:val="18"/>
          <w:color w:val="000000"/>
        </w:rPr>
        <w:t>ended March 31, 2021</w:t>
      </w:r>
      <w:r>
        <w:rPr>
          <w:rFonts w:ascii="Arial" w:cs="Arial" w:eastAsia="Arial" w:hAnsi="Arial"/>
          <w:sz w:val="18"/>
          <w:szCs w:val="18"/>
          <w:color w:val="262626"/>
        </w:rPr>
        <w:t>,</w:t>
      </w:r>
      <w:r>
        <w:rPr>
          <w:rFonts w:ascii="Arial" w:cs="Arial" w:eastAsia="Arial" w:hAnsi="Arial"/>
          <w:sz w:val="18"/>
          <w:szCs w:val="18"/>
          <w:color w:val="000000"/>
        </w:rPr>
        <w:t xml:space="preserve"> we repurchased approximately 0.1 million shares of our outstanding common stock for approximately $10 million.</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700" w:type="dxa"/>
            <w:vAlign w:val="bottom"/>
          </w:tcPr>
          <w:p>
            <w:pPr>
              <w:spacing w:after="0"/>
              <w:rPr>
                <w:sz w:val="20"/>
                <w:szCs w:val="20"/>
                <w:color w:val="auto"/>
              </w:rPr>
            </w:pPr>
            <w:r>
              <w:rPr>
                <w:rFonts w:ascii="Arial" w:cs="Arial" w:eastAsia="Arial" w:hAnsi="Arial"/>
                <w:sz w:val="18"/>
                <w:szCs w:val="18"/>
                <w:b w:val="1"/>
                <w:bCs w:val="1"/>
                <w:color w:val="auto"/>
              </w:rPr>
              <w:t>CASH FLOWS</w:t>
            </w: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459"/>
        </w:trPr>
        <w:tc>
          <w:tcPr>
            <w:tcW w:w="6700" w:type="dxa"/>
            <w:vAlign w:val="bottom"/>
          </w:tcPr>
          <w:p>
            <w:pPr>
              <w:spacing w:after="0"/>
              <w:rPr>
                <w:sz w:val="20"/>
                <w:szCs w:val="20"/>
                <w:color w:val="auto"/>
              </w:rPr>
            </w:pPr>
            <w:r>
              <w:rPr>
                <w:rFonts w:ascii="Arial" w:cs="Arial" w:eastAsia="Arial" w:hAnsi="Arial"/>
                <w:sz w:val="18"/>
                <w:szCs w:val="18"/>
                <w:color w:val="auto"/>
              </w:rPr>
              <w:t>The following table summarizes our cash flows:</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57"/>
        </w:trPr>
        <w:tc>
          <w:tcPr>
            <w:tcW w:w="67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4160" w:type="dxa"/>
            <w:vAlign w:val="bottom"/>
            <w:tcBorders>
              <w:bottom w:val="single" w:sz="8" w:color="auto"/>
            </w:tcBorders>
            <w:gridSpan w:val="7"/>
          </w:tcPr>
          <w:p>
            <w:pPr>
              <w:jc w:val="right"/>
              <w:ind w:right="830"/>
              <w:spacing w:after="0"/>
              <w:rPr>
                <w:sz w:val="20"/>
                <w:szCs w:val="20"/>
                <w:color w:val="auto"/>
              </w:rPr>
            </w:pPr>
            <w:r>
              <w:rPr>
                <w:rFonts w:ascii="Arial" w:cs="Arial" w:eastAsia="Arial" w:hAnsi="Arial"/>
                <w:sz w:val="18"/>
                <w:szCs w:val="18"/>
                <w:b w:val="1"/>
                <w:bCs w:val="1"/>
                <w:color w:val="auto"/>
              </w:rPr>
              <w:t>Three Months Ended March 31,</w:t>
            </w:r>
          </w:p>
        </w:tc>
      </w:tr>
      <w:tr>
        <w:trPr>
          <w:trHeight w:val="223"/>
        </w:trPr>
        <w:tc>
          <w:tcPr>
            <w:tcW w:w="67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Change</w:t>
            </w:r>
          </w:p>
        </w:tc>
      </w:tr>
      <w:tr>
        <w:trPr>
          <w:trHeight w:val="210"/>
        </w:trPr>
        <w:tc>
          <w:tcPr>
            <w:tcW w:w="6700" w:type="dxa"/>
            <w:vAlign w:val="bottom"/>
          </w:tcPr>
          <w:p>
            <w:pPr>
              <w:ind w:left="20"/>
              <w:spacing w:after="0"/>
              <w:rPr>
                <w:sz w:val="20"/>
                <w:szCs w:val="20"/>
                <w:color w:val="auto"/>
              </w:rPr>
            </w:pPr>
            <w:r>
              <w:rPr>
                <w:rFonts w:ascii="Arial" w:cs="Arial" w:eastAsia="Arial" w:hAnsi="Arial"/>
                <w:sz w:val="18"/>
                <w:szCs w:val="18"/>
                <w:color w:val="auto"/>
              </w:rPr>
              <w:t>Cash provided by (used in):</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29"/>
        </w:trPr>
        <w:tc>
          <w:tcPr>
            <w:tcW w:w="6700" w:type="dxa"/>
            <w:vAlign w:val="bottom"/>
          </w:tcPr>
          <w:p>
            <w:pPr>
              <w:ind w:left="440"/>
              <w:spacing w:after="0"/>
              <w:rPr>
                <w:sz w:val="20"/>
                <w:szCs w:val="20"/>
                <w:color w:val="auto"/>
              </w:rPr>
            </w:pPr>
            <w:r>
              <w:rPr>
                <w:rFonts w:ascii="Arial" w:cs="Arial" w:eastAsia="Arial" w:hAnsi="Arial"/>
                <w:sz w:val="18"/>
                <w:szCs w:val="18"/>
                <w:color w:val="auto"/>
              </w:rPr>
              <w:t>Operating activities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336</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370</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30"/>
        </w:trPr>
        <w:tc>
          <w:tcPr>
            <w:tcW w:w="6700" w:type="dxa"/>
            <w:vAlign w:val="bottom"/>
          </w:tcPr>
          <w:p>
            <w:pPr>
              <w:ind w:left="440"/>
              <w:spacing w:after="0"/>
              <w:rPr>
                <w:sz w:val="20"/>
                <w:szCs w:val="20"/>
                <w:color w:val="auto"/>
              </w:rPr>
            </w:pPr>
            <w:r>
              <w:rPr>
                <w:rFonts w:ascii="Arial" w:cs="Arial" w:eastAsia="Arial" w:hAnsi="Arial"/>
                <w:sz w:val="18"/>
                <w:szCs w:val="18"/>
                <w:color w:val="auto"/>
              </w:rPr>
              <w:t>Investing activities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(1,366)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(1,482)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30"/>
        </w:trPr>
        <w:tc>
          <w:tcPr>
            <w:tcW w:w="6700" w:type="dxa"/>
            <w:vAlign w:val="bottom"/>
          </w:tcPr>
          <w:p>
            <w:pPr>
              <w:ind w:left="440"/>
              <w:spacing w:after="0"/>
              <w:rPr>
                <w:sz w:val="20"/>
                <w:szCs w:val="20"/>
                <w:color w:val="auto"/>
              </w:rPr>
            </w:pPr>
            <w:r>
              <w:rPr>
                <w:rFonts w:ascii="Arial" w:cs="Arial" w:eastAsia="Arial" w:hAnsi="Arial"/>
                <w:sz w:val="18"/>
                <w:szCs w:val="18"/>
                <w:color w:val="auto"/>
              </w:rPr>
              <w:t>Financing activities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914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962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188"/>
        </w:trPr>
        <w:tc>
          <w:tcPr>
            <w:tcW w:w="6700" w:type="dxa"/>
            <w:vAlign w:val="bottom"/>
          </w:tcPr>
          <w:p>
            <w:pPr>
              <w:ind w:left="20"/>
              <w:spacing w:after="0" w:line="189" w:lineRule="exact"/>
              <w:rPr>
                <w:sz w:val="20"/>
                <w:szCs w:val="20"/>
                <w:color w:val="auto"/>
              </w:rPr>
            </w:pPr>
            <w:r>
              <w:rPr>
                <w:rFonts w:ascii="Arial" w:cs="Arial" w:eastAsia="Arial" w:hAnsi="Arial"/>
                <w:sz w:val="18"/>
                <w:szCs w:val="18"/>
                <w:color w:val="auto"/>
              </w:rPr>
              <w:t>Effect of changes in exchange rates on cash and cash equivalents, program and</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17"/>
        </w:trPr>
        <w:tc>
          <w:tcPr>
            <w:tcW w:w="6700" w:type="dxa"/>
            <w:vAlign w:val="bottom"/>
          </w:tcPr>
          <w:p>
            <w:pPr>
              <w:ind w:left="180"/>
              <w:spacing w:after="0"/>
              <w:rPr>
                <w:sz w:val="20"/>
                <w:szCs w:val="20"/>
                <w:color w:val="auto"/>
              </w:rPr>
            </w:pPr>
            <w:r>
              <w:rPr>
                <w:rFonts w:ascii="Arial" w:cs="Arial" w:eastAsia="Arial" w:hAnsi="Arial"/>
                <w:sz w:val="18"/>
                <w:szCs w:val="18"/>
                <w:color w:val="auto"/>
              </w:rPr>
              <w:t>restricted cash</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r>
      <w:tr>
        <w:trPr>
          <w:trHeight w:val="223"/>
        </w:trPr>
        <w:tc>
          <w:tcPr>
            <w:tcW w:w="6700" w:type="dxa"/>
            <w:vAlign w:val="bottom"/>
          </w:tcPr>
          <w:p>
            <w:pPr>
              <w:ind w:left="20"/>
              <w:spacing w:after="0"/>
              <w:rPr>
                <w:sz w:val="20"/>
                <w:szCs w:val="20"/>
                <w:color w:val="auto"/>
              </w:rPr>
            </w:pPr>
            <w:r>
              <w:rPr>
                <w:rFonts w:ascii="Arial" w:cs="Arial" w:eastAsia="Arial" w:hAnsi="Arial"/>
                <w:sz w:val="18"/>
                <w:szCs w:val="18"/>
                <w:color w:val="auto"/>
              </w:rPr>
              <w:t>Net decrease in cash and cash equivalents, program and restricted cash</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Cash and cash equivalents, program and restricted cash, beginning of period</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765</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r>
      <w:tr>
        <w:trPr>
          <w:trHeight w:val="223"/>
        </w:trPr>
        <w:tc>
          <w:tcPr>
            <w:tcW w:w="6700" w:type="dxa"/>
            <w:vAlign w:val="bottom"/>
          </w:tcPr>
          <w:p>
            <w:pPr>
              <w:ind w:left="20"/>
              <w:spacing w:after="0"/>
              <w:rPr>
                <w:sz w:val="20"/>
                <w:szCs w:val="20"/>
                <w:color w:val="auto"/>
              </w:rPr>
            </w:pPr>
            <w:r>
              <w:rPr>
                <w:rFonts w:ascii="Arial" w:cs="Arial" w:eastAsia="Arial" w:hAnsi="Arial"/>
                <w:sz w:val="18"/>
                <w:szCs w:val="18"/>
                <w:color w:val="auto"/>
              </w:rPr>
              <w:t>Cash and cash equivalents, program and restricted cash, end of period</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r>
      <w:tr>
        <w:trPr>
          <w:trHeight w:val="21"/>
        </w:trPr>
        <w:tc>
          <w:tcPr>
            <w:tcW w:w="6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The decrease in cash provided by operating activities during the three months ended March 31, 2021 compared with the same period in 2020 is principally due to the increase in our net loss.</w:t>
      </w:r>
    </w:p>
    <w:p>
      <w:pPr>
        <w:spacing w:after="0" w:line="225"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The decrease in cash used in investing activities during the three months ended March 31, 2021 compared with the same period in 2020 is primarily due to reduced licensee acquisition activity and capital spend.</w:t>
      </w:r>
    </w:p>
    <w:p>
      <w:pPr>
        <w:spacing w:after="0" w:line="225"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decrease in cash provided by financing activities during the three months ended March 31, 2021 compared with the same period in 2020 is primarily due to a decrease in net borrowings under vehicle programs.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DEBT AND FINANCING ARRANGEMENTS</w:t>
      </w:r>
    </w:p>
    <w:p>
      <w:pPr>
        <w:spacing w:after="0" w:line="274"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At March 31, 2021, we had approximately $12.1 billion of indebtedness, including corporate indebtedness of approximately $4.3 billion and debt under vehicle programs of approximately $7.8 billion. For information regarding our debt and borrowing arrangements, see Notes 1, 10 and 11 to our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RISK</w:t>
      </w:r>
    </w:p>
    <w:p>
      <w:pPr>
        <w:spacing w:after="0" w:line="27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Our primary liquidity needs include the procurement of rental vehicles to be used in our operations, servicing of corporate and vehicle-related debt and the payment of operating expenses. The present intention of management is to reinvest the undistributed earnings of our foreign subsidiaries indefinitely into our foreign operations. Our primary sources of funding are operating revenue, cash received upon the sale of vehicles, borrowings under our vehicle-backed borrowing arrangements and our senior revolving credit facility, and other financing activities.</w:t>
      </w:r>
    </w:p>
    <w:p>
      <w:pPr>
        <w:spacing w:after="0" w:line="231"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Our liquidity position has been impacted by COVID-19 as a result of significant volume declines and we expect the impact of COVID-19 on the U.S. and worldwide economies to continue to affect our volumes even after the outbreak is contained. Our liquidity could be further negatively affected by any financial market disruptions or the absence of a recovery or worsening of the U.S. and worldwide economies, which may result in unfavorable conditions in the mobility industry, in the asset-backed financing market and in the credit markets generally. We believe these factors have affected and could further affect the debt ratings assigned to us by credit rating agencies and the cost of our borrowings. Additionally, a worsening or prolonged downturn in the worldwide economy or a disruption in the credit markets could further impact our liquidity due to (i) decreased demand and pricing for vehicles in the used-vehicle market, (ii) increased costs associated with, and/or reduced capacity or increased collateral needs under, our financings, (iii) the adverse impact of vehicle manufacturers being unable or unwilling to honor their obligations to repurchase or guarantee the depreciation on the related program vehicles and (iv) disruption in our ability to obtain financing due to negative credit events specific to us or affecting the overall debt market.</w:t>
      </w:r>
    </w:p>
    <w:p>
      <w:pPr>
        <w:spacing w:after="0" w:line="238"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color w:val="auto"/>
        </w:rPr>
        <w:t>As of March 31, 2021, we had access to $ 0.6 billion of available cash and cash equivalents and available borrowings under our revolving credit facility of approximately $0.6 billion, providing us with access to an approximate $1.2 billion of total liquidity. See Note 1 to our Consolidated Condensed Financial Statements for detailed information on liquidity and management’s plans.</w:t>
      </w:r>
    </w:p>
    <w:p>
      <w:pPr>
        <w:spacing w:after="0" w:line="22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Our liquidity position could also be negatively impacted if we are unable to remain in compliance with our liquidity covenant, the consolidated first lien leverage ratio requirement after the end of the waiver period on June 30, 2021 and other covenants associated with our senior credit facilities and other borrowings. As of March 31, 2021, we were in compliance with the financial covenants governing our indebtedness. For additional information regarding our liquidity risks, see Part I, Item 1A, “Risk Factors” of our 2020 Form 10-K as well as the “Risk Factors” section in this quarterly report.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74"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Our future contractual obligations have not changed significantly from the amounts reported within our 2020 Form 10-K with the exception of our commitment to purchase vehicles, which decreased by approximately $2.3 billion from December 31, 2020, to approximately $6.4 billion at March 31, 2021 due to the COVID-19 impact on our business. Changes to our obligations related to corporate indebtedness and debt under vehicle programs are presented above within the section titled “Liquidity and Capital Resources—Debt and Financing Arrangements” and also within Notes 10 and 11 to our Consolidated Condensed Financial Statements.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POLICIES</w:t>
      </w:r>
    </w:p>
    <w:p>
      <w:pPr>
        <w:spacing w:after="0" w:line="27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results of the majority of our recurring operations are recorded in our financial statements using accounting policies that are not particularly subjective, nor complex. However, in presenting our financial statements in conformity with generally accepted accounting principles, we are required to make estimates and assumptions that affect the amounts reported therein. Several of the estimates and assumptions that we are required to make pertain to matters that are inherently uncertain as they relate to future events. Presented within the section titled “Critical Accounting Policies” of our 2020 Form 10-K are the accounting policies (related to goodwill and other indefinite-lived intangible assets, vehicles, income taxes and public liability, property damage and other insurance liabilities) that we believe require subjective and/or complex judgments that could potentially affect 2021 reported results. There have been no significant changes to those accounting policies or our assessment of which accounting policies we would consider to be critical accounting policies.</w:t>
      </w:r>
    </w:p>
    <w:p>
      <w:pPr>
        <w:spacing w:after="0" w:line="214"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i w:val="1"/>
          <w:iCs w:val="1"/>
          <w:color w:val="auto"/>
        </w:rPr>
        <w:t>Goodwill and Other Indefinite-lived Intangible Assets</w:t>
      </w:r>
      <w:r>
        <w:rPr>
          <w:rFonts w:ascii="Arial" w:cs="Arial" w:eastAsia="Arial" w:hAnsi="Arial"/>
          <w:sz w:val="18"/>
          <w:szCs w:val="18"/>
          <w:color w:val="auto"/>
        </w:rPr>
        <w:t>. We perform our annual goodwill and other indefinite-lived intangible assets impairment</w:t>
      </w:r>
      <w:r>
        <w:rPr>
          <w:rFonts w:ascii="Arial" w:cs="Arial" w:eastAsia="Arial" w:hAnsi="Arial"/>
          <w:sz w:val="18"/>
          <w:szCs w:val="18"/>
          <w:i w:val="1"/>
          <w:iCs w:val="1"/>
          <w:color w:val="auto"/>
        </w:rPr>
        <w:t xml:space="preserve"> </w:t>
      </w:r>
      <w:r>
        <w:rPr>
          <w:rFonts w:ascii="Arial" w:cs="Arial" w:eastAsia="Arial" w:hAnsi="Arial"/>
          <w:sz w:val="18"/>
          <w:szCs w:val="18"/>
          <w:color w:val="auto"/>
        </w:rPr>
        <w:t>assessment in the fourth quarter of each year at the reporting unit level, or more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frequently if events or circumstances indicate that the carrying amount of goodwill and other indefinite-lived intangible assets may be impaired. For our Europe, Middle East and Africa (“EMEA”) reporting unit, the percentage by which the estimated fair value exceeded the carrying value as of October 1, 2020 was 17% and the amount of goodwill allocated to our reporting unit was $488 million.</w:t>
      </w:r>
    </w:p>
    <w:p>
      <w:pPr>
        <w:spacing w:after="0" w:line="229" w:lineRule="exact"/>
        <w:rPr>
          <w:sz w:val="20"/>
          <w:szCs w:val="20"/>
          <w:color w:val="auto"/>
        </w:rPr>
      </w:pPr>
    </w:p>
    <w:p>
      <w:pPr>
        <w:jc w:val="both"/>
        <w:ind w:right="160"/>
        <w:spacing w:after="0"/>
        <w:rPr>
          <w:sz w:val="20"/>
          <w:szCs w:val="20"/>
          <w:color w:val="auto"/>
        </w:rPr>
      </w:pPr>
      <w:r>
        <w:rPr>
          <w:rFonts w:ascii="Arial" w:cs="Arial" w:eastAsia="Arial" w:hAnsi="Arial"/>
          <w:sz w:val="18"/>
          <w:szCs w:val="18"/>
          <w:color w:val="auto"/>
        </w:rPr>
        <w:t>During the quarter ended March 31, 2021, we continued to observe impacts of COVID-19 on our business. We evaluated qualitative factors and determined that an interim impairment test was not required this quarter as we believe it is more likely than not that the fair value of our goodwill and other indefinite-lived intangible assets exceeds the carrying value.</w:t>
      </w:r>
    </w:p>
    <w:p>
      <w:pPr>
        <w:spacing w:after="0" w:line="230"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Further deterioration in the general economic conditions in the travel industry may result in an impairment charge to earnings in future quarters. We will continue to closely monitor actual results versus our expectations as well as any significant changes in events or conditions, including the impact of COVID-19 on our business and the travel industry, and the resulting impact to our assumptions about future estimated cash flows, the weighted average cost of capital and market multiples. If our expectations of the operating results, both in magnitude or timing, do not materialize, or if our weighed average cost of capital increases or if market multiples decline, we may be required to record goodwill and indefinite-lived intangible asset impairment charges, which may be material.</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Standards</w:t>
      </w:r>
    </w:p>
    <w:p>
      <w:pPr>
        <w:spacing w:after="0" w:line="274"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For detailed information regarding new accounting standards and their impact on our business, see Note 1 to our Consolidated Condensed Financial Statements.</w:t>
      </w:r>
    </w:p>
    <w:p>
      <w:pPr>
        <w:spacing w:after="0" w:line="203"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274"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We are exposed to a variety of market risks, including changes in currency exchange rates, interest rates and gasoline prices. We assess our market risks based on changes in interest and currency exchange rates utilizing a sensitivity analysis that measures the potential impact on earnings, fair values and cash flows based on a hypothetical 10% change (increase and decrease) in interest and foreign currency exchange rates. We used March 31, 2021 market rates to perform a sensitivity analysis separately for each of these market risk exposures. We have determined, through such analyses, that the impact of a 10% change in interest or currency exchange rates on our results of operations, balance sheet and cash flows would not be material. Additionally, we have commodity price exposure related to fluctuations in the price of unleaded gasoline. We anticipate that such commodity risk will remain a market risk exposure for the foreseeable future. We determined that a 10% change in the price of unleaded gasoline would not have a material impact on our earnings for the period ended March 31, 2021. For additional information regarding our long-term borrowings and financial instruments, see Notes 10, 11 and 15 to our Consolidated Condensed Financial Statements.</w:t>
      </w:r>
    </w:p>
    <w:p>
      <w:pPr>
        <w:spacing w:after="0" w:line="216"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56" w:lineRule="exact"/>
        <w:rPr>
          <w:sz w:val="20"/>
          <w:szCs w:val="20"/>
          <w:color w:val="auto"/>
        </w:rPr>
      </w:pPr>
    </w:p>
    <w:p>
      <w:pPr>
        <w:ind w:left="340" w:right="20" w:hanging="332"/>
        <w:spacing w:after="0" w:line="258" w:lineRule="auto"/>
        <w:tabs>
          <w:tab w:leader="none" w:pos="330"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 xml:space="preserve">Disclosure Controls and Procedures. </w:t>
      </w:r>
      <w:r>
        <w:rPr>
          <w:rFonts w:ascii="Arial" w:cs="Arial" w:eastAsia="Arial" w:hAnsi="Arial"/>
          <w:sz w:val="18"/>
          <w:szCs w:val="18"/>
          <w:color w:val="auto"/>
        </w:rPr>
        <w:t>Under the supervision and with the participation of our Chief Executive Officer and Chief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our management conducted an evaluation of the effectiveness of our disclosure controls and procedures (as such term is defined in Rules 13a-15(e) and 15d-15(e) under the Securities Exchange Act of 1934, as amended (the “Exchange Act”)). Based on such evaluation, our Chief Executive Officer and Chief Financial Officer have concluded that our disclosure controls and procedures were effective as of March 31, 2021.</w:t>
      </w:r>
    </w:p>
    <w:p>
      <w:pPr>
        <w:spacing w:after="0" w:line="210" w:lineRule="exact"/>
        <w:rPr>
          <w:rFonts w:ascii="Arial" w:cs="Arial" w:eastAsia="Arial" w:hAnsi="Arial"/>
          <w:sz w:val="18"/>
          <w:szCs w:val="18"/>
          <w:color w:val="auto"/>
        </w:rPr>
      </w:pPr>
    </w:p>
    <w:p>
      <w:pPr>
        <w:ind w:left="340" w:hanging="332"/>
        <w:spacing w:after="0" w:line="266" w:lineRule="auto"/>
        <w:tabs>
          <w:tab w:leader="none" w:pos="330"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 xml:space="preserve">Changes in Internal Control Over Financial Reporting. </w:t>
      </w:r>
      <w:r>
        <w:rPr>
          <w:rFonts w:ascii="Arial" w:cs="Arial" w:eastAsia="Arial" w:hAnsi="Arial"/>
          <w:sz w:val="18"/>
          <w:szCs w:val="18"/>
          <w:color w:val="auto"/>
        </w:rPr>
        <w:t>During the fiscal quarter to which this report relates, there has been no change in</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Company’s internal control over financial reporting (as such term is defined in Rules 13a-15(f) and 15d-15(f) under the Exchange Act) that has materially affected, or is reasonably likely to materially affect, the Company’s internal control over financial reporting.</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74" w:lineRule="exact"/>
        <w:rPr>
          <w:sz w:val="20"/>
          <w:szCs w:val="20"/>
          <w:color w:val="auto"/>
        </w:rPr>
      </w:pPr>
    </w:p>
    <w:p>
      <w:pPr>
        <w:jc w:val="both"/>
        <w:ind w:right="280"/>
        <w:spacing w:after="0" w:line="256" w:lineRule="auto"/>
        <w:rPr>
          <w:sz w:val="20"/>
          <w:szCs w:val="20"/>
          <w:color w:val="auto"/>
        </w:rPr>
      </w:pPr>
      <w:r>
        <w:rPr>
          <w:rFonts w:ascii="Arial" w:cs="Arial" w:eastAsia="Arial" w:hAnsi="Arial"/>
          <w:sz w:val="18"/>
          <w:szCs w:val="18"/>
          <w:color w:val="auto"/>
        </w:rPr>
        <w:t>During the quarter ended March 31, 2021, the Company had no material developments to report with respect to its legal proceedings. For additional information regarding the Company’s legal proceedings, see Note 12 to our Consolidated Condensed Financial Statements and refer to the Company’s 2020 Form 10-K.</w:t>
      </w:r>
    </w:p>
    <w:p>
      <w:pPr>
        <w:spacing w:after="0" w:line="207"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74"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The following risk factor is provided to update the risk factors of the Company previously disclosed in periodic reports filed with the SEC, including its 2020 Form 10-K.</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risks associated with our suppliers of vehicles, including as a result of a global semiconductor supply shortage.</w:t>
      </w:r>
    </w:p>
    <w:p>
      <w:pPr>
        <w:spacing w:after="0" w:line="27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have faced, and may face additional delays in receiving delivery of new vehicles from vehicle manufacturers for a variety of reasons, including due to closures at manufacturing facilities or otherwise. In particular, a global semiconductor supply shortage is having wide-ranging effects across multiple industries, particularly the automotive industry, and it has impacted multiple vehicle manufacturers that supply vehicles to us. For example, some automobile plants in North America and elsewhere have halted or reduced vehicle production due to the shortage of semiconductors used in the production of their vehicles. As a result, the semiconductor supply shortage has had, and is expected to continue to have, an impact on new car deliveries, which may make it challenging to meet consumer demand.</w:t>
      </w:r>
    </w:p>
    <w:p>
      <w:pPr>
        <w:spacing w:after="0" w:line="213"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70"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1200" w:type="dxa"/>
            <w:vAlign w:val="bottom"/>
          </w:tcPr>
          <w:p>
            <w:pPr>
              <w:spacing w:after="0"/>
              <w:rPr>
                <w:sz w:val="17"/>
                <w:szCs w:val="17"/>
                <w:color w:val="auto"/>
              </w:rPr>
            </w:pPr>
          </w:p>
        </w:tc>
        <w:tc>
          <w:tcPr>
            <w:tcW w:w="1800" w:type="dxa"/>
            <w:vAlign w:val="bottom"/>
            <w:gridSpan w:val="2"/>
            <w:vMerge w:val="restart"/>
          </w:tcPr>
          <w:p>
            <w:pPr>
              <w:jc w:val="center"/>
              <w:ind w:right="160"/>
              <w:spacing w:after="0"/>
              <w:rPr>
                <w:sz w:val="20"/>
                <w:szCs w:val="20"/>
                <w:color w:val="auto"/>
              </w:rPr>
            </w:pPr>
            <w:r>
              <w:rPr>
                <w:rFonts w:ascii="Arial" w:cs="Arial" w:eastAsia="Arial" w:hAnsi="Arial"/>
                <w:sz w:val="18"/>
                <w:szCs w:val="18"/>
                <w:b w:val="1"/>
                <w:bCs w:val="1"/>
                <w:color w:val="auto"/>
                <w:w w:val="98"/>
              </w:rPr>
              <w:t>Total Number of</w:t>
            </w: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8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99"/>
              </w:rPr>
              <w:t>Total Number of Shares Purchased</w:t>
            </w:r>
          </w:p>
        </w:tc>
        <w:tc>
          <w:tcPr>
            <w:tcW w:w="3120" w:type="dxa"/>
            <w:vAlign w:val="bottom"/>
            <w:gridSpan w:val="2"/>
          </w:tcPr>
          <w:p>
            <w:pPr>
              <w:ind w:left="40"/>
              <w:spacing w:after="0"/>
              <w:rPr>
                <w:sz w:val="20"/>
                <w:szCs w:val="20"/>
                <w:color w:val="auto"/>
              </w:rPr>
            </w:pPr>
            <w:r>
              <w:rPr>
                <w:rFonts w:ascii="Arial" w:cs="Arial" w:eastAsia="Arial" w:hAnsi="Arial"/>
                <w:sz w:val="18"/>
                <w:szCs w:val="18"/>
                <w:b w:val="1"/>
                <w:bCs w:val="1"/>
                <w:color w:val="auto"/>
                <w:w w:val="99"/>
              </w:rPr>
              <w:t>Approximate Dollar Value of Shares</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800" w:type="dxa"/>
            <w:vAlign w:val="bottom"/>
            <w:gridSpan w:val="2"/>
            <w:vMerge w:val="continue"/>
          </w:tcPr>
          <w:p>
            <w:pPr>
              <w:spacing w:after="0"/>
              <w:rPr>
                <w:sz w:val="15"/>
                <w:szCs w:val="15"/>
                <w:color w:val="auto"/>
              </w:rPr>
            </w:pPr>
          </w:p>
        </w:tc>
        <w:tc>
          <w:tcPr>
            <w:tcW w:w="1480" w:type="dxa"/>
            <w:vAlign w:val="bottom"/>
            <w:gridSpan w:val="3"/>
            <w:vMerge w:val="restart"/>
          </w:tcPr>
          <w:p>
            <w:pPr>
              <w:ind w:left="80"/>
              <w:spacing w:after="0"/>
              <w:rPr>
                <w:sz w:val="20"/>
                <w:szCs w:val="20"/>
                <w:color w:val="auto"/>
              </w:rPr>
            </w:pPr>
            <w:r>
              <w:rPr>
                <w:rFonts w:ascii="Arial" w:cs="Arial" w:eastAsia="Arial" w:hAnsi="Arial"/>
                <w:sz w:val="18"/>
                <w:szCs w:val="18"/>
                <w:b w:val="1"/>
                <w:bCs w:val="1"/>
                <w:color w:val="auto"/>
              </w:rPr>
              <w:t>Average Price</w:t>
            </w:r>
          </w:p>
        </w:tc>
        <w:tc>
          <w:tcPr>
            <w:tcW w:w="3180" w:type="dxa"/>
            <w:vAlign w:val="bottom"/>
            <w:gridSpan w:val="2"/>
            <w:vMerge w:val="continue"/>
          </w:tcPr>
          <w:p>
            <w:pPr>
              <w:spacing w:after="0"/>
              <w:rPr>
                <w:sz w:val="15"/>
                <w:szCs w:val="15"/>
                <w:color w:val="auto"/>
              </w:rPr>
            </w:pPr>
          </w:p>
        </w:tc>
        <w:tc>
          <w:tcPr>
            <w:tcW w:w="3120" w:type="dxa"/>
            <w:vAlign w:val="bottom"/>
            <w:gridSpan w:val="2"/>
          </w:tcPr>
          <w:p>
            <w:pPr>
              <w:jc w:val="center"/>
              <w:spacing w:after="0" w:line="176" w:lineRule="exact"/>
              <w:rPr>
                <w:sz w:val="20"/>
                <w:szCs w:val="20"/>
                <w:color w:val="auto"/>
              </w:rPr>
            </w:pPr>
            <w:r>
              <w:rPr>
                <w:rFonts w:ascii="Arial" w:cs="Arial" w:eastAsia="Arial" w:hAnsi="Arial"/>
                <w:sz w:val="18"/>
                <w:szCs w:val="18"/>
                <w:b w:val="1"/>
                <w:bCs w:val="1"/>
                <w:color w:val="auto"/>
                <w:w w:val="99"/>
              </w:rPr>
              <w:t>That May Yet Be Purchased Under</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800" w:type="dxa"/>
            <w:vAlign w:val="bottom"/>
            <w:gridSpan w:val="2"/>
          </w:tcPr>
          <w:p>
            <w:pPr>
              <w:jc w:val="center"/>
              <w:ind w:right="160"/>
              <w:spacing w:after="0" w:line="176" w:lineRule="exact"/>
              <w:rPr>
                <w:sz w:val="20"/>
                <w:szCs w:val="20"/>
                <w:color w:val="auto"/>
              </w:rPr>
            </w:pPr>
            <w:r>
              <w:rPr>
                <w:rFonts w:ascii="Arial" w:cs="Arial" w:eastAsia="Arial" w:hAnsi="Arial"/>
                <w:sz w:val="18"/>
                <w:szCs w:val="18"/>
                <w:b w:val="1"/>
                <w:bCs w:val="1"/>
                <w:color w:val="auto"/>
                <w:w w:val="99"/>
              </w:rPr>
              <w:t>Shares Purchased</w:t>
            </w:r>
          </w:p>
        </w:tc>
        <w:tc>
          <w:tcPr>
            <w:tcW w:w="1480" w:type="dxa"/>
            <w:vAlign w:val="bottom"/>
            <w:gridSpan w:val="3"/>
            <w:vMerge w:val="continue"/>
          </w:tcPr>
          <w:p>
            <w:pPr>
              <w:spacing w:after="0"/>
              <w:rPr>
                <w:sz w:val="15"/>
                <w:szCs w:val="15"/>
                <w:color w:val="auto"/>
              </w:rPr>
            </w:pPr>
          </w:p>
        </w:tc>
        <w:tc>
          <w:tcPr>
            <w:tcW w:w="3180" w:type="dxa"/>
            <w:vAlign w:val="bottom"/>
            <w:gridSpan w:val="2"/>
          </w:tcPr>
          <w:p>
            <w:pPr>
              <w:jc w:val="center"/>
              <w:ind w:right="140"/>
              <w:spacing w:after="0" w:line="176" w:lineRule="exact"/>
              <w:rPr>
                <w:sz w:val="20"/>
                <w:szCs w:val="20"/>
                <w:color w:val="auto"/>
              </w:rPr>
            </w:pPr>
            <w:r>
              <w:rPr>
                <w:rFonts w:ascii="Arial" w:cs="Arial" w:eastAsia="Arial" w:hAnsi="Arial"/>
                <w:sz w:val="18"/>
                <w:szCs w:val="18"/>
                <w:b w:val="1"/>
                <w:bCs w:val="1"/>
                <w:color w:val="auto"/>
                <w:w w:val="99"/>
              </w:rPr>
              <w:t>as Part of Publicly Announced</w:t>
            </w:r>
          </w:p>
        </w:tc>
        <w:tc>
          <w:tcPr>
            <w:tcW w:w="2540" w:type="dxa"/>
            <w:vAlign w:val="bottom"/>
          </w:tcPr>
          <w:p>
            <w:pPr>
              <w:ind w:left="400"/>
              <w:spacing w:after="0" w:line="176" w:lineRule="exact"/>
              <w:rPr>
                <w:sz w:val="20"/>
                <w:szCs w:val="20"/>
                <w:color w:val="auto"/>
              </w:rPr>
            </w:pPr>
            <w:r>
              <w:rPr>
                <w:rFonts w:ascii="Arial" w:cs="Arial" w:eastAsia="Arial" w:hAnsi="Arial"/>
                <w:sz w:val="18"/>
                <w:szCs w:val="18"/>
                <w:b w:val="1"/>
                <w:bCs w:val="1"/>
                <w:color w:val="auto"/>
                <w:w w:val="99"/>
              </w:rPr>
              <w:t>the Plans or Programs ($</w:t>
            </w:r>
          </w:p>
        </w:tc>
        <w:tc>
          <w:tcPr>
            <w:tcW w:w="580" w:type="dxa"/>
            <w:vAlign w:val="bottom"/>
          </w:tcPr>
          <w:p>
            <w:pPr>
              <w:jc w:val="right"/>
              <w:ind w:right="290"/>
              <w:spacing w:after="0" w:line="176" w:lineRule="exact"/>
              <w:rPr>
                <w:sz w:val="20"/>
                <w:szCs w:val="20"/>
                <w:color w:val="auto"/>
              </w:rPr>
            </w:pPr>
            <w:r>
              <w:rPr>
                <w:rFonts w:ascii="Arial" w:cs="Arial" w:eastAsia="Arial" w:hAnsi="Arial"/>
                <w:sz w:val="18"/>
                <w:szCs w:val="18"/>
                <w:b w:val="1"/>
                <w:bCs w:val="1"/>
                <w:color w:val="auto"/>
              </w:rPr>
              <w:t>in</w:t>
            </w:r>
          </w:p>
        </w:tc>
        <w:tc>
          <w:tcPr>
            <w:tcW w:w="0" w:type="dxa"/>
            <w:vAlign w:val="bottom"/>
          </w:tcPr>
          <w:p>
            <w:pPr>
              <w:spacing w:after="0"/>
              <w:rPr>
                <w:sz w:val="1"/>
                <w:szCs w:val="1"/>
                <w:color w:val="auto"/>
              </w:rPr>
            </w:pPr>
          </w:p>
        </w:tc>
      </w:tr>
      <w:tr>
        <w:trPr>
          <w:trHeight w:val="229"/>
        </w:trPr>
        <w:tc>
          <w:tcPr>
            <w:tcW w:w="1200" w:type="dxa"/>
            <w:vAlign w:val="bottom"/>
          </w:tcPr>
          <w:p>
            <w:pPr>
              <w:spacing w:after="0"/>
              <w:rPr>
                <w:sz w:val="19"/>
                <w:szCs w:val="19"/>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(in millions)</w:t>
            </w:r>
          </w:p>
        </w:tc>
        <w:tc>
          <w:tcPr>
            <w:tcW w:w="160" w:type="dxa"/>
            <w:vAlign w:val="bottom"/>
          </w:tcPr>
          <w:p>
            <w:pPr>
              <w:spacing w:after="0"/>
              <w:rPr>
                <w:sz w:val="19"/>
                <w:szCs w:val="19"/>
                <w:color w:val="auto"/>
              </w:rPr>
            </w:pPr>
          </w:p>
        </w:tc>
        <w:tc>
          <w:tcPr>
            <w:tcW w:w="136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Paid per Share</w:t>
            </w:r>
          </w:p>
        </w:tc>
        <w:tc>
          <w:tcPr>
            <w:tcW w:w="120" w:type="dxa"/>
            <w:vAlign w:val="bottom"/>
          </w:tcPr>
          <w:p>
            <w:pPr>
              <w:spacing w:after="0"/>
              <w:rPr>
                <w:sz w:val="19"/>
                <w:szCs w:val="19"/>
                <w:color w:val="auto"/>
              </w:rPr>
            </w:pPr>
          </w:p>
        </w:tc>
        <w:tc>
          <w:tcPr>
            <w:tcW w:w="3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Plans or Programs (in millions)</w:t>
            </w:r>
          </w:p>
        </w:tc>
        <w:tc>
          <w:tcPr>
            <w:tcW w:w="140" w:type="dxa"/>
            <w:vAlign w:val="bottom"/>
          </w:tcPr>
          <w:p>
            <w:pPr>
              <w:spacing w:after="0"/>
              <w:rPr>
                <w:sz w:val="19"/>
                <w:szCs w:val="19"/>
                <w:color w:val="auto"/>
              </w:rPr>
            </w:pPr>
          </w:p>
        </w:tc>
        <w:tc>
          <w:tcPr>
            <w:tcW w:w="2540" w:type="dxa"/>
            <w:vAlign w:val="bottom"/>
            <w:tcBorders>
              <w:bottom w:val="single" w:sz="8" w:color="auto"/>
            </w:tcBorders>
          </w:tcPr>
          <w:p>
            <w:pPr>
              <w:jc w:val="center"/>
              <w:ind w:left="510"/>
              <w:spacing w:after="0"/>
              <w:rPr>
                <w:sz w:val="20"/>
                <w:szCs w:val="20"/>
                <w:color w:val="auto"/>
              </w:rPr>
            </w:pPr>
            <w:r>
              <w:rPr>
                <w:rFonts w:ascii="Arial" w:cs="Arial" w:eastAsia="Arial" w:hAnsi="Arial"/>
                <w:sz w:val="18"/>
                <w:szCs w:val="18"/>
                <w:b w:val="1"/>
                <w:bCs w:val="1"/>
                <w:color w:val="auto"/>
                <w:w w:val="99"/>
              </w:rPr>
              <w:t>millions)</w:t>
            </w:r>
          </w:p>
        </w:tc>
        <w:tc>
          <w:tcPr>
            <w:tcW w:w="5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Pr>
          <w:p>
            <w:pPr>
              <w:jc w:val="right"/>
              <w:spacing w:after="0"/>
              <w:rPr>
                <w:sz w:val="20"/>
                <w:szCs w:val="20"/>
                <w:color w:val="auto"/>
              </w:rPr>
            </w:pPr>
            <w:r>
              <w:rPr>
                <w:rFonts w:ascii="Arial" w:cs="Arial" w:eastAsia="Arial" w:hAnsi="Arial"/>
                <w:sz w:val="18"/>
                <w:szCs w:val="18"/>
                <w:color w:val="auto"/>
              </w:rPr>
              <w:t>January 2021</w:t>
            </w:r>
          </w:p>
        </w:tc>
        <w:tc>
          <w:tcPr>
            <w:tcW w:w="1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80" w:type="dxa"/>
            <w:vAlign w:val="bottom"/>
          </w:tcPr>
          <w:p>
            <w:pPr>
              <w:ind w:lef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540" w:type="dxa"/>
            <w:vAlign w:val="bottom"/>
          </w:tcPr>
          <w:p>
            <w:pPr>
              <w:ind w:lef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30"/>
        </w:trPr>
        <w:tc>
          <w:tcPr>
            <w:tcW w:w="1200" w:type="dxa"/>
            <w:vAlign w:val="bottom"/>
          </w:tcPr>
          <w:p>
            <w:pPr>
              <w:jc w:val="right"/>
              <w:spacing w:after="0"/>
              <w:rPr>
                <w:sz w:val="20"/>
                <w:szCs w:val="20"/>
                <w:color w:val="auto"/>
              </w:rPr>
            </w:pPr>
            <w:r>
              <w:rPr>
                <w:rFonts w:ascii="Arial" w:cs="Arial" w:eastAsia="Arial" w:hAnsi="Arial"/>
                <w:sz w:val="18"/>
                <w:szCs w:val="18"/>
                <w:color w:val="auto"/>
                <w:w w:val="99"/>
              </w:rPr>
              <w:t>February 2021</w:t>
            </w:r>
          </w:p>
        </w:tc>
        <w:tc>
          <w:tcPr>
            <w:tcW w:w="1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5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29"/>
        </w:trPr>
        <w:tc>
          <w:tcPr>
            <w:tcW w:w="1200" w:type="dxa"/>
            <w:vAlign w:val="bottom"/>
          </w:tcPr>
          <w:p>
            <w:pPr>
              <w:jc w:val="right"/>
              <w:spacing w:after="0"/>
              <w:rPr>
                <w:sz w:val="20"/>
                <w:szCs w:val="20"/>
                <w:color w:val="auto"/>
              </w:rPr>
            </w:pPr>
            <w:r>
              <w:rPr>
                <w:rFonts w:ascii="Arial" w:cs="Arial" w:eastAsia="Arial" w:hAnsi="Arial"/>
                <w:sz w:val="18"/>
                <w:szCs w:val="18"/>
                <w:color w:val="auto"/>
              </w:rPr>
              <w:t>March 2021</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66.62</w:t>
            </w:r>
          </w:p>
        </w:tc>
        <w:tc>
          <w:tcPr>
            <w:tcW w:w="120" w:type="dxa"/>
            <w:vAlign w:val="bottom"/>
          </w:tcPr>
          <w:p>
            <w:pPr>
              <w:spacing w:after="0"/>
              <w:rPr>
                <w:sz w:val="19"/>
                <w:szCs w:val="19"/>
                <w:color w:val="auto"/>
              </w:rPr>
            </w:pPr>
          </w:p>
        </w:tc>
        <w:tc>
          <w:tcPr>
            <w:tcW w:w="3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9"/>
                <w:szCs w:val="19"/>
                <w:color w:val="auto"/>
              </w:rPr>
            </w:pPr>
          </w:p>
        </w:tc>
        <w:tc>
          <w:tcPr>
            <w:tcW w:w="25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9"/>
                <w:szCs w:val="19"/>
                <w:color w:val="auto"/>
              </w:rPr>
            </w:pPr>
          </w:p>
        </w:tc>
        <w:tc>
          <w:tcPr>
            <w:tcW w:w="480" w:type="dxa"/>
            <w:vAlign w:val="bottom"/>
          </w:tcPr>
          <w:p>
            <w:pPr>
              <w:ind w:lef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66.62</w:t>
            </w:r>
          </w:p>
        </w:tc>
        <w:tc>
          <w:tcPr>
            <w:tcW w:w="120" w:type="dxa"/>
            <w:vAlign w:val="bottom"/>
          </w:tcPr>
          <w:p>
            <w:pPr>
              <w:spacing w:after="0"/>
              <w:rPr>
                <w:sz w:val="19"/>
                <w:szCs w:val="19"/>
                <w:color w:val="auto"/>
              </w:rPr>
            </w:pPr>
          </w:p>
        </w:tc>
        <w:tc>
          <w:tcPr>
            <w:tcW w:w="3040" w:type="dxa"/>
            <w:vAlign w:val="bottom"/>
          </w:tcPr>
          <w:p>
            <w:pPr>
              <w:jc w:val="right"/>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9"/>
                <w:szCs w:val="19"/>
                <w:color w:val="auto"/>
              </w:rPr>
            </w:pPr>
          </w:p>
        </w:tc>
        <w:tc>
          <w:tcPr>
            <w:tcW w:w="2540" w:type="dxa"/>
            <w:vAlign w:val="bottom"/>
          </w:tcPr>
          <w:p>
            <w:pPr>
              <w:ind w:lef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bl>
    <w:p>
      <w:pPr>
        <w:spacing w:after="0" w:line="350"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262626"/>
        </w:rPr>
        <w:t>The Company</w:t>
      </w:r>
      <w:r>
        <w:rPr>
          <w:rFonts w:ascii="Arial" w:cs="Arial" w:eastAsia="Arial" w:hAnsi="Arial"/>
          <w:sz w:val="18"/>
          <w:szCs w:val="18"/>
          <w:color w:val="000000"/>
        </w:rPr>
        <w:t>’</w:t>
      </w:r>
      <w:r>
        <w:rPr>
          <w:rFonts w:ascii="Arial" w:cs="Arial" w:eastAsia="Arial" w:hAnsi="Arial"/>
          <w:sz w:val="18"/>
          <w:szCs w:val="18"/>
          <w:color w:val="262626"/>
        </w:rPr>
        <w:t>s Board of Directors has authorized the repurchase of up to $1.8 billion of its common stock under a plan originally approved in 2013 and subsequently expanded, most recently in August 2019</w:t>
      </w:r>
      <w:r>
        <w:rPr>
          <w:rFonts w:ascii="Arial" w:cs="Arial" w:eastAsia="Arial" w:hAnsi="Arial"/>
          <w:sz w:val="18"/>
          <w:szCs w:val="18"/>
          <w:color w:val="000000"/>
        </w:rPr>
        <w:t>.</w:t>
      </w:r>
      <w:r>
        <w:rPr>
          <w:rFonts w:ascii="Arial" w:cs="Arial" w:eastAsia="Arial" w:hAnsi="Arial"/>
          <w:sz w:val="18"/>
          <w:szCs w:val="18"/>
          <w:color w:val="262626"/>
        </w:rPr>
        <w:t xml:space="preserve"> The Company</w:t>
      </w:r>
      <w:r>
        <w:rPr>
          <w:rFonts w:ascii="Arial" w:cs="Arial" w:eastAsia="Arial" w:hAnsi="Arial"/>
          <w:sz w:val="18"/>
          <w:szCs w:val="18"/>
          <w:color w:val="000000"/>
        </w:rPr>
        <w:t>’</w:t>
      </w:r>
      <w:r>
        <w:rPr>
          <w:rFonts w:ascii="Arial" w:cs="Arial" w:eastAsia="Arial" w:hAnsi="Arial"/>
          <w:sz w:val="18"/>
          <w:szCs w:val="18"/>
          <w:color w:val="262626"/>
        </w:rPr>
        <w:t>s stock repurchases may occur through open market purchases or trading plans pursuant to Rule 10b5-1 of the Securities Exchange Act of 1934. The amount and timing of specific repurchases are subject to market conditions, applicable legal requirements and other factors. The repurchase program may be suspended, modified or discontinued at any time without prior notice. The repurchase program has no set expiration or termination date.</w:t>
      </w:r>
    </w:p>
    <w:p>
      <w:pPr>
        <w:spacing w:after="0" w:line="21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Exhibits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See Exhibit Index.</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74"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tbl>
      <w:tblPr>
        <w:tblLayout w:type="fixed"/>
        <w:tblInd w:w="0" w:type="dxa"/>
        <w:tblCellMar>
          <w:top w:w="0" w:type="dxa"/>
          <w:left w:w="0" w:type="dxa"/>
          <w:bottom w:w="0" w:type="dxa"/>
          <w:right w:w="0" w:type="dxa"/>
        </w:tblCellMar>
      </w:tblPr>
      <w:tr>
        <w:trPr>
          <w:trHeight w:val="239"/>
        </w:trPr>
        <w:tc>
          <w:tcPr>
            <w:tcW w:w="3660" w:type="dxa"/>
            <w:vAlign w:val="bottom"/>
          </w:tcPr>
          <w:p>
            <w:pPr>
              <w:spacing w:after="0"/>
              <w:rPr>
                <w:sz w:val="20"/>
                <w:szCs w:val="20"/>
                <w:color w:val="auto"/>
              </w:rPr>
            </w:pPr>
          </w:p>
        </w:tc>
        <w:tc>
          <w:tcPr>
            <w:tcW w:w="7580" w:type="dxa"/>
            <w:vAlign w:val="bottom"/>
          </w:tcPr>
          <w:p>
            <w:pPr>
              <w:ind w:left="20"/>
              <w:spacing w:after="0"/>
              <w:rPr>
                <w:sz w:val="20"/>
                <w:szCs w:val="20"/>
                <w:color w:val="auto"/>
              </w:rPr>
            </w:pPr>
            <w:r>
              <w:rPr>
                <w:rFonts w:ascii="Arial" w:cs="Arial" w:eastAsia="Arial" w:hAnsi="Arial"/>
                <w:sz w:val="18"/>
                <w:szCs w:val="18"/>
                <w:b w:val="1"/>
                <w:bCs w:val="1"/>
                <w:color w:val="auto"/>
              </w:rPr>
              <w:t>AVIS BUDGET GROUP, INC.</w:t>
            </w:r>
          </w:p>
        </w:tc>
      </w:tr>
      <w:tr>
        <w:trPr>
          <w:trHeight w:val="499"/>
        </w:trPr>
        <w:tc>
          <w:tcPr>
            <w:tcW w:w="3660" w:type="dxa"/>
            <w:vAlign w:val="bottom"/>
          </w:tcPr>
          <w:p>
            <w:pPr>
              <w:ind w:left="20"/>
              <w:spacing w:after="0"/>
              <w:rPr>
                <w:sz w:val="20"/>
                <w:szCs w:val="20"/>
                <w:color w:val="auto"/>
              </w:rPr>
            </w:pPr>
            <w:r>
              <w:rPr>
                <w:rFonts w:ascii="Arial" w:cs="Arial" w:eastAsia="Arial" w:hAnsi="Arial"/>
                <w:sz w:val="18"/>
                <w:szCs w:val="18"/>
                <w:color w:val="auto"/>
              </w:rPr>
              <w:t>Date:   May 4, 2021</w:t>
            </w:r>
          </w:p>
        </w:tc>
        <w:tc>
          <w:tcPr>
            <w:tcW w:w="7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Cathleen DeGenova</w:t>
            </w:r>
          </w:p>
        </w:tc>
      </w:tr>
      <w:tr>
        <w:trPr>
          <w:trHeight w:val="223"/>
        </w:trPr>
        <w:tc>
          <w:tcPr>
            <w:tcW w:w="3660" w:type="dxa"/>
            <w:vAlign w:val="bottom"/>
          </w:tcPr>
          <w:p>
            <w:pPr>
              <w:spacing w:after="0"/>
              <w:rPr>
                <w:sz w:val="19"/>
                <w:szCs w:val="19"/>
                <w:color w:val="auto"/>
              </w:rPr>
            </w:pPr>
          </w:p>
        </w:tc>
        <w:tc>
          <w:tcPr>
            <w:tcW w:w="7580" w:type="dxa"/>
            <w:vAlign w:val="bottom"/>
          </w:tcPr>
          <w:p>
            <w:pPr>
              <w:ind w:left="20"/>
              <w:spacing w:after="0"/>
              <w:rPr>
                <w:sz w:val="20"/>
                <w:szCs w:val="20"/>
                <w:color w:val="auto"/>
              </w:rPr>
            </w:pPr>
            <w:r>
              <w:rPr>
                <w:rFonts w:ascii="Arial" w:cs="Arial" w:eastAsia="Arial" w:hAnsi="Arial"/>
                <w:sz w:val="18"/>
                <w:szCs w:val="18"/>
                <w:color w:val="auto"/>
              </w:rPr>
              <w:t>Cathleen DeGenova</w:t>
            </w:r>
          </w:p>
        </w:tc>
      </w:tr>
      <w:tr>
        <w:trPr>
          <w:trHeight w:val="230"/>
        </w:trPr>
        <w:tc>
          <w:tcPr>
            <w:tcW w:w="3660" w:type="dxa"/>
            <w:vAlign w:val="bottom"/>
          </w:tcPr>
          <w:p>
            <w:pPr>
              <w:spacing w:after="0"/>
              <w:rPr>
                <w:sz w:val="19"/>
                <w:szCs w:val="19"/>
                <w:color w:val="auto"/>
              </w:rPr>
            </w:pPr>
          </w:p>
        </w:tc>
        <w:tc>
          <w:tcPr>
            <w:tcW w:w="7580" w:type="dxa"/>
            <w:vAlign w:val="bottom"/>
          </w:tcPr>
          <w:p>
            <w:pPr>
              <w:ind w:left="20"/>
              <w:spacing w:after="0"/>
              <w:rPr>
                <w:sz w:val="20"/>
                <w:szCs w:val="20"/>
                <w:color w:val="auto"/>
              </w:rPr>
            </w:pPr>
            <w:r>
              <w:rPr>
                <w:rFonts w:ascii="Arial" w:cs="Arial" w:eastAsia="Arial" w:hAnsi="Arial"/>
                <w:sz w:val="18"/>
                <w:szCs w:val="18"/>
                <w:color w:val="auto"/>
              </w:rPr>
              <w:t>Vice President and</w:t>
            </w:r>
          </w:p>
        </w:tc>
      </w:tr>
      <w:tr>
        <w:trPr>
          <w:trHeight w:val="229"/>
        </w:trPr>
        <w:tc>
          <w:tcPr>
            <w:tcW w:w="3660" w:type="dxa"/>
            <w:vAlign w:val="bottom"/>
          </w:tcPr>
          <w:p>
            <w:pPr>
              <w:spacing w:after="0"/>
              <w:rPr>
                <w:sz w:val="19"/>
                <w:szCs w:val="19"/>
                <w:color w:val="auto"/>
              </w:rPr>
            </w:pPr>
          </w:p>
        </w:tc>
        <w:tc>
          <w:tcPr>
            <w:tcW w:w="7580" w:type="dxa"/>
            <w:vAlign w:val="bottom"/>
          </w:tcPr>
          <w:p>
            <w:pPr>
              <w:ind w:left="20"/>
              <w:spacing w:after="0"/>
              <w:rPr>
                <w:sz w:val="20"/>
                <w:szCs w:val="20"/>
                <w:color w:val="auto"/>
              </w:rPr>
            </w:pPr>
            <w:r>
              <w:rPr>
                <w:rFonts w:ascii="Arial" w:cs="Arial" w:eastAsia="Arial" w:hAnsi="Arial"/>
                <w:sz w:val="18"/>
                <w:szCs w:val="18"/>
                <w:color w:val="auto"/>
              </w:rPr>
              <w:t>Chief Accounting Officer</w:t>
            </w:r>
          </w:p>
        </w:tc>
      </w:tr>
      <w:tr>
        <w:trPr>
          <w:trHeight w:val="918"/>
        </w:trPr>
        <w:tc>
          <w:tcPr>
            <w:tcW w:w="3660" w:type="dxa"/>
            <w:vAlign w:val="bottom"/>
          </w:tcPr>
          <w:p>
            <w:pPr>
              <w:spacing w:after="0"/>
              <w:rPr>
                <w:sz w:val="24"/>
                <w:szCs w:val="24"/>
                <w:color w:val="auto"/>
              </w:rPr>
            </w:pPr>
          </w:p>
        </w:tc>
        <w:tc>
          <w:tcPr>
            <w:tcW w:w="7580" w:type="dxa"/>
            <w:vAlign w:val="bottom"/>
          </w:tcPr>
          <w:p>
            <w:pPr>
              <w:ind w:left="1860"/>
              <w:spacing w:after="0"/>
              <w:rPr>
                <w:sz w:val="20"/>
                <w:szCs w:val="20"/>
                <w:color w:val="auto"/>
              </w:rPr>
            </w:pPr>
            <w:r>
              <w:rPr>
                <w:rFonts w:ascii="Arial" w:cs="Arial" w:eastAsia="Arial" w:hAnsi="Arial"/>
                <w:sz w:val="18"/>
                <w:szCs w:val="18"/>
                <w:color w:val="auto"/>
              </w:rPr>
              <w:t>35</w:t>
            </w:r>
          </w:p>
        </w:tc>
      </w:tr>
      <w:tr>
        <w:trPr>
          <w:trHeight w:val="115"/>
        </w:trPr>
        <w:tc>
          <w:tcPr>
            <w:tcW w:w="3660" w:type="dxa"/>
            <w:vAlign w:val="bottom"/>
            <w:tcBorders>
              <w:bottom w:val="single" w:sz="8" w:color="9A9A9A"/>
            </w:tcBorders>
          </w:tcPr>
          <w:p>
            <w:pPr>
              <w:spacing w:after="0"/>
              <w:rPr>
                <w:sz w:val="10"/>
                <w:szCs w:val="10"/>
                <w:color w:val="auto"/>
              </w:rPr>
            </w:pPr>
          </w:p>
        </w:tc>
        <w:tc>
          <w:tcPr>
            <w:tcW w:w="75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0"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8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7060" w:type="dxa"/>
            <w:vAlign w:val="bottom"/>
            <w:gridSpan w:val="18"/>
          </w:tcPr>
          <w:p>
            <w:pPr>
              <w:ind w:left="860"/>
              <w:spacing w:after="0"/>
              <w:rPr>
                <w:sz w:val="20"/>
                <w:szCs w:val="20"/>
                <w:color w:val="auto"/>
              </w:rPr>
            </w:pPr>
            <w:r>
              <w:rPr>
                <w:rFonts w:ascii="Arial" w:cs="Arial" w:eastAsia="Arial" w:hAnsi="Arial"/>
                <w:sz w:val="18"/>
                <w:szCs w:val="18"/>
                <w:b w:val="1"/>
                <w:bCs w:val="1"/>
                <w:color w:val="auto"/>
              </w:rPr>
              <w:t>Exhibit Index</w:t>
            </w:r>
          </w:p>
        </w:tc>
      </w:tr>
      <w:tr>
        <w:trPr>
          <w:trHeight w:val="202"/>
        </w:trPr>
        <w:tc>
          <w:tcPr>
            <w:tcW w:w="8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Exhibit No.</w:t>
            </w:r>
          </w:p>
        </w:tc>
        <w:tc>
          <w:tcPr>
            <w:tcW w:w="40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99"/>
              </w:rPr>
              <w:t>Description</w:t>
            </w:r>
          </w:p>
        </w:tc>
        <w:tc>
          <w:tcPr>
            <w:tcW w:w="4540" w:type="dxa"/>
            <w:vAlign w:val="bottom"/>
            <w:gridSpan w:val="16"/>
          </w:tcPr>
          <w:p>
            <w:pPr>
              <w:spacing w:after="0"/>
              <w:rPr>
                <w:sz w:val="17"/>
                <w:szCs w:val="17"/>
                <w:color w:val="auto"/>
              </w:rPr>
            </w:pPr>
          </w:p>
        </w:tc>
      </w:tr>
      <w:tr>
        <w:trPr>
          <w:trHeight w:val="210"/>
        </w:trPr>
        <w:tc>
          <w:tcPr>
            <w:tcW w:w="860" w:type="dxa"/>
            <w:vAlign w:val="bottom"/>
          </w:tcPr>
          <w:p>
            <w:pPr>
              <w:spacing w:after="0"/>
              <w:rPr>
                <w:sz w:val="20"/>
                <w:szCs w:val="20"/>
                <w:color w:val="auto"/>
              </w:rPr>
            </w:pPr>
            <w:r>
              <w:rPr>
                <w:rFonts w:ascii="Arial" w:cs="Arial" w:eastAsia="Arial" w:hAnsi="Arial"/>
                <w:sz w:val="18"/>
                <w:szCs w:val="18"/>
                <w:color w:val="auto"/>
              </w:rPr>
              <w:t>3.1</w:t>
            </w:r>
          </w:p>
        </w:tc>
        <w:tc>
          <w:tcPr>
            <w:tcW w:w="400" w:type="dxa"/>
            <w:vAlign w:val="bottom"/>
          </w:tcPr>
          <w:p>
            <w:pPr>
              <w:spacing w:after="0"/>
              <w:rPr>
                <w:sz w:val="18"/>
                <w:szCs w:val="18"/>
                <w:color w:val="auto"/>
              </w:rPr>
            </w:pPr>
          </w:p>
        </w:tc>
        <w:tc>
          <w:tcPr>
            <w:tcW w:w="9960" w:type="dxa"/>
            <w:vAlign w:val="bottom"/>
            <w:gridSpan w:val="19"/>
          </w:tcPr>
          <w:p>
            <w:pPr>
              <w:spacing w:after="0"/>
              <w:rPr>
                <w:rFonts w:ascii="Arial" w:cs="Arial" w:eastAsia="Arial" w:hAnsi="Arial"/>
                <w:sz w:val="18"/>
                <w:szCs w:val="18"/>
                <w:color w:val="0000FF"/>
              </w:rPr>
            </w:pPr>
            <w:hyperlink r:id="rId57">
              <w:r>
                <w:rPr>
                  <w:rFonts w:ascii="Arial" w:cs="Arial" w:eastAsia="Arial" w:hAnsi="Arial"/>
                  <w:sz w:val="18"/>
                  <w:szCs w:val="18"/>
                  <w:color w:val="0000FF"/>
                </w:rPr>
                <w:t>Amended and Restated Certificate of Incorporation of Avis Budget Group, Inc. (Incorporated by reference to Exhibit 3.1 to</w:t>
              </w:r>
            </w:hyperlink>
          </w:p>
        </w:tc>
      </w:tr>
      <w:tr>
        <w:trPr>
          <w:trHeight w:val="155"/>
        </w:trPr>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68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9"/>
              </w:rPr>
            </w:pPr>
            <w:hyperlink r:id="rId57">
              <w:r>
                <w:rPr>
                  <w:rFonts w:ascii="Arial" w:cs="Arial" w:eastAsia="Arial" w:hAnsi="Arial"/>
                  <w:sz w:val="18"/>
                  <w:szCs w:val="18"/>
                  <w:color w:val="0000FF"/>
                  <w:w w:val="99"/>
                </w:rPr>
                <w:t>the Company’s Current Report on Form 8-K dated September 5, 2006).</w:t>
              </w:r>
            </w:hyperlink>
          </w:p>
        </w:tc>
        <w:tc>
          <w:tcPr>
            <w:tcW w:w="3980" w:type="dxa"/>
            <w:vAlign w:val="bottom"/>
            <w:tcBorders>
              <w:top w:val="single" w:sz="8" w:color="0000FF"/>
            </w:tcBorders>
            <w:gridSpan w:val="8"/>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10"/>
        </w:trPr>
        <w:tc>
          <w:tcPr>
            <w:tcW w:w="860" w:type="dxa"/>
            <w:vAlign w:val="bottom"/>
          </w:tcPr>
          <w:p>
            <w:pPr>
              <w:spacing w:after="0"/>
              <w:rPr>
                <w:sz w:val="20"/>
                <w:szCs w:val="20"/>
                <w:color w:val="auto"/>
              </w:rPr>
            </w:pPr>
            <w:r>
              <w:rPr>
                <w:rFonts w:ascii="Arial" w:cs="Arial" w:eastAsia="Arial" w:hAnsi="Arial"/>
                <w:sz w:val="18"/>
                <w:szCs w:val="18"/>
                <w:color w:val="auto"/>
              </w:rPr>
              <w:t>3.2</w:t>
            </w:r>
          </w:p>
        </w:tc>
        <w:tc>
          <w:tcPr>
            <w:tcW w:w="400" w:type="dxa"/>
            <w:vAlign w:val="bottom"/>
          </w:tcPr>
          <w:p>
            <w:pPr>
              <w:spacing w:after="0"/>
              <w:rPr>
                <w:sz w:val="18"/>
                <w:szCs w:val="18"/>
                <w:color w:val="auto"/>
              </w:rPr>
            </w:pPr>
          </w:p>
        </w:tc>
        <w:tc>
          <w:tcPr>
            <w:tcW w:w="9960" w:type="dxa"/>
            <w:vAlign w:val="bottom"/>
            <w:gridSpan w:val="19"/>
          </w:tcPr>
          <w:p>
            <w:pPr>
              <w:spacing w:after="0"/>
              <w:rPr>
                <w:rFonts w:ascii="Arial" w:cs="Arial" w:eastAsia="Arial" w:hAnsi="Arial"/>
                <w:sz w:val="18"/>
                <w:szCs w:val="18"/>
                <w:color w:val="0000FF"/>
              </w:rPr>
            </w:pPr>
            <w:hyperlink r:id="rId58">
              <w:r>
                <w:rPr>
                  <w:rFonts w:ascii="Arial" w:cs="Arial" w:eastAsia="Arial" w:hAnsi="Arial"/>
                  <w:sz w:val="18"/>
                  <w:szCs w:val="18"/>
                  <w:color w:val="0000FF"/>
                </w:rPr>
                <w:t>Amended and Restated Bylaws of Avis Budget Group, Inc., dated as of August 10, 2020 (incorporated by reference to</w:t>
              </w:r>
            </w:hyperlink>
          </w:p>
        </w:tc>
      </w:tr>
      <w:tr>
        <w:trPr>
          <w:trHeight w:val="155"/>
        </w:trPr>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380" w:type="dxa"/>
            <w:vAlign w:val="bottom"/>
            <w:tcBorders>
              <w:top w:val="single" w:sz="8" w:color="0000FF"/>
            </w:tcBorders>
            <w:gridSpan w:val="9"/>
          </w:tcPr>
          <w:p>
            <w:pPr>
              <w:spacing w:after="0" w:line="156" w:lineRule="exact"/>
              <w:rPr>
                <w:rFonts w:ascii="Arial" w:cs="Arial" w:eastAsia="Arial" w:hAnsi="Arial"/>
                <w:sz w:val="18"/>
                <w:szCs w:val="18"/>
                <w:color w:val="0000FF"/>
              </w:rPr>
            </w:pPr>
            <w:hyperlink r:id="rId58">
              <w:r>
                <w:rPr>
                  <w:rFonts w:ascii="Arial" w:cs="Arial" w:eastAsia="Arial" w:hAnsi="Arial"/>
                  <w:sz w:val="18"/>
                  <w:szCs w:val="18"/>
                  <w:color w:val="0000FF"/>
                </w:rPr>
                <w:t>Exhibit 3.2 to the Company’s Current Report on Form 8-K dated August 13, 2020).</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900" w:type="dxa"/>
            <w:vAlign w:val="bottom"/>
            <w:shd w:val="clear" w:color="auto" w:fill="0000FF"/>
          </w:tcPr>
          <w:p>
            <w:pPr>
              <w:spacing w:after="0" w:line="20" w:lineRule="exact"/>
              <w:rPr>
                <w:sz w:val="1"/>
                <w:szCs w:val="1"/>
                <w:color w:val="auto"/>
              </w:rPr>
            </w:pPr>
          </w:p>
        </w:tc>
        <w:tc>
          <w:tcPr>
            <w:tcW w:w="2720" w:type="dxa"/>
            <w:vAlign w:val="bottom"/>
            <w:gridSpan w:val="3"/>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880" w:type="dxa"/>
            <w:vAlign w:val="bottom"/>
            <w:tcBorders>
              <w:left w:val="single" w:sz="8" w:color="0000FF"/>
            </w:tcBorders>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860" w:type="dxa"/>
            <w:vAlign w:val="bottom"/>
          </w:tcPr>
          <w:p>
            <w:pPr>
              <w:spacing w:after="0"/>
              <w:rPr>
                <w:sz w:val="20"/>
                <w:szCs w:val="20"/>
                <w:color w:val="auto"/>
              </w:rPr>
            </w:pPr>
            <w:r>
              <w:rPr>
                <w:rFonts w:ascii="Arial" w:cs="Arial" w:eastAsia="Arial" w:hAnsi="Arial"/>
                <w:sz w:val="18"/>
                <w:szCs w:val="18"/>
                <w:color w:val="auto"/>
              </w:rPr>
              <w:t>4.1</w:t>
            </w:r>
          </w:p>
        </w:tc>
        <w:tc>
          <w:tcPr>
            <w:tcW w:w="400" w:type="dxa"/>
            <w:vAlign w:val="bottom"/>
          </w:tcPr>
          <w:p>
            <w:pPr>
              <w:spacing w:after="0"/>
              <w:rPr>
                <w:sz w:val="18"/>
                <w:szCs w:val="18"/>
                <w:color w:val="auto"/>
              </w:rPr>
            </w:pPr>
          </w:p>
        </w:tc>
        <w:tc>
          <w:tcPr>
            <w:tcW w:w="9960" w:type="dxa"/>
            <w:vAlign w:val="bottom"/>
            <w:gridSpan w:val="19"/>
          </w:tcPr>
          <w:p>
            <w:pPr>
              <w:spacing w:after="0"/>
              <w:rPr>
                <w:rFonts w:ascii="Arial" w:cs="Arial" w:eastAsia="Arial" w:hAnsi="Arial"/>
                <w:sz w:val="18"/>
                <w:szCs w:val="18"/>
                <w:color w:val="0000FF"/>
                <w:w w:val="99"/>
              </w:rPr>
            </w:pPr>
            <w:hyperlink r:id="rId59">
              <w:r>
                <w:rPr>
                  <w:rFonts w:ascii="Arial" w:cs="Arial" w:eastAsia="Arial" w:hAnsi="Arial"/>
                  <w:sz w:val="18"/>
                  <w:szCs w:val="18"/>
                  <w:color w:val="0000FF"/>
                  <w:w w:val="99"/>
                </w:rPr>
                <w:t>Indenture, dated as of March 1, 2021, by and among Avis Budget Car Rental, LLC and Avis Budget Finance, Inc., as issuers,</w:t>
              </w:r>
            </w:hyperlink>
          </w:p>
        </w:tc>
      </w:tr>
      <w:tr>
        <w:trPr>
          <w:trHeight w:val="155"/>
        </w:trPr>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94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r:id="rId59">
              <w:r>
                <w:rPr>
                  <w:rFonts w:ascii="Arial" w:cs="Arial" w:eastAsia="Arial" w:hAnsi="Arial"/>
                  <w:sz w:val="18"/>
                  <w:szCs w:val="18"/>
                  <w:color w:val="0000FF"/>
                </w:rPr>
                <w:t>the guarantors party thereto and Deutsche Bank Trust Company Americas, as trustee (incorporated by reference to Exhibit</w:t>
              </w:r>
            </w:hyperlink>
          </w:p>
        </w:tc>
        <w:tc>
          <w:tcPr>
            <w:tcW w:w="20" w:type="dxa"/>
            <w:vAlign w:val="bottom"/>
          </w:tcPr>
          <w:p>
            <w:pPr>
              <w:spacing w:after="0"/>
              <w:rPr>
                <w:sz w:val="13"/>
                <w:szCs w:val="13"/>
                <w:color w:val="auto"/>
              </w:rPr>
            </w:pPr>
          </w:p>
        </w:tc>
      </w:tr>
      <w:tr>
        <w:trPr>
          <w:trHeight w:val="156"/>
        </w:trPr>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80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9"/>
              </w:rPr>
            </w:pPr>
            <w:hyperlink r:id="rId59">
              <w:r>
                <w:rPr>
                  <w:rFonts w:ascii="Arial" w:cs="Arial" w:eastAsia="Arial" w:hAnsi="Arial"/>
                  <w:sz w:val="18"/>
                  <w:szCs w:val="18"/>
                  <w:color w:val="0000FF"/>
                  <w:w w:val="99"/>
                </w:rPr>
                <w:t>4.</w:t>
              </w:r>
              <w:r>
                <w:rPr>
                  <w:rFonts w:ascii="Arial" w:cs="Arial" w:eastAsia="Arial" w:hAnsi="Arial"/>
                  <w:sz w:val="18"/>
                  <w:szCs w:val="18"/>
                  <w:u w:val="single" w:color="auto"/>
                  <w:color w:val="0000FF"/>
                  <w:w w:val="99"/>
                </w:rPr>
                <w:t>1</w:t>
              </w:r>
              <w:r>
                <w:rPr>
                  <w:rFonts w:ascii="Arial" w:cs="Arial" w:eastAsia="Arial" w:hAnsi="Arial"/>
                  <w:sz w:val="18"/>
                  <w:szCs w:val="18"/>
                  <w:color w:val="0000FF"/>
                  <w:w w:val="99"/>
                </w:rPr>
                <w:t xml:space="preserve"> to the Company’s Current Report on Form 8-K dated March 1, 2021).</w:t>
              </w:r>
            </w:hyperlink>
          </w:p>
        </w:tc>
        <w:tc>
          <w:tcPr>
            <w:tcW w:w="3960" w:type="dxa"/>
            <w:vAlign w:val="bottom"/>
            <w:tcBorders>
              <w:top w:val="single" w:sz="8" w:color="0000FF"/>
            </w:tcBorders>
            <w:gridSpan w:val="8"/>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r>
      <w:tr>
        <w:trPr>
          <w:trHeight w:val="209"/>
        </w:trPr>
        <w:tc>
          <w:tcPr>
            <w:tcW w:w="860" w:type="dxa"/>
            <w:vAlign w:val="bottom"/>
          </w:tcPr>
          <w:p>
            <w:pPr>
              <w:spacing w:after="0"/>
              <w:rPr>
                <w:sz w:val="20"/>
                <w:szCs w:val="20"/>
                <w:color w:val="auto"/>
              </w:rPr>
            </w:pPr>
            <w:r>
              <w:rPr>
                <w:rFonts w:ascii="Arial" w:cs="Arial" w:eastAsia="Arial" w:hAnsi="Arial"/>
                <w:sz w:val="18"/>
                <w:szCs w:val="18"/>
                <w:color w:val="auto"/>
              </w:rPr>
              <w:t>4.2</w:t>
            </w:r>
          </w:p>
        </w:tc>
        <w:tc>
          <w:tcPr>
            <w:tcW w:w="400" w:type="dxa"/>
            <w:vAlign w:val="bottom"/>
          </w:tcPr>
          <w:p>
            <w:pPr>
              <w:spacing w:after="0"/>
              <w:rPr>
                <w:sz w:val="18"/>
                <w:szCs w:val="18"/>
                <w:color w:val="auto"/>
              </w:rPr>
            </w:pPr>
          </w:p>
        </w:tc>
        <w:tc>
          <w:tcPr>
            <w:tcW w:w="9960" w:type="dxa"/>
            <w:vAlign w:val="bottom"/>
            <w:gridSpan w:val="19"/>
          </w:tcPr>
          <w:p>
            <w:pPr>
              <w:spacing w:after="0"/>
              <w:rPr>
                <w:rFonts w:ascii="Arial" w:cs="Arial" w:eastAsia="Arial" w:hAnsi="Arial"/>
                <w:sz w:val="18"/>
                <w:szCs w:val="18"/>
                <w:color w:val="0000FF"/>
              </w:rPr>
            </w:pPr>
            <w:hyperlink r:id="rId60">
              <w:r>
                <w:rPr>
                  <w:rFonts w:ascii="Arial" w:cs="Arial" w:eastAsia="Arial" w:hAnsi="Arial"/>
                  <w:sz w:val="18"/>
                  <w:szCs w:val="18"/>
                  <w:color w:val="0000FF"/>
                </w:rPr>
                <w:t>Indenture, dated as of March 23, 2021, by and among Avis Budget Car Rental, LLC and Avis Budget Finance, Inc., as</w:t>
              </w:r>
            </w:hyperlink>
          </w:p>
        </w:tc>
      </w:tr>
      <w:tr>
        <w:trPr>
          <w:trHeight w:val="20"/>
        </w:trPr>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900" w:type="dxa"/>
            <w:vAlign w:val="bottom"/>
            <w:shd w:val="clear" w:color="auto" w:fill="0000FF"/>
          </w:tcPr>
          <w:p>
            <w:pPr>
              <w:spacing w:after="0" w:line="20" w:lineRule="exact"/>
              <w:rPr>
                <w:sz w:val="1"/>
                <w:szCs w:val="1"/>
                <w:color w:val="auto"/>
              </w:rPr>
            </w:pPr>
          </w:p>
        </w:tc>
        <w:tc>
          <w:tcPr>
            <w:tcW w:w="2720" w:type="dxa"/>
            <w:vAlign w:val="bottom"/>
            <w:gridSpan w:val="3"/>
            <w:shd w:val="clear" w:color="auto" w:fill="0000FF"/>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28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56"/>
        </w:trPr>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960" w:type="dxa"/>
            <w:vAlign w:val="bottom"/>
            <w:gridSpan w:val="19"/>
          </w:tcPr>
          <w:p>
            <w:pPr>
              <w:spacing w:after="0" w:line="156" w:lineRule="exact"/>
              <w:rPr>
                <w:rFonts w:ascii="Arial" w:cs="Arial" w:eastAsia="Arial" w:hAnsi="Arial"/>
                <w:sz w:val="18"/>
                <w:szCs w:val="18"/>
                <w:color w:val="0000FF"/>
              </w:rPr>
            </w:pPr>
            <w:hyperlink r:id="rId60">
              <w:r>
                <w:rPr>
                  <w:rFonts w:ascii="Arial" w:cs="Arial" w:eastAsia="Arial" w:hAnsi="Arial"/>
                  <w:sz w:val="18"/>
                  <w:szCs w:val="18"/>
                  <w:color w:val="0000FF"/>
                </w:rPr>
                <w:t>issuers, the guarantors party thereto and Deutsche Bank Trust Company Americas, as trustee (incorporated by reference to</w:t>
              </w:r>
            </w:hyperlink>
          </w:p>
        </w:tc>
      </w:tr>
      <w:tr>
        <w:trPr>
          <w:trHeight w:val="156"/>
        </w:trPr>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840" w:type="dxa"/>
            <w:vAlign w:val="bottom"/>
            <w:tcBorders>
              <w:top w:val="single" w:sz="8" w:color="0000FF"/>
            </w:tcBorders>
            <w:gridSpan w:val="16"/>
          </w:tcPr>
          <w:p>
            <w:pPr>
              <w:spacing w:after="0" w:line="156" w:lineRule="exact"/>
              <w:rPr>
                <w:rFonts w:ascii="Arial" w:cs="Arial" w:eastAsia="Arial" w:hAnsi="Arial"/>
                <w:sz w:val="18"/>
                <w:szCs w:val="18"/>
                <w:color w:val="0000FF"/>
              </w:rPr>
            </w:pPr>
            <w:hyperlink r:id="rId60">
              <w:r>
                <w:rPr>
                  <w:rFonts w:ascii="Arial" w:cs="Arial" w:eastAsia="Arial" w:hAnsi="Arial"/>
                  <w:sz w:val="18"/>
                  <w:szCs w:val="18"/>
                  <w:color w:val="0000FF"/>
                </w:rPr>
                <w:t>Exhibit 4.1 to the Company’s Current Report on Form 8-K dated March 23, 2021).</w:t>
              </w:r>
            </w:hyperlink>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r>
      <w:tr>
        <w:trPr>
          <w:trHeight w:val="20"/>
        </w:trPr>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900" w:type="dxa"/>
            <w:vAlign w:val="bottom"/>
            <w:shd w:val="clear" w:color="auto" w:fill="0000FF"/>
          </w:tcPr>
          <w:p>
            <w:pPr>
              <w:spacing w:after="0" w:line="20" w:lineRule="exact"/>
              <w:rPr>
                <w:sz w:val="1"/>
                <w:szCs w:val="1"/>
                <w:color w:val="auto"/>
              </w:rPr>
            </w:pPr>
          </w:p>
        </w:tc>
        <w:tc>
          <w:tcPr>
            <w:tcW w:w="2720" w:type="dxa"/>
            <w:vAlign w:val="bottom"/>
            <w:gridSpan w:val="3"/>
            <w:shd w:val="clear" w:color="auto" w:fill="0000FF"/>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29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209"/>
        </w:trPr>
        <w:tc>
          <w:tcPr>
            <w:tcW w:w="860" w:type="dxa"/>
            <w:vAlign w:val="bottom"/>
          </w:tcPr>
          <w:p>
            <w:pPr>
              <w:spacing w:after="0"/>
              <w:rPr>
                <w:sz w:val="20"/>
                <w:szCs w:val="20"/>
                <w:color w:val="auto"/>
              </w:rPr>
            </w:pPr>
            <w:r>
              <w:rPr>
                <w:rFonts w:ascii="Arial" w:cs="Arial" w:eastAsia="Arial" w:hAnsi="Arial"/>
                <w:sz w:val="18"/>
                <w:szCs w:val="18"/>
                <w:color w:val="auto"/>
              </w:rPr>
              <w:t>10.1</w:t>
            </w:r>
          </w:p>
        </w:tc>
        <w:tc>
          <w:tcPr>
            <w:tcW w:w="400" w:type="dxa"/>
            <w:vAlign w:val="bottom"/>
          </w:tcPr>
          <w:p>
            <w:pPr>
              <w:spacing w:after="0"/>
              <w:rPr>
                <w:sz w:val="18"/>
                <w:szCs w:val="18"/>
                <w:color w:val="auto"/>
              </w:rPr>
            </w:pPr>
          </w:p>
        </w:tc>
        <w:tc>
          <w:tcPr>
            <w:tcW w:w="9960" w:type="dxa"/>
            <w:vAlign w:val="bottom"/>
            <w:gridSpan w:val="19"/>
          </w:tcPr>
          <w:p>
            <w:pPr>
              <w:spacing w:after="0"/>
              <w:rPr>
                <w:rFonts w:ascii="Arial" w:cs="Arial" w:eastAsia="Arial" w:hAnsi="Arial"/>
                <w:sz w:val="18"/>
                <w:szCs w:val="18"/>
                <w:color w:val="0000FF"/>
              </w:rPr>
            </w:pPr>
            <w:hyperlink r:id="rId61">
              <w:r>
                <w:rPr>
                  <w:rFonts w:ascii="Arial" w:cs="Arial" w:eastAsia="Arial" w:hAnsi="Arial"/>
                  <w:sz w:val="18"/>
                  <w:szCs w:val="18"/>
                  <w:color w:val="0000FF"/>
                </w:rPr>
                <w:t>Amendment to the Senior Credit Agreement, dated February 16, 2021, by and among Avis Budget Car Rental, LLC, Avis</w:t>
              </w:r>
            </w:hyperlink>
          </w:p>
        </w:tc>
      </w:tr>
      <w:tr>
        <w:trPr>
          <w:trHeight w:val="156"/>
        </w:trPr>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600" w:type="dxa"/>
            <w:vAlign w:val="bottom"/>
            <w:tcBorders>
              <w:top w:val="single" w:sz="8" w:color="0000FF"/>
            </w:tcBorders>
            <w:gridSpan w:val="12"/>
          </w:tcPr>
          <w:p>
            <w:pPr>
              <w:spacing w:after="0" w:line="157" w:lineRule="exact"/>
              <w:rPr>
                <w:rFonts w:ascii="Arial" w:cs="Arial" w:eastAsia="Arial" w:hAnsi="Arial"/>
                <w:sz w:val="18"/>
                <w:szCs w:val="18"/>
                <w:color w:val="0000FF"/>
              </w:rPr>
            </w:pPr>
            <w:hyperlink r:id="rId61">
              <w:r>
                <w:rPr>
                  <w:rFonts w:ascii="Arial" w:cs="Arial" w:eastAsia="Arial" w:hAnsi="Arial"/>
                  <w:sz w:val="18"/>
                  <w:szCs w:val="18"/>
                  <w:color w:val="0000FF"/>
                </w:rPr>
                <w:t>Budget Holdings, LLC, Avis Budget Group, Inc., certain of Avis Budget Car Rental, LLC’s subsidiaries, the lenders from</w:t>
              </w:r>
            </w:hyperlink>
          </w:p>
        </w:tc>
        <w:tc>
          <w:tcPr>
            <w:tcW w:w="360" w:type="dxa"/>
            <w:vAlign w:val="bottom"/>
            <w:gridSpan w:val="7"/>
          </w:tcPr>
          <w:p>
            <w:pPr>
              <w:spacing w:after="0" w:line="157" w:lineRule="exact"/>
              <w:rPr>
                <w:rFonts w:ascii="Arial" w:cs="Arial" w:eastAsia="Arial" w:hAnsi="Arial"/>
                <w:sz w:val="18"/>
                <w:szCs w:val="18"/>
                <w:color w:val="0000FF"/>
                <w:w w:val="99"/>
              </w:rPr>
            </w:pPr>
            <w:hyperlink r:id="rId61">
              <w:r>
                <w:rPr>
                  <w:rFonts w:ascii="Arial" w:cs="Arial" w:eastAsia="Arial" w:hAnsi="Arial"/>
                  <w:sz w:val="18"/>
                  <w:szCs w:val="18"/>
                  <w:color w:val="0000FF"/>
                  <w:w w:val="99"/>
                </w:rPr>
                <w:t>time</w:t>
              </w:r>
            </w:hyperlink>
          </w:p>
        </w:tc>
      </w:tr>
      <w:tr>
        <w:trPr>
          <w:trHeight w:val="156"/>
        </w:trPr>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86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r:id="rId61">
              <w:r>
                <w:rPr>
                  <w:rFonts w:ascii="Arial" w:cs="Arial" w:eastAsia="Arial" w:hAnsi="Arial"/>
                  <w:sz w:val="18"/>
                  <w:szCs w:val="18"/>
                  <w:color w:val="0000FF"/>
                </w:rPr>
                <w:t>to time party thereto and JPMorgan Chase Bank, N.A., as administrative agent (incorporated by reference to Exhibit 10.1 to</w:t>
              </w:r>
            </w:hyperlink>
          </w:p>
        </w:tc>
        <w:tc>
          <w:tcPr>
            <w:tcW w:w="100" w:type="dxa"/>
            <w:vAlign w:val="bottom"/>
            <w:gridSpan w:val="2"/>
          </w:tcPr>
          <w:p>
            <w:pPr>
              <w:spacing w:after="0"/>
              <w:rPr>
                <w:sz w:val="13"/>
                <w:szCs w:val="13"/>
                <w:color w:val="auto"/>
              </w:rPr>
            </w:pPr>
          </w:p>
        </w:tc>
      </w:tr>
      <w:tr>
        <w:trPr>
          <w:trHeight w:val="156"/>
        </w:trPr>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62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9"/>
              </w:rPr>
            </w:pPr>
            <w:hyperlink r:id="rId61">
              <w:r>
                <w:rPr>
                  <w:rFonts w:ascii="Arial" w:cs="Arial" w:eastAsia="Arial" w:hAnsi="Arial"/>
                  <w:sz w:val="18"/>
                  <w:szCs w:val="18"/>
                  <w:color w:val="0000FF"/>
                  <w:w w:val="99"/>
                </w:rPr>
                <w:t>the Company’s Current Report on Form 8-K dated February 16, 2021).</w:t>
              </w:r>
            </w:hyperlink>
          </w:p>
        </w:tc>
        <w:tc>
          <w:tcPr>
            <w:tcW w:w="4180" w:type="dxa"/>
            <w:vAlign w:val="bottom"/>
            <w:tcBorders>
              <w:top w:val="single" w:sz="8" w:color="0000FF"/>
            </w:tcBorders>
            <w:gridSpan w:val="11"/>
          </w:tcPr>
          <w:p>
            <w:pPr>
              <w:spacing w:after="0"/>
              <w:rPr>
                <w:sz w:val="13"/>
                <w:szCs w:val="13"/>
                <w:color w:val="auto"/>
              </w:rPr>
            </w:pPr>
          </w:p>
        </w:tc>
        <w:tc>
          <w:tcPr>
            <w:tcW w:w="160" w:type="dxa"/>
            <w:vAlign w:val="bottom"/>
            <w:gridSpan w:val="4"/>
          </w:tcPr>
          <w:p>
            <w:pPr>
              <w:spacing w:after="0"/>
              <w:rPr>
                <w:sz w:val="13"/>
                <w:szCs w:val="13"/>
                <w:color w:val="auto"/>
              </w:rPr>
            </w:pPr>
          </w:p>
        </w:tc>
      </w:tr>
      <w:tr>
        <w:trPr>
          <w:trHeight w:val="209"/>
        </w:trPr>
        <w:tc>
          <w:tcPr>
            <w:tcW w:w="860" w:type="dxa"/>
            <w:vAlign w:val="bottom"/>
          </w:tcPr>
          <w:p>
            <w:pPr>
              <w:spacing w:after="0"/>
              <w:rPr>
                <w:sz w:val="20"/>
                <w:szCs w:val="20"/>
                <w:color w:val="auto"/>
              </w:rPr>
            </w:pPr>
            <w:r>
              <w:rPr>
                <w:rFonts w:ascii="Arial" w:cs="Arial" w:eastAsia="Arial" w:hAnsi="Arial"/>
                <w:sz w:val="18"/>
                <w:szCs w:val="18"/>
                <w:color w:val="auto"/>
              </w:rPr>
              <w:t>31.1</w:t>
            </w:r>
          </w:p>
        </w:tc>
        <w:tc>
          <w:tcPr>
            <w:tcW w:w="400" w:type="dxa"/>
            <w:vAlign w:val="bottom"/>
          </w:tcPr>
          <w:p>
            <w:pPr>
              <w:spacing w:after="0"/>
              <w:rPr>
                <w:sz w:val="18"/>
                <w:szCs w:val="18"/>
                <w:color w:val="auto"/>
              </w:rPr>
            </w:pPr>
          </w:p>
        </w:tc>
        <w:tc>
          <w:tcPr>
            <w:tcW w:w="9960" w:type="dxa"/>
            <w:vAlign w:val="bottom"/>
            <w:gridSpan w:val="19"/>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Certification of Chief Executive Officer pursuant to Rules 13(a)-14(a) and 15(d)-14(a) promulgated under the Securities</w:t>
              </w:r>
            </w:hyperlink>
          </w:p>
        </w:tc>
      </w:tr>
      <w:tr>
        <w:trPr>
          <w:trHeight w:val="155"/>
        </w:trPr>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440" w:type="dxa"/>
            <w:vAlign w:val="bottom"/>
            <w:tcBorders>
              <w:top w:val="single" w:sz="8" w:color="0000FF"/>
            </w:tcBorders>
            <w:gridSpan w:val="11"/>
          </w:tcPr>
          <w:p>
            <w:pPr>
              <w:spacing w:after="0" w:line="156" w:lineRule="exact"/>
              <w:rPr>
                <w:rFonts w:ascii="Arial" w:cs="Arial" w:eastAsia="Arial" w:hAnsi="Arial"/>
                <w:sz w:val="18"/>
                <w:szCs w:val="18"/>
                <w:color w:val="0000FF"/>
              </w:rPr>
            </w:pPr>
            <w:hyperlink w:anchor="page39">
              <w:r>
                <w:rPr>
                  <w:rFonts w:ascii="Arial" w:cs="Arial" w:eastAsia="Arial" w:hAnsi="Arial"/>
                  <w:sz w:val="18"/>
                  <w:szCs w:val="18"/>
                  <w:color w:val="0000FF"/>
                </w:rPr>
                <w:t>Exchange Act of 1934, as amended.</w:t>
              </w:r>
            </w:hyperlink>
          </w:p>
        </w:tc>
        <w:tc>
          <w:tcPr>
            <w:tcW w:w="520" w:type="dxa"/>
            <w:vAlign w:val="bottom"/>
            <w:gridSpan w:val="8"/>
          </w:tcPr>
          <w:p>
            <w:pPr>
              <w:spacing w:after="0"/>
              <w:rPr>
                <w:sz w:val="13"/>
                <w:szCs w:val="13"/>
                <w:color w:val="auto"/>
              </w:rPr>
            </w:pPr>
          </w:p>
        </w:tc>
      </w:tr>
      <w:tr>
        <w:trPr>
          <w:trHeight w:val="20"/>
        </w:trPr>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900" w:type="dxa"/>
            <w:vAlign w:val="bottom"/>
            <w:shd w:val="clear" w:color="auto" w:fill="0000FF"/>
          </w:tcPr>
          <w:p>
            <w:pPr>
              <w:spacing w:after="0" w:line="20" w:lineRule="exact"/>
              <w:rPr>
                <w:sz w:val="1"/>
                <w:szCs w:val="1"/>
                <w:color w:val="auto"/>
              </w:rPr>
            </w:pPr>
          </w:p>
        </w:tc>
        <w:tc>
          <w:tcPr>
            <w:tcW w:w="6500" w:type="dxa"/>
            <w:vAlign w:val="bottom"/>
            <w:gridSpan w:val="9"/>
          </w:tcPr>
          <w:p>
            <w:pPr>
              <w:spacing w:after="0" w:line="20" w:lineRule="exact"/>
              <w:rPr>
                <w:sz w:val="1"/>
                <w:szCs w:val="1"/>
                <w:color w:val="auto"/>
              </w:rPr>
            </w:pPr>
          </w:p>
        </w:tc>
        <w:tc>
          <w:tcPr>
            <w:tcW w:w="560" w:type="dxa"/>
            <w:vAlign w:val="bottom"/>
            <w:gridSpan w:val="9"/>
          </w:tcPr>
          <w:p>
            <w:pPr>
              <w:spacing w:after="0" w:line="20" w:lineRule="exact"/>
              <w:rPr>
                <w:sz w:val="1"/>
                <w:szCs w:val="1"/>
                <w:color w:val="auto"/>
              </w:rPr>
            </w:pPr>
          </w:p>
        </w:tc>
      </w:tr>
      <w:tr>
        <w:trPr>
          <w:trHeight w:val="210"/>
        </w:trPr>
        <w:tc>
          <w:tcPr>
            <w:tcW w:w="860" w:type="dxa"/>
            <w:vAlign w:val="bottom"/>
          </w:tcPr>
          <w:p>
            <w:pPr>
              <w:spacing w:after="0"/>
              <w:rPr>
                <w:sz w:val="20"/>
                <w:szCs w:val="20"/>
                <w:color w:val="auto"/>
              </w:rPr>
            </w:pPr>
            <w:r>
              <w:rPr>
                <w:rFonts w:ascii="Arial" w:cs="Arial" w:eastAsia="Arial" w:hAnsi="Arial"/>
                <w:sz w:val="18"/>
                <w:szCs w:val="18"/>
                <w:color w:val="auto"/>
              </w:rPr>
              <w:t>31.2</w:t>
            </w:r>
          </w:p>
        </w:tc>
        <w:tc>
          <w:tcPr>
            <w:tcW w:w="400" w:type="dxa"/>
            <w:vAlign w:val="bottom"/>
          </w:tcPr>
          <w:p>
            <w:pPr>
              <w:spacing w:after="0"/>
              <w:rPr>
                <w:sz w:val="18"/>
                <w:szCs w:val="18"/>
                <w:color w:val="auto"/>
              </w:rPr>
            </w:pPr>
          </w:p>
        </w:tc>
        <w:tc>
          <w:tcPr>
            <w:tcW w:w="9960" w:type="dxa"/>
            <w:vAlign w:val="bottom"/>
            <w:gridSpan w:val="19"/>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Certification of Chief Financial Officer pursuant to Rules 13(a)-14(a) and 15(d)-14(a) promulgated under the Securities</w:t>
              </w:r>
            </w:hyperlink>
          </w:p>
        </w:tc>
      </w:tr>
      <w:tr>
        <w:trPr>
          <w:trHeight w:val="155"/>
        </w:trPr>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400" w:type="dxa"/>
            <w:vAlign w:val="bottom"/>
            <w:tcBorders>
              <w:top w:val="single" w:sz="8" w:color="0000FF"/>
            </w:tcBorders>
            <w:gridSpan w:val="10"/>
          </w:tcPr>
          <w:p>
            <w:pPr>
              <w:spacing w:after="0" w:line="156" w:lineRule="exact"/>
              <w:rPr>
                <w:rFonts w:ascii="Arial" w:cs="Arial" w:eastAsia="Arial" w:hAnsi="Arial"/>
                <w:sz w:val="18"/>
                <w:szCs w:val="18"/>
                <w:color w:val="0000FF"/>
              </w:rPr>
            </w:pPr>
            <w:hyperlink w:anchor="page40">
              <w:r>
                <w:rPr>
                  <w:rFonts w:ascii="Arial" w:cs="Arial" w:eastAsia="Arial" w:hAnsi="Arial"/>
                  <w:sz w:val="18"/>
                  <w:szCs w:val="18"/>
                  <w:color w:val="0000FF"/>
                </w:rPr>
                <w:t>Exchange Act of 1934, as amended.</w:t>
              </w:r>
            </w:hyperlink>
          </w:p>
        </w:tc>
        <w:tc>
          <w:tcPr>
            <w:tcW w:w="560" w:type="dxa"/>
            <w:vAlign w:val="bottom"/>
            <w:gridSpan w:val="9"/>
          </w:tcPr>
          <w:p>
            <w:pPr>
              <w:spacing w:after="0"/>
              <w:rPr>
                <w:sz w:val="13"/>
                <w:szCs w:val="13"/>
                <w:color w:val="auto"/>
              </w:rPr>
            </w:pPr>
          </w:p>
        </w:tc>
      </w:tr>
      <w:tr>
        <w:trPr>
          <w:trHeight w:val="20"/>
        </w:trPr>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900" w:type="dxa"/>
            <w:vAlign w:val="bottom"/>
            <w:shd w:val="clear" w:color="auto" w:fill="0000FF"/>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40" w:lineRule="exact"/>
        <w:rPr>
          <w:sz w:val="20"/>
          <w:szCs w:val="20"/>
          <w:color w:val="auto"/>
        </w:rPr>
      </w:pPr>
    </w:p>
    <w:p>
      <w:pPr>
        <w:ind w:left="1280" w:hanging="1254"/>
        <w:spacing w:after="0"/>
        <w:tabs>
          <w:tab w:leader="none" w:pos="1280" w:val="left"/>
        </w:tabs>
        <w:numPr>
          <w:ilvl w:val="0"/>
          <w:numId w:val="39"/>
        </w:numPr>
        <w:rPr>
          <w:rFonts w:ascii="Arial" w:cs="Arial" w:eastAsia="Arial" w:hAnsi="Arial"/>
          <w:sz w:val="18"/>
          <w:szCs w:val="18"/>
          <w:u w:val="single" w:color="auto"/>
          <w:color w:val="0000FF"/>
        </w:rPr>
      </w:pPr>
      <w:hyperlink w:anchor="page41">
        <w:r>
          <w:rPr>
            <w:rFonts w:ascii="Arial" w:cs="Arial" w:eastAsia="Arial" w:hAnsi="Arial"/>
            <w:sz w:val="18"/>
            <w:szCs w:val="18"/>
            <w:u w:val="single" w:color="auto"/>
            <w:color w:val="0000FF"/>
          </w:rPr>
          <w:t>Certification pursuant to 18 U.S.C. Section 1350, as adopted pursuant to Section 906 of the Sarbanes-Oxley Act of 2002.</w:t>
        </w:r>
      </w:hyperlink>
    </w:p>
    <w:tbl>
      <w:tblPr>
        <w:tblLayout w:type="fixed"/>
        <w:tblInd w:w="20" w:type="dxa"/>
        <w:tblCellMar>
          <w:top w:w="0" w:type="dxa"/>
          <w:left w:w="0" w:type="dxa"/>
          <w:bottom w:w="0" w:type="dxa"/>
          <w:right w:w="0" w:type="dxa"/>
        </w:tblCellMar>
      </w:tblPr>
      <w:tr>
        <w:trPr>
          <w:trHeight w:val="198"/>
        </w:trPr>
        <w:tc>
          <w:tcPr>
            <w:tcW w:w="1000" w:type="dxa"/>
            <w:vAlign w:val="bottom"/>
          </w:tcPr>
          <w:p>
            <w:pPr>
              <w:spacing w:after="0" w:line="198" w:lineRule="exact"/>
              <w:rPr>
                <w:sz w:val="20"/>
                <w:szCs w:val="20"/>
                <w:color w:val="auto"/>
              </w:rPr>
            </w:pPr>
            <w:r>
              <w:rPr>
                <w:rFonts w:ascii="Arial" w:cs="Arial" w:eastAsia="Arial" w:hAnsi="Arial"/>
                <w:sz w:val="18"/>
                <w:szCs w:val="18"/>
                <w:color w:val="auto"/>
              </w:rPr>
              <w:t>101.INS</w:t>
            </w:r>
          </w:p>
        </w:tc>
        <w:tc>
          <w:tcPr>
            <w:tcW w:w="9980" w:type="dxa"/>
            <w:vAlign w:val="bottom"/>
          </w:tcPr>
          <w:p>
            <w:pPr>
              <w:ind w:left="260"/>
              <w:spacing w:after="0" w:line="198" w:lineRule="exact"/>
              <w:rPr>
                <w:sz w:val="20"/>
                <w:szCs w:val="20"/>
                <w:color w:val="auto"/>
              </w:rPr>
            </w:pPr>
            <w:r>
              <w:rPr>
                <w:rFonts w:ascii="Arial" w:cs="Arial" w:eastAsia="Arial" w:hAnsi="Arial"/>
                <w:sz w:val="18"/>
                <w:szCs w:val="18"/>
                <w:color w:val="auto"/>
                <w:w w:val="99"/>
              </w:rPr>
              <w:t>XBRL Instance Document - the instance document does not appear in the Interactive Data File because its XBRL tags are</w:t>
            </w:r>
          </w:p>
        </w:tc>
      </w:tr>
      <w:tr>
        <w:trPr>
          <w:trHeight w:val="217"/>
        </w:trPr>
        <w:tc>
          <w:tcPr>
            <w:tcW w:w="1000" w:type="dxa"/>
            <w:vAlign w:val="bottom"/>
          </w:tcPr>
          <w:p>
            <w:pPr>
              <w:spacing w:after="0"/>
              <w:rPr>
                <w:sz w:val="18"/>
                <w:szCs w:val="18"/>
                <w:color w:val="auto"/>
              </w:rPr>
            </w:pPr>
          </w:p>
        </w:tc>
        <w:tc>
          <w:tcPr>
            <w:tcW w:w="9980" w:type="dxa"/>
            <w:vAlign w:val="bottom"/>
          </w:tcPr>
          <w:p>
            <w:pPr>
              <w:ind w:left="260"/>
              <w:spacing w:after="0"/>
              <w:rPr>
                <w:sz w:val="20"/>
                <w:szCs w:val="20"/>
                <w:color w:val="auto"/>
              </w:rPr>
            </w:pPr>
            <w:r>
              <w:rPr>
                <w:rFonts w:ascii="Arial" w:cs="Arial" w:eastAsia="Arial" w:hAnsi="Arial"/>
                <w:sz w:val="18"/>
                <w:szCs w:val="18"/>
                <w:color w:val="auto"/>
              </w:rPr>
              <w:t>embedded within the Inline XBRL document.</w:t>
            </w:r>
          </w:p>
        </w:tc>
      </w:tr>
      <w:tr>
        <w:trPr>
          <w:trHeight w:val="229"/>
        </w:trPr>
        <w:tc>
          <w:tcPr>
            <w:tcW w:w="1000" w:type="dxa"/>
            <w:vAlign w:val="bottom"/>
          </w:tcPr>
          <w:p>
            <w:pPr>
              <w:spacing w:after="0"/>
              <w:rPr>
                <w:sz w:val="20"/>
                <w:szCs w:val="20"/>
                <w:color w:val="auto"/>
              </w:rPr>
            </w:pPr>
            <w:r>
              <w:rPr>
                <w:rFonts w:ascii="Arial" w:cs="Arial" w:eastAsia="Arial" w:hAnsi="Arial"/>
                <w:sz w:val="18"/>
                <w:szCs w:val="18"/>
                <w:color w:val="auto"/>
              </w:rPr>
              <w:t>101.SCH</w:t>
            </w:r>
          </w:p>
        </w:tc>
        <w:tc>
          <w:tcPr>
            <w:tcW w:w="9980" w:type="dxa"/>
            <w:vAlign w:val="bottom"/>
          </w:tcPr>
          <w:p>
            <w:pPr>
              <w:ind w:left="260"/>
              <w:spacing w:after="0"/>
              <w:rPr>
                <w:sz w:val="20"/>
                <w:szCs w:val="20"/>
                <w:color w:val="auto"/>
              </w:rPr>
            </w:pPr>
            <w:r>
              <w:rPr>
                <w:rFonts w:ascii="Arial" w:cs="Arial" w:eastAsia="Arial" w:hAnsi="Arial"/>
                <w:sz w:val="18"/>
                <w:szCs w:val="18"/>
                <w:color w:val="auto"/>
              </w:rPr>
              <w:t>XBRL Taxonomy Extension Schema.</w:t>
            </w:r>
          </w:p>
        </w:tc>
      </w:tr>
      <w:tr>
        <w:trPr>
          <w:trHeight w:val="229"/>
        </w:trPr>
        <w:tc>
          <w:tcPr>
            <w:tcW w:w="1000" w:type="dxa"/>
            <w:vAlign w:val="bottom"/>
          </w:tcPr>
          <w:p>
            <w:pPr>
              <w:spacing w:after="0"/>
              <w:rPr>
                <w:sz w:val="20"/>
                <w:szCs w:val="20"/>
                <w:color w:val="auto"/>
              </w:rPr>
            </w:pPr>
            <w:r>
              <w:rPr>
                <w:rFonts w:ascii="Arial" w:cs="Arial" w:eastAsia="Arial" w:hAnsi="Arial"/>
                <w:sz w:val="18"/>
                <w:szCs w:val="18"/>
                <w:color w:val="auto"/>
              </w:rPr>
              <w:t>101.CAL</w:t>
            </w:r>
          </w:p>
        </w:tc>
        <w:tc>
          <w:tcPr>
            <w:tcW w:w="9980" w:type="dxa"/>
            <w:vAlign w:val="bottom"/>
          </w:tcPr>
          <w:p>
            <w:pPr>
              <w:ind w:left="260"/>
              <w:spacing w:after="0"/>
              <w:rPr>
                <w:sz w:val="20"/>
                <w:szCs w:val="20"/>
                <w:color w:val="auto"/>
              </w:rPr>
            </w:pPr>
            <w:r>
              <w:rPr>
                <w:rFonts w:ascii="Arial" w:cs="Arial" w:eastAsia="Arial" w:hAnsi="Arial"/>
                <w:sz w:val="18"/>
                <w:szCs w:val="18"/>
                <w:color w:val="auto"/>
              </w:rPr>
              <w:t>XBRL Taxonomy Extension Calculation Linkbase.</w:t>
            </w:r>
          </w:p>
        </w:tc>
      </w:tr>
      <w:tr>
        <w:trPr>
          <w:trHeight w:val="230"/>
        </w:trPr>
        <w:tc>
          <w:tcPr>
            <w:tcW w:w="1000" w:type="dxa"/>
            <w:vAlign w:val="bottom"/>
          </w:tcPr>
          <w:p>
            <w:pPr>
              <w:spacing w:after="0"/>
              <w:rPr>
                <w:sz w:val="20"/>
                <w:szCs w:val="20"/>
                <w:color w:val="auto"/>
              </w:rPr>
            </w:pPr>
            <w:r>
              <w:rPr>
                <w:rFonts w:ascii="Arial" w:cs="Arial" w:eastAsia="Arial" w:hAnsi="Arial"/>
                <w:sz w:val="18"/>
                <w:szCs w:val="18"/>
                <w:color w:val="auto"/>
              </w:rPr>
              <w:t>101.DEF</w:t>
            </w:r>
          </w:p>
        </w:tc>
        <w:tc>
          <w:tcPr>
            <w:tcW w:w="9980" w:type="dxa"/>
            <w:vAlign w:val="bottom"/>
          </w:tcPr>
          <w:p>
            <w:pPr>
              <w:ind w:left="260"/>
              <w:spacing w:after="0"/>
              <w:rPr>
                <w:sz w:val="20"/>
                <w:szCs w:val="20"/>
                <w:color w:val="auto"/>
              </w:rPr>
            </w:pPr>
            <w:r>
              <w:rPr>
                <w:rFonts w:ascii="Arial" w:cs="Arial" w:eastAsia="Arial" w:hAnsi="Arial"/>
                <w:sz w:val="18"/>
                <w:szCs w:val="18"/>
                <w:color w:val="auto"/>
              </w:rPr>
              <w:t>XBRL Taxonomy Extension Definition Linkbase.</w:t>
            </w:r>
          </w:p>
        </w:tc>
      </w:tr>
      <w:tr>
        <w:trPr>
          <w:trHeight w:val="229"/>
        </w:trPr>
        <w:tc>
          <w:tcPr>
            <w:tcW w:w="1000" w:type="dxa"/>
            <w:vAlign w:val="bottom"/>
          </w:tcPr>
          <w:p>
            <w:pPr>
              <w:spacing w:after="0"/>
              <w:rPr>
                <w:sz w:val="20"/>
                <w:szCs w:val="20"/>
                <w:color w:val="auto"/>
              </w:rPr>
            </w:pPr>
            <w:r>
              <w:rPr>
                <w:rFonts w:ascii="Arial" w:cs="Arial" w:eastAsia="Arial" w:hAnsi="Arial"/>
                <w:sz w:val="18"/>
                <w:szCs w:val="18"/>
                <w:color w:val="auto"/>
              </w:rPr>
              <w:t>101.LAB</w:t>
            </w:r>
          </w:p>
        </w:tc>
        <w:tc>
          <w:tcPr>
            <w:tcW w:w="9980" w:type="dxa"/>
            <w:vAlign w:val="bottom"/>
          </w:tcPr>
          <w:p>
            <w:pPr>
              <w:ind w:left="260"/>
              <w:spacing w:after="0"/>
              <w:rPr>
                <w:sz w:val="20"/>
                <w:szCs w:val="20"/>
                <w:color w:val="auto"/>
              </w:rPr>
            </w:pPr>
            <w:r>
              <w:rPr>
                <w:rFonts w:ascii="Arial" w:cs="Arial" w:eastAsia="Arial" w:hAnsi="Arial"/>
                <w:sz w:val="18"/>
                <w:szCs w:val="18"/>
                <w:color w:val="auto"/>
              </w:rPr>
              <w:t>XBRL Taxonomy Extension Label Linkbase.</w:t>
            </w:r>
          </w:p>
        </w:tc>
      </w:tr>
      <w:tr>
        <w:trPr>
          <w:trHeight w:val="230"/>
        </w:trPr>
        <w:tc>
          <w:tcPr>
            <w:tcW w:w="1000" w:type="dxa"/>
            <w:vAlign w:val="bottom"/>
          </w:tcPr>
          <w:p>
            <w:pPr>
              <w:spacing w:after="0"/>
              <w:rPr>
                <w:sz w:val="20"/>
                <w:szCs w:val="20"/>
                <w:color w:val="auto"/>
              </w:rPr>
            </w:pPr>
            <w:r>
              <w:rPr>
                <w:rFonts w:ascii="Arial" w:cs="Arial" w:eastAsia="Arial" w:hAnsi="Arial"/>
                <w:sz w:val="18"/>
                <w:szCs w:val="18"/>
                <w:color w:val="auto"/>
              </w:rPr>
              <w:t>101.PRE</w:t>
            </w:r>
          </w:p>
        </w:tc>
        <w:tc>
          <w:tcPr>
            <w:tcW w:w="9980" w:type="dxa"/>
            <w:vAlign w:val="bottom"/>
          </w:tcPr>
          <w:p>
            <w:pPr>
              <w:ind w:left="260"/>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13" w:lineRule="exact"/>
        <w:rPr>
          <w:sz w:val="20"/>
          <w:szCs w:val="20"/>
          <w:color w:val="auto"/>
        </w:rPr>
      </w:pPr>
    </w:p>
    <w:p>
      <w:pPr>
        <w:ind w:left="1280" w:hanging="1254"/>
        <w:spacing w:after="0"/>
        <w:tabs>
          <w:tab w:leader="none" w:pos="12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Cover Page Interactive Data File - (formatted as Inline XBRL and contained in Exhibit 101)</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11" w:lineRule="exact"/>
        <w:rPr>
          <w:rFonts w:ascii="Arial" w:cs="Arial" w:eastAsia="Arial" w:hAnsi="Arial"/>
          <w:sz w:val="18"/>
          <w:szCs w:val="18"/>
          <w:color w:val="auto"/>
        </w:rPr>
      </w:pPr>
    </w:p>
    <w:p>
      <w:pPr>
        <w:ind w:left="5520"/>
        <w:spacing w:after="0"/>
        <w:rPr>
          <w:rFonts w:ascii="Arial" w:cs="Arial" w:eastAsia="Arial" w:hAnsi="Arial"/>
          <w:sz w:val="18"/>
          <w:szCs w:val="18"/>
          <w:color w:val="auto"/>
        </w:rPr>
      </w:pPr>
      <w:r>
        <w:rPr>
          <w:rFonts w:ascii="Arial" w:cs="Arial" w:eastAsia="Arial" w:hAnsi="Arial"/>
          <w:sz w:val="18"/>
          <w:szCs w:val="18"/>
          <w:color w:val="auto"/>
        </w:rPr>
        <w:t>36</w:t>
      </w:r>
    </w:p>
    <w:p>
      <w:pPr>
        <w:sectPr>
          <w:pgSz w:w="11900" w:h="16838" w:orient="portrait"/>
          <w:cols w:equalWidth="0" w:num="1">
            <w:col w:w="11220"/>
          </w:cols>
          <w:pgMar w:left="320" w:top="140" w:right="35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color w:val="auto"/>
        </w:rPr>
        <w:t>I, Joseph A. Ferraro, certify that:</w:t>
      </w:r>
    </w:p>
    <w:p>
      <w:pPr>
        <w:spacing w:after="0" w:line="90" w:lineRule="exact"/>
        <w:rPr>
          <w:sz w:val="20"/>
          <w:szCs w:val="20"/>
          <w:color w:val="auto"/>
        </w:rPr>
      </w:pPr>
    </w:p>
    <w:p>
      <w:pPr>
        <w:ind w:left="640" w:hanging="308"/>
        <w:spacing w:after="0"/>
        <w:tabs>
          <w:tab w:leader="none" w:pos="6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Avis Budget Group, Inc.;</w:t>
      </w:r>
    </w:p>
    <w:p>
      <w:pPr>
        <w:spacing w:after="0" w:line="103" w:lineRule="exact"/>
        <w:rPr>
          <w:rFonts w:ascii="Arial" w:cs="Arial" w:eastAsia="Arial" w:hAnsi="Arial"/>
          <w:sz w:val="18"/>
          <w:szCs w:val="18"/>
          <w:color w:val="auto"/>
        </w:rPr>
      </w:pPr>
    </w:p>
    <w:p>
      <w:pPr>
        <w:ind w:left="660" w:right="80" w:hanging="328"/>
        <w:spacing w:after="0" w:line="256" w:lineRule="auto"/>
        <w:tabs>
          <w:tab w:leader="none" w:pos="648"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0" w:lineRule="exact"/>
        <w:rPr>
          <w:rFonts w:ascii="Arial" w:cs="Arial" w:eastAsia="Arial" w:hAnsi="Arial"/>
          <w:sz w:val="18"/>
          <w:szCs w:val="18"/>
          <w:color w:val="auto"/>
        </w:rPr>
      </w:pPr>
    </w:p>
    <w:p>
      <w:pPr>
        <w:ind w:left="660" w:right="140" w:hanging="328"/>
        <w:spacing w:after="0" w:line="256" w:lineRule="auto"/>
        <w:tabs>
          <w:tab w:leader="none" w:pos="648"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6" w:lineRule="exact"/>
        <w:rPr>
          <w:rFonts w:ascii="Arial" w:cs="Arial" w:eastAsia="Arial" w:hAnsi="Arial"/>
          <w:sz w:val="18"/>
          <w:szCs w:val="18"/>
          <w:color w:val="auto"/>
        </w:rPr>
      </w:pPr>
    </w:p>
    <w:p>
      <w:pPr>
        <w:ind w:left="660" w:right="140" w:hanging="328"/>
        <w:spacing w:after="0" w:line="256" w:lineRule="auto"/>
        <w:tabs>
          <w:tab w:leader="none" w:pos="648"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0" w:lineRule="exact"/>
        <w:rPr>
          <w:rFonts w:ascii="Arial" w:cs="Arial" w:eastAsia="Arial" w:hAnsi="Arial"/>
          <w:sz w:val="18"/>
          <w:szCs w:val="18"/>
          <w:color w:val="auto"/>
        </w:rPr>
      </w:pPr>
    </w:p>
    <w:p>
      <w:pPr>
        <w:ind w:left="1300" w:hanging="320"/>
        <w:spacing w:after="0" w:line="256" w:lineRule="auto"/>
        <w:tabs>
          <w:tab w:leader="none" w:pos="1298"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0" w:lineRule="exact"/>
        <w:rPr>
          <w:rFonts w:ascii="Arial" w:cs="Arial" w:eastAsia="Arial" w:hAnsi="Arial"/>
          <w:sz w:val="18"/>
          <w:szCs w:val="18"/>
          <w:color w:val="auto"/>
        </w:rPr>
      </w:pPr>
    </w:p>
    <w:p>
      <w:pPr>
        <w:ind w:left="1300" w:right="540" w:hanging="320"/>
        <w:spacing w:after="0" w:line="278" w:lineRule="auto"/>
        <w:tabs>
          <w:tab w:leader="none" w:pos="1298" w:val="left"/>
        </w:tabs>
        <w:numPr>
          <w:ilvl w:val="1"/>
          <w:numId w:val="4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9" w:lineRule="exact"/>
        <w:rPr>
          <w:rFonts w:ascii="Arial" w:cs="Arial" w:eastAsia="Arial" w:hAnsi="Arial"/>
          <w:sz w:val="17"/>
          <w:szCs w:val="17"/>
          <w:color w:val="auto"/>
        </w:rPr>
      </w:pPr>
    </w:p>
    <w:p>
      <w:pPr>
        <w:ind w:left="1300" w:right="300" w:hanging="320"/>
        <w:spacing w:after="0" w:line="256" w:lineRule="auto"/>
        <w:tabs>
          <w:tab w:leader="none" w:pos="1288" w:val="left"/>
        </w:tabs>
        <w:numPr>
          <w:ilvl w:val="1"/>
          <w:numId w:val="4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0" w:lineRule="exact"/>
        <w:rPr>
          <w:rFonts w:ascii="Arial" w:cs="Arial" w:eastAsia="Arial" w:hAnsi="Arial"/>
          <w:sz w:val="18"/>
          <w:szCs w:val="18"/>
          <w:color w:val="auto"/>
        </w:rPr>
      </w:pPr>
    </w:p>
    <w:p>
      <w:pPr>
        <w:ind w:left="1300" w:right="60" w:hanging="320"/>
        <w:spacing w:after="0" w:line="256" w:lineRule="auto"/>
        <w:tabs>
          <w:tab w:leader="none" w:pos="1298" w:val="left"/>
        </w:tabs>
        <w:numPr>
          <w:ilvl w:val="1"/>
          <w:numId w:val="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0" w:lineRule="exact"/>
        <w:rPr>
          <w:rFonts w:ascii="Arial" w:cs="Arial" w:eastAsia="Arial" w:hAnsi="Arial"/>
          <w:sz w:val="18"/>
          <w:szCs w:val="18"/>
          <w:color w:val="auto"/>
        </w:rPr>
      </w:pPr>
    </w:p>
    <w:p>
      <w:pPr>
        <w:ind w:left="660" w:right="360" w:hanging="328"/>
        <w:spacing w:after="0" w:line="256" w:lineRule="auto"/>
        <w:tabs>
          <w:tab w:leader="none" w:pos="648"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6" w:lineRule="exact"/>
        <w:rPr>
          <w:rFonts w:ascii="Arial" w:cs="Arial" w:eastAsia="Arial" w:hAnsi="Arial"/>
          <w:sz w:val="18"/>
          <w:szCs w:val="18"/>
          <w:color w:val="auto"/>
        </w:rPr>
      </w:pPr>
    </w:p>
    <w:p>
      <w:pPr>
        <w:jc w:val="both"/>
        <w:ind w:left="1300" w:right="440" w:hanging="320"/>
        <w:spacing w:after="0" w:line="256" w:lineRule="auto"/>
        <w:tabs>
          <w:tab w:leader="none" w:pos="1298" w:val="left"/>
        </w:tabs>
        <w:numPr>
          <w:ilvl w:val="1"/>
          <w:numId w:val="4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0" w:lineRule="exact"/>
        <w:rPr>
          <w:rFonts w:ascii="Arial" w:cs="Arial" w:eastAsia="Arial" w:hAnsi="Arial"/>
          <w:sz w:val="18"/>
          <w:szCs w:val="18"/>
          <w:color w:val="auto"/>
        </w:rPr>
      </w:pPr>
    </w:p>
    <w:p>
      <w:pPr>
        <w:ind w:left="1300" w:right="780" w:hanging="320"/>
        <w:spacing w:after="0" w:line="261" w:lineRule="auto"/>
        <w:tabs>
          <w:tab w:leader="none" w:pos="1298"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Date: May 4, 2021</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Joseph A. Ferraro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2139315</wp:posOffset>
            </wp:positionH>
            <wp:positionV relativeFrom="paragraph">
              <wp:posOffset>6350</wp:posOffset>
            </wp:positionV>
            <wp:extent cx="286321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2">
                      <a:extLst>
                        <a:ext uri="{28A0092B-C50C-407E-A947-70E740481C1C}"/>
                      </a:extLst>
                    </a:blip>
                    <a:srcRect/>
                    <a:stretch>
                      <a:fillRect/>
                    </a:stretch>
                  </pic:blipFill>
                  <pic:spPr bwMode="auto">
                    <a:xfrm>
                      <a:off x="0" y="0"/>
                      <a:ext cx="2863215" cy="8890"/>
                    </a:xfrm>
                    <a:prstGeom prst="rect">
                      <a:avLst/>
                    </a:prstGeom>
                    <a:noFill/>
                  </pic:spPr>
                </pic:pic>
              </a:graphicData>
            </a:graphic>
          </wp:anchor>
        </w:drawing>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886"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Brian Choi, certify that:</w:t>
      </w:r>
    </w:p>
    <w:p>
      <w:pPr>
        <w:spacing w:after="0" w:line="171" w:lineRule="exact"/>
        <w:rPr>
          <w:sz w:val="20"/>
          <w:szCs w:val="20"/>
          <w:color w:val="auto"/>
        </w:rPr>
      </w:pPr>
    </w:p>
    <w:p>
      <w:pPr>
        <w:ind w:left="640" w:hanging="308"/>
        <w:spacing w:after="0"/>
        <w:tabs>
          <w:tab w:leader="none" w:pos="6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Avis Budget Group, Inc.;</w:t>
      </w:r>
    </w:p>
    <w:p>
      <w:pPr>
        <w:spacing w:after="0" w:line="171" w:lineRule="exact"/>
        <w:rPr>
          <w:rFonts w:ascii="Arial" w:cs="Arial" w:eastAsia="Arial" w:hAnsi="Arial"/>
          <w:sz w:val="18"/>
          <w:szCs w:val="18"/>
          <w:color w:val="auto"/>
        </w:rPr>
      </w:pPr>
    </w:p>
    <w:p>
      <w:pPr>
        <w:ind w:left="660" w:right="80" w:hanging="328"/>
        <w:spacing w:after="0" w:line="256" w:lineRule="auto"/>
        <w:tabs>
          <w:tab w:leader="none" w:pos="648"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ind w:left="660" w:right="140" w:hanging="328"/>
        <w:spacing w:after="0" w:line="256" w:lineRule="auto"/>
        <w:tabs>
          <w:tab w:leader="none" w:pos="648"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Arial" w:cs="Arial" w:eastAsia="Arial" w:hAnsi="Arial"/>
          <w:sz w:val="18"/>
          <w:szCs w:val="18"/>
          <w:color w:val="auto"/>
        </w:rPr>
      </w:pPr>
    </w:p>
    <w:p>
      <w:pPr>
        <w:ind w:left="660" w:right="140" w:hanging="328"/>
        <w:spacing w:after="0" w:line="256" w:lineRule="auto"/>
        <w:tabs>
          <w:tab w:leader="none" w:pos="648"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8"/>
          <w:szCs w:val="18"/>
          <w:color w:val="auto"/>
        </w:rPr>
      </w:pPr>
    </w:p>
    <w:p>
      <w:pPr>
        <w:ind w:left="1300" w:hanging="320"/>
        <w:spacing w:after="0" w:line="256" w:lineRule="auto"/>
        <w:tabs>
          <w:tab w:leader="none" w:pos="1298"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ind w:left="1300" w:right="540" w:hanging="320"/>
        <w:spacing w:after="0" w:line="278" w:lineRule="auto"/>
        <w:tabs>
          <w:tab w:leader="none" w:pos="1298" w:val="left"/>
        </w:tabs>
        <w:numPr>
          <w:ilvl w:val="1"/>
          <w:numId w:val="4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0" w:lineRule="exact"/>
        <w:rPr>
          <w:rFonts w:ascii="Arial" w:cs="Arial" w:eastAsia="Arial" w:hAnsi="Arial"/>
          <w:sz w:val="17"/>
          <w:szCs w:val="17"/>
          <w:color w:val="auto"/>
        </w:rPr>
      </w:pPr>
    </w:p>
    <w:p>
      <w:pPr>
        <w:ind w:left="1300" w:right="300" w:hanging="320"/>
        <w:spacing w:after="0" w:line="256" w:lineRule="auto"/>
        <w:tabs>
          <w:tab w:leader="none" w:pos="1288" w:val="left"/>
        </w:tabs>
        <w:numPr>
          <w:ilvl w:val="1"/>
          <w:numId w:val="4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8"/>
          <w:szCs w:val="18"/>
          <w:color w:val="auto"/>
        </w:rPr>
      </w:pPr>
    </w:p>
    <w:p>
      <w:pPr>
        <w:ind w:left="1300" w:right="60" w:hanging="320"/>
        <w:spacing w:after="0" w:line="256" w:lineRule="auto"/>
        <w:tabs>
          <w:tab w:leader="none" w:pos="1298" w:val="left"/>
        </w:tabs>
        <w:numPr>
          <w:ilvl w:val="1"/>
          <w:numId w:val="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8"/>
          <w:szCs w:val="18"/>
          <w:color w:val="auto"/>
        </w:rPr>
      </w:pPr>
    </w:p>
    <w:p>
      <w:pPr>
        <w:ind w:left="660" w:right="360" w:hanging="328"/>
        <w:spacing w:after="0" w:line="256" w:lineRule="auto"/>
        <w:tabs>
          <w:tab w:leader="none" w:pos="648"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8"/>
          <w:szCs w:val="18"/>
          <w:color w:val="auto"/>
        </w:rPr>
      </w:pPr>
    </w:p>
    <w:p>
      <w:pPr>
        <w:jc w:val="both"/>
        <w:ind w:left="1300" w:right="440" w:hanging="320"/>
        <w:spacing w:after="0" w:line="256" w:lineRule="auto"/>
        <w:tabs>
          <w:tab w:leader="none" w:pos="1298" w:val="left"/>
        </w:tabs>
        <w:numPr>
          <w:ilvl w:val="1"/>
          <w:numId w:val="4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8"/>
          <w:szCs w:val="18"/>
          <w:color w:val="auto"/>
        </w:rPr>
      </w:pPr>
    </w:p>
    <w:p>
      <w:pPr>
        <w:ind w:left="1300" w:right="780" w:hanging="320"/>
        <w:spacing w:after="0" w:line="261" w:lineRule="auto"/>
        <w:tabs>
          <w:tab w:leader="none" w:pos="1298"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Date: May 4, 2021</w:t>
      </w:r>
    </w:p>
    <w:p>
      <w:pPr>
        <w:spacing w:after="0" w:line="266" w:lineRule="exact"/>
        <w:rPr>
          <w:sz w:val="20"/>
          <w:szCs w:val="20"/>
          <w:color w:val="auto"/>
        </w:rPr>
      </w:pPr>
    </w:p>
    <w:p>
      <w:pPr>
        <w:jc w:val="center"/>
        <w:ind w:right="-19"/>
        <w:spacing w:after="0"/>
        <w:tabs>
          <w:tab w:leader="none" w:pos="1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Brian Choi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1487805</wp:posOffset>
            </wp:positionH>
            <wp:positionV relativeFrom="paragraph">
              <wp:posOffset>6350</wp:posOffset>
            </wp:positionV>
            <wp:extent cx="416623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3">
                      <a:extLst>
                        <a:ext uri="{28A0092B-C50C-407E-A947-70E740481C1C}"/>
                      </a:extLst>
                    </a:blip>
                    <a:srcRect/>
                    <a:stretch>
                      <a:fillRect/>
                    </a:stretch>
                  </pic:blipFill>
                  <pic:spPr bwMode="auto">
                    <a:xfrm>
                      <a:off x="0" y="0"/>
                      <a:ext cx="4166235" cy="8890"/>
                    </a:xfrm>
                    <a:prstGeom prst="rect">
                      <a:avLst/>
                    </a:prstGeom>
                    <a:noFill/>
                  </pic:spPr>
                </pic:pic>
              </a:graphicData>
            </a:graphic>
          </wp:anchor>
        </w:drawing>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240"/>
          </w:cols>
          <w:pgMar w:left="320" w:top="886"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In connection with the Quarterly Report of Avis Budget Group, Inc. (the “Company”) on Form 10-Q for the period ended March 31, 2021, as filed with the Securities and Exchange Commission on the date hereof (the “Report”), Joseph A. Ferraro, as Chief Executive Officer of the Company, and Brian Choi, as Chief Financial Officer of the Company, each hereby certifies, pursuant to 18 U.S.C. Section 1350, as adopted pursuant to Section 906 of the Sarbanes-Oxley Act of 2002, that, to the best of his knowledge:</w:t>
      </w:r>
    </w:p>
    <w:p>
      <w:pPr>
        <w:spacing w:after="0" w:line="150" w:lineRule="exact"/>
        <w:rPr>
          <w:sz w:val="20"/>
          <w:szCs w:val="20"/>
          <w:color w:val="auto"/>
        </w:rPr>
      </w:pPr>
    </w:p>
    <w:p>
      <w:pPr>
        <w:ind w:left="640" w:hanging="308"/>
        <w:spacing w:after="0"/>
        <w:tabs>
          <w:tab w:leader="none" w:pos="6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660" w:right="20" w:hanging="328"/>
        <w:spacing w:after="0" w:line="261" w:lineRule="auto"/>
        <w:tabs>
          <w:tab w:leader="none" w:pos="65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27"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/s/ JOSEPH A. FERRARO</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Joseph A. Ferraro</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May 4, 2021</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/s/ BRIAN CHOI</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Brian Choi</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Executive Vice President and Chief Financial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May 4, 2021</w:t>
      </w:r>
    </w:p>
    <w:sectPr>
      <w:pgSz w:w="11900" w:h="16838" w:orient="portrait"/>
      <w:cols w:equalWidth="0" w:num="1">
        <w:col w:w="11240"/>
      </w:cols>
      <w:pgMar w:left="320" w:top="88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1."/>
      <w:numFmt w:val="decimal"/>
      <w:start w:val="1"/>
    </w:lvl>
  </w:abstractNum>
  <w:abstractNum w:abstractNumId="3">
    <w:nsid w:val="6763845E"/>
    <w:multiLevelType w:val="hybridMultilevel"/>
    <w:lvl w:ilvl="0">
      <w:lvlJc w:val="left"/>
      <w:lvlText w:val="•"/>
      <w:numFmt w:val="bullet"/>
      <w:start w:val="1"/>
    </w:lvl>
  </w:abstractNum>
  <w:abstractNum w:abstractNumId="4">
    <w:nsid w:val="75A2A8D4"/>
    <w:multiLevelType w:val="hybridMultilevel"/>
    <w:lvl w:ilvl="0">
      <w:lvlJc w:val="left"/>
      <w:lvlText w:val="(%1)"/>
      <w:numFmt w:val="lowerLetter"/>
      <w:start w:val="1"/>
    </w:lvl>
  </w:abstractNum>
  <w:abstractNum w:abstractNumId="5">
    <w:nsid w:val="8EDBDAB"/>
    <w:multiLevelType w:val="hybridMultilevel"/>
    <w:lvl w:ilvl="0">
      <w:lvlJc w:val="left"/>
      <w:lvlText w:val="%1."/>
      <w:numFmt w:val="decimal"/>
      <w:start w:val="2"/>
    </w:lvl>
  </w:abstractNum>
  <w:abstractNum w:abstractNumId="6">
    <w:nsid w:val="79838CB2"/>
    <w:multiLevelType w:val="hybridMultilevel"/>
    <w:lvl w:ilvl="0">
      <w:lvlJc w:val="left"/>
      <w:lvlText w:val="(%1)"/>
      <w:numFmt w:val="lowerLetter"/>
      <w:start w:val="1"/>
    </w:lvl>
  </w:abstractNum>
  <w:abstractNum w:abstractNumId="7">
    <w:nsid w:val="4353D0CD"/>
    <w:multiLevelType w:val="hybridMultilevel"/>
    <w:lvl w:ilvl="0">
      <w:lvlJc w:val="left"/>
      <w:lvlText w:val="(%1)"/>
      <w:numFmt w:val="lowerLetter"/>
      <w:start w:val="1"/>
    </w:lvl>
  </w:abstractNum>
  <w:abstractNum w:abstractNumId="8">
    <w:nsid w:val="B03E0C6"/>
    <w:multiLevelType w:val="hybridMultilevel"/>
    <w:lvl w:ilvl="0">
      <w:lvlJc w:val="left"/>
      <w:lvlText w:val="%1."/>
      <w:numFmt w:val="decimal"/>
      <w:start w:val="3"/>
    </w:lvl>
  </w:abstractNum>
  <w:abstractNum w:abstractNumId="9">
    <w:nsid w:val="189A769B"/>
    <w:multiLevelType w:val="hybridMultilevel"/>
    <w:lvl w:ilvl="0">
      <w:lvlJc w:val="left"/>
      <w:lvlText w:val="(%1)"/>
      <w:numFmt w:val="lowerLetter"/>
      <w:start w:val="1"/>
    </w:lvl>
  </w:abstractNum>
  <w:abstractNum w:abstractNumId="10">
    <w:nsid w:val="54E49EB4"/>
    <w:multiLevelType w:val="hybridMultilevel"/>
    <w:lvl w:ilvl="0">
      <w:lvlJc w:val="left"/>
      <w:lvlText w:val="%1."/>
      <w:numFmt w:val="decimal"/>
      <w:start w:val="4"/>
    </w:lvl>
  </w:abstractNum>
  <w:abstractNum w:abstractNumId="11">
    <w:nsid w:val="71F32454"/>
    <w:multiLevelType w:val="hybridMultilevel"/>
    <w:lvl w:ilvl="0">
      <w:lvlJc w:val="left"/>
      <w:lvlText w:val="%1"/>
      <w:numFmt w:val="decimal"/>
      <w:start w:val="1"/>
    </w:lvl>
    <w:lvl w:ilvl="1">
      <w:lvlJc w:val="left"/>
      <w:lvlText w:val="(%2)"/>
      <w:numFmt w:val="lowerLetter"/>
      <w:start w:val="1"/>
    </w:lvl>
  </w:abstractNum>
  <w:abstractNum w:abstractNumId="12">
    <w:nsid w:val="2CA88611"/>
    <w:multiLevelType w:val="hybridMultilevel"/>
    <w:lvl w:ilvl="0">
      <w:lvlJc w:val="left"/>
      <w:lvlText w:val="%1."/>
      <w:numFmt w:val="decimal"/>
      <w:start w:val="5"/>
    </w:lvl>
    <w:lvl w:ilvl="1">
      <w:lvlJc w:val="left"/>
      <w:lvlText w:val="%2"/>
      <w:numFmt w:val="lowerLetter"/>
      <w:start w:val="1"/>
    </w:lvl>
  </w:abstractNum>
  <w:abstractNum w:abstractNumId="13">
    <w:nsid w:val="836C40E"/>
    <w:multiLevelType w:val="hybridMultilevel"/>
    <w:lvl w:ilvl="0">
      <w:lvlJc w:val="left"/>
      <w:lvlText w:val="%1."/>
      <w:numFmt w:val="decimal"/>
      <w:start w:val="7"/>
    </w:lvl>
    <w:lvl w:ilvl="1">
      <w:lvlJc w:val="left"/>
      <w:lvlText w:val="-"/>
      <w:numFmt w:val="bullet"/>
      <w:start w:val="1"/>
    </w:lvl>
  </w:abstractNum>
  <w:abstractNum w:abstractNumId="14">
    <w:nsid w:val="2901D82"/>
    <w:multiLevelType w:val="hybridMultilevel"/>
    <w:lvl w:ilvl="0">
      <w:lvlJc w:val="left"/>
      <w:lvlText w:val="(%1)"/>
      <w:numFmt w:val="lowerLetter"/>
      <w:start w:val="1"/>
    </w:lvl>
  </w:abstractNum>
  <w:abstractNum w:abstractNumId="15">
    <w:nsid w:val="3A95F874"/>
    <w:multiLevelType w:val="hybridMultilevel"/>
    <w:lvl w:ilvl="0">
      <w:lvlJc w:val="left"/>
      <w:lvlText w:val="(%1)"/>
      <w:numFmt w:val="lowerLetter"/>
      <w:start w:val="1"/>
    </w:lvl>
  </w:abstractNum>
  <w:abstractNum w:abstractNumId="16">
    <w:nsid w:val="8138641"/>
    <w:multiLevelType w:val="hybridMultilevel"/>
    <w:lvl w:ilvl="0">
      <w:lvlJc w:val="left"/>
      <w:lvlText w:val="%1."/>
      <w:numFmt w:val="decimal"/>
      <w:start w:val="11"/>
    </w:lvl>
  </w:abstractNum>
  <w:abstractNum w:abstractNumId="17">
    <w:nsid w:val="1E7FF521"/>
    <w:multiLevelType w:val="hybridMultilevel"/>
    <w:lvl w:ilvl="0">
      <w:lvlJc w:val="left"/>
      <w:lvlText w:val="(%1)"/>
      <w:numFmt w:val="lowerLetter"/>
      <w:start w:val="1"/>
    </w:lvl>
  </w:abstractNum>
  <w:abstractNum w:abstractNumId="18">
    <w:nsid w:val="7C3DBD3D"/>
    <w:multiLevelType w:val="hybridMultilevel"/>
    <w:lvl w:ilvl="0">
      <w:lvlJc w:val="left"/>
      <w:lvlText w:val="(%1)"/>
      <w:numFmt w:val="lowerLetter"/>
      <w:start w:val="1"/>
    </w:lvl>
  </w:abstractNum>
  <w:abstractNum w:abstractNumId="19">
    <w:nsid w:val="737B8DDC"/>
    <w:multiLevelType w:val="hybridMultilevel"/>
    <w:lvl w:ilvl="0">
      <w:lvlJc w:val="left"/>
      <w:lvlText w:val="$"/>
      <w:numFmt w:val="bullet"/>
      <w:start w:val="1"/>
    </w:lvl>
  </w:abstractNum>
  <w:abstractNum w:abstractNumId="20">
    <w:nsid w:val="6CEAF087"/>
    <w:multiLevelType w:val="hybridMultilevel"/>
    <w:lvl w:ilvl="0">
      <w:lvlJc w:val="left"/>
      <w:lvlText w:val="$"/>
      <w:numFmt w:val="bullet"/>
      <w:start w:val="1"/>
    </w:lvl>
  </w:abstractNum>
  <w:abstractNum w:abstractNumId="21">
    <w:nsid w:val="22221A70"/>
    <w:multiLevelType w:val="hybridMultilevel"/>
    <w:lvl w:ilvl="0">
      <w:lvlJc w:val="left"/>
      <w:lvlText w:val="(%1)"/>
      <w:numFmt w:val="lowerLetter"/>
      <w:start w:val="1"/>
    </w:lvl>
  </w:abstractNum>
  <w:abstractNum w:abstractNumId="22">
    <w:nsid w:val="4516DDE9"/>
    <w:multiLevelType w:val="hybridMultilevel"/>
    <w:lvl w:ilvl="0">
      <w:lvlJc w:val="left"/>
      <w:lvlText w:val="%1."/>
      <w:numFmt w:val="decimal"/>
      <w:start w:val="12"/>
    </w:lvl>
  </w:abstractNum>
  <w:abstractNum w:abstractNumId="23">
    <w:nsid w:val="3006C83E"/>
    <w:multiLevelType w:val="hybridMultilevel"/>
    <w:lvl w:ilvl="0">
      <w:lvlJc w:val="left"/>
      <w:lvlText w:val="%1."/>
      <w:numFmt w:val="decimal"/>
      <w:start w:val="13"/>
    </w:lvl>
  </w:abstractNum>
  <w:abstractNum w:abstractNumId="24">
    <w:nsid w:val="614FD4A1"/>
    <w:multiLevelType w:val="hybridMultilevel"/>
    <w:lvl w:ilvl="0">
      <w:lvlJc w:val="left"/>
      <w:lvlText w:val="%1"/>
      <w:numFmt w:val="decimal"/>
      <w:start w:val="1"/>
    </w:lvl>
    <w:lvl w:ilvl="1">
      <w:lvlJc w:val="left"/>
      <w:lvlText w:val="(%2)"/>
      <w:numFmt w:val="lowerLetter"/>
      <w:start w:val="1"/>
    </w:lvl>
  </w:abstractNum>
  <w:abstractNum w:abstractNumId="25">
    <w:nsid w:val="419AC241"/>
    <w:multiLevelType w:val="hybridMultilevel"/>
    <w:lvl w:ilvl="0">
      <w:lvlJc w:val="left"/>
      <w:lvlText w:val="%1."/>
      <w:numFmt w:val="decimal"/>
      <w:start w:val="14"/>
    </w:lvl>
    <w:lvl w:ilvl="1">
      <w:lvlJc w:val="left"/>
      <w:lvlText w:val="%2"/>
      <w:numFmt w:val="lowerLetter"/>
      <w:start w:val="1"/>
    </w:lvl>
  </w:abstractNum>
  <w:abstractNum w:abstractNumId="26">
    <w:nsid w:val="5577F8E1"/>
    <w:multiLevelType w:val="hybridMultilevel"/>
    <w:lvl w:ilvl="0">
      <w:lvlJc w:val="left"/>
      <w:lvlText w:val="%1"/>
      <w:numFmt w:val="decimal"/>
      <w:start w:val="1"/>
    </w:lvl>
    <w:lvl w:ilvl="1">
      <w:lvlJc w:val="left"/>
      <w:lvlText w:val="(%2)"/>
      <w:numFmt w:val="lowerLetter"/>
      <w:start w:val="1"/>
    </w:lvl>
  </w:abstractNum>
  <w:abstractNum w:abstractNumId="27">
    <w:nsid w:val="440BADFC"/>
    <w:multiLevelType w:val="hybridMultilevel"/>
    <w:lvl w:ilvl="0">
      <w:lvlJc w:val="left"/>
      <w:lvlText w:val="%1."/>
      <w:numFmt w:val="decimal"/>
      <w:start w:val="15"/>
    </w:lvl>
    <w:lvl w:ilvl="1">
      <w:lvlJc w:val="left"/>
      <w:lvlText w:val="%2"/>
      <w:numFmt w:val="lowerLetter"/>
      <w:start w:val="1"/>
    </w:lvl>
  </w:abstractNum>
  <w:abstractNum w:abstractNumId="28">
    <w:nsid w:val="5072367"/>
    <w:multiLevelType w:val="hybridMultilevel"/>
    <w:lvl w:ilvl="0">
      <w:lvlJc w:val="left"/>
      <w:lvlText w:val="(%1)"/>
      <w:numFmt w:val="lowerLetter"/>
      <w:start w:val="1"/>
    </w:lvl>
  </w:abstractNum>
  <w:abstractNum w:abstractNumId="29">
    <w:nsid w:val="3804823E"/>
    <w:multiLevelType w:val="hybridMultilevel"/>
    <w:lvl w:ilvl="0">
      <w:lvlJc w:val="left"/>
      <w:lvlText w:val="(%1)"/>
      <w:numFmt w:val="lowerLetter"/>
      <w:start w:val="1"/>
    </w:lvl>
  </w:abstractNum>
  <w:abstractNum w:abstractNumId="30">
    <w:nsid w:val="77465F01"/>
    <w:multiLevelType w:val="hybridMultilevel"/>
    <w:lvl w:ilvl="0">
      <w:lvlJc w:val="left"/>
      <w:lvlText w:val="(%1)"/>
      <w:numFmt w:val="lowerLetter"/>
      <w:start w:val="1"/>
    </w:lvl>
  </w:abstractNum>
  <w:abstractNum w:abstractNumId="31">
    <w:nsid w:val="7724C67E"/>
    <w:multiLevelType w:val="hybridMultilevel"/>
    <w:lvl w:ilvl="0">
      <w:lvlJc w:val="left"/>
      <w:lvlText w:val="(%1)"/>
      <w:numFmt w:val="lowerLetter"/>
      <w:start w:val="6"/>
    </w:lvl>
  </w:abstractNum>
  <w:abstractNum w:abstractNumId="32">
    <w:nsid w:val="5C482A97"/>
    <w:multiLevelType w:val="hybridMultilevel"/>
    <w:lvl w:ilvl="0">
      <w:lvlJc w:val="left"/>
      <w:lvlText w:val="%1"/>
      <w:numFmt w:val="decimal"/>
      <w:start w:val="1"/>
    </w:lvl>
    <w:lvl w:ilvl="1">
      <w:lvlJc w:val="left"/>
      <w:lvlText w:val="(%2)"/>
      <w:numFmt w:val="lowerLetter"/>
      <w:start w:val="1"/>
    </w:lvl>
  </w:abstractNum>
  <w:abstractNum w:abstractNumId="33">
    <w:nsid w:val="2463B9EA"/>
    <w:multiLevelType w:val="hybridMultilevel"/>
    <w:lvl w:ilvl="0">
      <w:lvlJc w:val="left"/>
      <w:lvlText w:val="%1."/>
      <w:numFmt w:val="decimal"/>
      <w:start w:val="16"/>
    </w:lvl>
    <w:lvl w:ilvl="1">
      <w:lvlJc w:val="left"/>
      <w:lvlText w:val="%2"/>
      <w:numFmt w:val="lowerLetter"/>
      <w:start w:val="1"/>
    </w:lvl>
  </w:abstractNum>
  <w:abstractNum w:abstractNumId="34">
    <w:nsid w:val="5E884ADC"/>
    <w:multiLevelType w:val="hybridMultilevel"/>
    <w:lvl w:ilvl="0">
      <w:lvlJc w:val="left"/>
      <w:lvlText w:val="(%1)"/>
      <w:numFmt w:val="lowerLetter"/>
      <w:start w:val="1"/>
    </w:lvl>
  </w:abstractNum>
  <w:abstractNum w:abstractNumId="35">
    <w:nsid w:val="51EAD36B"/>
    <w:multiLevelType w:val="hybridMultilevel"/>
    <w:lvl w:ilvl="0">
      <w:lvlJc w:val="left"/>
      <w:lvlText w:val="•"/>
      <w:numFmt w:val="bullet"/>
      <w:start w:val="1"/>
    </w:lvl>
  </w:abstractNum>
  <w:abstractNum w:abstractNumId="36">
    <w:nsid w:val="2D517796"/>
    <w:multiLevelType w:val="hybridMultilevel"/>
    <w:lvl w:ilvl="0">
      <w:lvlJc w:val="left"/>
      <w:lvlText w:val="(%1)"/>
      <w:numFmt w:val="lowerLetter"/>
      <w:start w:val="1"/>
    </w:lvl>
  </w:abstractNum>
  <w:abstractNum w:abstractNumId="37">
    <w:nsid w:val="580BD78F"/>
    <w:multiLevelType w:val="hybridMultilevel"/>
    <w:lvl w:ilvl="0">
      <w:lvlJc w:val="left"/>
      <w:lvlText w:val="(%1)"/>
      <w:numFmt w:val="lowerLetter"/>
      <w:start w:val="1"/>
    </w:lvl>
  </w:abstractNum>
  <w:abstractNum w:abstractNumId="38">
    <w:nsid w:val="153EA438"/>
    <w:multiLevelType w:val="hybridMultilevel"/>
    <w:lvl w:ilvl="0">
      <w:lvlJc w:val="left"/>
      <w:lvlText w:val="%1"/>
      <w:numFmt w:val="decimal"/>
      <w:start w:val="32"/>
    </w:lvl>
  </w:abstractNum>
  <w:abstractNum w:abstractNumId="39">
    <w:nsid w:val="3855585C"/>
    <w:multiLevelType w:val="hybridMultilevel"/>
    <w:lvl w:ilvl="0">
      <w:lvlJc w:val="left"/>
      <w:lvlText w:val="%1"/>
      <w:numFmt w:val="decimal"/>
      <w:start w:val="104"/>
    </w:lvl>
  </w:abstractNum>
  <w:abstractNum w:abstractNumId="40">
    <w:nsid w:val="70A64E2A"/>
    <w:multiLevelType w:val="hybridMultilevel"/>
    <w:lvl w:ilvl="0">
      <w:lvlJc w:val="left"/>
      <w:lvlText w:val="%1."/>
      <w:numFmt w:val="decimal"/>
      <w:start w:val="1"/>
    </w:lvl>
    <w:lvl w:ilvl="1">
      <w:lvlJc w:val="left"/>
      <w:lvlText w:val="%2)"/>
      <w:numFmt w:val="lowerLetter"/>
      <w:start w:val="1"/>
    </w:lvl>
  </w:abstractNum>
  <w:abstractNum w:abstractNumId="41">
    <w:nsid w:val="6A2342EC"/>
    <w:multiLevelType w:val="hybridMultilevel"/>
    <w:lvl w:ilvl="0">
      <w:lvlJc w:val="left"/>
      <w:lvlText w:val="%1."/>
      <w:numFmt w:val="decimal"/>
      <w:start w:val="1"/>
    </w:lvl>
    <w:lvl w:ilvl="1">
      <w:lvlJc w:val="left"/>
      <w:lvlText w:val="%2)"/>
      <w:numFmt w:val="lowerLetter"/>
      <w:start w:val="1"/>
    </w:lvl>
  </w:abstractNum>
  <w:abstractNum w:abstractNumId="42">
    <w:nsid w:val="2A487CB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62" Type="http://schemas.openxmlformats.org/officeDocument/2006/relationships/image" Target="media/image50.png"/><Relationship Id="rId63" Type="http://schemas.openxmlformats.org/officeDocument/2006/relationships/image" Target="media/image51.png"/><Relationship Id="rId57" Type="http://schemas.openxmlformats.org/officeDocument/2006/relationships/hyperlink" Target="http://www.sec.gov/Archives/edgar/data/723612/000072361206000058/articles.htm" TargetMode="External"/><Relationship Id="rId58" Type="http://schemas.openxmlformats.org/officeDocument/2006/relationships/hyperlink" Target="http://www.sec.gov/Archives/edgar/data/723612/000119312520218349/d84038dex32.htm" TargetMode="External"/><Relationship Id="rId59" Type="http://schemas.openxmlformats.org/officeDocument/2006/relationships/hyperlink" Target="http://www.sec.gov/Archives/edgar/data/0000723612/000119312521063570/d22737dex41.htm" TargetMode="External"/><Relationship Id="rId60" Type="http://schemas.openxmlformats.org/officeDocument/2006/relationships/hyperlink" Target="http://www.sec.gov/Archives/edgar/data/723612/000119312521091360/d159419dex41.htm" TargetMode="External"/><Relationship Id="rId61" Type="http://schemas.openxmlformats.org/officeDocument/2006/relationships/hyperlink" Target="http://www.sec.gov/Archives/edgar/data/0000723612/000119312521045157/d114188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2021-05-04T08:27:01Z</dcterms:created>
  <dcterms:modified xsi:type="dcterms:W3CDTF">2021-05-04T08:27:01Z</dcterms:modified>
</cp:coreProperties>
</file>