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-218440</wp:posOffset>
            </wp:positionV>
            <wp:extent cx="1492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02" w:lineRule="exact"/>
        <w:rPr>
          <w:sz w:val="24"/>
          <w:szCs w:val="24"/>
          <w:color w:val="auto"/>
        </w:rPr>
      </w:pPr>
    </w:p>
    <w:p>
      <w:pPr>
        <w:jc w:val="center"/>
        <w:ind w:right="-39"/>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ANNUAL REPORT PURSUANT TO SECTION 13 OR 15(d) OF THE</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4"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For the fiscal year ended December 31, 2015</w:t>
      </w:r>
    </w:p>
    <w:p>
      <w:pPr>
        <w:spacing w:after="0" w:line="82"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4"/>
          <w:szCs w:val="14"/>
          <w:b w:val="1"/>
          <w:bCs w:val="1"/>
          <w:color w:val="auto"/>
        </w:rPr>
        <w:t>TRANSITION REPORT PURSUANT TO SECTION 13 OR 15(d) OF THE</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ind w:left="4100"/>
              <w:spacing w:after="0"/>
              <w:rPr>
                <w:sz w:val="20"/>
                <w:szCs w:val="20"/>
                <w:color w:val="auto"/>
              </w:rPr>
            </w:pPr>
            <w:r>
              <w:rPr>
                <w:rFonts w:ascii="Arial" w:cs="Arial" w:eastAsia="Arial" w:hAnsi="Arial"/>
                <w:sz w:val="14"/>
                <w:szCs w:val="14"/>
                <w:b w:val="1"/>
                <w:bCs w:val="1"/>
                <w:color w:val="auto"/>
              </w:rPr>
              <w:t>For the transition period from</w:t>
            </w:r>
          </w:p>
        </w:tc>
        <w:tc>
          <w:tcPr>
            <w:tcW w:w="4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80" w:type="dxa"/>
            <w:vAlign w:val="bottom"/>
            <w:tcBorders>
              <w:bottom w:val="single" w:sz="8" w:color="auto"/>
            </w:tcBorders>
            <w:gridSpan w:val="2"/>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52"/>
        </w:trPr>
        <w:tc>
          <w:tcPr>
            <w:tcW w:w="4540" w:type="dxa"/>
            <w:vAlign w:val="bottom"/>
          </w:tcPr>
          <w:p>
            <w:pPr>
              <w:spacing w:after="0"/>
              <w:rPr>
                <w:sz w:val="21"/>
                <w:szCs w:val="21"/>
                <w:color w:val="auto"/>
              </w:rPr>
            </w:pPr>
          </w:p>
        </w:tc>
        <w:tc>
          <w:tcPr>
            <w:tcW w:w="3740" w:type="dxa"/>
            <w:vAlign w:val="bottom"/>
            <w:gridSpan w:val="6"/>
          </w:tcPr>
          <w:p>
            <w:pPr>
              <w:jc w:val="center"/>
              <w:ind w:right="1308"/>
              <w:spacing w:after="0"/>
              <w:rPr>
                <w:sz w:val="20"/>
                <w:szCs w:val="20"/>
                <w:color w:val="auto"/>
              </w:rPr>
            </w:pPr>
            <w:r>
              <w:rPr>
                <w:rFonts w:ascii="Arial" w:cs="Arial" w:eastAsia="Arial" w:hAnsi="Arial"/>
                <w:sz w:val="14"/>
                <w:szCs w:val="14"/>
                <w:b w:val="1"/>
                <w:bCs w:val="1"/>
                <w:color w:val="auto"/>
              </w:rPr>
              <w:t>COMMISSION FILE NO. 001-10308</w:t>
            </w:r>
          </w:p>
        </w:tc>
        <w:tc>
          <w:tcPr>
            <w:tcW w:w="1720" w:type="dxa"/>
            <w:vAlign w:val="bottom"/>
          </w:tcPr>
          <w:p>
            <w:pPr>
              <w:spacing w:after="0"/>
              <w:rPr>
                <w:sz w:val="21"/>
                <w:szCs w:val="21"/>
                <w:color w:val="auto"/>
              </w:rPr>
            </w:pPr>
          </w:p>
        </w:tc>
      </w:tr>
      <w:tr>
        <w:trPr>
          <w:trHeight w:val="552"/>
        </w:trPr>
        <w:tc>
          <w:tcPr>
            <w:tcW w:w="45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6"/>
        </w:trPr>
        <w:tc>
          <w:tcPr>
            <w:tcW w:w="8280" w:type="dxa"/>
            <w:vAlign w:val="bottom"/>
            <w:gridSpan w:val="7"/>
          </w:tcPr>
          <w:p>
            <w:pPr>
              <w:jc w:val="center"/>
              <w:ind w:left="3065"/>
              <w:spacing w:after="0"/>
              <w:rPr>
                <w:sz w:val="20"/>
                <w:szCs w:val="20"/>
                <w:color w:val="auto"/>
              </w:rPr>
            </w:pPr>
            <w:r>
              <w:rPr>
                <w:rFonts w:ascii="Arial" w:cs="Arial" w:eastAsia="Arial" w:hAnsi="Arial"/>
                <w:sz w:val="25"/>
                <w:szCs w:val="25"/>
                <w:b w:val="1"/>
                <w:bCs w:val="1"/>
                <w:color w:val="auto"/>
                <w:w w:val="98"/>
              </w:rPr>
              <w:t>AVIS BUDGET GROUP, INC.</w:t>
            </w:r>
          </w:p>
        </w:tc>
        <w:tc>
          <w:tcPr>
            <w:tcW w:w="1720" w:type="dxa"/>
            <w:vAlign w:val="bottom"/>
          </w:tcPr>
          <w:p>
            <w:pPr>
              <w:spacing w:after="0"/>
              <w:rPr>
                <w:sz w:val="24"/>
                <w:szCs w:val="24"/>
                <w:color w:val="auto"/>
              </w:rPr>
            </w:pPr>
          </w:p>
        </w:tc>
      </w:tr>
      <w:tr>
        <w:trPr>
          <w:trHeight w:val="172"/>
        </w:trPr>
        <w:tc>
          <w:tcPr>
            <w:tcW w:w="8280" w:type="dxa"/>
            <w:vAlign w:val="bottom"/>
            <w:gridSpan w:val="7"/>
          </w:tcPr>
          <w:p>
            <w:pPr>
              <w:jc w:val="center"/>
              <w:ind w:left="3065"/>
              <w:spacing w:after="0"/>
              <w:rPr>
                <w:sz w:val="20"/>
                <w:szCs w:val="20"/>
                <w:color w:val="auto"/>
              </w:rPr>
            </w:pPr>
            <w:r>
              <w:rPr>
                <w:rFonts w:ascii="Arial" w:cs="Arial" w:eastAsia="Arial" w:hAnsi="Arial"/>
                <w:sz w:val="14"/>
                <w:szCs w:val="14"/>
                <w:color w:val="auto"/>
              </w:rPr>
              <w:t>(Exact name of Registrant as specified in its charter)</w:t>
            </w:r>
          </w:p>
        </w:tc>
        <w:tc>
          <w:tcPr>
            <w:tcW w:w="1720" w:type="dxa"/>
            <w:vAlign w:val="bottom"/>
          </w:tcPr>
          <w:p>
            <w:pPr>
              <w:spacing w:after="0"/>
              <w:rPr>
                <w:sz w:val="14"/>
                <w:szCs w:val="14"/>
                <w:color w:val="auto"/>
              </w:rPr>
            </w:pPr>
          </w:p>
        </w:tc>
      </w:tr>
      <w:tr>
        <w:trPr>
          <w:trHeight w:val="324"/>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DELAWARE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jc w:val="right"/>
              <w:ind w:right="808"/>
              <w:spacing w:after="0"/>
              <w:rPr>
                <w:sz w:val="20"/>
                <w:szCs w:val="20"/>
                <w:color w:val="auto"/>
              </w:rPr>
            </w:pPr>
            <w:r>
              <w:rPr>
                <w:rFonts w:ascii="Arial" w:cs="Arial" w:eastAsia="Arial" w:hAnsi="Arial"/>
                <w:sz w:val="14"/>
                <w:szCs w:val="14"/>
                <w:b w:val="1"/>
                <w:bCs w:val="1"/>
                <w:color w:val="auto"/>
              </w:rPr>
              <w:t>06-0918165</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(State or other jurisdiction of incorporation or organization)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(I.R.S. Employer Identification Number)</w:t>
            </w:r>
          </w:p>
        </w:tc>
      </w:tr>
      <w:tr>
        <w:trPr>
          <w:trHeight w:val="512"/>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6 SYLVAN WAY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PARSIPPANY, NJ</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jc w:val="right"/>
              <w:ind w:right="988"/>
              <w:spacing w:after="0"/>
              <w:rPr>
                <w:sz w:val="20"/>
                <w:szCs w:val="20"/>
                <w:color w:val="auto"/>
              </w:rPr>
            </w:pPr>
            <w:r>
              <w:rPr>
                <w:rFonts w:ascii="Arial" w:cs="Arial" w:eastAsia="Arial" w:hAnsi="Arial"/>
                <w:sz w:val="14"/>
                <w:szCs w:val="14"/>
                <w:b w:val="1"/>
                <w:bCs w:val="1"/>
                <w:color w:val="auto"/>
              </w:rPr>
              <w:t>07054</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jc w:val="center"/>
              <w:ind w:right="728"/>
              <w:spacing w:after="0"/>
              <w:rPr>
                <w:sz w:val="20"/>
                <w:szCs w:val="20"/>
                <w:color w:val="auto"/>
              </w:rPr>
            </w:pPr>
            <w:r>
              <w:rPr>
                <w:rFonts w:ascii="Arial" w:cs="Arial" w:eastAsia="Arial" w:hAnsi="Arial"/>
                <w:sz w:val="14"/>
                <w:szCs w:val="14"/>
                <w:color w:val="auto"/>
              </w:rPr>
              <w:t>(Zip Code)</w:t>
            </w:r>
          </w:p>
        </w:tc>
      </w:tr>
      <w:tr>
        <w:trPr>
          <w:trHeight w:val="260"/>
        </w:trPr>
        <w:tc>
          <w:tcPr>
            <w:tcW w:w="6640" w:type="dxa"/>
            <w:vAlign w:val="bottom"/>
            <w:gridSpan w:val="3"/>
          </w:tcPr>
          <w:p>
            <w:pPr>
              <w:jc w:val="center"/>
              <w:ind w:left="4705"/>
              <w:spacing w:after="0"/>
              <w:rPr>
                <w:sz w:val="20"/>
                <w:szCs w:val="20"/>
                <w:color w:val="auto"/>
              </w:rPr>
            </w:pPr>
            <w:r>
              <w:rPr>
                <w:rFonts w:ascii="Arial" w:cs="Arial" w:eastAsia="Arial" w:hAnsi="Arial"/>
                <w:sz w:val="14"/>
                <w:szCs w:val="14"/>
                <w:b w:val="1"/>
                <w:bCs w:val="1"/>
                <w:color w:val="auto"/>
              </w:rPr>
              <w:t>973-496-4700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44"/>
        </w:trPr>
        <w:tc>
          <w:tcPr>
            <w:tcW w:w="8280" w:type="dxa"/>
            <w:vAlign w:val="bottom"/>
            <w:gridSpan w:val="7"/>
          </w:tcPr>
          <w:p>
            <w:pPr>
              <w:jc w:val="center"/>
              <w:ind w:left="3065"/>
              <w:spacing w:after="0" w:line="144" w:lineRule="exact"/>
              <w:rPr>
                <w:sz w:val="20"/>
                <w:szCs w:val="20"/>
                <w:color w:val="auto"/>
              </w:rPr>
            </w:pPr>
            <w:r>
              <w:rPr>
                <w:rFonts w:ascii="Arial" w:cs="Arial" w:eastAsia="Arial" w:hAnsi="Arial"/>
                <w:sz w:val="14"/>
                <w:szCs w:val="14"/>
                <w:color w:val="auto"/>
              </w:rPr>
              <w:t>(Registrant’s telephone number, including area code)</w:t>
            </w:r>
          </w:p>
        </w:tc>
        <w:tc>
          <w:tcPr>
            <w:tcW w:w="1720" w:type="dxa"/>
            <w:vAlign w:val="bottom"/>
          </w:tcPr>
          <w:p>
            <w:pPr>
              <w:spacing w:after="0"/>
              <w:rPr>
                <w:sz w:val="12"/>
                <w:szCs w:val="12"/>
                <w:color w:val="auto"/>
              </w:rPr>
            </w:pPr>
          </w:p>
        </w:tc>
      </w:tr>
      <w:tr>
        <w:trPr>
          <w:trHeight w:val="190"/>
        </w:trPr>
        <w:tc>
          <w:tcPr>
            <w:tcW w:w="8280" w:type="dxa"/>
            <w:vAlign w:val="bottom"/>
            <w:gridSpan w:val="7"/>
          </w:tcPr>
          <w:p>
            <w:pPr>
              <w:jc w:val="center"/>
              <w:ind w:left="3085"/>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720" w:type="dxa"/>
            <w:vAlign w:val="bottom"/>
          </w:tcPr>
          <w:p>
            <w:pPr>
              <w:spacing w:after="0"/>
              <w:rPr>
                <w:sz w:val="16"/>
                <w:szCs w:val="16"/>
                <w:color w:val="auto"/>
              </w:rPr>
            </w:pPr>
          </w:p>
        </w:tc>
      </w:tr>
      <w:tr>
        <w:trPr>
          <w:trHeight w:val="296"/>
        </w:trPr>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NAME OF EACH EXCHANGE</w:t>
            </w: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ON WHICH REGISTERED</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Common Stock, Par Value $.01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The NASDAQ Global Select Market</w:t>
            </w:r>
          </w:p>
        </w:tc>
      </w:tr>
      <w:tr>
        <w:trPr>
          <w:trHeight w:val="270"/>
        </w:trPr>
        <w:tc>
          <w:tcPr>
            <w:tcW w:w="10000" w:type="dxa"/>
            <w:vAlign w:val="bottom"/>
            <w:gridSpan w:val="8"/>
          </w:tcPr>
          <w:p>
            <w:pPr>
              <w:jc w:val="center"/>
              <w:ind w:left="1345"/>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r>
      <w:tr>
        <w:trPr>
          <w:trHeight w:val="259"/>
        </w:trPr>
        <w:tc>
          <w:tcPr>
            <w:tcW w:w="828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172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57"/>
        </w:trPr>
        <w:tc>
          <w:tcPr>
            <w:tcW w:w="828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w:t>
            </w:r>
          </w:p>
        </w:tc>
        <w:tc>
          <w:tcPr>
            <w:tcW w:w="17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99" w:lineRule="exact"/>
        <w:rPr>
          <w:sz w:val="24"/>
          <w:szCs w:val="24"/>
          <w:color w:val="auto"/>
        </w:rPr>
      </w:pPr>
    </w:p>
    <w:p>
      <w:pPr>
        <w:ind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0"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03" w:lineRule="exact"/>
        <w:rPr>
          <w:sz w:val="24"/>
          <w:szCs w:val="24"/>
          <w:color w:val="auto"/>
        </w:rPr>
      </w:pPr>
    </w:p>
    <w:p>
      <w:pPr>
        <w:ind w:left="800"/>
        <w:spacing w:after="0" w:line="161" w:lineRule="exact"/>
        <w:tabs>
          <w:tab w:leader="none" w:pos="3760" w:val="left"/>
          <w:tab w:leader="none" w:pos="6360" w:val="left"/>
          <w:tab w:leader="none" w:pos="8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250" w:lineRule="auto"/>
        <w:rPr>
          <w:sz w:val="20"/>
          <w:szCs w:val="20"/>
          <w:color w:val="auto"/>
        </w:rPr>
      </w:pPr>
      <w:r>
        <w:rPr>
          <w:rFonts w:ascii="Arial" w:cs="Arial" w:eastAsia="Arial" w:hAnsi="Arial"/>
          <w:sz w:val="14"/>
          <w:szCs w:val="14"/>
          <w:color w:val="auto"/>
        </w:rPr>
        <w:t>As of June 30, 2015, the aggregate market value of the registrant’s common stock held by non-affiliates of the registrant was $4,532,680,060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29, 2016, the number of shares outstanding of the registrant’s common stock was 97,039,594.</w:t>
      </w:r>
    </w:p>
    <w:p>
      <w:pPr>
        <w:spacing w:after="0" w:line="14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Portions of the registrant’s definitive proxy statement to be mailed to stockholders in connection with the registrant’s annual stockholders’ meeting scheduled to be held on May 25, 2016 (the “Annual Proxy Statement”) are incorporated by reference into Part III hereof.</w:t>
      </w:r>
    </w:p>
    <w:p>
      <w:pPr>
        <w:sectPr>
          <w:pgSz w:w="11900" w:h="16838" w:orient="portrait"/>
          <w:cols w:equalWidth="0" w:num="1">
            <w:col w:w="11400"/>
          </w:cols>
          <w:pgMar w:left="240" w:top="48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Item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Page</w:t>
            </w:r>
          </w:p>
        </w:tc>
      </w:tr>
      <w:tr>
        <w:trPr>
          <w:trHeight w:val="615"/>
        </w:trPr>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980" w:type="dxa"/>
            <w:vAlign w:val="bottom"/>
            <w:tcBorders>
              <w:top w:val="single" w:sz="8" w:color="auto"/>
            </w:tcBorders>
            <w:gridSpan w:val="3"/>
          </w:tcPr>
          <w:p>
            <w:pPr>
              <w:spacing w:after="0"/>
              <w:rPr>
                <w:sz w:val="24"/>
                <w:szCs w:val="24"/>
                <w:color w:val="auto"/>
              </w:rPr>
            </w:pPr>
          </w:p>
        </w:tc>
        <w:tc>
          <w:tcPr>
            <w:tcW w:w="4660" w:type="dxa"/>
            <w:vAlign w:val="bottom"/>
            <w:gridSpan w:val="4"/>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9180" w:type="dxa"/>
            <w:vAlign w:val="bottom"/>
            <w:gridSpan w:val="16"/>
          </w:tcPr>
          <w:p>
            <w:pPr>
              <w:spacing w:after="0"/>
              <w:rPr>
                <w:sz w:val="18"/>
                <w:szCs w:val="18"/>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9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56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2260" w:type="dxa"/>
            <w:vAlign w:val="bottom"/>
            <w:gridSpan w:val="8"/>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Unresolved Staff Comments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500" w:type="dxa"/>
            <w:vAlign w:val="bottom"/>
            <w:gridSpan w:val="5"/>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Legal Proceedings</w:t>
              </w:r>
            </w:hyperlink>
          </w:p>
        </w:tc>
        <w:tc>
          <w:tcPr>
            <w:tcW w:w="8420" w:type="dxa"/>
            <w:vAlign w:val="bottom"/>
            <w:gridSpan w:val="1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88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1040" w:type="dxa"/>
            <w:vAlign w:val="bottom"/>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9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4700" w:type="dxa"/>
            <w:vAlign w:val="bottom"/>
            <w:gridSpan w:val="12"/>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Quantitative and Qualitative Disclosures about Market Risk</w:t>
              </w:r>
            </w:hyperlink>
          </w:p>
        </w:tc>
        <w:tc>
          <w:tcPr>
            <w:tcW w:w="2380" w:type="dxa"/>
            <w:vAlign w:val="bottom"/>
            <w:gridSpan w:val="2"/>
          </w:tcPr>
          <w:p>
            <w:pPr>
              <w:spacing w:after="0"/>
              <w:rPr>
                <w:sz w:val="20"/>
                <w:szCs w:val="20"/>
                <w:color w:val="auto"/>
              </w:rPr>
            </w:pPr>
          </w:p>
        </w:tc>
        <w:tc>
          <w:tcPr>
            <w:tcW w:w="2840" w:type="dxa"/>
            <w:vAlign w:val="bottom"/>
            <w:gridSpan w:val="3"/>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70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5220" w:type="dxa"/>
            <w:vAlign w:val="bottom"/>
            <w:gridSpan w:val="5"/>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7140" w:type="dxa"/>
            <w:vAlign w:val="bottom"/>
            <w:gridSpan w:val="15"/>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Changes in and Disagreements with Accountants on Accounting and Financial Disclosure</w:t>
              </w:r>
            </w:hyperlink>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2000" w:type="dxa"/>
            <w:vAlign w:val="bottom"/>
            <w:gridSpan w:val="7"/>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Controls and Procedures</w:t>
              </w:r>
            </w:hyperlink>
          </w:p>
        </w:tc>
        <w:tc>
          <w:tcPr>
            <w:tcW w:w="5140" w:type="dxa"/>
            <w:vAlign w:val="bottom"/>
            <w:gridSpan w:val="8"/>
          </w:tcPr>
          <w:p>
            <w:pPr>
              <w:spacing w:after="0"/>
              <w:rPr>
                <w:sz w:val="20"/>
                <w:szCs w:val="20"/>
                <w:color w:val="auto"/>
              </w:rPr>
            </w:pPr>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20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85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Executive Compensation</w:t>
              </w:r>
            </w:hyperlink>
          </w:p>
        </w:tc>
        <w:tc>
          <w:tcPr>
            <w:tcW w:w="2500" w:type="dxa"/>
            <w:vAlign w:val="bottom"/>
            <w:gridSpan w:val="4"/>
          </w:tcPr>
          <w:p>
            <w:pPr>
              <w:spacing w:after="0"/>
              <w:rPr>
                <w:sz w:val="20"/>
                <w:szCs w:val="20"/>
                <w:color w:val="auto"/>
              </w:rPr>
            </w:pPr>
          </w:p>
        </w:tc>
        <w:tc>
          <w:tcPr>
            <w:tcW w:w="5420" w:type="dxa"/>
            <w:vAlign w:val="bottom"/>
            <w:gridSpan w:val="6"/>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6" w:lineRule="exact"/>
        <w:rPr>
          <w:sz w:val="20"/>
          <w:szCs w:val="20"/>
          <w:color w:val="auto"/>
        </w:rPr>
      </w:pPr>
    </w:p>
    <w:p>
      <w:pPr>
        <w:ind w:left="560" w:hanging="550"/>
        <w:spacing w:after="0"/>
        <w:tabs>
          <w:tab w:leader="none" w:pos="560" w:val="left"/>
        </w:tabs>
        <w:numPr>
          <w:ilvl w:val="0"/>
          <w:numId w:val="1"/>
        </w:numPr>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w:t>
        </w:r>
      </w:hyperlink>
    </w:p>
    <w:tbl>
      <w:tblPr>
        <w:tblLayout w:type="fixed"/>
        <w:tblInd w:w="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Related Stockholder Matters</w:t>
              </w:r>
            </w:hyperlink>
          </w:p>
        </w:tc>
        <w:tc>
          <w:tcPr>
            <w:tcW w:w="3420" w:type="dxa"/>
            <w:vAlign w:val="bottom"/>
            <w:tcBorders>
              <w:top w:val="single" w:sz="8" w:color="0000EE"/>
            </w:tcBorders>
            <w:gridSpan w:val="3"/>
          </w:tcPr>
          <w:p>
            <w:pPr>
              <w:spacing w:after="0"/>
              <w:rPr>
                <w:sz w:val="15"/>
                <w:szCs w:val="15"/>
                <w:color w:val="auto"/>
              </w:rPr>
            </w:pPr>
          </w:p>
        </w:tc>
        <w:tc>
          <w:tcPr>
            <w:tcW w:w="4780" w:type="dxa"/>
            <w:vAlign w:val="bottom"/>
            <w:gridSpan w:val="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13</w:t>
            </w:r>
          </w:p>
        </w:tc>
        <w:tc>
          <w:tcPr>
            <w:tcW w:w="1048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00" w:type="dxa"/>
            <w:vAlign w:val="bottom"/>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14</w:t>
            </w:r>
          </w:p>
        </w:tc>
        <w:tc>
          <w:tcPr>
            <w:tcW w:w="6080" w:type="dxa"/>
            <w:vAlign w:val="bottom"/>
            <w:tcBorders>
              <w:top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4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615"/>
        </w:trPr>
        <w:tc>
          <w:tcPr>
            <w:tcW w:w="54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300" w:type="dxa"/>
            <w:vAlign w:val="bottom"/>
            <w:gridSpan w:val="4"/>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Exhibits and Financial Statement Schedules</w:t>
              </w:r>
            </w:hyperlink>
          </w:p>
        </w:tc>
        <w:tc>
          <w:tcPr>
            <w:tcW w:w="6960" w:type="dxa"/>
            <w:vAlign w:val="bottom"/>
            <w:gridSpan w:val="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r>
      <w:tr>
        <w:trPr>
          <w:trHeight w:val="250"/>
        </w:trPr>
        <w:tc>
          <w:tcPr>
            <w:tcW w:w="540" w:type="dxa"/>
            <w:vAlign w:val="bottom"/>
          </w:tcPr>
          <w:p>
            <w:pPr>
              <w:spacing w:after="0"/>
              <w:rPr>
                <w:sz w:val="21"/>
                <w:szCs w:val="21"/>
                <w:color w:val="auto"/>
              </w:rPr>
            </w:pPr>
          </w:p>
        </w:tc>
        <w:tc>
          <w:tcPr>
            <w:tcW w:w="1048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200" w:type="dxa"/>
            <w:vAlign w:val="bottom"/>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r>
      <w:tr>
        <w:trPr>
          <w:trHeight w:val="20"/>
        </w:trPr>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400" w:top="36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i w:val="1"/>
          <w:iCs w:val="1"/>
          <w:color w:val="auto"/>
        </w:rPr>
        <w:t>Except as expressly indicated or unless the context otherwise requires, the “Company,” “Avis Budget,” “we,” “our” or “us” means Avis Budget Group, Inc. and its subsidiaries. “Avis,” “Budget,” “Budget Truck,” “Zipcar,” “Payless” and “Apex” refer to our Avis Rent A Car System, LLC, Budget Rent A Car System, Inc., Budget Truck Rental, LLC, Zipcar, Inc., Payless Car Rental and Apex Car Rentals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a leading global provider of vehicle rental and car sharing services, operating three of the most recognized brands in the industry through Avis, Budget and Zipcar. We are a leading vehicle rental operator in North America, Europe, Australia, New Zealand and certain other regions we serve. We and our licensees operate the Avis and Budget brands in approximately 180 countries throughout the world. We generally maintain a leading share of airport car rental revenue in North America, Europe, Australia and New Zealand, and we operate one of the leading truck rental businesses in the United States.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brands are differentiated to help us meet a wide range of customer needs throughout the world. Avis is a leading rental car supplier positioned to serve the premium commercial and leisure segments of the travel industry, and Budget is a leading rental vehicle supplier focused primarily on more value-conscious segments of the industry.</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average, our rental fleet totaled more than 580,000 vehicles and we completed more than 38 million vehicle rental transactions worldwide in 2015. We generate approximately 70% of our vehicle rental revenue from on-airport locations and approximately 30% of our revenue from off-airport locations. We also license the use of the Avis and Budget trademarks to licensees in areas in which we do not operate directly. Our brands have an extended global reach with more than 11,000 car and truck rental locations throughout the world, including approximately</w:t>
      </w:r>
    </w:p>
    <w:p>
      <w:pPr>
        <w:spacing w:after="0" w:line="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5,000 car rental locations operated by our licensees. We believe that Avis,Budget and Zipcar enjoy complementary demand patterns with mid-week commercial demand balanced by weekend leisure demand.</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Zipcar brand is the world’s leading car sharing company, with nearly one million members in the United States, Canada and Europe. We operate Budget Truck, one of the leading truck rental businesses in the United States, with a fleet of approximately 21,000 vehicles that operate through a network of approximately 1,000 dealer-operated and 450 Company-operated locations throughout the continental United States. We also own Payless, a car rental brand that operates in the deep-value segment of the industry, and Apex, which is a leading deep-value car rental brand in New Zealand and Australia. We also have investments in certain of our Avis and Budget licensees outside of the United States, including licensees in India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Founded in 1946, Avis is believed to be the first company to rent cars from airport locations. Avis expanded its geographic reach throughout the United States through growth in licensed and Company-operated locations in the 1950s and 1960s. In 1963, Avis introduced its award winning </w:t>
      </w:r>
      <w:r>
        <w:rPr>
          <w:rFonts w:ascii="Arial" w:cs="Arial" w:eastAsia="Arial" w:hAnsi="Arial"/>
          <w:sz w:val="18"/>
          <w:szCs w:val="18"/>
          <w:i w:val="1"/>
          <w:iCs w:val="1"/>
          <w:color w:val="auto"/>
        </w:rPr>
        <w:t xml:space="preserve">“We try harder®” </w:t>
      </w:r>
      <w:r>
        <w:rPr>
          <w:rFonts w:ascii="Arial" w:cs="Arial" w:eastAsia="Arial" w:hAnsi="Arial"/>
          <w:sz w:val="18"/>
          <w:szCs w:val="18"/>
          <w:color w:val="auto"/>
        </w:rPr>
        <w:t>advertising campaign, which was recognized as one of the top ten advertising campaigns of the 20th century by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Age magazine.</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HFS Incorporated acquired Avis in 1996 and merged with our predecessor company in 1997, with the combined entity being renamed Cendant Corporation. The Company is a Delaware corporation headquartered in Parsippany, New Jersey.</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2002, Cendant acquired the Budget brand and Budget vehicle rental operations in North America, Australia and New Zealand. Budget was founded in 1958 as a car rental company for the value-conscious vehicle rental customer and grew its business rapidly during the 1960s, expanding its rental car offerings throughout North America and significantly expanding its Budget truck rental business in the 1990s.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2006, Cendant completed the sales and spin-offs of several significant subsidiaries and changed its name to Avis Budget Group, Inc. In 2011, we expanded our international operations with the acquisition of Avis Europe, which was previously an independently-owned licensee operating the Avis and Budget brands in Europe, the Middle East and Africa, and the Avis brand in Asia. Upon the completion of the acquisition of Avis Europe, the Avis and Budget brands were globally re-united under a single company, making Avis Budget Group one of the largest vehicle rental companies in the world.</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2013, we acquired Zipcar, the world’s leading car sharing company, to further increase our growth potential and our ability to better serve a greater variety of our customers’ mobility needs. In 2012 and 2013, we acquired our Apex and Payless brands, respectively, which allowed us to expand our presence in the deep-value segment of the car rental industry. In 2014, we also acquired our long-standing Budget licensee for Southern California and Las Vegas, which further expanded our Company-operated locations in the United States. In 2015, we acquired the operations of our former Avis and Budget licensees in Brazil, Norway, Sweden and Denmark; our Avis licensee in Poland; and Maggiore Group, a leading provider of vehicle rental services in Italy. These acquisitions have allowed us to further expand our global footprint of Company-operated locations.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a long history of innovation in the vehicle rental and car sharing business, including:</w:t>
      </w:r>
    </w:p>
    <w:p>
      <w:pPr>
        <w:spacing w:after="0" w:line="225" w:lineRule="exact"/>
        <w:rPr>
          <w:sz w:val="20"/>
          <w:szCs w:val="20"/>
          <w:color w:val="auto"/>
        </w:rPr>
      </w:pPr>
    </w:p>
    <w:p>
      <w:pPr>
        <w:ind w:left="660" w:right="1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1973, we launched our proprietary Wizard system, a constantly updated information-technology system that is the backbone of our operations;</w:t>
      </w:r>
    </w:p>
    <w:p>
      <w:pPr>
        <w:spacing w:after="0" w:line="196"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1987, we introduced our Roving Rapid Return program, powered by a handheld computer device that allows customers to bypass the car return counter;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1996, we became one of the first car rental companies to accept online reservations;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2000, we introduced Avis Interactive, the first Internet-based reporting system in the car rental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we launched what we believe to be the first car rental iPhone application in the United States;</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believe that our Avis brand became the first in the industry to offer mobile applications to customers on all four major mobile platforms;</w:t>
      </w:r>
    </w:p>
    <w:p>
      <w:pPr>
        <w:spacing w:after="0" w:line="196"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our Avis brand was the first in the industry to offer an Android application that allows customers to use voice-activated technology to make, confirm or cancel their car rental reservations;</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our Avis brand was the first U.S. car rental company to offer an application for the Apple Watch, which enables our customers to email themselves a car rental receipt and view current, upcoming and past car rental reservations from their wrists; and</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we continued to expand our use of yield management systems, which the Company designed to help optimize its decision-making with respect to pricing and fleet management.</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Zipcar operations have been a constantly innovating pioneer in using advanced vehicle technologies as the first car sharing company in the United States to develop a self-service solution to managing the complex interactions of real-time, location-based activities inherent in a large-scale car sharing operation, including new member application, reservations and keyless vehicle access, fleet management and member management. Zipcar was also the first to allow members to reserve the specific make, model and type of car by phone, Internet or wireless mobile device.</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becoming an independent vehicle rental services company in 2006, we have focused on strengthening our brands, our operations, our competitiveness and our profitability. In conjunction with these efforts, we have implemented process improvements impacting virtually all areas of the business; realized significant cost savings through the integration of acquired businesses with our pre-existing operations; achieved reductions in operating and selling, general and administrative expenses, including significant reductions in staff; assessed location, segment and customer profitability to address less-profitable aspects of our business; implemented price increases and changes to our sales, marketing and affinity programs to improve profitability; and sought to better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optimize our acquisition, deployment and disposition of fleet in order to lower costs and better meet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548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reporting segments:</w:t>
      </w:r>
    </w:p>
    <w:p>
      <w:pPr>
        <w:spacing w:after="0" w:line="207" w:lineRule="exact"/>
        <w:rPr>
          <w:sz w:val="20"/>
          <w:szCs w:val="20"/>
          <w:color w:val="auto"/>
        </w:rPr>
      </w:pPr>
    </w:p>
    <w:p>
      <w:pPr>
        <w:ind w:left="660" w:right="14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provides and licenses the Company’s brands to third parties for vehicle rentals and ancillary products and services in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South America, Central America and the Caribbean, and operates the Company’s car sharing business in certain of these markets; and</w:t>
      </w:r>
    </w:p>
    <w:p>
      <w:pPr>
        <w:spacing w:after="0" w:line="176"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provides and licenses the Company’s brands to third parties for vehicle rentals and ancillary products and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Australia and New Zealand, and operates the Company’s car sharing business in certain of these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metrics for each of our two reporting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shd w:val="clear" w:color="auto" w:fill="D2EAF1"/>
          </w:tcPr>
          <w:p>
            <w:pPr>
              <w:spacing w:after="0"/>
              <w:rPr>
                <w:sz w:val="17"/>
                <w:szCs w:val="17"/>
                <w:color w:val="auto"/>
              </w:rPr>
            </w:pPr>
          </w:p>
        </w:tc>
        <w:tc>
          <w:tcPr>
            <w:tcW w:w="2400" w:type="dxa"/>
            <w:vAlign w:val="bottom"/>
            <w:shd w:val="clear" w:color="auto" w:fill="D2EAF1"/>
          </w:tcPr>
          <w:p>
            <w:pPr>
              <w:spacing w:after="0"/>
              <w:rPr>
                <w:sz w:val="17"/>
                <w:szCs w:val="17"/>
                <w:color w:val="auto"/>
              </w:rPr>
            </w:pPr>
          </w:p>
        </w:tc>
        <w:tc>
          <w:tcPr>
            <w:tcW w:w="340" w:type="dxa"/>
            <w:vAlign w:val="bottom"/>
            <w:shd w:val="clear" w:color="auto" w:fill="D2EAF1"/>
          </w:tcPr>
          <w:p>
            <w:pPr>
              <w:spacing w:after="0"/>
              <w:rPr>
                <w:sz w:val="17"/>
                <w:szCs w:val="17"/>
                <w:color w:val="auto"/>
              </w:rPr>
            </w:pPr>
          </w:p>
        </w:tc>
        <w:tc>
          <w:tcPr>
            <w:tcW w:w="2720" w:type="dxa"/>
            <w:vAlign w:val="bottom"/>
            <w:gridSpan w:val="2"/>
            <w:shd w:val="clear" w:color="auto" w:fill="D2EAF1"/>
          </w:tcPr>
          <w:p>
            <w:pPr>
              <w:jc w:val="center"/>
              <w:ind w:right="320"/>
              <w:spacing w:after="0"/>
              <w:rPr>
                <w:sz w:val="20"/>
                <w:szCs w:val="20"/>
                <w:color w:val="auto"/>
              </w:rPr>
            </w:pPr>
            <w:r>
              <w:rPr>
                <w:rFonts w:ascii="Arial" w:cs="Arial" w:eastAsia="Arial" w:hAnsi="Arial"/>
                <w:sz w:val="18"/>
                <w:szCs w:val="18"/>
                <w:b w:val="1"/>
                <w:bCs w:val="1"/>
                <w:color w:val="auto"/>
                <w:w w:val="99"/>
              </w:rPr>
              <w:t>Average 2015 Time and</w:t>
            </w:r>
          </w:p>
        </w:tc>
        <w:tc>
          <w:tcPr>
            <w:tcW w:w="2400" w:type="dxa"/>
            <w:vAlign w:val="bottom"/>
            <w:shd w:val="clear" w:color="auto" w:fill="D2EAF1"/>
          </w:tcPr>
          <w:p>
            <w:pPr>
              <w:spacing w:after="0"/>
              <w:rPr>
                <w:sz w:val="17"/>
                <w:szCs w:val="17"/>
                <w:color w:val="auto"/>
              </w:rPr>
            </w:pPr>
          </w:p>
        </w:tc>
      </w:tr>
      <w:tr>
        <w:trPr>
          <w:trHeight w:val="203"/>
        </w:trPr>
        <w:tc>
          <w:tcPr>
            <w:tcW w:w="3560" w:type="dxa"/>
            <w:vAlign w:val="bottom"/>
            <w:shd w:val="clear" w:color="auto" w:fill="D2EAF1"/>
          </w:tcPr>
          <w:p>
            <w:pPr>
              <w:spacing w:after="0"/>
              <w:rPr>
                <w:sz w:val="17"/>
                <w:szCs w:val="17"/>
                <w:color w:val="auto"/>
              </w:rPr>
            </w:pPr>
          </w:p>
        </w:tc>
        <w:tc>
          <w:tcPr>
            <w:tcW w:w="2400" w:type="dxa"/>
            <w:vAlign w:val="bottom"/>
            <w:shd w:val="clear" w:color="auto" w:fill="D2EAF1"/>
          </w:tcPr>
          <w:p>
            <w:pPr>
              <w:spacing w:after="0"/>
              <w:rPr>
                <w:sz w:val="17"/>
                <w:szCs w:val="17"/>
                <w:color w:val="auto"/>
              </w:rPr>
            </w:pPr>
          </w:p>
        </w:tc>
        <w:tc>
          <w:tcPr>
            <w:tcW w:w="340" w:type="dxa"/>
            <w:vAlign w:val="bottom"/>
            <w:shd w:val="clear" w:color="auto" w:fill="D2EAF1"/>
          </w:tcPr>
          <w:p>
            <w:pPr>
              <w:spacing w:after="0"/>
              <w:rPr>
                <w:sz w:val="17"/>
                <w:szCs w:val="17"/>
                <w:color w:val="auto"/>
              </w:rPr>
            </w:pPr>
          </w:p>
        </w:tc>
        <w:tc>
          <w:tcPr>
            <w:tcW w:w="2720" w:type="dxa"/>
            <w:vAlign w:val="bottom"/>
            <w:gridSpan w:val="2"/>
            <w:shd w:val="clear" w:color="auto" w:fill="D2EAF1"/>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Mileage (“T&amp;M”) Revenue</w:t>
            </w:r>
          </w:p>
        </w:tc>
        <w:tc>
          <w:tcPr>
            <w:tcW w:w="2400" w:type="dxa"/>
            <w:vAlign w:val="bottom"/>
            <w:shd w:val="clear" w:color="auto" w:fill="D2EAF1"/>
          </w:tcPr>
          <w:p>
            <w:pPr>
              <w:jc w:val="center"/>
              <w:spacing w:after="0" w:line="202" w:lineRule="exact"/>
              <w:rPr>
                <w:sz w:val="20"/>
                <w:szCs w:val="20"/>
                <w:color w:val="auto"/>
              </w:rPr>
            </w:pPr>
            <w:r>
              <w:rPr>
                <w:rFonts w:ascii="Arial" w:cs="Arial" w:eastAsia="Arial" w:hAnsi="Arial"/>
                <w:sz w:val="18"/>
                <w:szCs w:val="18"/>
                <w:b w:val="1"/>
                <w:bCs w:val="1"/>
                <w:color w:val="auto"/>
                <w:w w:val="99"/>
              </w:rPr>
              <w:t>Average 2015 Rental Fleet</w:t>
            </w:r>
          </w:p>
        </w:tc>
      </w:tr>
      <w:tr>
        <w:trPr>
          <w:trHeight w:val="252"/>
        </w:trPr>
        <w:tc>
          <w:tcPr>
            <w:tcW w:w="356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Total 2015 Rental Days</w:t>
            </w:r>
          </w:p>
        </w:tc>
        <w:tc>
          <w:tcPr>
            <w:tcW w:w="34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32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Size</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Americas</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99 million</w:t>
            </w:r>
          </w:p>
        </w:tc>
        <w:tc>
          <w:tcPr>
            <w:tcW w:w="2740" w:type="dxa"/>
            <w:vAlign w:val="bottom"/>
            <w:gridSpan w:val="2"/>
          </w:tcPr>
          <w:p>
            <w:pPr>
              <w:jc w:val="center"/>
              <w:ind w:left="250"/>
              <w:spacing w:after="0"/>
              <w:rPr>
                <w:sz w:val="20"/>
                <w:szCs w:val="20"/>
                <w:color w:val="auto"/>
              </w:rPr>
            </w:pPr>
            <w:r>
              <w:rPr>
                <w:rFonts w:ascii="Arial" w:cs="Arial" w:eastAsia="Arial" w:hAnsi="Arial"/>
                <w:sz w:val="18"/>
                <w:szCs w:val="18"/>
                <w:color w:val="auto"/>
              </w:rPr>
              <w:t>$40.55</w:t>
            </w:r>
          </w:p>
        </w:tc>
        <w:tc>
          <w:tcPr>
            <w:tcW w:w="32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383,000</w:t>
            </w:r>
          </w:p>
        </w:tc>
      </w:tr>
      <w:tr>
        <w:trPr>
          <w:trHeight w:val="270"/>
        </w:trPr>
        <w:tc>
          <w:tcPr>
            <w:tcW w:w="3560" w:type="dxa"/>
            <w:vAlign w:val="bottom"/>
            <w:shd w:val="clear" w:color="auto" w:fill="D2EAF1"/>
          </w:tcPr>
          <w:p>
            <w:pPr>
              <w:ind w:left="40"/>
              <w:spacing w:after="0"/>
              <w:rPr>
                <w:sz w:val="20"/>
                <w:szCs w:val="20"/>
                <w:color w:val="auto"/>
              </w:rPr>
            </w:pPr>
            <w:r>
              <w:rPr>
                <w:rFonts w:ascii="Arial" w:cs="Arial" w:eastAsia="Arial" w:hAnsi="Arial"/>
                <w:sz w:val="18"/>
                <w:szCs w:val="18"/>
                <w:b w:val="1"/>
                <w:bCs w:val="1"/>
                <w:color w:val="auto"/>
              </w:rPr>
              <w:t>International</w:t>
            </w: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color w:val="auto"/>
                <w:w w:val="99"/>
              </w:rPr>
              <w:t>43 million</w:t>
            </w:r>
          </w:p>
        </w:tc>
        <w:tc>
          <w:tcPr>
            <w:tcW w:w="2740" w:type="dxa"/>
            <w:vAlign w:val="bottom"/>
            <w:gridSpan w:val="2"/>
            <w:shd w:val="clear" w:color="auto" w:fill="D2EAF1"/>
          </w:tcPr>
          <w:p>
            <w:pPr>
              <w:jc w:val="center"/>
              <w:ind w:left="250"/>
              <w:spacing w:after="0"/>
              <w:rPr>
                <w:sz w:val="20"/>
                <w:szCs w:val="20"/>
                <w:color w:val="auto"/>
              </w:rPr>
            </w:pPr>
            <w:r>
              <w:rPr>
                <w:rFonts w:ascii="Arial" w:cs="Arial" w:eastAsia="Arial" w:hAnsi="Arial"/>
                <w:sz w:val="18"/>
                <w:szCs w:val="18"/>
                <w:color w:val="auto"/>
              </w:rPr>
              <w:t>$33.57</w:t>
            </w:r>
          </w:p>
        </w:tc>
        <w:tc>
          <w:tcPr>
            <w:tcW w:w="320" w:type="dxa"/>
            <w:vAlign w:val="bottom"/>
            <w:shd w:val="clear" w:color="auto" w:fill="D2EAF1"/>
          </w:tcPr>
          <w:p>
            <w:pPr>
              <w:spacing w:after="0"/>
              <w:rPr>
                <w:sz w:val="23"/>
                <w:szCs w:val="23"/>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color w:val="auto"/>
              </w:rPr>
              <w:t>164,000</w:t>
            </w:r>
          </w:p>
        </w:tc>
      </w:tr>
      <w:tr>
        <w:trPr>
          <w:trHeight w:val="243"/>
        </w:trPr>
        <w:tc>
          <w:tcPr>
            <w:tcW w:w="356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142 million</w:t>
            </w:r>
          </w:p>
        </w:tc>
        <w:tc>
          <w:tcPr>
            <w:tcW w:w="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547,000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8890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26035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8890</wp:posOffset>
            </wp:positionV>
            <wp:extent cx="1526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26035</wp:posOffset>
            </wp:positionV>
            <wp:extent cx="15265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Note: Operating metrics exclude Zipcar and U.S. truck rental operations, which had average fleets of 13,000 and 21,000 vehicles, respectively, in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composition of our rental days and our average rental fleet in 2015, by segment:</w:t>
      </w:r>
    </w:p>
    <w:p>
      <w:pPr>
        <w:sectPr>
          <w:pgSz w:w="11900" w:h="16838" w:orient="portrait"/>
          <w:cols w:equalWidth="0" w:num="1">
            <w:col w:w="11420"/>
          </w:cols>
          <w:pgMar w:left="240" w:top="140" w:right="239" w:bottom="1440" w:gutter="0" w:footer="0" w:header="0"/>
        </w:sectPr>
      </w:pPr>
    </w:p>
    <w:p>
      <w:pPr>
        <w:spacing w:after="0" w:line="257"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840"/>
        <w:spacing w:after="0"/>
        <w:rPr>
          <w:sz w:val="20"/>
          <w:szCs w:val="20"/>
          <w:color w:val="auto"/>
        </w:rPr>
      </w:pPr>
      <w:r>
        <w:rPr>
          <w:rFonts w:ascii="Arial" w:cs="Arial" w:eastAsia="Arial" w:hAnsi="Arial"/>
          <w:sz w:val="17"/>
          <w:szCs w:val="17"/>
          <w:b w:val="1"/>
          <w:bCs w:val="1"/>
          <w:color w:val="auto"/>
        </w:rPr>
        <w:t>2015 Rental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107950</wp:posOffset>
            </wp:positionV>
            <wp:extent cx="1886585" cy="141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141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2000"/>
        <w:spacing w:after="0"/>
        <w:rPr>
          <w:sz w:val="20"/>
          <w:szCs w:val="20"/>
          <w:color w:val="auto"/>
        </w:rPr>
      </w:pPr>
      <w:r>
        <w:rPr>
          <w:rFonts w:ascii="Arial" w:cs="Arial" w:eastAsia="Arial" w:hAnsi="Arial"/>
          <w:sz w:val="17"/>
          <w:szCs w:val="17"/>
          <w:b w:val="1"/>
          <w:bCs w:val="1"/>
          <w:color w:val="auto"/>
        </w:rPr>
        <w:t>2015 Rental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107950</wp:posOffset>
            </wp:positionV>
            <wp:extent cx="1886585" cy="141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141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4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Financial data for our segments and geographic areas are reported in Note 19-Segment Information to our Consolidated Financial Statements included in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548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7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objective is to strategically accelerate our growth, strengthen our global position as a leading provider of vehicle rental services, enhance our customers’ rental experience, control costs and drive efficiency throughout the organization. We expect to achieve our goals by focusing our efforts on the following core strategic initiatives:</w:t>
      </w:r>
    </w:p>
    <w:p>
      <w:pPr>
        <w:spacing w:after="0" w:line="180" w:lineRule="exact"/>
        <w:rPr>
          <w:sz w:val="20"/>
          <w:szCs w:val="20"/>
          <w:color w:val="auto"/>
        </w:rPr>
      </w:pPr>
    </w:p>
    <w:p>
      <w:pPr>
        <w:ind w:left="660" w:right="460" w:hanging="328"/>
        <w:spacing w:after="0" w:line="2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Strategically Accelerate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pursued and will continue to pursue numerous opportunities intended to increase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make disproportionate contributions to our earnings. For instance:</w:t>
      </w:r>
    </w:p>
    <w:p>
      <w:pPr>
        <w:spacing w:after="0" w:line="175" w:lineRule="exact"/>
        <w:rPr>
          <w:rFonts w:ascii="Arial" w:cs="Arial" w:eastAsia="Arial" w:hAnsi="Arial"/>
          <w:sz w:val="18"/>
          <w:szCs w:val="18"/>
          <w:color w:val="auto"/>
        </w:rPr>
      </w:pPr>
    </w:p>
    <w:p>
      <w:pPr>
        <w:ind w:left="1300" w:right="56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focused on promoting car class upgrades, adjusting our mix of vehicles to match customer demand, growing our rentals to small-business and international travelers, increasing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1300" w:right="60"/>
        <w:spacing w:after="0" w:line="301" w:lineRule="auto"/>
        <w:rPr>
          <w:sz w:val="20"/>
          <w:szCs w:val="20"/>
          <w:color w:val="auto"/>
        </w:rPr>
      </w:pPr>
      <w:r>
        <w:rPr>
          <w:rFonts w:ascii="Arial" w:cs="Arial" w:eastAsia="Arial" w:hAnsi="Arial"/>
          <w:sz w:val="18"/>
          <w:szCs w:val="18"/>
          <w:color w:val="auto"/>
        </w:rPr>
        <w:t>the number of rentals that customers book through our own websites and mobile applications, increasing the proportion of transactions in which customers prepay us, and expanding our ancillary revenues derived from offering additional ancillary products and services to the rental transactions of an increasing percentage of our customers. We believe these efforts will not only enhance the rental experience, but also generate incremental revenue and add to profitability.</w:t>
      </w:r>
    </w:p>
    <w:p>
      <w:pPr>
        <w:spacing w:after="0" w:line="177" w:lineRule="exact"/>
        <w:rPr>
          <w:sz w:val="20"/>
          <w:szCs w:val="20"/>
          <w:color w:val="auto"/>
        </w:rPr>
      </w:pPr>
    </w:p>
    <w:p>
      <w:pPr>
        <w:ind w:left="1300" w:right="40" w:hanging="320"/>
        <w:spacing w:after="0" w:line="25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are focused on yield management and pricing optimization in an effort to increase the rental fees we earn per rental day. We have implemented, and plan to continue to implement, new technology systems that strengthen our yield management and enable us to tailor our product, service and price offerings not only to meet our customers’ needs, but also in response to actions taken by our competitors. We expect to continue to adjust our pricing to bolster profitability and match changes in demand.</w:t>
      </w:r>
    </w:p>
    <w:p>
      <w:pPr>
        <w:spacing w:after="0" w:line="205" w:lineRule="exact"/>
        <w:rPr>
          <w:rFonts w:ascii="Arial" w:cs="Arial" w:eastAsia="Arial" w:hAnsi="Arial"/>
          <w:sz w:val="18"/>
          <w:szCs w:val="18"/>
          <w:color w:val="auto"/>
        </w:rPr>
      </w:pPr>
    </w:p>
    <w:p>
      <w:pPr>
        <w:ind w:left="1300" w:right="100" w:hanging="320"/>
        <w:spacing w:after="0" w:line="25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continue to see significant growth opportunities related to our Zipcar brand. We expect to increase our Zipcar membership base by growing the number of businesses, government agencies and universities that Zipcar serves within its existing markets, as well as expanding the brand into new markets where our existing car rental presence will help enable the introduction of Zipcar’s car sharing services. We expect that such growth will include making more Zipcars available at airport locations, offering one-way usage of Zipcars at certain locations, cross-marketing partnerships through our well-established corporate and affinity relationships and expanding our car sharing footprint outside of the United States.</w:t>
      </w:r>
    </w:p>
    <w:p>
      <w:pPr>
        <w:spacing w:after="0" w:line="208" w:lineRule="exact"/>
        <w:rPr>
          <w:rFonts w:ascii="Arial" w:cs="Arial" w:eastAsia="Arial" w:hAnsi="Arial"/>
          <w:sz w:val="18"/>
          <w:szCs w:val="18"/>
          <w:color w:val="auto"/>
        </w:rPr>
      </w:pPr>
    </w:p>
    <w:p>
      <w:pPr>
        <w:ind w:left="1300" w:right="320" w:hanging="320"/>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continue to focus on addressing the need of the deep-value segment of the vehicle rental industry with our Payless and Apex brands and look to increase our profitability in this segment as we grow our revenues.</w:t>
      </w:r>
    </w:p>
    <w:p>
      <w:pPr>
        <w:spacing w:after="0" w:line="174" w:lineRule="exact"/>
        <w:rPr>
          <w:rFonts w:ascii="Arial" w:cs="Arial" w:eastAsia="Arial" w:hAnsi="Arial"/>
          <w:sz w:val="18"/>
          <w:szCs w:val="18"/>
          <w:color w:val="auto"/>
        </w:rPr>
      </w:pPr>
    </w:p>
    <w:p>
      <w:pPr>
        <w:ind w:left="660" w:right="100" w:hanging="328"/>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Strengthening Our Global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currently operate, either directly or through licensees, in approximately 180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we will continue to strengthen and further expand our global footprint through organic growth and potentially through acquisitions, joint ventures, licensing agreements or other relationships:</w:t>
      </w:r>
    </w:p>
    <w:p>
      <w:pPr>
        <w:spacing w:after="0" w:line="190"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countries where we have Company-operated locations, we will continue to identify opportunities to add new rental locations, to grant licenses to independent third parties for regions where we do not currently operate and/or do not wish to operate directly, to strengthen the presence of our brands and to re-acquire previously granted license rights in certain cases.</w:t>
      </w:r>
    </w:p>
    <w:p>
      <w:pPr>
        <w:spacing w:after="0" w:line="20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countries operated by licensees, including our joint ventures in India and China, we will seek to ensure that our licensees are well positioned to realize the growth potential of our brands in those countries and are aggressively growing their presence in those markets, and we expect to consider the re-acquisition of previously granted license rights in certain cases.</w:t>
      </w:r>
    </w:p>
    <w:p>
      <w:pPr>
        <w:spacing w:after="0" w:line="20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Zipcar represents a substantial growth opportunity for us as we believe that there are numerous geographic markets outside the United States, particularly in Europe and the Asia Pacific region, where Zipcar’s proven car sharing model can be utilized to meet substantial, currently unmet transportation needs.</w:t>
      </w:r>
    </w:p>
    <w:p>
      <w:pPr>
        <w:spacing w:after="0" w:line="179"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Enhancing Customers’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serving our customers and enhancing their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through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initiative, which is aimed at improving our customers’ rental experience with our brands, our systems and our employees. Following an extensive review of the ways, places and occasions in which our brands, our systems and our employees interact with existing and potential customers, we have implemented actions that further enhance the service we provide at these customer “touch points.” For example:</w:t>
      </w:r>
    </w:p>
    <w:p>
      <w:pPr>
        <w:spacing w:after="0" w:line="183" w:lineRule="exact"/>
        <w:rPr>
          <w:rFonts w:ascii="Arial" w:cs="Arial" w:eastAsia="Arial" w:hAnsi="Arial"/>
          <w:sz w:val="18"/>
          <w:szCs w:val="18"/>
          <w:color w:val="auto"/>
        </w:rPr>
      </w:pPr>
    </w:p>
    <w:p>
      <w:pPr>
        <w:jc w:val="both"/>
        <w:ind w:left="1300" w:right="180" w:hanging="320"/>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We offer </w:t>
      </w:r>
      <w:r>
        <w:rPr>
          <w:rFonts w:ascii="Arial" w:cs="Arial" w:eastAsia="Arial" w:hAnsi="Arial"/>
          <w:sz w:val="18"/>
          <w:szCs w:val="18"/>
          <w:i w:val="1"/>
          <w:iCs w:val="1"/>
          <w:color w:val="auto"/>
        </w:rPr>
        <w:t>Avis Preferred Select &amp; Go</w:t>
      </w:r>
      <w:r>
        <w:rPr>
          <w:rFonts w:ascii="Arial" w:cs="Arial" w:eastAsia="Arial" w:hAnsi="Arial"/>
          <w:sz w:val="18"/>
          <w:szCs w:val="18"/>
          <w:color w:val="auto"/>
        </w:rPr>
        <w:t>™, a vehicle-choice program for customers, and have revised our rental agreements and receipts to improve transparency, and mobile applications to accept reservations and to better communicate with customers. We have also significantly expanded customer-service-oriented training of our employees, achieving significant increases in customer satisfaction.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1300" w:right="540" w:hanging="320"/>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upgrade our technology, to make the reservation, pick-up and return process more convenient and user-friendly, with a particular emphasis on enabling and simplifying our customers’ online interactions with us.</w:t>
      </w:r>
    </w:p>
    <w:p>
      <w:pPr>
        <w:spacing w:after="0" w:line="196"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significantly expanded our tracking of customer-satisfaction levels so that we now receive location-specific feedback from more than 1 million customers annually, and we have implemented numerous service and process changes in response to this feedback.</w:t>
      </w:r>
    </w:p>
    <w:p>
      <w:pPr>
        <w:spacing w:after="0" w:line="202" w:lineRule="exact"/>
        <w:rPr>
          <w:sz w:val="20"/>
          <w:szCs w:val="20"/>
          <w:color w:val="auto"/>
        </w:rPr>
      </w:pPr>
    </w:p>
    <w:p>
      <w:pPr>
        <w:ind w:left="660" w:right="100"/>
        <w:spacing w:after="0" w:line="262" w:lineRule="auto"/>
        <w:rPr>
          <w:sz w:val="20"/>
          <w:szCs w:val="20"/>
          <w:color w:val="auto"/>
        </w:rPr>
      </w:pPr>
      <w:r>
        <w:rPr>
          <w:rFonts w:ascii="Arial" w:cs="Arial" w:eastAsia="Arial" w:hAnsi="Arial"/>
          <w:sz w:val="18"/>
          <w:szCs w:val="18"/>
          <w:color w:val="auto"/>
        </w:rPr>
        <w:t>We expect to continue to invest in these efforts, with a particular emphasis on self-service technologies that we believe will allow us to serve customers more effectively and efficiently.</w:t>
      </w:r>
    </w:p>
    <w:p>
      <w:pPr>
        <w:spacing w:after="0" w:line="174" w:lineRule="exact"/>
        <w:rPr>
          <w:sz w:val="20"/>
          <w:szCs w:val="20"/>
          <w:color w:val="auto"/>
        </w:rPr>
      </w:pPr>
    </w:p>
    <w:p>
      <w:pPr>
        <w:ind w:left="660" w:right="60" w:hanging="328"/>
        <w:spacing w:after="0" w:line="26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Controlling Costs and Driving Efficiency throughout the 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our efforts to rigorously control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aggressively reduce expenses throughout our organization, and we have consistently eliminated or reduced significant costs through the integration of acquired businesses. In addition:</w:t>
      </w:r>
    </w:p>
    <w:p>
      <w:pPr>
        <w:spacing w:after="0" w:line="190" w:lineRule="exact"/>
        <w:rPr>
          <w:rFonts w:ascii="Arial" w:cs="Arial" w:eastAsia="Arial" w:hAnsi="Arial"/>
          <w:sz w:val="18"/>
          <w:szCs w:val="18"/>
          <w:color w:val="auto"/>
        </w:rPr>
      </w:pPr>
    </w:p>
    <w:p>
      <w:pPr>
        <w:ind w:left="1300" w:right="160" w:hanging="320"/>
        <w:spacing w:after="0" w:line="25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continued to develop and implement our Performance Excellence process improvement initiative to increase efficiencies, reduce operating costs and create sustainable cost savings using LEAN, Six Sigma and other tools. This initiative, which we have expanded to cover our operations in our International segment, has generated substantial savings since its implementation and is expected to continue to provide incremental benefits.</w:t>
      </w:r>
    </w:p>
    <w:p>
      <w:pPr>
        <w:spacing w:after="0" w:line="204" w:lineRule="exact"/>
        <w:rPr>
          <w:rFonts w:ascii="Arial" w:cs="Arial" w:eastAsia="Arial" w:hAnsi="Arial"/>
          <w:sz w:val="18"/>
          <w:szCs w:val="18"/>
          <w:color w:val="auto"/>
        </w:rPr>
      </w:pPr>
    </w:p>
    <w:p>
      <w:pPr>
        <w:ind w:left="1300" w:right="40" w:hanging="320"/>
        <w:spacing w:after="0" w:line="25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Through our Transformation 2015 initiative, we have taken significant actions to further streamline our administrative and shared-services infrastructure through a restructuring program that identifies and replicates best practices, leverages the scale and capabilities of third-party service providers, and will increase the global standardization and consolidation of non-rental-location functions over time.</w:t>
      </w:r>
    </w:p>
    <w:p>
      <w:pPr>
        <w:spacing w:after="0" w:line="204" w:lineRule="exact"/>
        <w:rPr>
          <w:rFonts w:ascii="Arial" w:cs="Arial" w:eastAsia="Arial" w:hAnsi="Arial"/>
          <w:sz w:val="18"/>
          <w:szCs w:val="18"/>
          <w:color w:val="auto"/>
        </w:rPr>
      </w:pPr>
    </w:p>
    <w:p>
      <w:pPr>
        <w:ind w:left="1300" w:right="20" w:hanging="320"/>
        <w:spacing w:after="0" w:line="256"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have implemented initiatives to integrate our acquired businesses, to realize cost efficiencies from combined maintenance, systems, technology and administrative infrastructure, as well as fleet utilization benefits and savings by combining our car rental and car sharing fleets at times to reduce the number of unutilized vehicles.</w:t>
      </w:r>
    </w:p>
    <w:p>
      <w:pPr>
        <w:spacing w:after="0" w:line="201" w:lineRule="exact"/>
        <w:rPr>
          <w:rFonts w:ascii="Arial" w:cs="Arial" w:eastAsia="Arial" w:hAnsi="Arial"/>
          <w:sz w:val="18"/>
          <w:szCs w:val="18"/>
          <w:color w:val="auto"/>
        </w:rPr>
      </w:pPr>
    </w:p>
    <w:p>
      <w:pPr>
        <w:ind w:left="1300" w:right="680" w:hanging="320"/>
        <w:spacing w:after="0" w:line="256"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have also continued to implement technology solutions, including self-service voice reservation technology, mobile communications with customers and fleet optimization technologies to reduce costs, and we will further continue to pursue innovative solutions to support our strategic initiatives.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such steps will continue to aid our financial performance.</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executing our strategy, we plan to continue to position our distinct and well-recognized global brands to focus on different segments of customer demand, complemented by our other brands in their respective regional markets. With Avis as a premium brand preferred more by corporate and upscale leisure travelers, Budget as a mid-tier brand preferred more by value-conscious travelers, Payless as a deep-value brand, Maggiore and Apex as well-recognized regional brands and Zipcar offering its members an economical alternative to car ownership, we believe we are able to target a broad range of demand, particularly since the brands often share the same operational and administrative infrastructure while providing differentiated though consistently high levels of customer service.</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aim to provide vehicles, products, services and pricing, to use various marketing channels and to maintain marketing affiliations and corporate account contracts that complement each brand’s positioning. We plan to continue to invest in our brands through a variety of efforts, including television commercials, print advertisements and on-line and off-line marketing. We see particular growth opportunities for our Budget brand in Europe, as Budget’s share of airport car rentals is significantly smaller in Europe than in other parts of the world, and for Zipcar internationally, where the brand’s proven car sharing model can be expanded into numerous geographic markets.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operate in a highly competitive industry, and our results can be impacted by external factors, such as travel demand and uncertain economic conditions in various parts of the world. We seek to mitigate our exposure to risks in numerous ways, including delivering upon the core strategic initiatives described above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548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we enjoy significant benefits from operating our Avis and Budget brands to target different rental customers but share the same maintenance facilities, fleet management systems, technology and administrative infrastructure. In addition, we are able to recognize significant benefits and savings by combining our car rental and car sharing maintenance activities and fleets at times to reduce the number of unutilized cars and to meet demand peaks. We believe that Avis, Budget and Zipcar all enjoy complementary demand patterns with mid-week commercial demand balanced by weekend leisure demand. We also operate the Apex and Payless brands, which operate in the deep-value segment of the car rental industry, and augment our Avis, Budget and Zipcar brands.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Avis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Avis is a leading rental car supplier positioned to serve the premium commercial and leisure segments of the travel industry. The Avis brand provides high-quality car rental services at price points generally above non-branded and value-branded national car rental companies. We operate or license the Avis car rental system (the “Avis System”), one of the largest car rental systems in the world, comprised of approximately 5,550 locations worldwide, including in virtually all of the largest commercial airports and cities in the world.</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operate approximately 2,700 Avis car rental locations worldwide, in both the on-airport and off-airport, or local, rental markets. In 2015, our Avis operations generated total revenue of approximately $5.0 billion, of which approximately 64% (or $3.2 billion) was derived from operations in the Americas. In addition, we license the Avis brand to other independent commercial owners in approximately 2,850 locations throughout the world. In 2015, approximately 71% of the Avis System total revenue was generated by our Company-operated locations and the remainder was generated by locations operated by independent licensees, which generally pay royalty fees to us based on a percentage of applicable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Avis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Avis System Locations</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6D9F1"/>
            </w:tcBorders>
          </w:tcPr>
          <w:p>
            <w:pPr>
              <w:spacing w:after="0"/>
              <w:rPr>
                <w:sz w:val="22"/>
                <w:szCs w:val="22"/>
                <w:color w:val="auto"/>
              </w:rPr>
            </w:pPr>
          </w:p>
        </w:tc>
        <w:tc>
          <w:tcPr>
            <w:tcW w:w="2000" w:type="dxa"/>
            <w:vAlign w:val="bottom"/>
            <w:tcBorders>
              <w:bottom w:val="single" w:sz="8" w:color="C6D9F1"/>
            </w:tcBorders>
          </w:tcPr>
          <w:p>
            <w:pPr>
              <w:spacing w:after="0"/>
              <w:rPr>
                <w:sz w:val="22"/>
                <w:szCs w:val="22"/>
                <w:color w:val="auto"/>
              </w:rPr>
            </w:pP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Americas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6D9F1"/>
            </w:tcBorders>
          </w:tcPr>
          <w:p>
            <w:pPr>
              <w:spacing w:after="0"/>
              <w:rPr>
                <w:sz w:val="22"/>
                <w:szCs w:val="22"/>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C6D9F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4060" w:type="dxa"/>
            <w:vAlign w:val="bottom"/>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3660" w:type="dxa"/>
            <w:vAlign w:val="bottom"/>
            <w:gridSpan w:val="2"/>
            <w:shd w:val="clear" w:color="auto" w:fill="C6D9F1"/>
          </w:tcPr>
          <w:p>
            <w:pPr>
              <w:jc w:val="right"/>
              <w:spacing w:after="0"/>
              <w:rPr>
                <w:sz w:val="20"/>
                <w:szCs w:val="20"/>
                <w:color w:val="auto"/>
              </w:rPr>
            </w:pPr>
            <w:r>
              <w:rPr>
                <w:rFonts w:ascii="Arial" w:cs="Arial" w:eastAsia="Arial" w:hAnsi="Arial"/>
                <w:sz w:val="18"/>
                <w:szCs w:val="18"/>
                <w:color w:val="auto"/>
              </w:rPr>
              <w:t>1,500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6D9F1"/>
          </w:tcPr>
          <w:p>
            <w:pPr>
              <w:spacing w:after="0"/>
              <w:rPr>
                <w:sz w:val="22"/>
                <w:szCs w:val="22"/>
                <w:color w:val="auto"/>
              </w:rPr>
            </w:pPr>
          </w:p>
        </w:tc>
        <w:tc>
          <w:tcPr>
            <w:tcW w:w="320" w:type="dxa"/>
            <w:vAlign w:val="bottom"/>
            <w:shd w:val="clear" w:color="auto" w:fill="C6D9F1"/>
          </w:tcPr>
          <w:p>
            <w:pPr>
              <w:spacing w:after="0"/>
              <w:rPr>
                <w:sz w:val="22"/>
                <w:szCs w:val="22"/>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900" w:type="dxa"/>
            <w:vAlign w:val="bottom"/>
            <w:gridSpan w:val="3"/>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6D9F1"/>
            </w:tcBorders>
          </w:tcPr>
          <w:p>
            <w:pPr>
              <w:spacing w:after="0"/>
              <w:rPr>
                <w:sz w:val="2"/>
                <w:szCs w:val="2"/>
                <w:color w:val="auto"/>
              </w:rPr>
            </w:pPr>
          </w:p>
        </w:tc>
        <w:tc>
          <w:tcPr>
            <w:tcW w:w="2000" w:type="dxa"/>
            <w:vAlign w:val="bottom"/>
            <w:tcBorders>
              <w:bottom w:val="single" w:sz="8" w:color="C6D9F1"/>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shd w:val="clear" w:color="auto" w:fill="C6D9F1"/>
          </w:tcPr>
          <w:p>
            <w:pPr>
              <w:ind w:left="40"/>
              <w:spacing w:after="0"/>
              <w:rPr>
                <w:sz w:val="20"/>
                <w:szCs w:val="20"/>
                <w:color w:val="auto"/>
              </w:rPr>
            </w:pPr>
            <w:r>
              <w:rPr>
                <w:rFonts w:ascii="Arial" w:cs="Arial" w:eastAsia="Arial" w:hAnsi="Arial"/>
                <w:sz w:val="18"/>
                <w:szCs w:val="18"/>
                <w:b w:val="1"/>
                <w:bCs w:val="1"/>
                <w:color w:val="auto"/>
              </w:rPr>
              <w:t>Total Avis System Locations</w:t>
            </w:r>
          </w:p>
        </w:tc>
        <w:tc>
          <w:tcPr>
            <w:tcW w:w="3660" w:type="dxa"/>
            <w:vAlign w:val="bottom"/>
            <w:gridSpan w:val="2"/>
            <w:shd w:val="clear" w:color="auto" w:fill="C6D9F1"/>
          </w:tcPr>
          <w:p>
            <w:pPr>
              <w:jc w:val="right"/>
              <w:spacing w:after="0"/>
              <w:rPr>
                <w:sz w:val="20"/>
                <w:szCs w:val="20"/>
                <w:color w:val="auto"/>
              </w:rPr>
            </w:pPr>
            <w:r>
              <w:rPr>
                <w:rFonts w:ascii="Arial" w:cs="Arial" w:eastAsia="Arial" w:hAnsi="Arial"/>
                <w:sz w:val="18"/>
                <w:szCs w:val="18"/>
                <w:color w:val="auto"/>
              </w:rPr>
              <w:t>2,250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6D9F1"/>
          </w:tcPr>
          <w:p>
            <w:pPr>
              <w:spacing w:after="0"/>
              <w:rPr>
                <w:sz w:val="21"/>
                <w:szCs w:val="21"/>
                <w:color w:val="auto"/>
              </w:rPr>
            </w:pPr>
          </w:p>
        </w:tc>
        <w:tc>
          <w:tcPr>
            <w:tcW w:w="320" w:type="dxa"/>
            <w:vAlign w:val="bottom"/>
            <w:shd w:val="clear" w:color="auto" w:fill="C6D9F1"/>
          </w:tcPr>
          <w:p>
            <w:pPr>
              <w:spacing w:after="0"/>
              <w:rPr>
                <w:sz w:val="21"/>
                <w:szCs w:val="21"/>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0"/>
        </w:trPr>
        <w:tc>
          <w:tcPr>
            <w:tcW w:w="4060" w:type="dxa"/>
            <w:vAlign w:val="bottom"/>
            <w:tcBorders>
              <w:top w:val="single" w:sz="8" w:color="C6D9F1"/>
            </w:tcBorders>
          </w:tcPr>
          <w:p>
            <w:pPr>
              <w:spacing w:after="0" w:line="20" w:lineRule="exact"/>
              <w:rPr>
                <w:sz w:val="1"/>
                <w:szCs w:val="1"/>
                <w:color w:val="auto"/>
              </w:rPr>
            </w:pPr>
          </w:p>
        </w:tc>
        <w:tc>
          <w:tcPr>
            <w:tcW w:w="2000" w:type="dxa"/>
            <w:vAlign w:val="bottom"/>
            <w:tcBorders>
              <w:top w:val="single" w:sz="8" w:color="C6D9F1"/>
              <w:bottom w:val="single" w:sz="8" w:color="C6D9F1"/>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graphs below present the approximate composition of the Americas Avis System revenue and global Avis System revenue in 2015:</w:t>
      </w:r>
    </w:p>
    <w:p>
      <w:pPr>
        <w:sectPr>
          <w:pgSz w:w="11900" w:h="16838" w:orient="portrait"/>
          <w:cols w:equalWidth="0" w:num="1">
            <w:col w:w="11420"/>
          </w:cols>
          <w:pgMar w:left="240" w:top="140" w:right="239" w:bottom="1440" w:gutter="0" w:footer="0" w:header="0"/>
        </w:sectPr>
      </w:pPr>
    </w:p>
    <w:p>
      <w:pPr>
        <w:spacing w:after="0" w:line="242"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340"/>
        <w:spacing w:after="0"/>
        <w:rPr>
          <w:sz w:val="20"/>
          <w:szCs w:val="20"/>
          <w:color w:val="auto"/>
        </w:rPr>
      </w:pPr>
      <w:r>
        <w:rPr>
          <w:rFonts w:ascii="Arial" w:cs="Arial" w:eastAsia="Arial" w:hAnsi="Arial"/>
          <w:sz w:val="17"/>
          <w:szCs w:val="17"/>
          <w:b w:val="1"/>
          <w:bCs w:val="1"/>
          <w:color w:val="auto"/>
        </w:rPr>
        <w:t>Americas Avis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107950</wp:posOffset>
            </wp:positionV>
            <wp:extent cx="1809750" cy="135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35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500"/>
        <w:spacing w:after="0"/>
        <w:rPr>
          <w:sz w:val="20"/>
          <w:szCs w:val="20"/>
          <w:color w:val="auto"/>
        </w:rPr>
      </w:pPr>
      <w:r>
        <w:rPr>
          <w:rFonts w:ascii="Arial" w:cs="Arial" w:eastAsia="Arial" w:hAnsi="Arial"/>
          <w:sz w:val="17"/>
          <w:szCs w:val="17"/>
          <w:b w:val="1"/>
          <w:bCs w:val="1"/>
          <w:color w:val="auto"/>
        </w:rPr>
        <w:t>Global Avis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107950</wp:posOffset>
            </wp:positionV>
            <wp:extent cx="1809750" cy="135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1355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39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2015, Avis derived approximately $1.8 billion and $1.7 billion (or 51% and 49%) of its vehicle rental revenue from commercial and leisure customers, respectively, and $2.4 billion and $1.1 billion (or 69% and 31%) of its vehicle rental revenue from customers renting at airports and locally,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25" w:lineRule="exact"/>
        <w:rPr>
          <w:sz w:val="20"/>
          <w:szCs w:val="20"/>
          <w:color w:val="auto"/>
        </w:rPr>
      </w:pPr>
    </w:p>
    <w:p>
      <w:pPr>
        <w:ind w:left="660" w:right="4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Preferred, a frequent renter rewards program that offers counter bypass at major airport locations and reward points for every dollar spent on vehicle rentals and related products;</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Preferred Select &amp; Go, a service that allows customers at certain locations to select an alternate vehicle or upgrade their vehicle choice without visiting the rental counter;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Signature Series, a selection of luxury vehicles including BMWs, Corvettes, Mercedes and Maseratis;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rental of portable GPS navigation units, tablets and in-dash satellite radio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roadside assistance;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e-receipts;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100% smoke-free car rental fleet in North America;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toll collection services that allow customers to pay highway tolls without waiting in toll booth 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amenities such as Avis Access, a full range of special products and services for drivers and passengers with disabilities;</w:t>
      </w:r>
    </w:p>
    <w:p>
      <w:pPr>
        <w:spacing w:after="0" w:line="22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Interactive, a proprietary management tool that allows corporate clients to easily view and analyze their rental activity via the Internet, permitting these clients to better manage their travel budgets and monitor employee compliance with applicable travel policies; and</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online interactions with our customers through various mobile platforms, including an application for the Apple Watch and an updated Android application featuring voice-activated reservations.</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Avis was named World’s Leading Car Rental Company by the World Travel Awards in 2015, and was named the leading car rental company in customer loyalty in the Brand Keys Customer Loyalty Engagement Index for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In addition, Avis was named to the 2015 Brand Keys Loyalty Leaders List and received numerous other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w:t>
      </w:r>
    </w:p>
    <w:p>
      <w:pPr>
        <w:spacing w:after="0" w:line="24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Budget is a leading rental car supplier focused primarily on more value-conscious segments of the industry. We operate or license the Budget vehicle rental system (the “Budget System”), which is comprised of approximately 3,900 car rental locations and represents one of the largest car rental systems in the world. The Budget System encompasses locations at most of the largest airports and cities in the world.</w:t>
      </w:r>
    </w:p>
    <w:p>
      <w:pPr>
        <w:spacing w:after="0" w:line="20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operate approximately 1,950 Budget car rental locations worldwide. In 2015, our Budget car rental operations generated total revenue of approximately $2.4 billion, of which 84% (or $2.0 billion) was derived from operations in the Americas. We also license the Budget System to independent business owners who operate approximately 1,950 locations worldwide. In 2015, approximately 71% of the Budget System total revenue was generated by our Company-operated locations with the remainder generated by locations operated by independent licensees, which generally pay royalty fees to us based on a percentage of applicable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Budget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4040" w:type="dxa"/>
            <w:vAlign w:val="bottom"/>
            <w:tcBorders>
              <w:bottom w:val="single" w:sz="8" w:color="auto"/>
            </w:tcBorders>
            <w:gridSpan w:val="5"/>
          </w:tcPr>
          <w:p>
            <w:pPr>
              <w:jc w:val="center"/>
              <w:ind w:left="1250"/>
              <w:spacing w:after="0"/>
              <w:rPr>
                <w:sz w:val="20"/>
                <w:szCs w:val="20"/>
                <w:color w:val="auto"/>
              </w:rPr>
            </w:pPr>
            <w:r>
              <w:rPr>
                <w:rFonts w:ascii="Arial" w:cs="Arial" w:eastAsia="Arial" w:hAnsi="Arial"/>
                <w:sz w:val="18"/>
                <w:szCs w:val="18"/>
                <w:b w:val="1"/>
                <w:bCs w:val="1"/>
                <w:color w:val="auto"/>
              </w:rPr>
              <w:t>Budget System Locations</w:t>
            </w:r>
          </w:p>
        </w:tc>
        <w:tc>
          <w:tcPr>
            <w:tcW w:w="132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Americas</w:t>
            </w:r>
          </w:p>
        </w:tc>
        <w:tc>
          <w:tcPr>
            <w:tcW w:w="2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International</w:t>
            </w: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tcBorders>
              <w:top w:val="single" w:sz="8" w:color="C6D9F1"/>
            </w:tcBorders>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6D9F1"/>
            </w:tcBorders>
            <w:shd w:val="clear" w:color="auto" w:fill="C6D9F1"/>
          </w:tcPr>
          <w:p>
            <w:pPr>
              <w:spacing w:after="0"/>
              <w:rPr>
                <w:sz w:val="22"/>
                <w:szCs w:val="22"/>
                <w:color w:val="auto"/>
              </w:rPr>
            </w:pP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6D9F1"/>
            </w:tcBorders>
            <w:shd w:val="clear" w:color="auto" w:fill="C6D9F1"/>
          </w:tcPr>
          <w:p>
            <w:pPr>
              <w:spacing w:after="0"/>
              <w:rPr>
                <w:sz w:val="22"/>
                <w:szCs w:val="22"/>
                <w:color w:val="auto"/>
              </w:rPr>
            </w:pPr>
          </w:p>
        </w:tc>
        <w:tc>
          <w:tcPr>
            <w:tcW w:w="380" w:type="dxa"/>
            <w:vAlign w:val="bottom"/>
            <w:tcBorders>
              <w:top w:val="single" w:sz="8" w:color="auto"/>
            </w:tcBorders>
            <w:shd w:val="clear" w:color="auto" w:fill="C6D9F1"/>
          </w:tcPr>
          <w:p>
            <w:pPr>
              <w:spacing w:after="0"/>
              <w:rPr>
                <w:sz w:val="22"/>
                <w:szCs w:val="22"/>
                <w:color w:val="auto"/>
              </w:rPr>
            </w:pPr>
          </w:p>
        </w:tc>
        <w:tc>
          <w:tcPr>
            <w:tcW w:w="1320" w:type="dxa"/>
            <w:vAlign w:val="bottom"/>
            <w:tcBorders>
              <w:top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1,950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1,950</w:t>
            </w:r>
          </w:p>
        </w:tc>
      </w:tr>
      <w:tr>
        <w:trPr>
          <w:trHeight w:val="27"/>
        </w:trPr>
        <w:tc>
          <w:tcPr>
            <w:tcW w:w="60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6D9F1"/>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Total Budget System Locations</w:t>
            </w: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6D9F1"/>
            </w:tcBorders>
            <w:shd w:val="clear" w:color="auto" w:fill="C6D9F1"/>
          </w:tcPr>
          <w:p>
            <w:pPr>
              <w:spacing w:after="0"/>
              <w:rPr>
                <w:sz w:val="21"/>
                <w:szCs w:val="21"/>
                <w:color w:val="auto"/>
              </w:rPr>
            </w:pP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6D9F1"/>
            </w:tcBorders>
            <w:shd w:val="clear" w:color="auto" w:fill="C6D9F1"/>
          </w:tcPr>
          <w:p>
            <w:pPr>
              <w:spacing w:after="0"/>
              <w:rPr>
                <w:sz w:val="21"/>
                <w:szCs w:val="21"/>
                <w:color w:val="auto"/>
              </w:rPr>
            </w:pPr>
          </w:p>
        </w:tc>
        <w:tc>
          <w:tcPr>
            <w:tcW w:w="380" w:type="dxa"/>
            <w:vAlign w:val="bottom"/>
            <w:tcBorders>
              <w:bottom w:val="single" w:sz="8" w:color="auto"/>
            </w:tcBorders>
            <w:shd w:val="clear" w:color="auto" w:fill="C6D9F1"/>
          </w:tcPr>
          <w:p>
            <w:pPr>
              <w:spacing w:after="0"/>
              <w:rPr>
                <w:sz w:val="21"/>
                <w:szCs w:val="21"/>
                <w:color w:val="auto"/>
              </w:rPr>
            </w:pPr>
          </w:p>
        </w:tc>
        <w:tc>
          <w:tcPr>
            <w:tcW w:w="1320" w:type="dxa"/>
            <w:vAlign w:val="bottom"/>
            <w:tcBorders>
              <w:bottom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3,900</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present the approximate composition of the Americas Budget System revenue and global Budget System revenue in 2015:</w:t>
      </w:r>
    </w:p>
    <w:p>
      <w:pPr>
        <w:sectPr>
          <w:pgSz w:w="11900" w:h="16838" w:orient="portrait"/>
          <w:cols w:equalWidth="0" w:num="1">
            <w:col w:w="11420"/>
          </w:cols>
          <w:pgMar w:left="240" w:top="140" w:right="239" w:bottom="1440" w:gutter="0" w:footer="0" w:header="0"/>
        </w:sectPr>
      </w:pP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Americas Budget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107950</wp:posOffset>
            </wp:positionV>
            <wp:extent cx="1809750" cy="135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135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360"/>
        <w:spacing w:after="0"/>
        <w:rPr>
          <w:sz w:val="20"/>
          <w:szCs w:val="20"/>
          <w:color w:val="auto"/>
        </w:rPr>
      </w:pPr>
      <w:r>
        <w:rPr>
          <w:rFonts w:ascii="Arial" w:cs="Arial" w:eastAsia="Arial" w:hAnsi="Arial"/>
          <w:sz w:val="17"/>
          <w:szCs w:val="17"/>
          <w:b w:val="1"/>
          <w:bCs w:val="1"/>
          <w:color w:val="auto"/>
        </w:rPr>
        <w:t>Global Budget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107950</wp:posOffset>
            </wp:positionV>
            <wp:extent cx="1809750" cy="135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355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2015, Budget derived approximately $445 million and $1.3 billion (or 26% and 74%) of its vehicle rental revenue from commercial and leisure customers, respectively, and $1.3 billion and $415 million (or 76% and 24%) of its vehicle rental revenue from customers renting at airports and locally, respectively.</w:t>
      </w:r>
    </w:p>
    <w:p>
      <w:pPr>
        <w:spacing w:after="0" w:line="20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Budget offers its customers several products and programs similar to Avis, such as portable GPS navigation units, roadside assistance, electronic toll collection, emailed receipts and refueling options, as well as special rental rates for frequent renters and Budget’s Fastbreak service, an expedited rental service for frequent travelers.</w:t>
      </w:r>
    </w:p>
    <w:p>
      <w:pPr>
        <w:spacing w:after="0" w:line="20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In 2015, Budget received numerous awards, including for its award-winning loyalty program,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which was selected by Travel Weekly as a 2015 Gold Magellan Award Winner.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Zipcar</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Founded in 2000, Zipcar operates the world’s leading membership-based car sharing network that provides “wheels when you want them” to nearly one million members, also known as “Zipsters,” in over 30 major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metropolitan areas and over 500 college campuses in the United States, Canada and Europe. Zipcar provides its members self-service vehicles in reserved parking spaces located in residential neighborhoods, business districts, college campuses, business office complexes and airports.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members may reserve vehicles by the hour or by the day at rates that include gasoline, insurance and other costs associated with vehicle ownership, and they can make their reservations through Zipcar’s reservation system, which is available by phone, Internet or through the Zipcar application on their smartphone. Our members have the flexibility to choose from a variety of makes and models of vehicles that they want depending on their specific needs and desires for each trip and the available Zipcars in their neighborhoods. The flexibility and affordability of our service, as well as broader consumer trends toward responsible and sustainable living, provide a significant platform for future growth.</w:t>
      </w:r>
    </w:p>
    <w:p>
      <w:pPr>
        <w:spacing w:after="0" w:line="15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continue to make substantial investment in refining, innovating and enhancing Zipcar’s operations and fleet management systems, and we have integrated numerous elements of Zipcar’s operations and fleet management into our existing processes. We believe that the experience that we have gained and continue to accumulate while growing and operating our network is a key advantage, informing our decisions regarding our existing operations and services as well as our plans for expansion.</w:t>
      </w:r>
    </w:p>
    <w:p>
      <w:pPr>
        <w:spacing w:after="0" w:line="2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Zipcar offers its members the freedom of on-demand access to a fleet of vehicles at any hour of the day or night, in their neighborhood or in any of our Zipcar cities and locations. Benefits to members include:</w:t>
      </w:r>
    </w:p>
    <w:p>
      <w:pPr>
        <w:spacing w:after="0" w:line="178" w:lineRule="exact"/>
        <w:rPr>
          <w:sz w:val="20"/>
          <w:szCs w:val="20"/>
          <w:color w:val="auto"/>
        </w:rPr>
      </w:pPr>
    </w:p>
    <w:p>
      <w:pPr>
        <w:ind w:left="6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alternative to car ownership </w:t>
      </w:r>
      <w:r>
        <w:rPr>
          <w:rFonts w:ascii="Arial" w:cs="Arial" w:eastAsia="Arial" w:hAnsi="Arial"/>
          <w:sz w:val="18"/>
          <w:szCs w:val="18"/>
          <w:color w:val="auto"/>
        </w:rPr>
        <w:t>- Members pay for time they reserve the vehicle and have no responsibility for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hassles associated with car ownership, including parking, gasoline, taxes, registration, insurance, maintenance and lease payments.</w:t>
      </w:r>
    </w:p>
    <w:p>
      <w:pPr>
        <w:spacing w:after="0" w:line="176" w:lineRule="exact"/>
        <w:rPr>
          <w:rFonts w:ascii="Arial" w:cs="Arial" w:eastAsia="Arial" w:hAnsi="Arial"/>
          <w:sz w:val="18"/>
          <w:szCs w:val="18"/>
          <w:color w:val="auto"/>
        </w:rPr>
      </w:pPr>
    </w:p>
    <w:p>
      <w:pPr>
        <w:ind w:left="660" w:right="4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Convenience and accessible fleet </w:t>
      </w:r>
      <w:r>
        <w:rPr>
          <w:rFonts w:ascii="Arial" w:cs="Arial" w:eastAsia="Arial" w:hAnsi="Arial"/>
          <w:sz w:val="18"/>
          <w:szCs w:val="18"/>
          <w:color w:val="auto"/>
        </w:rPr>
        <w:t>- Zipcars are interspersed throughout local neighborhoods, colleges and corporate campuses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parked in reserved parking spaces and garages within an easy walk of where our members live, study and work. Members can book a designated vehicle online, by phone or via their mobile device, unlock the selected vehicle using a keyless entry card (called a “Zipcard”), and drive away. Because each Zipcar has a designated parking space, members are spared the often time-consuming undertaking of finding an available parking spot.</w:t>
      </w:r>
    </w:p>
    <w:p>
      <w:pPr>
        <w:spacing w:after="0" w:line="183"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Freedom and control - </w:t>
      </w:r>
      <w:r>
        <w:rPr>
          <w:rFonts w:ascii="Arial" w:cs="Arial" w:eastAsia="Arial" w:hAnsi="Arial"/>
          <w:sz w:val="18"/>
          <w:szCs w:val="18"/>
          <w:color w:val="auto"/>
        </w:rPr>
        <w:t>We provide our members with much of the freedom associated with car ownership while being complementary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to public transportation options. Like car owners, our members can choose when and where they want to drive. They also have the added benefit of being able to choose, based upon the readily available Zipcars in their neighborhoods, the make, model and type of vehicle they want to drive based on their specific needs and desires for each trip.</w:t>
      </w:r>
    </w:p>
    <w:p>
      <w:pPr>
        <w:spacing w:after="0" w:line="180" w:lineRule="exact"/>
        <w:rPr>
          <w:rFonts w:ascii="Arial" w:cs="Arial" w:eastAsia="Arial" w:hAnsi="Arial"/>
          <w:sz w:val="18"/>
          <w:szCs w:val="18"/>
          <w:color w:val="auto"/>
        </w:rPr>
      </w:pPr>
    </w:p>
    <w:p>
      <w:pPr>
        <w:ind w:left="660" w:right="4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Responsible and sustainable living - </w:t>
      </w:r>
      <w:r>
        <w:rPr>
          <w:rFonts w:ascii="Arial" w:cs="Arial" w:eastAsia="Arial" w:hAnsi="Arial"/>
          <w:sz w:val="18"/>
          <w:szCs w:val="18"/>
          <w:color w:val="auto"/>
        </w:rPr>
        <w:t>We are committed to providing our members with socially responsible, sustainable options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global environment, their communities and city livability. Studies show that car sharing reduces the number of miles driven, the number of personally-owned vehicles on the road and carbon emissions.</w:t>
      </w:r>
    </w:p>
    <w:p>
      <w:pPr>
        <w:spacing w:after="0" w:line="176" w:lineRule="exact"/>
        <w:rPr>
          <w:rFonts w:ascii="Arial" w:cs="Arial" w:eastAsia="Arial" w:hAnsi="Arial"/>
          <w:sz w:val="18"/>
          <w:szCs w:val="18"/>
          <w:color w:val="auto"/>
        </w:rPr>
      </w:pPr>
    </w:p>
    <w:p>
      <w:pPr>
        <w:ind w:left="660" w:right="1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Zipcar for Universities - </w:t>
      </w:r>
      <w:r>
        <w:rPr>
          <w:rFonts w:ascii="Arial" w:cs="Arial" w:eastAsia="Arial" w:hAnsi="Arial"/>
          <w:sz w:val="18"/>
          <w:szCs w:val="18"/>
          <w:color w:val="auto"/>
        </w:rPr>
        <w:t>We provide college students, faculty, staff and local residents living in or near rural and urban campuses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Zipcars. Zipcars are located on over 500 college and university campuses. Our program for universities helps university administrators maximize the use of limited parking space on campus and reduce campus congestion while providing an important amenity for students, faculty, staff and local residents. In some cases, Zipcar may be the only automobile transportation available to students, since many traditional rental car services have higher age restrictions.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2015, we rolled out our Instant Join program, reducing the time it takes to become a Zipcar member from up to a week to as little as 2.5 minutes. In addition, we launched Zipcar’s ONE&gt;WAY program in selected markets, allowing members to take on-demand one-way trips. The Zipcar brand has continued to be recognized as the world’s leading car sharing network and for the quality of the customer experience it offers.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0"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 Truck</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rental businesses in the United States. Our Budget Truck fleet is comprised of approximately 21,000 vehicles that are rented through a network of approximately 1,000 dealers and 450 Company-operated locations throughout the continental United States. These dealers are independently-owned businesses that generally operate other retail service businesses. In addition to their principal businesses, the dealers rent our light- and medium-duty trucks to consumers and to our commercial accounts and are responsible for collecting payments on our behalf. The dealers receive a commission on all truck and ancillary equipment rentals.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Payless brand is a leading rental car supplier positioned to serve the deep-value segment of the car rental industry. We operate or license the Payless brand, which is comprised of approximately 200 vehicle rental locations worldwide, including approximately 80 Company-operated locations and more than 100 locations operated by licensees. All Company-operated Payless locations are in the United States, the majority of which are at or near major airport locations. Payless’ base T&amp;M fees are often lower than those of larger, more established brands, but Payless has historically achieved a greater penetration of ancillary products and services with its customers. The Payless business model allows the Company to extend the life cycle of a portion of our fleet, as we “cascade” certain vehicles that exceed certain Avis and Budget age or mileage thresholds to be used by Payless.</w:t>
      </w:r>
    </w:p>
    <w:p>
      <w:pPr>
        <w:spacing w:after="0" w:line="20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Our Apex brand operates primarily in the deep-value segment of the car rental industry in New Zealand and Australia, where we have approximately 20 Apex rental locations. Apex operates its own rental fleet, separate from Avis and Budget vehicles and generally older and less expensive than vehicles offered by Avis, Budget and other traditional car rental companies. Apex generates substantially all of its reservations through its proprietary websites and contact center and typically has a greater than average length of rental. The substantial majority of Apex locations are at or near major airport locations.</w:t>
      </w: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2015, we acquired Maggiore Group, a leading vehicle rental services company in Italy, and we continue to operate more than 100 rental locations in Italy under the Maggiore brand. Our Maggiore brand is the fourth-largest vehicle rental brand in Italy and has a strong domestic reputation in the commercial, leisure and insurance replacement/leasing segments. Maggiore benefits from a strong presence at airport, off-airport and railway locations. We have integrated numerous elements of Maggiore’s operations and fleet management into our existing processes.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customers can make vehicle rental reservations through our brand-specific websites and through our toll -free reservation centers, by calling a specific location directly, through brand-specific mobile applications, through online travel agencies, through travel agents or through selected partners, including many major airlines. Travel agents can access our reservation systems through all major global distribution systems (“GDSs”), which provide information with respect to rental locations, vehicle availability and applicable rate structures.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Zipcar members may reserve cars by the hour or by the day through Zipcar’s reservation system, which is accessible by phone, Internet or through the Zipcar application on their smartphone. We also provide two-way SMS texting, enabling us to proactively reach out to members during their reservation via their mobile device to manage their reservation, including instant reservation extension.</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2015, we generated approximately 28% of our vehicle rental reservations through our brand-specific websites, 11% through our contact centers, 26% through GDSs, 13% through online travel agencies, 10% through direct-connect technologies and 12% through other sources. Virtually all of our Zipcar car sharing reservations were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generated online or through our Zipcar mobile applications. We use a voice reservation system that allows customers to conduct certain transactions such as confirmation, cancellation and modification of reservations using self-service interactive voice response technology. In addition to our Zipcar mobile applications, we have also developed Avis and Budget mobile applications for various mobile platforms, allowing our customers to more easily manage their car rental reservations on their mobile devices.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such as television, radio and print advertising, as well as Internet and email marketing and wireless mobile device applications. We also utilize a customer relationship management system that enables us to deliver more targeted and relevant offers to customers across both online and offline channels and allows our customers to benefit through better and more relevant marketing, improved service delivery and loyalty programs that reward frequent renters with free rental days and car class upgrades.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use social media to promote our brands and to provide our customers with the tools to interact with our brands electronically through social media and other web-based platforms. We also use digital marketing activities to drive international reservations.</w:t>
      </w:r>
    </w:p>
    <w:p>
      <w:pPr>
        <w:spacing w:after="0" w:line="1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Zipcar brand also utilizes localized marketing initiatives, which include low-cost, word-of-mouth marketing strategies and the use of marketing “brand ambassadors” that target potential members on a more personal, local level. These efforts highlight simple messages that communicate the benefits of “wheels when you want them.” Zipcar members also actively recruit new members as incentivized by Zipcar’s member referral program, which awards driving credit for new member referrals.</w:t>
      </w: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2015, we maintained, expanded or entered into marketing alliances with key marketing partners that include brand exposure and cross-marketing opportunities for each of the brands involved. For example, in 2015, Avis and Budget were named the “Official Car Rental Partners” of Universal Parks &amp; Resorts, and as the “Official Rental Car of the PGA TOUR,” Avis promoted its products and services to millions of golf enthusiasts worldwide through prominent advertising placements in PGA TOUR television broadcasts, scoreboards at tournaments, online media channels and additional official partner channels.</w:t>
      </w:r>
    </w:p>
    <w:p>
      <w:pPr>
        <w:spacing w:after="0" w:line="20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continue to maintain strong links to the travel industry and we expanded or entered into marketing alliances with numerous marketing partners in 2015:</w:t>
      </w:r>
    </w:p>
    <w:p>
      <w:pPr>
        <w:spacing w:after="0" w:line="196" w:lineRule="exact"/>
        <w:rPr>
          <w:sz w:val="20"/>
          <w:szCs w:val="20"/>
          <w:color w:val="auto"/>
        </w:rPr>
      </w:pPr>
    </w:p>
    <w:p>
      <w:pPr>
        <w:ind w:left="660" w:right="1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 marketing partnerships with many major airlines, including Air Canada, Air France, Air New Zealand, American Airlines, British Airways, Frontier Airlines, Iberia, Japan Airlines, JetBlue Airlines, KLM, Lufthansa, Qantas, SAS, Southwest Airlines and Virgin America.</w:t>
      </w:r>
    </w:p>
    <w:p>
      <w:pPr>
        <w:spacing w:after="0" w:line="228" w:lineRule="exact"/>
        <w:rPr>
          <w:rFonts w:ascii="Arial" w:cs="Arial" w:eastAsia="Arial" w:hAnsi="Arial"/>
          <w:sz w:val="18"/>
          <w:szCs w:val="18"/>
          <w:color w:val="auto"/>
        </w:rPr>
      </w:pPr>
    </w:p>
    <w:p>
      <w:pPr>
        <w:ind w:left="660" w:right="260" w:hanging="328"/>
        <w:spacing w:after="0" w:line="257"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maintain marketing partnerships with several major hotel companies, including Best Western International, Inc., Hilton Hotels Corporation, Hyatt Corporation, MGM Resorts International, Radisson Hotels and Resorts, Starwood Hotels and Resorts Worldwide, Inc., Universal Parks &amp; Resorts and Wyndham Worldwide.</w:t>
      </w:r>
    </w:p>
    <w:p>
      <w:pPr>
        <w:spacing w:after="0" w:line="201" w:lineRule="exact"/>
        <w:rPr>
          <w:rFonts w:ascii="Arial" w:cs="Arial" w:eastAsia="Arial" w:hAnsi="Arial"/>
          <w:sz w:val="20"/>
          <w:szCs w:val="20"/>
          <w:color w:val="auto"/>
        </w:rPr>
      </w:pPr>
    </w:p>
    <w:p>
      <w:pPr>
        <w:ind w:left="660" w:right="1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offer customers the ability to earn frequent traveler points with many major airlines’ and hotels’ frequent traveler programs, and we are the exclusive rental partner of the Wyndham Rewards program.</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we have marketing relationships with numerous non-travel-related entities, including affinity groups, membership organizations, retailers, financial institutions and credit card companies.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2015, approximately 62% of vehicle rental transactions from our Company-operated Avis locations were generated by travelers who rented from Avis under contracts between Avis and the travelers’ employers or through membership in an organization with which Avis has a contractual affiliation (such as AARP and Costco Wholesale). Avis maintains marketing relationships with other organizations such as American Express, MasterCard International and Sears, through which we are able to provide their customers with incentives to rent from Avis. Avis licensees also generally have the option to participate in these affiliations.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an award-winning loyalty incentive program for travel agents, and the Budget Small Business Program, a program for small businesses that offers discounted rates, central billing options and rental credits to its members. Budget has contractual arrangements with American Express, MasterCard International and other organizations, which offer members incentives to rent from Budget.</w:t>
      </w:r>
    </w:p>
    <w:p>
      <w:pPr>
        <w:spacing w:after="0" w:line="2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Budget Truck also maintains certain truck-rental-specific marketing and/or co-location relationships, including those with Sears, Simply Self Storage and Extra Space Storage. We also have an exclusive agreement to advertise Budget Truck rental services in the Mover’s Guide, an official U.S. Postal Service change of address product.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Zipcar brand also partners with other active lifestyle brands that appeal to our Zipcar members and organizes, sponsors and participates in charitable and community events with organizations important to us and our Zipcar members. Zipcar maintains close relationships with universities that allow us to market to the “next generation consumer” that, upon graduation, may migrate to the major metropolitan areas that we serve, continue their relationship with us and advocate for broad sponsorship of Zipcar membership at their places of work. Through our Zipcar for Business program, we also offer reduced membership fees and weekday driving rates to employees of companies, federal agencies and local governments that sponsor the use of Zipcars.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licensees in approximately 165 countries throughout the world. Royalty fee revenue derived from our vehicle rental licensees in 2015 totaled $131 million, with approximately $93 million in our International segment and $38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fixed costs associated with fees paid by licensees to us. Locations operated by licensees represented approximately 50% of our Avis and Budget car rental locations worldwide and approximately 29% of total revenue generated by the Avis and Budget Systems in 2015. We facilitate one-way car rentals between Company-operated and licensed locations, which enables us to offer an integrated network of locations to our customers.</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in their assigned territory. These agreements impose obligations on the licensee regarding its operations and most agreements restrict the licensee’s ability to sell, transfer or assign its license agreement and capital stock. Licensees are generally required to adhere to our system standards for each brand as updated and supplemented by our policy bulletins, brand manuals and service program.</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revenue from our vehicle rentals and licensee royalties, we generate revenue from our customers through the sale and/or rental of optional ancillary products and services and membership fees. We offer products to customers that will enhance their rental experience, including collision and loss damage waivers, under which we agree to relieve a customer from financial responsibility arising from vehicle damage incurred during the rental</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40"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period if the customer has not breached the rental agreement. Other products offered include insurance products such as additional/supplemental liability insurance or personal accident/effects insurance, products for driving convenience such as portable GPS navigation units, tablet rentals, optional roadside assistance services, fuel service options, electronic toll collection, access to satellite radio and child safety seat rentals. We also supplement our daily truck rental revenue by offering customers automobile towing equipment and other moving accessories such as hand trucks, furniture pads and moving supplies. In addition, we receive payment from our customers for certain operating expenses that we incur, including gasoline and vehicle licensing fees, as well as airport concession fees that we pay in exchange for the right to operate at airports and other locations. In 2015, approximately 6% of our revenue was generated by the sale of collision and loss damage waivers.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Rental</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use a broad range of technologies in our car rental operations, substantially all of which are linked to what we call our Wizard system, which is a worldwide reservation, rental, data processing and information management system. The Wizard system enables us to process millions of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and online travel sites), corporate travel departments and individual consumers through our websites or contact centers. The Wizard system also provides personal profile information to our reservation and rental agents to help us better serve our customers.</w:t>
      </w:r>
    </w:p>
    <w:p>
      <w:pPr>
        <w:spacing w:after="0" w:line="2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use data supplied from the Wizard system and other third-party reservation and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84"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Fleet planning model</w:t>
      </w:r>
      <w:r>
        <w:rPr>
          <w:rFonts w:ascii="Arial" w:cs="Arial" w:eastAsia="Arial" w:hAnsi="Arial"/>
          <w:sz w:val="18"/>
          <w:szCs w:val="18"/>
          <w:color w:val="auto"/>
        </w:rPr>
        <w:t>. We have a comprehensive decision tool to develop fleet plans and schedules for the acquisition and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 We also use third-party software to further optimize our fleet acquisition, rotation and disposition activities.</w:t>
      </w:r>
    </w:p>
    <w:p>
      <w:pPr>
        <w:spacing w:after="0" w:line="18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Yield management</w:t>
      </w:r>
      <w:r>
        <w:rPr>
          <w:rFonts w:ascii="Arial" w:cs="Arial" w:eastAsia="Arial" w:hAnsi="Arial"/>
          <w:sz w:val="18"/>
          <w:szCs w:val="18"/>
          <w:color w:val="auto"/>
        </w:rPr>
        <w:t>. We have a yield management system which is designed to enhance profits by providing greater control of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and rate availability changes at our rental locations. Our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82"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Pricing decision support systems</w:t>
      </w:r>
      <w:r>
        <w:rPr>
          <w:rFonts w:ascii="Arial" w:cs="Arial" w:eastAsia="Arial" w:hAnsi="Arial"/>
          <w:sz w:val="18"/>
          <w:szCs w:val="18"/>
          <w:color w:val="auto"/>
        </w:rPr>
        <w:t>. Pricing in the vehicle rental industry is highly competitive and complex. To improve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rental rate changes in the marketplace, we have utilized sophisticated systems to gather and report competitive industry rental rate changes every day. Our systems, using data from third-party reservation systems as its source of information, automatically scan rate movements and report significant changes to our staff of pricing analysts for evaluation. These systems greatly enhance our ability to gather and respond to rate changes in the marketplace. In 2015, we began to implement an integrated pricing and fleet optimization tool that has allowed us to test and implement improved pricing strategies and optimization algorithms, as well as automate the implementation of certain price changes.</w:t>
      </w:r>
    </w:p>
    <w:p>
      <w:pPr>
        <w:spacing w:after="0" w:line="189"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application. </w:t>
      </w:r>
      <w:r>
        <w:rPr>
          <w:rFonts w:ascii="Arial" w:cs="Arial" w:eastAsia="Arial" w:hAnsi="Arial"/>
          <w:sz w:val="18"/>
          <w:szCs w:val="18"/>
          <w:color w:val="auto"/>
        </w:rPr>
        <w:t>Our customer service application is a comprehensive case management system that our customer care</w:t>
      </w:r>
      <w:r>
        <w:rPr>
          <w:rFonts w:ascii="Arial" w:cs="Arial" w:eastAsia="Arial" w:hAnsi="Arial"/>
          <w:sz w:val="18"/>
          <w:szCs w:val="18"/>
          <w:i w:val="1"/>
          <w:iCs w:val="1"/>
          <w:color w:val="auto"/>
        </w:rPr>
        <w:t xml:space="preserve"> </w:t>
      </w:r>
      <w:r>
        <w:rPr>
          <w:rFonts w:ascii="Arial" w:cs="Arial" w:eastAsia="Arial" w:hAnsi="Arial"/>
          <w:sz w:val="18"/>
          <w:szCs w:val="18"/>
          <w:color w:val="auto"/>
        </w:rPr>
        <w:t>agents use to handle a variety of issues and questions from our customers around the world. The multi-branded system interfaces seamlessly with our Wizard system and gives our agents current and historical information about a caller so that they are better equipped to provide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informed and expedited assistance, while at the same time allowing us to be consistent in our case handling and responses.</w:t>
      </w:r>
    </w:p>
    <w:p>
      <w:pPr>
        <w:spacing w:after="0" w:line="221" w:lineRule="exact"/>
        <w:rPr>
          <w:sz w:val="20"/>
          <w:szCs w:val="20"/>
          <w:color w:val="auto"/>
        </w:rPr>
      </w:pPr>
    </w:p>
    <w:p>
      <w:pPr>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Enterprise data warehouse</w:t>
      </w:r>
      <w:r>
        <w:rPr>
          <w:rFonts w:ascii="Arial" w:cs="Arial" w:eastAsia="Arial" w:hAnsi="Arial"/>
          <w:sz w:val="18"/>
          <w:szCs w:val="18"/>
          <w:color w:val="auto"/>
        </w:rPr>
        <w:t>. We have developed a sophisticated and comprehensive electronic data storage and retrieval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retains information related to various aspects of our business. This data warehouse allows us to take advantage of comprehensive management reports and provides easy access to data for strategic decision making for our brands.</w:t>
      </w:r>
    </w:p>
    <w:p>
      <w:pPr>
        <w:spacing w:after="0" w:line="176"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Sales and marketing systems</w:t>
      </w:r>
      <w:r>
        <w:rPr>
          <w:rFonts w:ascii="Arial" w:cs="Arial" w:eastAsia="Arial" w:hAnsi="Arial"/>
          <w:sz w:val="18"/>
          <w:szCs w:val="18"/>
          <w:color w:val="auto"/>
        </w:rPr>
        <w:t>. We have developed a sophisticated system of online data tracking which enables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analyze key account 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assess opportunities for revenue growth, profitability and improvement.</w:t>
      </w:r>
    </w:p>
    <w:p>
      <w:pPr>
        <w:spacing w:after="0" w:line="180" w:lineRule="exact"/>
        <w:rPr>
          <w:rFonts w:ascii="Arial" w:cs="Arial" w:eastAsia="Arial" w:hAnsi="Arial"/>
          <w:sz w:val="18"/>
          <w:szCs w:val="18"/>
          <w:color w:val="auto"/>
        </w:rPr>
      </w:pPr>
    </w:p>
    <w:p>
      <w:pPr>
        <w:ind w:left="660" w:right="44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Campaign management</w:t>
      </w:r>
      <w:r>
        <w:rPr>
          <w:rFonts w:ascii="Arial" w:cs="Arial" w:eastAsia="Arial" w:hAnsi="Arial"/>
          <w:sz w:val="18"/>
          <w:szCs w:val="18"/>
          <w:color w:val="auto"/>
        </w:rPr>
        <w:t>. We have deployed tools that enable us to recognize customer segments and value, and to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appropriate offers on our websites.</w:t>
      </w:r>
    </w:p>
    <w:p>
      <w:pPr>
        <w:spacing w:after="0" w:line="161" w:lineRule="exact"/>
        <w:rPr>
          <w:rFonts w:ascii="Arial" w:cs="Arial" w:eastAsia="Arial" w:hAnsi="Arial"/>
          <w:sz w:val="18"/>
          <w:szCs w:val="18"/>
          <w:color w:val="auto"/>
        </w:rPr>
      </w:pPr>
    </w:p>
    <w:p>
      <w:pPr>
        <w:jc w:val="both"/>
        <w:ind w:left="660" w:right="22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Interactive adjustments</w:t>
      </w:r>
      <w:r>
        <w:rPr>
          <w:rFonts w:ascii="Arial" w:cs="Arial" w:eastAsia="Arial" w:hAnsi="Arial"/>
          <w:sz w:val="18"/>
          <w:szCs w:val="18"/>
          <w:color w:val="auto"/>
        </w:rPr>
        <w:t>. We have developed a customer data system that allows us to easily retrieve pertinent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 needed adjustments to completed rental transactions online for superior customer service. This data system links with our other accounting systems to handle any charge card transaction automatically.</w:t>
      </w:r>
    </w:p>
    <w:p>
      <w:pPr>
        <w:spacing w:after="0" w:line="176"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Interactive voice response system</w:t>
      </w:r>
      <w:r>
        <w:rPr>
          <w:rFonts w:ascii="Arial" w:cs="Arial" w:eastAsia="Arial" w:hAnsi="Arial"/>
          <w:sz w:val="18"/>
          <w:szCs w:val="18"/>
          <w:color w:val="auto"/>
        </w:rPr>
        <w:t>. We have developed an automated voice response system that enables the automated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 reservation confirmations, cancellations, identification of rental locations, extension of existing rentals and requests for copies of rental receipts over the phone using speech recognition software.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Sharing</w:t>
      </w:r>
    </w:p>
    <w:p>
      <w:pPr>
        <w:spacing w:after="0" w:line="247"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Our Zipcar car sharing technology was specifically designed and built for our car sharing business and has been continually refined and upgraded to optimize the Zipcar experience for our members. Our fully-integrated platform centralizes the management of our Zipcar reservations, member services, fleet operations and financial systems to optimize member experience, minimize costs and leverage efficiencies. Through this platform, we:</w:t>
      </w:r>
    </w:p>
    <w:p>
      <w:pPr>
        <w:spacing w:after="0" w:line="6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new member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reservations and keyless vehicle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and monitor member interactions;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billing and payment processing across multiple 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car sharing fleet remotely;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and analyze key metrics of each Zipcar such as utilization rate, mileage and maintenance requirements.</w:t>
      </w:r>
    </w:p>
    <w:p>
      <w:pPr>
        <w:spacing w:after="0" w:line="22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Each Zipcar is equipped with a telematics control unit, including mobile data service, radio frequency identification card readers, wireless antennae, wiring harness, vehicle interface modules and transponders for toll systems. This hardware, together with internally developed embedded firmware and vehicle server software, allows us to authorize secure access to our Zipcars from our data centers and provides us with a comprehensive set of fleet management data that is stored in our centralized database.</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Each interaction between members and our Zipcars is captured in our system, across all communication channels, providing us with knowledge we use to improve our members’ experiences and better optimize our business processes. We have built and continue to innovate our technology platform in order to support growth and scalability.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wide variety of vehicles in our rental fleet, including luxury cars and specialty-use vehicles. Our fleet consists primarily of vehicles from the current and immediately preceding model year. We maintain a single fleet of vehicles for Avis and Budget in countries where we operate both brands. The substantial majority of Zipcar’s fleet is dedicated to use by Zipcar, but we have developed processes to share vehicles between the Avis/Budget fleet and Zipcar’s fleet primarily to help meet Zipcar’s demand peaks. We maintain a diverse car rental fleet, in which no vehicle manufacturer represented more than 21% of our 2015 fleet purchases, and we regularly adjust our fleet levels to be consistent with demand. We participate in a variety of vehicle purchase programs with major vehicle manufacturers. In 2015, we purchased vehicles from Audi, BMW, Chrysler, Fiat, Ford, General Motors, Honda, Hyundai, Land Rover, Kia, Maserati, Mazda, Mercedes, Mitsubishi, Nissan, Peugeot, Porsche, Renault, Subaru, Toyota and Volkswagen, among others. During 2015, approximately 21%, 17% and 7% of the cars acquired for our car rental fleet were manufactured by Ford, General Motors and Chrysler, respectively.</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Fleet costs represented approximately 25% of our aggregate expenses in 2015. Fleet costs can vary from year to year based on the prices at which we are able to purchase and dispose of rental vehicles.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2015, on average, approximately 49% of our rental car fleet was comprised of vehicles subject to agreements requiring automobile manufacturers to repurchase vehicles at a specified price during a specified time period or guarantee our rate of depreciation on the vehicles during a specified period of time, or were vehicles subject to operating leases. We refer to cars subject to these agreements as “program” cars and cars not subject to these agreements as “risk” cars because we retain the risk associated with such cars’ residual values at the time of their disposition. Such agreements typically require that we pay more for program cars and maintain them in our fleet for a minimum number of months and impose certain return conditions, including car condition and mileage requirements. When we return program cars to the manufacturer, we receive the price guaranteed at the time of purchase and are thus protected from fluctuations in the prices of previously-owned vehicles in the wholesale market. In 2015, approximately 64% of the vehicles we disposed of were sold pursuant to repurchase or guaranteed depreciation programs. The future percentages of program and risk cars in our fleet will depend on several factors, including our expectations for future used car prices, our seasonal needs and the availability and attractiveness of manufacturers’ repurchase and guaranteed depreciation programs. The Company has agreed to purchase approximately $7.2 billion of vehicles from manufacturers over the next twelve months.</w:t>
      </w:r>
    </w:p>
    <w:p>
      <w:pPr>
        <w:spacing w:after="0" w:line="2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dispose of our risk cars largely through automobile auctions, including auctions that enable dealers to purchase vehicles online more quickly than through traditional auctions, as well as through direct-to-dealer sales. In 2015, we continued to expand the number of states that can participate in our Ultimate Test Drive consumer car sales program, which offers customers the ability to purchase our rental vehicles. Alternative disposition channels such as Ultimate Test Drive, online auctions and direct to dealer sales represented approximately 34% of our risk vehicle dispositions in the Americas in 2015 and provide us with per-vehicle cost savings compared to selling cars at auctions.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2015, our average monthly vehicle rental fleet size (including U.S. rental trucks) ranged from a low of approximately 494,000 vehicles in January to a high of approximately 690,000 vehicles in July. Our average monthly car rental fleet size typically peaks in the summer months. Average fleet utilization for 2015, which is based on the number of rental days (or portion thereof) that vehicles are rented compared to the total amount of time that vehicles are available for rent, ranged from 65% in January to 75% in August. Our calculation of utilization may not be comparable to other companies’ calculation of similarly titled statistics.</w:t>
      </w:r>
    </w:p>
    <w:p>
      <w:pPr>
        <w:spacing w:after="0" w:line="20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place a strong emphasis on vehicle maintenance for customer safety and customer satisfaction reasons, and because quick and proper repairs are critical to fleet utilization. To accomplish this task we employ a fully-certified National Institute for Automotive Service Excellence technician instructor and have developed a specialized training program for our technicians. Our technician training department prepares its own technical service bulletins that can be retrieved electronically at our repair locations. In addition we have implemented policies and procedures to promptly address manufacturer recalls as part of our ongoing maintenance and repair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4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 xml:space="preserve">We believe our commitment to delivering a consistently high level of customer service across all of our brands is a critical element of our success and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improving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overall customer experience based on our research of customer service practices, improved customer insights, executing our customer relationship management strategy and delivering customer-centric employee training.</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associates and managers at our Company-operated locations are trained and empowered to resolve most customer issues at the location level. In addition, we have simplified our rental agreements for both the Avis and Budget brands to make them easier for our customers to read and understand. We also continuously track customer-satisfaction levels by sending location-specific surveys to recent customers and utilize detailed reports and tracking to assess and identify ways that we can improve our customer service delivery and the overall customer experience. In 2015, we received feedback from more than 1 million customers. Our location-specific surveys ask customers to evaluate their overall satisfaction with their rental experience, among other things. Results are analyzed in aggregate and by location to help further enhance our service levels to our customers.</w:t>
      </w:r>
    </w:p>
    <w:p>
      <w:pPr>
        <w:spacing w:after="0" w:line="207"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In 2015, we also introduced a new comprehensive case management system that our customer care agents use to consistently and expeditiously handle a variety of issues and questions from our customers around the world.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4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December 31, 2015, we employed approximately 30,000 people worldwide, of whom approximately 7,300 were employed on a part-time basis. Of our approximately 30,000 employees, approximately 21,000 were employed in our Americas segment and 9,000 in our International segment.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our Americas segment, the majority of our employees are at-will employees and, therefore, not subject to any type of employment contract or agreement. Certain of our executive officers may be employed under employment contracts that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wide variety of union contracts and governmental regulations affecting, among other things, compensation, job retention rights and pensions.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approximately 35% of our employees were covered by collective bargaining agreements with various labor unions.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employee relations are satisfactory. We have never experienced a large-scale work stoppage.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 (as defined by each airport authority),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car rental business is subject to seasonal variations in customer demand patterns, with the spring and summer vacation periods representing our peak seasons. We vary our fleet size over the course of the year to help manage any seasonal variations in demand, as well as localized changes in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4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competitive environment for the vehicle rental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return, vehicle availability, reliability, rental locations, product innovation and national or international distribution. In addition, competition is also influenced strongly by advertising, marketing, loyalty programs and brand reputation.</w:t>
      </w:r>
    </w:p>
    <w:p>
      <w:pPr>
        <w:spacing w:after="0" w:line="1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by enabling cost-conscious customers to more easily compare on the Internet and their mobile devices the rental rates available from various vehicle rental companies for any given rental. This transparency has further increased the prevalence and intensity of price competition in the industry.</w:t>
      </w:r>
    </w:p>
    <w:p>
      <w:pPr>
        <w:spacing w:after="0" w:line="202"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Our vehicle rental and car sharing operations compete primarily with Enterprise Holdings, Inc., which operates the Enterprise, National and Alamo car rental brands; Europcar Group; Hertz Global Holdings, Inc., which operates the Hertz, Dollar and Thrifty brands; and Sixt AG. We also compete with smaller regional vehicle rental and car sharing companies as well as truck rental companies such as U-Haul International, Inc., Penske Truck Leasing Corporation, and Ryder Systems,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vehicle rental operations and corporate operations expose us to various types of claims for bodily injury, death and property damage related to the use of our vehicles and/or properties, as well as general employment-related matters stemming from our operations. We generally assume the risk of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but to no more than $1 million per occurrence, other than in cases involving a negligent act on the part of the Company, for which we purchase insurance coverage for exposures beyond retained amounts from a combination of unaffiliated excess insurers.</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through a combination of insurance policies provided by unaffiliated insurers and through reinsurance. We may retain a portion of the insured risk of liability, including reinsuring certain risks through our captive insurance subsidiary AEGIS Motor Insurance Limited. We limit our retained risk of liability through the unaffiliated insurers. We insure the risk of liability to third parties in Argentina, Australia, Brazil and New Zealand through a combination of unaffiliated insurers and one of our affiliates. These insurers provide insurance coverage supplemental to minimum local requirements.</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underwritten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and “wheels when you want them” are material to our vehicle rental and car sharing businesses. Our subsidiaries and licensees actively use these marks. All of the material marks used by Avis, Budget and Zipcar are registered (or have applications pending for registration) with the United States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and the “Maggiore” brand in Italy.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strives to maintain best practices in corporate social responsibility, which includes an emphasis on the several key initiatives, including a global ethics and compliance program for all employees worldwide; data protection guidelines aimed at protecting Company and customer data; a competitive employee benefits program; commitments to equal employment opportunities and diversity; offering fuel-efficient rental vehicles; and a commitment to corporate philanthropy through which we give back to the communities in which we operate.</w:t>
      </w:r>
    </w:p>
    <w:p>
      <w:pPr>
        <w:spacing w:after="0" w:line="186" w:lineRule="exact"/>
        <w:rPr>
          <w:sz w:val="20"/>
          <w:szCs w:val="20"/>
          <w:color w:val="auto"/>
        </w:rPr>
      </w:pPr>
    </w:p>
    <w:p>
      <w:pPr>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Ethical Standards</w:t>
      </w:r>
      <w:r>
        <w:rPr>
          <w:rFonts w:ascii="Arial" w:cs="Arial" w:eastAsia="Arial" w:hAnsi="Arial"/>
          <w:sz w:val="18"/>
          <w:szCs w:val="18"/>
          <w:color w:val="auto"/>
        </w:rPr>
        <w:t>. We seek to hold our employees to high ethical standards. We place great emphasis on professional conduct,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security, information protection and integrity. Our employees are required to follow our Code of Conduct and Business Principles. Our Code of Conduct represents the core of our business philosophy and values and covers numerous areas, including standards of work-related behavior; security of information, systems and other assets; conflicts of interest; securities laws; and community service. We provide employees with training to help understand both our Code of Conduct and how to interpret it in various situations. Failure to comply with our Code of Conduct is grounds for disciplinary action, up to and including termination of employment.</w:t>
      </w:r>
    </w:p>
    <w:p>
      <w:pPr>
        <w:spacing w:after="0" w:line="182" w:lineRule="exact"/>
        <w:rPr>
          <w:rFonts w:ascii="Arial" w:cs="Arial" w:eastAsia="Arial" w:hAnsi="Arial"/>
          <w:sz w:val="18"/>
          <w:szCs w:val="18"/>
          <w:color w:val="auto"/>
        </w:rPr>
      </w:pPr>
    </w:p>
    <w:p>
      <w:pPr>
        <w:ind w:left="660" w:right="300" w:hanging="328"/>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Data Protection. </w:t>
      </w:r>
      <w:r>
        <w:rPr>
          <w:rFonts w:ascii="Arial" w:cs="Arial" w:eastAsia="Arial" w:hAnsi="Arial"/>
          <w:sz w:val="18"/>
          <w:szCs w:val="18"/>
          <w:color w:val="auto"/>
        </w:rPr>
        <w:t>We are committed to taking appropriate measures to properly secure information, records, systems and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trained to take particular precautions to protect the Company, our employees, vendors and customers, and, in many cases, themselves, from the unlawful or inappropriate use or disclosure of that information.</w:t>
      </w:r>
    </w:p>
    <w:p>
      <w:pPr>
        <w:spacing w:after="0" w:line="176"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Employee Benefits Programs. </w:t>
      </w:r>
      <w:r>
        <w:rPr>
          <w:rFonts w:ascii="Arial" w:cs="Arial" w:eastAsia="Arial" w:hAnsi="Arial"/>
          <w:sz w:val="18"/>
          <w:szCs w:val="18"/>
          <w:color w:val="auto"/>
        </w:rPr>
        <w:t>Our employees are critical to our success. To ensure their well-being and professional growth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offer a competitive salary plus incentive compensation potential and comprehensive benefits. In addition, we offer health and welfare benefits that may include a range of training, employee assistance and personal development programs to help employees and their families prosper. Our employee benefits programs are all offered and administered in compliance with applicable local law.</w:t>
      </w:r>
    </w:p>
    <w:p>
      <w:pPr>
        <w:spacing w:after="0" w:line="180"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Equal Opportunity Employment</w:t>
      </w:r>
      <w:r>
        <w:rPr>
          <w:rFonts w:ascii="Arial" w:cs="Arial" w:eastAsia="Arial" w:hAnsi="Arial"/>
          <w:sz w:val="18"/>
          <w:szCs w:val="18"/>
          <w:color w:val="auto"/>
        </w:rPr>
        <w:t>. We are committed to providing equal employment opportunity to all applicants and employees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race, color, religion, sex, sexual orientation, age, marital status, national origin, citizenship, physical or mental disability, military veteran status, or any other protected classification under any applicable law. In addition, the Company will reasonably accommodate known disabilities and religious beliefs of employees and qualified applicants.</w:t>
      </w:r>
    </w:p>
    <w:p>
      <w:pPr>
        <w:spacing w:after="0" w:line="180"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Diversity</w:t>
      </w:r>
      <w:r>
        <w:rPr>
          <w:rFonts w:ascii="Arial" w:cs="Arial" w:eastAsia="Arial" w:hAnsi="Arial"/>
          <w:sz w:val="18"/>
          <w:szCs w:val="18"/>
          <w:color w:val="auto"/>
        </w:rPr>
        <w:t>. As a growing global organization, the Company is proud of the diversity of its workforce. We strive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and diverse people throughout our organization. We engage in several initiatives to support diversity throughout our Company, including programs specifically designed to develop female leaders in our organization and our commitment to assisting current and former military personnel. The Company also maintains an industry-leading supplier diversity program to promote the growth and development of suppliers who are disadvantaged, minority-owned or women-owned business enterprises.</w:t>
      </w:r>
    </w:p>
    <w:p>
      <w:pPr>
        <w:spacing w:after="0" w:line="183" w:lineRule="exact"/>
        <w:rPr>
          <w:rFonts w:ascii="Arial" w:cs="Arial" w:eastAsia="Arial" w:hAnsi="Arial"/>
          <w:sz w:val="18"/>
          <w:szCs w:val="18"/>
          <w:color w:val="auto"/>
        </w:rPr>
      </w:pPr>
    </w:p>
    <w:p>
      <w:pPr>
        <w:ind w:left="660" w:right="2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Environment</w:t>
      </w:r>
      <w:r>
        <w:rPr>
          <w:rFonts w:ascii="Arial" w:cs="Arial" w:eastAsia="Arial" w:hAnsi="Arial"/>
          <w:sz w:val="18"/>
          <w:szCs w:val="18"/>
          <w:color w:val="auto"/>
        </w:rPr>
        <w:t>. The Company has taken numerous steps to minimize its environmental impact; including contracting with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vendors to recycle used motor oil, oil filters, parts and brake cleaner fluids. Car washes installed at our facilities typically recycle and reuse at least 80 percent of their wastewater. Many of our model-year 2014, 2015 and 2016 vehicles are SmartWay Certified by the United States Environmental Protection Agency as “green” vehicles. Our rental fleet also includes gasoline/electric hybrid vehicles which offer outstanding fuel efficiency and reduced emissions.</w:t>
      </w:r>
    </w:p>
    <w:p>
      <w:pPr>
        <w:spacing w:after="0" w:line="183"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Philanthropy</w:t>
      </w:r>
      <w:r>
        <w:rPr>
          <w:rFonts w:ascii="Arial" w:cs="Arial" w:eastAsia="Arial" w:hAnsi="Arial"/>
          <w:sz w:val="18"/>
          <w:szCs w:val="18"/>
          <w:color w:val="auto"/>
        </w:rPr>
        <w:t>. The Company is committed to supporting the communities in which it operates by working with nonprofit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assisting those in need. Through relationships with widely-recognized charitable groups and outreach through the Avis Budget Group Charitable Foundation and employee volunteer teams, the Company and its employees contribute to many worthwhile organizations and deserving causes that help improve our communities.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a wide variety of laws and regulations in the United States and internationally, including those relating to, among others, consumer protection, insurance products and rates, franchising, customer privacy and data protection, competition, environmental matters, taxes, automobile-related liability, corruption, labor and employment matters, cost and fee recovery, the protection of our trademarks and other intellectual property, and local ownership or investment requirements. Additional information about the regulations that we are subject to can be found in Item 1A - Risk Factors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ownership reports for insiders as required by Section 16 of the Securities Exchange Act of 1934; registration statements and other forms or reports as required. Certain of the Company’s officers and directors also file statements of changes in beneficial ownership on Form 4 with the SEC. The public may read and copy any materials that the Company has filed with the SEC at the SEC’s Public Reference Room located at 100 F Street, NE, Washington, D.C. 20549. The public may obtain information on the operation of the Public Reference Room by calling the SEC at 800-SEC-0330. Such materials may also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In addition to the factors discussed elsewhere in this report,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vehicle rental industry.</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vehicle rental industry is highly competitive, with price being one of the primary competitive factors. We risk losing rental volume to the extent that our competitors reduce their pricing and we do not provide competitive pricing or if price increases we seek to implement make us less competitive. If competitive pressures lead us to lose rental volume or match any downward pricing and we are unable to reduce our operating costs, then our financial condition or results of operations could be materially adversely impacted.</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Additionally, pricing in the industry is impacted by the size of rental fleets and the supply of vehicles available for rent. Any significant fluctuations in the supply of rental vehicles available in the market due to an unexpected decrease in demand, or actions taken by our competitors to increase market share by acquiring more fleet could negatively affect our pricing, operating plans or results of operations if we are unable to adjust the size of our rental fleet in response to fluctuations in demand.</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because it can be more difficult to reduce the size of our truck rental fleet in response to reduced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rental vehicles. In 2015, on average approximately 49% of our 2015 rental car fleet was comprised of program cars or vehicles subject to operating leases. Such program cars and leased vehicles enable us to determine our depreciation expense in advance of purchase, which is a significant component of our fleet costs. However, as discussed below, such program cars result in additional exposure to the manufacturers with whom we have such agreements.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source our fleet from a wide range of auto manufacturers. To the extent that any of these auto manufacturers significantly curtail production, increase the cost of purchasing program cars or decline to sell program cars to us on terms or at prices consistent with past agreements, we may be unable to obtain a sufficient number of vehicles to operate our business without significantly increasing our fleet costs or reducing our volumes.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program car purchases also generally provide us with flexibility to reduce the size of our fleet rapidly in response to seasonal demand fluctuations, economic constraints or other changes in demand. This flexibility may be reduced in the future to the extent that we reduce the percentage of program cars in our car rental fleet or features of the programs are altered.</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could leave us with a material expense if we are unable to dispose of program cars at prices estimated at the time of purchase or with a substantial unpaid claim against the manufacturer, particularly with respect to program cars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 Any reduction in the market value of the vehicles in our fleet could effectively increase our fleet costs,</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adversely impact our profitability and potentially lead to decreased capacity in our asset-backed car rental funding facilities due to the collateral requirements for such facilities that effectively increase as market values for vehicles decrease.</w:t>
      </w:r>
    </w:p>
    <w:p>
      <w:pPr>
        <w:spacing w:after="0" w:line="19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costs of our non-program vehicles may also be adversely impacted by the relative strength of the used car market, particularly the market for one- to two-year old used vehicles. We currently sell non-program vehicles through auctions, third-party resellers and other channels in the used vehicle marketplace. Such channels may not produce stable used vehicle prices. A reduction in residual values for non-program vehicles in our rental fleet could cause us to sustain a substantial loss on the ultimate sale of such vehicles or require us to depreciate those vehicles at a more accelerated rate while we own them.</w:t>
      </w: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If our ability to sell vehicles in the used vehicle marketplace were to become severely limited at a time when required collateral levels were rising, the outstanding principal amount due under our asset-backed financing facilities may be required to be repaid sooner than anticipated with vehicle disposition proceeds and lease payments we make to our vehicle program subsidiaries. If that were to occur, the holders of our asset-backed debt may have the ability to exercise their right to instruct the trustee to direct the return of program cars and/or the sale of risk cars to generate proceeds sufficient to repay such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vehicles may be subject to safety recalls by their manufacturers that could have an adverse impact on our business when we remove such recalled vehicles from our rentable fleet. We cannot control the number of vehicles that will be subject to manufacturer recalls in the future. Recalls often cause us to retrieve vehicles from customers and/or not to re-rent vehicles until we can arrange for the repairs described in the recalls to be completed. As such, recalls can result in incremental costs, negatively impact our revenues and/or reduce our fleet utilization. If a large number of vehicles were to be the subject of simultaneous recalls, or if needed replacement parts were not in adequate supply, we may be unable to re-rent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Weakness in general economic conditions in the United States, Europe and other areas in which we operate, weakness in travel demand and/or a significant increase in fuel costs can adversely impact our business.</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economic conditions in the United States, Europe and/or worldwide were to weaken, our financial condition or results of operations could be adversely impacted.</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such as work stoppages, military conflicts, terrorist incidents, natural disasters, disease epidemics, or the response of governments to any such events, could have an adverse impact on our results of operations. Likewise,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decline in truck rental transactions, which could have an adverse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ability to successfully implement our business strategies and to preserve the value of our brands.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objective is to focus on strategically accelerating growth, strengthening our global position as a leading provider of vehicle rental services, continuing to enhance our customers’ rental experience and controlling costs and driving efficiency throughout the organization. If we are unsuccessful in implementing our strategic initiatives, our financial condition or results of operations could be adversely impacted.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40"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2014 and 2015, the Company took significant actions to further streamline its administrative and shared-services infrastructure through a restructuring program that identifies and replicates best practices, leverages the scale and capabilities of third-party service providers, and is designed to increase the global standardization and consolidation of non-rental-location functions over time. We cannot be certain that such initiatives will continue to be successful. Failure to successfully implement any of these initiatives could have an adverse impact to our financial condition or results of operations.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Any failure to provide a high-quality reservation and rental experience for our customers and members for any reason could substantially harm our reputation and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Zipcar operations.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expect that the competitive environment for our car sharing services will become more intense as additional companies enter our existing markets or try to expand their operations. Competitors could introduce new solutions with competitive price and convenience characteristics, new technologies or undertake more aggressive marketing campaigns than we provide. Such developments could adversely impact our business and result of operations should we be unable to compete with such efforts.</w:t>
      </w:r>
    </w:p>
    <w:p>
      <w:pPr>
        <w:spacing w:after="0" w:line="20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Because Zipcar members are located primarily in cities, we compete for limited parking locations that are convenient to our members or are available on terms that are commercially reasonable to our business. If we are unable to obtain and maintain a sufficient number of parking locations that are convenient to our members, our ability to attract and retain members would suffer.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global operations are dependent upon products manufactured, purchased and sold in the United States and internationally, including in countries with political and economic instability. Operating and seeking to expand business in a number of different regions and countries exposes us to a number of risks, including:</w:t>
      </w:r>
    </w:p>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and policies that are subject to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ownership or investment requirements, as well as difficulties in obtaining financing in foreign countries for local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occurrence of one or more of these events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car rental reservations, including:</w:t>
      </w:r>
    </w:p>
    <w:p>
      <w:pPr>
        <w:spacing w:after="0" w:line="225" w:lineRule="exact"/>
        <w:rPr>
          <w:sz w:val="20"/>
          <w:szCs w:val="20"/>
          <w:color w:val="auto"/>
        </w:rPr>
      </w:pPr>
    </w:p>
    <w:p>
      <w:pPr>
        <w:ind w:left="660" w:right="9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40"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reservations systems.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leases and vehicle rental concessions.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lease or have vehicle rental concessions at locations throughout the world, including at airports both in the United States and internationally and train stations throughout Europe where vehicle rental companies are frequently required to bid periodically for the available locations. If we were to lose any lease or vehicle rental concession, particularly at an airport or a train station in a major metropolitan area, there can be no assurance that we would be able to find a suitable replacement on reasonable terms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business, the third quarter of the year has historically been our strongest quarter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In 2015, the third quarter accounted for 30% of our total revenue for the year and was our most profitable quarter as measured by Adjusted EBITDA. Any circumstance or occurrence that disrupts rental activity during the third quarter could have a disproportionately adverse impact 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other related businesses.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related businesses. The risks involved in engaging in these strategic transactions include the possible failure to successfully integrate the operations of acquired businesses, or to realize the expected benefits of such transactions within the anticipated time frame, or at all, such as cost savings, synergies or sales or growth opportunities. In addition, the integration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the acquired business;</w:t>
      </w:r>
    </w:p>
    <w:p>
      <w:pPr>
        <w:spacing w:after="0" w:line="225"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the acquired business;</w:t>
      </w:r>
    </w:p>
    <w:p>
      <w:pPr>
        <w:spacing w:after="0" w:line="225"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compliance with U.S. and international laws and regulations, including the acquisition or assumption of unexpected liabilities, litigation, penalties or other enforcement actions;</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in our and the acquired business’s contracts with third parties that could limit our flexibility to take certain actions or our ability to retain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than expected costs may arise due to unforeseen changes in tax, trade, environmental, labor, safety, payroll or pension policies;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40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investments may be required to implement necessary compliance processes and related systems, including accounting systems and internal controls over financial reporting;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or costs associated with, workforce reductions;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implement our strategy for a particular acquisition, including successfully integrating the acquired business;</w:t>
      </w:r>
    </w:p>
    <w:p>
      <w:pPr>
        <w:spacing w:after="0" w:line="225"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of other costs or inefficiencies associated with the integration and consolidation of operational and administrative systems, processes and infrastructures of the combined company.</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combining the companies and could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typically utilize derivative instruments to manage fluctuations in interest rates, foreign exchange rates and gasoline prices. The derivative instruments we use to manage our risk are usually in the form of interest rate swaps and caps and foreign exchange and commodity contracts. Periodically, we are required to determine the change in fair value, called the “mark to market,” of some of these derivative instruments, which could expose us to substantial mark-to-market losses or gains if such rates or prices fluctuate materially from the time the derivatives were entered into. Accordingly, volatility in rates or prices may adversely impact our financial position or results of operations and could impact the cost and effectiveness of our derivative instruments in managing our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international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the recorded levels of our assets and liabilities in our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businesses expose us to claims for bodily injury, death and property damage related to the use of our vehicles, for having our customers on our premises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experience significant liability for which we did not plan, our results of operations or financial position could be negatively impacted.</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which then reinsure all or a portion of their risks through our insurance company subsidiaries that in turn subjects us to regulation under various insurance laws and statutes, in the jurisdictions in which our insurance company subsidiaries are domiciled. Any changes in regulations that alter or impede our reinsurance obligations or subsidiary operations in all or certain jurisdictions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car rental operations outside the United States must comply with certain</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40"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local laws and regulations regarding the sale of supplemental liability and personal accident and effects insurance by intermediaries. Any changes in U.S. or international laws that change our operating requirements with respect to optional insurance products could increase our costs of compliance or make it uneconomical to offer such products, which would lead to a reduction in revenue and profitability. Should more of our customers decline purchasing optional liability insurance products as a result of any changes in these laws or otherwise, our financial condition or results of operations could be adversely impacted.</w:t>
      </w:r>
    </w:p>
    <w:p>
      <w:pPr>
        <w:spacing w:after="0" w:line="206"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state or federal laws or regulations arise that place new limits on our ability to offer loss damage waivers to our customers, our financial condition or results of operations could be adversely impacted.</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If the current federal law that pre-empted state laws that imputed tort liability solely based on ownership of a vehicle involved in an accident were to change, our insurance liability exposure could materially increase.</w:t>
      </w:r>
    </w:p>
    <w:p>
      <w:pPr>
        <w:spacing w:after="0" w:line="1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13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Costs associated with lawsuits or investigations or increases in the legal reserves that we establish based on our assessment of contingent liabilities may have an adverse effect on our results of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involved in various claims and lawsuits and other legal proceedings that arise in and outside of the ordinary course of our business. From time to time, the vehicle rental industry may be reviewed or investigated by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certain claims, we may not be able to obtain such insurance on acceptable terms in the future, if at all, and any such insurance may not provide adequate coverage against any such claims.</w:t>
      </w:r>
    </w:p>
    <w:p>
      <w:pPr>
        <w:spacing w:after="0" w:line="207"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As required by U.S. generally accepted accounting principles (“GAAP”), we establish reserves based on our assessment of actual or potential loss contingencies, including contingencies related to legal claims asserted against us. Subsequent developments may affect our assessment and estimates of the loss contingency recorded as a reserve and require us to make payments in excess of our reserves, which could have an adverse effect on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U.S. and international laws and regulations that could impact our global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multiple, and sometimes conflicting, laws and regulations in the United States and internationally that relate to, among others, consumer protection, competition, customer privacy and data protection, franchising, fraud and anti-bribery, environmental matters, taxes, automobile-related liability, labor and employment matters, currency-exchange and other various banking and financial industry matters, health and safety, insurance rates and products, claims management, protection of our trademarks and other intellectual property and other trade-related laws and regulations in numerous jurisdictions. Recent years have seen a substantial increase in the global enforcement of certain of these laws such as the U.S. Foreign Corrupt Practices Act, the UK Bribery Act and similar foreign laws and regulations. Our continued operation and expansion outside of the United States, including in developing countries,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or regulation or in the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interpretation of existing laws or regulations may subject us to government scrutiny, investigation and civil and criminal penalties, may limit our ability to provide services in any of the countries in which we operate and could result in a material adverse impact on our reputation, business, financial position or results of operations.</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United States and certain other international locations where we have Company-operated locations, we may recover from consumers various costs associated with the title and registration of our vehicles and certain costs, including concession costs imposed by an airport authority or the owner and/or operator of the premises from which our vehicles are rented. We may in the future be subject to potential U.S. or international laws or regulations that could negatively impact our ability to separately state, charge and recover such costs, which could adversely impact our financial condition or results of operations.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 respect to U.S. and international consumer privacy and data protection laws and regulations in the jurisdictions in which we operate, we may be limited in the types of information that we may collect about individuals with whom we deal or propose to deal, as well as how we collect, process and retain the information that we are permitted to collect, some of which may be non-public personally identifiable information. The centralized nature of our information systems requires the routine flow of information about customers and potential customers across national borders, particularly in the United States and Europe. Should this flow of information become illegal or subject to onerous restrictions, our ability to serve our customers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regulations impact the ways that we process our transaction information and increase our compliance costs. In addition,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the United States and internationally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our storage tanks. In the United States, we have instituted an environmental compliance program designed to ensure that these tanks are properly registered in the jurisdiction in which they are located and are in compliance with applicable technical and operational requirements. We are also subject to various environmental regulatory requirements in other countries in which we operate. The tank systems located at each of our locations may not at all times remain free from undetected leaks, and the use of these tanks may result in significant spills, which may require remediation and expose us to material liabilities.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U.S. Congress and other legislative and regulatory authorities in the United States and internationally have considered, and will likely continue to consider, numerous measures related to climate change and greenhouse gas emissions. Should rules establishing limitations on greenhouse gas emissions or rules imposing fees on entities deemed to be responsible for greenhouse gas emission become effective, demand for our services could be affected, our fleet and/or other costs could increase, and our business could be adversely impacted.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frequently renew and sometimes sell licenses to third parties to operate locations under our brands in exchange for the payment of a royalty by the third-party licensee. Our licensing activities and sales are subject to various U.S. and international laws and regulations. In particular, in the United States, we are required to make extensive disclosure to prospective licensees in connection with licensing offers and sales, as well as to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Although our licensing operations have not been materially adversely affected by such existing regulations, such regulations could have a greater impact on us if we were to become more active in granting or selling new licenses to third parties. Should our operations become subject to new laws or regulations that negatively impact our ability to engage in licensing activities, our financial condition or results of operations could be adversely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or independent operators.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“agency operators,” which are third-party independent contractors who receive commissions to operate such locations. Our agreements with our licensees, dealers and agency operators (“third-party operators”) generally require that they comply with all laws and regulations applicable to their businesses, including our internal policies and standards. Under these agreements, third-party operators retain control over the employment and management of all personnel at their locations. Regulators, courts or others may seek to hold us responsible for the actions of, or failures to act by, third-party operators. Although we actively monitor the operations of these third-party operators, and under certain circumstances have the ability to terminate their agreements for failure to adhere to contracted operational standards, we are unlikely to detect all problems. Moreover, there are occasions when the actions of third-party operators may not be clearly distinguishable from our own. It is our policy to vigorously seek to be dismissed from any claims involving third-party operators and to pursue indemnity for any adverse outcomes that affect the Company. Failure of third-party operators to comply with laws and regulations may expose us to liability, damages and negative publicity that may adversely impact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were designed to serve. A failure or interruption that results in the unavailability of any of our information systems,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temporary system interruptions for a variety of reasons, including network failures, power outages, cyber-attacks, software errors or an overwhelming number of visitors trying to access our systems.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18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face risks related to protecting the confidential information of our customers against security breaches, including cyber-security breaches.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transmission of confidential information, including credit card numbers and other customer personal information. Our outsourcing agreements with these third-party service providers generally require that they have adequate security systems in place to protect our customer transaction data. However, advances in computer capabilities, new discoveries in the field of cryptography or other cyber-security developments could render our security systems and technology or those employed by our third-party service providers vulnerable to a breach. In addition, anyone who is able to circumvent our security measures could misappropriate proprietary information or cause interruptions in our operations. Cyber-security risks such as malicious software and attempts to gain unauthorized access to data are rapidly evolving and could lead to disruptions in our reservation system or other data systems, unauthorized release of confidential or otherwise protected information or corruption of data. Any successful efforts by individuals to infiltrate, break into, disrupt, damage or otherwise steal from the Company’s, its licensees’ or its third-party service providers’ security or information systems could damage our reputation and expose us to a risk of loss or litigation and possible liability that could adversely impact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like-kind exchange program.</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a like-kind exchange program whereby we replace vehicles in a manner that allows tax gains on vehicles sold in the United States to be deferred. The program has resulted in a material deferral of federal and state income taxes beginning in 2004. The benefit of deferral is dependent on reinvestment of vehicle disposition proceeds in replacement vehicles within a prescribed period of time (usually six months). An extended downsizing of our fleet could result in reduced deferrals, utilization of tax attributes and increased payment of federal and state income taxes that could require us to make material cash payments. Such a downsizing or reduction in purchases would likely occur if, and to the extent, we are unable to obtain financing when our asset-backed rental car financings mature or in connection with a significant decrease in demand for vehicle rentals. Therefore, we cannot offer assurance that the expected tax deferral will continue or that the relevant law concerning like-kind exchange programs will remain intact in its current form.</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federal and state income tax laws, legislation or regulations governing like-kind exchange and accelerated depreciation deductions and the administrative interpretations of those laws, legislation or regulations are subject to amendment at any time. We cannot predict when or if any new federal or state income tax laws, legislation, regulations or administrative interpretations will be adopted and in what manner. Any such change could eliminate certain tax deferrals that are currently available with respect to like-kind exchange or accelerated depreciation deductions, which would adversely impact our financial condition or results of operations by reducing or eliminating deferral of federal or state income taxes allowed for our U.S. vehicle rental fleet.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registered “Avis,” “Budget,” “Zipcar” and “Payless” and various related marks or designs, such as “We try harder,” and “wheels when you want them,” as trademarks in the United States and in certain other countries. At times, competitors may adopt service names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w:t>
      </w: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total debt as of December 31, 2015, was $12.3 billion, requiring us to dedicate a significant portion of our cash flows to pay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206" w:lineRule="exact"/>
        <w:rPr>
          <w:sz w:val="20"/>
          <w:szCs w:val="20"/>
          <w:color w:val="auto"/>
        </w:rPr>
      </w:pPr>
    </w:p>
    <w:p>
      <w:pPr>
        <w:ind w:left="660" w:right="38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our senior credit facility and could result in a cross-default under several of our other debt obligations, including our U.S. and European asset-backed debt facilities. If such a failure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finance our operations through the use of asset-backed securities and other debt financing structures available through the credit market. Our total asset-backed debt as of December 31, 2015, was approximately $8.9 billion, with remaining available capacity of approximately $3.3 billion. We maintain asset-backed facilities in the United States, Canada, Australia and Europe. If the asset-backed financing market were to be disrupted for any reason, we may be unable to obtain refinancing for our operations at current levels, or at all, when our asset-backed financings mature. Likewise, any disruption of the asset-backed financing market could also increase our borrowing costs, as we seek to engage in new financings or refinance our existing asset-backed financings. In addition, we could be subject to increased collateral requirements to the extent that we request any amendment or renewal of any of our existing asset-backed financings.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2015, our total outstanding debt of approximately $12.3 billion included unhedged interest rate sensitive debt of approximately $2.7 billion. During our seasonal borrowing peak in 2015, outstanding unhedged interest rate sensitive debt totaled approximately $3.3 billion.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Approximately $1.6 billion of our corporate indebtedness as of December 31, 2015, and virtually all of our $8.9 billion of debt under vehicle programs,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9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including our key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estimates that we provide to the public, any changes in such estimates, or our failure to meet such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dispositions, strategies, management or shareholder changes, marketing affiliations, projections, fleet costs, pricing actions or other competitive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investors’ and analysts’ perceptions of our industry, business or related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 or failure of competitive service offerings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or regulatory developments in the United States or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amount of share repurchases by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conditions in the credit markets.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percentage of ownership may be diluted in the future.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shareholders’ percentage of ownership may be diluted in the future due to equity issuances or equity awards that we granted or will grant to our directors, officers and employees. In addition, we may undertake acquisitions financed in part through public or private offerings of securities, or other arrangements. If we issue equity securities or equity-linked securities, the issued securities would have a dilutive effect on the interests of the holders of our common shares. In 2015, we granted approximately 650,000 restricted stock units and in January 2016, we granted approximately 1.1 million restricted stock units. We also expect to grant restricted stock units, stock options and/or other types of equity awards in the future.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We also lease office space in Bracknell, England, Budapest, Hungary and Barcelona, Spain, pursuant to leases expiring in 2027, 2018 and 2019, respectively, for corporate offices, contact center activities and other administrative functions, respectively, in Europe. Other office locations throughout the world are leased for administrative, regional sales and operations activities.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lease or have vehicle rental concessions for our brands at locations throughout the world. Avis operates approximately 1,500 locations in the Americas and approximately 1,200 locations in our International segment. Of those locations, approximately 315 in the Americas and approximately 225 in our International segment are at airports. Budget operates at approximately 1,350 locations in the Americas, of which approximately 260 are at airports. Budget also operates approximately 600 locations in our International segment, of which approximately 190 are at airports. Payless operates at approximately 80 locations in the Americas, the majority of which are at or near airports. 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548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involved in various legal proceedings related to wage and hour and employee classification claims that involve allegations that we violated the Fair Labor Standards Act and various other state labor laws by misclassifying certain management employees as exempt from receiving overtime compensation. The relief sought in these cases varies but most cases typically seek to recover payment for alleged unpaid overtime compensation and attorneys’ fees and costs. These matters are at various stages in the litigation process and we intend to vigorously defend against these suits.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violated competition law through the distribution of company-specific statistics by airports to car rental companies operating at those airports; and (ii) two other international car rental companies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$25 million as well as reimbursements to current and former customers of amounts collected and retained by the Company related to the alleged deceptive marketing practices. The Company believes that it has valid defenses and intends to vigorously defend against the allegations, but it is currently unable to predict the outcome of the proceedings or range of reasonably possible losses, which may be material.</w:t>
      </w:r>
    </w:p>
    <w:p>
      <w:pPr>
        <w:spacing w:after="0" w:line="207"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We are involved in other claims, legal proceedings and governmental inquiries related, among other things, to our vehicle rental and car sharing operations, including, among others, business practice disputes, contract and licensee disputes, employment and wage -and-hour claims, competition matters, insurance claims, intellectual property claims and other regulatory, environmental, commercial and tax matters. The Company believes that it has adequately accrued for such matters as appropriate. However, litigation is inherently unpredictable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although the Company believes that its accruals are adequate and/or that it has valid defenses in these matters, unfavorable resolutions could occur, which could adversely impact the Company’s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40"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35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6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OF COMMON STOCK</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The following table sets forth the quarterly high and low sales prices per share of our common stock as reported by NASDAQ for 2015 and 2014. At January 29, 2016, the number of stockholders of record was 3,829.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56.01</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43.90</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32.76</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304"/>
        </w:trPr>
        <w:tc>
          <w:tcPr>
            <w:tcW w:w="8340" w:type="dxa"/>
            <w:vAlign w:val="bottom"/>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35.56</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54.12</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2015 and 2014, and we do not currently anticipate paying dividends on our common stock. Our ability to pay dividends to holders of our common stock is limited by the Company’s senior credit facility, the indentures governing our senior notes and our vehicle financing programs, insofar as we may seek to pay dividends out of funds made available to the Company by certain of its subsidiaries.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2015.</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Number of Securities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2420" w:type="dxa"/>
            <w:vAlign w:val="bottom"/>
          </w:tcPr>
          <w:p>
            <w:pPr>
              <w:jc w:val="center"/>
              <w:ind w:left="159"/>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to be Issued Upon Exercise</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of Outstanding Options,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42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w w:val="99"/>
              </w:rPr>
              <w:t>Warrants, Rights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(Excludes Restricted</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03"/>
              <w:spacing w:after="0"/>
              <w:rPr>
                <w:sz w:val="20"/>
                <w:szCs w:val="20"/>
                <w:color w:val="auto"/>
              </w:rPr>
            </w:pPr>
            <w:r>
              <w:rPr>
                <w:rFonts w:ascii="Arial" w:cs="Arial" w:eastAsia="Arial" w:hAnsi="Arial"/>
                <w:sz w:val="16"/>
                <w:szCs w:val="16"/>
                <w:b w:val="1"/>
                <w:bCs w:val="1"/>
                <w:color w:val="auto"/>
              </w:rPr>
              <w:t>and Restricted Stock Units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4040" w:type="dxa"/>
            <w:vAlign w:val="bottom"/>
            <w:vMerge w:val="continue"/>
          </w:tcPr>
          <w:p>
            <w:pPr>
              <w:spacing w:after="0"/>
              <w:rPr>
                <w:sz w:val="6"/>
                <w:szCs w:val="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Stock Units) ($)</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9"/>
              </w:rPr>
              <w:t xml:space="preserve">Reflected in First Column) </w:t>
            </w:r>
            <w:r>
              <w:rPr>
                <w:rFonts w:ascii="Arial" w:cs="Arial" w:eastAsia="Arial" w:hAnsi="Arial"/>
                <w:sz w:val="21"/>
                <w:szCs w:val="21"/>
                <w:b w:val="1"/>
                <w:bCs w:val="1"/>
                <w:color w:val="auto"/>
                <w:w w:val="99"/>
                <w:vertAlign w:val="superscript"/>
              </w:rPr>
              <w:t>(b)</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4040" w:type="dxa"/>
            <w:vAlign w:val="bottom"/>
          </w:tcPr>
          <w:p>
            <w:pPr>
              <w:jc w:val="center"/>
              <w:ind w:left="1323"/>
              <w:spacing w:after="0"/>
              <w:rPr>
                <w:sz w:val="20"/>
                <w:szCs w:val="20"/>
                <w:color w:val="auto"/>
              </w:rPr>
            </w:pPr>
            <w:r>
              <w:rPr>
                <w:rFonts w:ascii="Arial" w:cs="Arial" w:eastAsia="Arial" w:hAnsi="Arial"/>
                <w:sz w:val="11"/>
                <w:szCs w:val="11"/>
                <w:b w:val="1"/>
                <w:bCs w:val="1"/>
                <w:color w:val="auto"/>
                <w:w w:val="88"/>
              </w:rPr>
              <w:t>(a)</w:t>
            </w:r>
          </w:p>
        </w:tc>
        <w:tc>
          <w:tcPr>
            <w:tcW w:w="214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ind w:left="40" w:right="300"/>
        <w:spacing w:after="0" w:line="246" w:lineRule="auto"/>
        <w:rPr>
          <w:sz w:val="20"/>
          <w:szCs w:val="20"/>
          <w:color w:val="auto"/>
        </w:rPr>
      </w:pPr>
      <w:r>
        <w:rPr>
          <w:rFonts w:ascii="Arial" w:cs="Arial" w:eastAsia="Arial" w:hAnsi="Arial"/>
          <w:sz w:val="18"/>
          <w:szCs w:val="18"/>
          <w:color w:val="auto"/>
        </w:rPr>
        <w:t>Equity compensation plans approved by security holders</w:t>
      </w:r>
    </w:p>
    <w:p>
      <w:pPr>
        <w:spacing w:after="0" w:line="35"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Equity compensation plans not approved by security holders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jc w:val="right"/>
              <w:ind w:right="10"/>
              <w:spacing w:after="0"/>
              <w:rPr>
                <w:sz w:val="20"/>
                <w:szCs w:val="20"/>
                <w:color w:val="auto"/>
              </w:rPr>
            </w:pPr>
            <w:r>
              <w:rPr>
                <w:rFonts w:ascii="Arial" w:cs="Arial" w:eastAsia="Arial" w:hAnsi="Arial"/>
                <w:sz w:val="18"/>
                <w:szCs w:val="18"/>
                <w:color w:val="auto"/>
              </w:rPr>
              <w:t>2,990,073</w:t>
            </w:r>
          </w:p>
        </w:tc>
        <w:tc>
          <w:tcPr>
            <w:tcW w:w="100" w:type="dxa"/>
            <w:vAlign w:val="bottom"/>
          </w:tcPr>
          <w:p>
            <w:pPr>
              <w:spacing w:after="0"/>
              <w:rPr>
                <w:sz w:val="18"/>
                <w:szCs w:val="18"/>
                <w:color w:val="auto"/>
              </w:rPr>
            </w:pPr>
          </w:p>
        </w:tc>
        <w:tc>
          <w:tcPr>
            <w:tcW w:w="9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7,289,681</w:t>
            </w:r>
          </w:p>
        </w:tc>
      </w:tr>
      <w:tr>
        <w:trPr>
          <w:trHeight w:val="466"/>
        </w:trPr>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2,990,073</w:t>
            </w: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7,289,681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-170815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4200" w:space="160"/>
            <w:col w:w="7060"/>
          </w:cols>
          <w:pgMar w:left="240" w:top="140" w:right="239" w:bottom="1440" w:gutter="0" w:footer="0" w:header="0"/>
          <w:type w:val="continuous"/>
        </w:sectPr>
      </w:pPr>
    </w:p>
    <w:p>
      <w:pPr>
        <w:ind w:left="460" w:right="200" w:hanging="452"/>
        <w:spacing w:after="0" w:line="219"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options and other awards granted under the following plans approved by stockholders: the Amended and Restated Equity and Incentive Plan, the 1997 Stock Incentive Plan, and the Directors Deferred Compensation Plan. The 1997 Stock Incentive Plan, the 1997 Stock Option Plan and the Directors Deferred Compensation Plan were each approved with respect to an initial allocation of shares.</w:t>
      </w:r>
    </w:p>
    <w:p>
      <w:pPr>
        <w:ind w:left="460" w:right="360" w:hanging="452"/>
        <w:spacing w:after="0" w:line="210"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Represents 4,830,560 shares available for issuance under the Amended and Restated Equity and Incentive Plan and 2,459,121 shares available for issuance pursuant to the 2009 Employee Stock Purchase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December 31,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May Yet Be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Purchased Under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94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Average Price Paid</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c>
          <w:tcPr>
            <w:tcW w:w="0" w:type="dxa"/>
            <w:vAlign w:val="bottom"/>
          </w:tcPr>
          <w:p>
            <w:pPr>
              <w:spacing w:after="0"/>
              <w:rPr>
                <w:sz w:val="1"/>
                <w:szCs w:val="1"/>
                <w:color w:val="auto"/>
              </w:rPr>
            </w:pPr>
          </w:p>
        </w:tc>
      </w:tr>
      <w:tr>
        <w:trPr>
          <w:trHeight w:val="239"/>
        </w:trPr>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88"/>
        </w:trPr>
        <w:tc>
          <w:tcPr>
            <w:tcW w:w="36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2015</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366,635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239,963,728</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1-30, 2015</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1,345,458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1,345,458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184,467,736</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2015</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1,236,144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1,236,144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140,474,488</w:t>
            </w:r>
          </w:p>
        </w:tc>
        <w:tc>
          <w:tcPr>
            <w:tcW w:w="0" w:type="dxa"/>
            <w:vAlign w:val="bottom"/>
          </w:tcPr>
          <w:p>
            <w:pPr>
              <w:spacing w:after="0"/>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2,948,237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2,948,237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140,474,488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62626"/>
        </w:rPr>
        <w:t>The Company’s Board of Directors has authorized the repurchase of up to $885 million of its common stock under a plan originally approved in 2013 and subsequently expanded in 2014 and 2015. In January 2016, the Board of Directors authorized a $ 300 million increase in the Company’s share repurchase program.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500 Index and the Dow Jones U.S. Transportation Average Index for the period of five fiscal years commencing December 31, 2010 and ending December 31, 2015. The broad equity market indices used by the Company are the S&amp;P 500 Index, which measures the performance of large-sized companies, and the Dow Jones U.S. Transportation Average Index, which measures the performance of transportation companies. The graph and table depict the result of an investment on December 31, 2010 of $100 in the Company’s common stock, the S&amp;P 500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5763260" cy="4322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3260"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Avis Budget Group, Inc.</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233.23</w:t>
            </w: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102.11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118.45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156.82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178.29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180.75</w:t>
            </w:r>
          </w:p>
        </w:tc>
      </w:tr>
      <w:tr>
        <w:trPr>
          <w:trHeight w:val="228"/>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Transportation Average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Index</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158.31</w:t>
            </w: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SELECTED FINANCIAL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0"/>
        </w:trPr>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40" w:type="dxa"/>
            <w:vAlign w:val="bottom"/>
            <w:gridSpan w:val="8"/>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(In millions, except per share data)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5,900</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610</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(0.28)</w:t>
            </w: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16,842</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16,150</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12,800</w:t>
            </w:r>
          </w:p>
        </w:tc>
      </w:tr>
      <w:tr>
        <w:trPr>
          <w:trHeight w:val="270"/>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9,090</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3,115</w:t>
            </w:r>
          </w:p>
        </w:tc>
      </w:tr>
      <w:tr>
        <w:trPr>
          <w:trHeight w:val="270"/>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1"/>
                <w:szCs w:val="21"/>
                <w:color w:val="auto"/>
                <w:vertAlign w:val="superscript"/>
              </w:rPr>
              <w:t>(b)(c)</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5,516</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Ratio of debt under vehicle programs to assets under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780" w:type="dxa"/>
            <w:vAlign w:val="bottom"/>
          </w:tcPr>
          <w:p>
            <w:pPr>
              <w:ind w:left="160"/>
              <w:spacing w:after="0"/>
              <w:rPr>
                <w:sz w:val="20"/>
                <w:szCs w:val="20"/>
                <w:color w:val="auto"/>
              </w:rPr>
            </w:pPr>
            <w:r>
              <w:rPr>
                <w:rFonts w:ascii="Arial" w:cs="Arial" w:eastAsia="Arial" w:hAnsi="Arial"/>
                <w:sz w:val="18"/>
                <w:szCs w:val="18"/>
                <w:color w:val="auto"/>
              </w:rPr>
              <w:t>vehicle programs</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76%</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73%</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67%</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0" w:hanging="332"/>
        <w:spacing w:after="0" w:line="225" w:lineRule="auto"/>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Adjusted EBITDA to Net income (loss) within our Selected Financial Data, which we define as income from continuing operations before non-vehicle related depreciation and amortization, any impairment charge, restructuring expense, early extinguishment of debt costs, non-vehicle related interest, transaction-related costs and income taxes. Our presentation of Adjusted EBITDA may not be comparable to similarly-titled measures used by other companies.</w:t>
      </w:r>
    </w:p>
    <w:p>
      <w:pPr>
        <w:spacing w:after="0" w:line="188" w:lineRule="exact"/>
        <w:rPr>
          <w:sz w:val="20"/>
          <w:szCs w:val="20"/>
          <w:color w:val="auto"/>
        </w:rPr>
      </w:pPr>
    </w:p>
    <w:tbl>
      <w:tblPr>
        <w:tblLayout w:type="fixed"/>
        <w:tblInd w:w="94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534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Less: Non-vehicle related depreciation and amortization</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Interest expense related to corporate debt, net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Early extinguishment of corporate debt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Transaction-related costs, net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Impairment</w:t>
            </w: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4"/>
                <w:szCs w:val="14"/>
                <w:color w:val="auto"/>
              </w:rPr>
              <w:t>Net income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related-party debt due to Avis Budget Rental Car Funding (AESOP) LLC (“Avis Budget Rental Car Funding”). See Note 13 to our Consolidated Financial Statements.</w:t>
      </w:r>
    </w:p>
    <w:p>
      <w:pPr>
        <w:ind w:left="340" w:right="20" w:hanging="332"/>
        <w:spacing w:after="0" w:line="218" w:lineRule="auto"/>
        <w:tabs>
          <w:tab w:leader="none" w:pos="3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financial data presented has been retrospectively adjusted as follows, to reflect the impact of a change in accounting principle related to the presentation of debt issuance costs pursuant to Accounting Standards Update 2015-03. See Note 2 to our Consolidated FInancial Statements.</w:t>
      </w:r>
    </w:p>
    <w:p>
      <w:pPr>
        <w:spacing w:after="0" w:line="188" w:lineRule="exact"/>
        <w:rPr>
          <w:sz w:val="20"/>
          <w:szCs w:val="20"/>
          <w:color w:val="auto"/>
        </w:rPr>
      </w:pPr>
    </w:p>
    <w:tbl>
      <w:tblPr>
        <w:tblLayout w:type="fixed"/>
        <w:tblInd w:w="78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6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r>
      <w:tr>
        <w:trPr>
          <w:trHeight w:val="244"/>
        </w:trPr>
        <w:tc>
          <w:tcPr>
            <w:tcW w:w="6480" w:type="dxa"/>
            <w:vAlign w:val="bottom"/>
          </w:tcPr>
          <w:p>
            <w:pPr>
              <w:spacing w:after="0"/>
              <w:rPr>
                <w:sz w:val="20"/>
                <w:szCs w:val="20"/>
                <w:color w:val="auto"/>
              </w:rPr>
            </w:pPr>
            <w:r>
              <w:rPr>
                <w:rFonts w:ascii="Arial" w:cs="Arial" w:eastAsia="Arial" w:hAnsi="Arial"/>
                <w:sz w:val="14"/>
                <w:szCs w:val="14"/>
                <w:color w:val="auto"/>
              </w:rPr>
              <w:t>Total assets decreased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0"/>
        </w:trPr>
        <w:tc>
          <w:tcPr>
            <w:tcW w:w="6480" w:type="dxa"/>
            <w:vAlign w:val="bottom"/>
          </w:tcPr>
          <w:p>
            <w:pPr>
              <w:spacing w:after="0"/>
              <w:rPr>
                <w:sz w:val="20"/>
                <w:szCs w:val="20"/>
                <w:color w:val="auto"/>
              </w:rPr>
            </w:pPr>
            <w:r>
              <w:rPr>
                <w:rFonts w:ascii="Arial" w:cs="Arial" w:eastAsia="Arial" w:hAnsi="Arial"/>
                <w:sz w:val="14"/>
                <w:szCs w:val="14"/>
                <w:color w:val="auto"/>
              </w:rPr>
              <w:t>Corporate debt decreased</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0"/>
        </w:trPr>
        <w:tc>
          <w:tcPr>
            <w:tcW w:w="6480" w:type="dxa"/>
            <w:vAlign w:val="bottom"/>
          </w:tcPr>
          <w:p>
            <w:pPr>
              <w:spacing w:after="0"/>
              <w:rPr>
                <w:sz w:val="20"/>
                <w:szCs w:val="20"/>
                <w:color w:val="auto"/>
              </w:rPr>
            </w:pPr>
            <w:r>
              <w:rPr>
                <w:rFonts w:ascii="Arial" w:cs="Arial" w:eastAsia="Arial" w:hAnsi="Arial"/>
                <w:sz w:val="14"/>
                <w:szCs w:val="14"/>
                <w:color w:val="auto"/>
              </w:rPr>
              <w:t>Debt under vehicle programs decreased</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w:t>
            </w:r>
          </w:p>
        </w:tc>
      </w:tr>
    </w:tbl>
    <w:p>
      <w:pPr>
        <w:spacing w:after="0" w:line="17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40"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TRANSACTION-RELATED COSTS, RESTRUCTURING AND OTHER ITEMS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2015, 2014, 2013, 2012 and 2011, we recorded $68 million, $13 million, $51 million, $34 million and $255 million, respectively, of transaction-related costs, primarily related to the acquisition and integration of acquired businesses with our operations. In 2015, these costs were primarily related to acquisition- and integration-related costs of acquired businesses, including $25 million of non-cash charges recognized in connection with the acquisition of the Avis and Budget license rights for Norway, Sweden, and Denmark and Avis license rights for Poland, costs associated with the acquisition of the remaining 50% equity interest in the Brazilian licensee, which is now a wholly-owned subsidiary, and expenses related to certain pre-acquisition contingencies. In 2014, these costs were primarily related to acquisition- and integration-related costs of acquired businesses, including a non-cash gain recognized in connection with the acquisition of our Budget license rights in southern California and Las Vegas, and contingent consideration related to our Apex Car Rentals acquisition. In 2013, these costs were primarily related to the acquisition of Zipcar and the integration of acquired businesses. During 2012, these costs were primarily related to the integration of Avis Europe’s operations with the Company’s. In 2011, these costs included (i) a $117 million non-cash charge related to the unfavorable license rights reacquired by the Company through the acquisition of Avis Europe, which provided Avis Europe with royalty-free license rights within certain territories, (ii) $89 million of expenses related to due-diligence, advisory and other costs, and (iii) $49 million for losses on foreign-currency transactions related to the Avis Europe purchase price. See Notes 2 and 5 to our Consolidated Financial Statements.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2015, in conjunction with recent acquisitions, we identified opportunities to integrate and streamline our operations, primarily in Europe. In 2014, we committed to various strategic initiatives to identify best practices and drive efficiency throughout our organization, by reducing headcount, improving processes and consolidating functions. In 2012, we implemented a restructuring initiative related to our truck rental operations in the United States, and in 2011, we implemented a restructuring initiative subsequent to the acquisition of Avis Europe. We recorded expenses related to these and other restructuring initiatives of $18 million in 2015, $26 million in 2014, $61 million in 2013, $38 million in 2012, and $5 million in 2011. See Note 4 to our Consolidated Financial Statements.</w:t>
      </w:r>
    </w:p>
    <w:p>
      <w:pPr>
        <w:spacing w:after="0" w:line="15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2015, 2014, 2013 and 2012, we recorded $23 million, $56 million, $147 million and $75 million, respectively, of expense related to the early extinguishment of corporate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2013, we recorded a charge of $33 million for the impairment of our equity-method investment in our Brazilian licensee.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85"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thereto included elsewhere herein.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5487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more than 580,000 vehicles. We also license the use of our trademarks to licensees in the areas in which we do not operate directly. We and our licensees operate our brands in approximately 180 countries throughout the world.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and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as discussed in Part I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TRENDS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Throughout 2015, we operated in an uncertain and uneven economic environment marked by heightened geopolitical risks. We expect such economic conditions to continue in 2016. Nonetheless, we continue to anticipate that worldwide demand for vehicle rental and car sharing services will increase in 2016,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2016 to enhance our returns on invested capital and profitability.</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objective continues to be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2015, we achieved record transaction volumes and revenues and had the highest Adjusted EBITDA in our history:</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net revenues totaled $8.5 billion and grew 5% in constant currency.</w:t>
      </w:r>
    </w:p>
    <w:p>
      <w:pPr>
        <w:spacing w:after="0" w:line="117"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increased 3% to $903 million and grew 9% in constant currency, primarily as a result of higher rental volumes and lower costs per rental day.</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repurchased $394 million of our common stock, reducing our shares outstanding by approximately 8.8 million shares, or 8%.</w:t>
      </w:r>
    </w:p>
    <w:p>
      <w:pPr>
        <w:spacing w:after="0" w:line="11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January, we acquired our Avis and Budget licensees in Norway, Sweden and Denmark (“Scandinavia”); in April, we acquired the remaining 50% ownership in our Avis and Budget licensee for Brazil (“Brazil”); and in November, we acquired our Avis licensee in Poland (“Poland”).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we acquired Maggiore Group (“Maggiore”), the fourth-largest vehicle rental company in Italy.</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issued $375 million of 5¼% Senior Notes due 2025, the proceeds of which were used primarily to redeem all $223 million of our outstanding 9¾% Senior Notes due 2020 and to finance a portion of our acquisition of Maggiore.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w:t>
      </w:r>
    </w:p>
    <w:p>
      <w:pPr>
        <w:spacing w:after="0" w:line="20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40"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costs, non-vehicle related interest, transaction-related costs and income taxes.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2015 vs. Year Ended December 31, 2014</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During 2015, our net revenues increased as a result of a 7% increase in total rental days (5% excluding Maggiore), largely offset by a $444 million (5%) negative impact from currency exchange rate movements and a 2% decrease in pricing in constant currency (1% excluding Maggiore).</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expenses increased as a result of increased volumes, a 7% increase in our car rental fleet (4% excluding Maggiore) and transaction-related costs, net, primarily associated with the acquisitions of Scandinavia and Brazil, most of which were non-cash expenses. This increase was largely offset by a favorable impact from currency exchange rate movements on expenses of approximately $418 million (5%). As a result of these items, and a $98 million income tax benefit related to the resolution of a prior-year tax matter, our net income increased by $68 million. Our effective tax rates were a provision of 18% and 38% in 2015 and 2014, respectively.</w:t>
      </w:r>
    </w:p>
    <w:p>
      <w:pPr>
        <w:spacing w:after="0" w:line="20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2015, the Company reported earnings of $2.98 per diluted share, which includes after-tax transaction-related costs, net, of ($0.52) per share, after-tax debt extinguishment costs of ($0.13) per share, after-tax restructuring expense of ($0.12) per share and an income tax benefit related to resolution of prior-year tax matter of $0.93 per share. For 2014, the Company reported earnings of $2.22 per diluted share, which includes after-tax debt extinguishment costs of ($0.31) per share, after-tax restructuring expense of ($0.16) per share and after-tax transaction costs, net, of ($0.08) per share.</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to 50.4% of revenue from 50.1% in the prior year.</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22.7% of revenue from 23.5% in 2014, principally due to 10% lower per-unit fleet costs (5% in constant currency).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Selling, general and administrative costs were 12.9% of revenue compared to 12.7% in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3.3%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5,961</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2%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$55 million in 2015 from $33 million in 2014.</w:t>
      </w:r>
    </w:p>
    <w:p>
      <w:pPr>
        <w:ind w:left="340" w:hanging="332"/>
        <w:spacing w:after="0" w:line="184"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bl>
    <w:p>
      <w:pPr>
        <w:spacing w:after="0" w:line="16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Revenues increased 2% in 2015 compared with 2014, primarily due to 4% growth in rental volumes, partially offset by a $59 million (1%) negative impact from currency exchange rate movements and a 1% decrease in pricing in constant currency.</w:t>
      </w:r>
    </w:p>
    <w:p>
      <w:pPr>
        <w:spacing w:after="0" w:line="1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Adjusted EBITDA increased 4% in 2015 compared with 2014, due to increased rental volumes and 4% lower per-unit fleet costs (3% in constant currency), partially offset by decreased pricing, higher maintenance, damage and insurance costs and a $7 million (1%) negative impact from currency exchange rate changes.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expenses were 49.3% of revenue compared to 49.1% in 2014.</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24.3% of revenue from 25.0% in 2014, principally due to lower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11.2% of revenue from 10.9%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Vehicle interest costs, at 3.9% of revenue, remained level compared to the prior year.</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0"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4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76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16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716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Revenues decreased 4% during 2015 compared with 2014, primarily due to a $ 385 million (15%) negative impact on revenues from currency exchange rate changes and a 4% decrease in pricing in constant currency (3% excluding Maggiore) and partially offset by an 18% increase in rental volumes (9% excluding Maggiore). Excluding Maggiore, total revenue per rental day decreased 1% in constant currency.</w:t>
      </w:r>
    </w:p>
    <w:p>
      <w:pPr>
        <w:spacing w:after="0" w:line="20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Adjusted EBITDA declined 1% in 2015 compared with 2014, due to lower pricing and a $42 million (15%) negative impact from currency exchange rate changes, partially offset by an increase in rental volumes, 23% lower per-unit fleet costs (9% in constant currency) and the acquisitions of Maggiore and Scandinavia.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right="2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increased to 52.7% of revenue compared to 52.0% in 2014, primarily due to lower pricing and higher insurance costs, partially offset by increased rental volumes.</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18.7% of revenue from 20.0% compared to the prior year, driven by lower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14.9% of revenue compared to 15.0%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Vehicle interest costs increased to 2.2% of revenue compared to 1.9% in the prior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DDDDDD"/>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Adjusted EBITDA increased $4 million in 2015 compared with 2014, primarily due to lower selling, general and administrative expenses which are not attributable to a particular segment.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2014 vs. Year Ended December 31, 2013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548</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6"/>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200" w:type="dxa"/>
            <w:vAlign w:val="bottom"/>
            <w:gridSpan w:val="2"/>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527"/>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During 2014, our net revenues increased principally as a result of a 5% increase in total rental days and a 1% increase in pricing, a 9% increase in ancillary revenues and $67 million of incremental revenue from Zipcar (acquired in March 2013), partially offset by a $43 million negative impact from currency exchange rate movements.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vehicle depreciation and lease charges resulting from a 5% increase in our car rental fleet and a 4% increase in our per-unit fleet costs. Total expenses also increased as a result of higher operating expenses due to increased volumes and higher selling, general and administrative costs driven by increased marketing expenses. These increases were partially offset by decreases in debt extinguishment costs, transaction-related costs, net, restructuring expense and impairment costs. As a result, despite a $16 million negative pretax impact from currency exchange rate movements, our net income increased by $229 million. Our effective tax rates were a provision of 38% and 84% in 2014 and 2013, respectively, principally due to the non-deductibility of the impairment charge and a portion of the early extinguishment of corporate debt costs in 2013.</w:t>
      </w:r>
    </w:p>
    <w:p>
      <w:pPr>
        <w:spacing w:after="0" w:line="20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For 2014, the Company reported earnings of $2.22 per diluted share, which includes after-tax debt extinguishment costs of ($0.31) per share, after-tax restructuring expense of ($ 0.16) per share and after-tax transaction costs, net, of ($0.08) per share. For 2013, the Company reported earnings of $0.15 per diluted share, which includes after-tax debt extinguishment costs of ($0.94) per share, after-tax restructuring expense of ($0.35) per share, after-tax transaction costs, net, of ($0.35) per share and an after-tax impairment charge of ($0.28)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expenses decreased to 50.1% of revenue from 51.3% in 2013, driven by increased rental volumes and higher pricing.</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08"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4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23.5% of revenue from 22.8% in 2013, principally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12.7% of revenue from 12.8% in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Vehicle interest costs, at 3.3% of revenue, remained level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5,480</w:t>
            </w:r>
          </w:p>
        </w:tc>
        <w:tc>
          <w:tcPr>
            <w:tcW w:w="1800" w:type="dxa"/>
            <w:vAlign w:val="bottom"/>
            <w:gridSpan w:val="4"/>
          </w:tcPr>
          <w:p>
            <w:pPr>
              <w:jc w:val="right"/>
              <w:ind w:right="120"/>
              <w:spacing w:after="0"/>
              <w:rPr>
                <w:sz w:val="20"/>
                <w:szCs w:val="20"/>
                <w:color w:val="auto"/>
              </w:rPr>
            </w:pPr>
            <w:r>
              <w:rPr>
                <w:rFonts w:ascii="Arial" w:cs="Arial" w:eastAsia="Arial" w:hAnsi="Arial"/>
                <w:sz w:val="18"/>
                <w:szCs w:val="18"/>
                <w:color w:val="auto"/>
              </w:rPr>
              <w:t>9%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366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90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0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66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5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 meaningful</w:t>
      </w:r>
    </w:p>
    <w:p>
      <w:pPr>
        <w:ind w:left="340" w:hanging="332"/>
        <w:spacing w:after="0" w:line="184" w:lineRule="auto"/>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$33 million in 2014 from $24 million in 2013.</w:t>
      </w:r>
    </w:p>
    <w:p>
      <w:pPr>
        <w:ind w:left="340" w:hanging="332"/>
        <w:spacing w:after="0" w:line="184" w:lineRule="auto"/>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w:t>
            </w:r>
          </w:p>
        </w:tc>
      </w:tr>
    </w:tbl>
    <w:p>
      <w:pPr>
        <w:spacing w:after="0" w:line="16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Revenues increased 9% in 2014 compared with 2013, primarily due to 7% growth in rental volumes and a 2% increase in pricing, and $54 million of incremental revenue from Zipcar.</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increased 17% in 2014 compared with 2013, primarily due to increased rental volumes and pricing as well as the acquisition of Zipcar, partially offset by 5% higher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right="2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expenses were 49.1% of revenue, a decrease from 50.4% in the prior year, driven by increased rental volumes and higher pricing.</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25.0% of revenue from 24.0% in 2013, due to higher per-unit fleet costs and a decrease in fleet utilization as a result of increased manufacturer recalls.</w:t>
      </w:r>
    </w:p>
    <w:p>
      <w:pPr>
        <w:spacing w:after="0" w:line="196"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10.9% of revenue from 11.4% in the prior year, principally due to increased revenues.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interest costs, at 3.9% of revenue, remained level compared to the prior year.</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0"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8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724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3% during 2014 compared with 2013, primarily due to an 8% increase in ancillary revenues.</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Adjusted EBITDA increased 9% in 2014 compared with 2013, driven by increased revenue, partially offset by a $12 million negative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expenses were 52.0% of revenue, a decrease from 53.1% in the prior year, primarily due to increased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20.0% of revenue from 20.2% compared to the prior year.</w:t>
      </w:r>
    </w:p>
    <w:p>
      <w:pPr>
        <w:spacing w:after="0" w:line="225"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15.0% of revenue from 14.4% in the prior year, primarily due to our planned increase in advertising and brand investment.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interest costs, at 1.9% of revenue, remained level compared to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DDDDDD"/>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Adjusted EBITDA decreased $13 million in 2014 compared with 2013, primarily due to greater selling, general and administrative expenses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4"/>
        </w:trPr>
        <w:tc>
          <w:tcPr>
            <w:tcW w:w="5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assets exclusive of assets under vehicle programs</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Liabilities under vehicle programs</w:t>
            </w: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851"/>
        </w:trPr>
        <w:tc>
          <w:tcPr>
            <w:tcW w:w="5160" w:type="dxa"/>
            <w:vAlign w:val="bottom"/>
          </w:tcPr>
          <w:p>
            <w:pPr>
              <w:spacing w:after="0"/>
              <w:rPr>
                <w:sz w:val="24"/>
                <w:szCs w:val="24"/>
                <w:color w:val="auto"/>
              </w:rPr>
            </w:pPr>
          </w:p>
        </w:tc>
        <w:tc>
          <w:tcPr>
            <w:tcW w:w="1540" w:type="dxa"/>
            <w:vAlign w:val="bottom"/>
          </w:tcPr>
          <w:p>
            <w:pPr>
              <w:jc w:val="right"/>
              <w:ind w:right="83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Total assets exclusive of assets under vehicle programs increased 2% and now include assets associated with the acquisitions of Maggiore, Scandinavia, Poland and Brazil (see Note 5 to our Consolidated Financial Statements and “Liquidity and Capital Resources—Cash Flows”). Total liabilities exclusive of liabilities under vehicle programs increased by 1% (see “Liquidity and Capital Resources—Debt and Financing Arrangements” regarding the changes in our corporate financings).</w:t>
      </w:r>
    </w:p>
    <w:p>
      <w:pPr>
        <w:spacing w:after="0" w:line="150"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Assets under vehicle programs and liabilities under vehicle programs increased primarily due to an increase in the size of our vehicle rental fleet to accommodate increased rental demand and associated funding, as well as our acquisitions. See “Liquidity and Capital Resources— Debt and Financing Arrangements” for a detailed account of the change in our debt related to vehicle programs.</w:t>
      </w:r>
    </w:p>
    <w:p>
      <w:pPr>
        <w:spacing w:after="0" w:line="14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decrease in stockholders’ equity is primarily due to the repurchase of our common stock and currency translation adjustments, partially offset by our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2015, we issued $375 million of 5</w:t>
      </w:r>
      <w:r>
        <w:rPr>
          <w:rFonts w:ascii="Arial" w:cs="Arial" w:eastAsia="Arial" w:hAnsi="Arial"/>
          <w:sz w:val="16"/>
          <w:szCs w:val="16"/>
          <w:color w:val="auto"/>
        </w:rPr>
        <w:t>¼</w:t>
      </w:r>
      <w:r>
        <w:rPr>
          <w:rFonts w:ascii="Arial" w:cs="Arial" w:eastAsia="Arial" w:hAnsi="Arial"/>
          <w:sz w:val="18"/>
          <w:szCs w:val="18"/>
          <w:color w:val="auto"/>
        </w:rPr>
        <w:t>% Senior Notes due 2025 and used proceeds from this borrowing to redeem the entire $223 million principal amount outstanding of our 9¾% Senior Notes due 2020 and fund a portion of our acquisition of Maggiore. In addition, we repurchased approximately 8.8 million shares of our outstanding common stock with cash generated from our operations. During 2015, we also had net borrowings under vehicle programs of $490 million to fund an increase in our assets under vehicle programs.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2015 vs. Year Ended December 31, 2014</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was substantially unchanged during 2015 compared with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was substantially unchanged during 2015 compared with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provided by financing activities in 2015 compared with 2014 is primarily due to an increase in our stock repurchases.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anticipate that our non-vehicle property and equipment additions will be approximately $210 million in 2016. As of December 31, 2015, we had approximately $140 million of authorized share repurchase capacity and in January 2016, our Board of Directors increased the authorization by $300 million. We currently anticipate that we will utilize most of such capacity to repurchase common stock in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2"/>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2014 vs. Year Ended December 31, 2013</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increase in cash provided by operating activities during 2014 compared to 2013 is principally due to increased revenues and our continued cost reduction efforts.</w:t>
      </w:r>
    </w:p>
    <w:p>
      <w:pPr>
        <w:spacing w:after="0" w:line="14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increase in cash used in investing activities during 2014 compared with 2013 is primarily due to increased vehicle purchases and our Budget Licensee Acquisitions during 2014, partially offset by the acquisition of Zipcar in 2013.</w:t>
      </w:r>
    </w:p>
    <w:p>
      <w:pPr>
        <w:spacing w:after="0" w:line="14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increase in cash provided by financing activities in 2014 compared with 2013, primarily reflects an increase in borrowings under vehicle programs to fund an increase in vehicle assets in 2014, partially offset by increased corporate borrowings to fund the purchase of Zipcar in 2013 and an increase in common stock repurchases in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31, 2015, we had approximately $12.3 billion of indebtedness (including corporate indebtedness of approximately $3.5 billion and debt under vehicle programs of approximately $8.9 billion). We use various hedging strategies, including derivative instruments, to manage a portion of the risks associated with our floating rate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Corporate indebtedness consisted of:</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4⅞%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2017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1"/>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Floating Rate Senior Notes </w:t>
            </w:r>
            <w:r>
              <w:rPr>
                <w:rFonts w:ascii="Arial" w:cs="Arial" w:eastAsia="Arial" w:hAnsi="Arial"/>
                <w:sz w:val="21"/>
                <w:szCs w:val="21"/>
                <w:color w:val="auto"/>
                <w:vertAlign w:val="superscript"/>
              </w:rPr>
              <w:t>(a)</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2017</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2"/>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1"/>
                <w:szCs w:val="21"/>
                <w:color w:val="auto"/>
                <w:vertAlign w:val="superscript"/>
              </w:rPr>
              <w:t>(b)</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2019</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9¾%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2020</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23"/>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6% Euro-denominated Senior Notes </w:t>
            </w:r>
            <w:r>
              <w:rPr>
                <w:rFonts w:ascii="Arial" w:cs="Arial" w:eastAsia="Arial" w:hAnsi="Arial"/>
                <w:sz w:val="21"/>
                <w:szCs w:val="21"/>
                <w:color w:val="auto"/>
                <w:vertAlign w:val="superscript"/>
              </w:rPr>
              <w:t>(c)</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2021</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5⅛%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2022</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5½%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2023</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5¼%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2025</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310"/>
        </w:trPr>
        <w:tc>
          <w:tcPr>
            <w:tcW w:w="480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(d)</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Deferred financing fees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340" w:right="20" w:hanging="332"/>
        <w:spacing w:after="0" w:line="207"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The interest rate on these notes is equal to three-month LIBOR plus 275 basis points, for an aggregate rate of 3.16% at December 31, 2015; the Company has entered into an interest rate swap to hedge its interest rate exposure related to these notes at an aggregate rate of 3.58%.</w:t>
      </w:r>
    </w:p>
    <w:p>
      <w:pPr>
        <w:spacing w:after="0" w:line="1" w:lineRule="exact"/>
        <w:rPr>
          <w:rFonts w:ascii="Arial" w:cs="Arial" w:eastAsia="Arial" w:hAnsi="Arial"/>
          <w:sz w:val="22"/>
          <w:szCs w:val="22"/>
          <w:color w:val="auto"/>
          <w:vertAlign w:val="superscript"/>
        </w:rPr>
      </w:pPr>
    </w:p>
    <w:p>
      <w:pPr>
        <w:ind w:left="340" w:hanging="332"/>
        <w:spacing w:after="0" w:line="221"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December 31, 2015, the floating rate term loan due 2019 bears interest at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ind w:left="340" w:right="140"/>
        <w:spacing w:after="0" w:line="313" w:lineRule="auto"/>
        <w:rPr>
          <w:sz w:val="20"/>
          <w:szCs w:val="20"/>
          <w:color w:val="auto"/>
        </w:rPr>
      </w:pPr>
      <w:r>
        <w:rPr>
          <w:rFonts w:ascii="Arial" w:cs="Arial" w:eastAsia="Arial" w:hAnsi="Arial"/>
          <w:sz w:val="16"/>
          <w:szCs w:val="16"/>
          <w:color w:val="auto"/>
        </w:rPr>
        <w:t>the greater of three-month LIBOR or 0.75%, plus 225 basis points, for an aggregate rate of 3.00%. The Company has entered into a swap to hedge $600 million of its interest rate exposure related to the floating rate term loan at an aggregate rate of 3.96%.</w:t>
      </w:r>
    </w:p>
    <w:p>
      <w:pPr>
        <w:ind w:left="340" w:hanging="332"/>
        <w:spacing w:after="0" w:line="185"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 reduction in the balance principally reflects currency translation adjustments.</w:t>
      </w:r>
    </w:p>
    <w:p>
      <w:pPr>
        <w:ind w:left="340" w:hanging="332"/>
        <w:spacing w:after="0" w:line="184"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Primarily includes capital leases which are secured by liens on the related assets.</w:t>
      </w:r>
    </w:p>
    <w:p>
      <w:pPr>
        <w:spacing w:after="0" w:line="15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96"/>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8"/>
                <w:szCs w:val="18"/>
                <w:color w:val="auto"/>
              </w:rPr>
              <w:t>Americas – Debt borrowings</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(a)(b)</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 – Capital leases</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4"/>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340" w:hanging="332"/>
        <w:spacing w:after="0" w:line="187" w:lineRule="auto"/>
        <w:tabs>
          <w:tab w:leader="none" w:pos="34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The increase includes additional borrowing related to the acquisition of Maggiore.</w:t>
      </w:r>
    </w:p>
    <w:p>
      <w:pPr>
        <w:ind w:left="340" w:right="480" w:hanging="332"/>
        <w:spacing w:after="0" w:line="21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December 31, 2015 and 2014 were $41 million and $44 million, respectively.</w:t>
      </w:r>
    </w:p>
    <w:p>
      <w:pPr>
        <w:spacing w:after="0" w:line="155" w:lineRule="exact"/>
        <w:rPr>
          <w:sz w:val="20"/>
          <w:szCs w:val="20"/>
          <w:color w:val="auto"/>
        </w:rPr>
      </w:pPr>
    </w:p>
    <w:p>
      <w:pPr>
        <w:ind w:left="60" w:right="40"/>
        <w:spacing w:after="0" w:line="262" w:lineRule="auto"/>
        <w:rPr>
          <w:sz w:val="20"/>
          <w:szCs w:val="20"/>
          <w:color w:val="auto"/>
        </w:rPr>
      </w:pPr>
      <w:r>
        <w:rPr>
          <w:rFonts w:ascii="Arial" w:cs="Arial" w:eastAsia="Arial" w:hAnsi="Arial"/>
          <w:sz w:val="18"/>
          <w:szCs w:val="18"/>
          <w:color w:val="auto"/>
        </w:rPr>
        <w:t>The following table provides the contractual maturities for our corporate debt and our debt under vehicle programs, including related party debt due to Avis Budget Rental Car Funding, at December 31, 2015:</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r>
      <w:tr>
        <w:trPr>
          <w:trHeight w:val="203"/>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r>
      <w:tr>
        <w:trPr>
          <w:trHeight w:val="246"/>
        </w:trPr>
        <w:tc>
          <w:tcPr>
            <w:tcW w:w="83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 Debt</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Due in 2016</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1,501</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2017</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2,884</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2018</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1,626</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2019</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2020</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1,513</w:t>
            </w:r>
          </w:p>
        </w:tc>
      </w:tr>
      <w:tr>
        <w:trPr>
          <w:trHeight w:val="277"/>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8,913</w:t>
            </w: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December 31, 2015, we had approximately $4.4 billion of available funding under our various financing arrangements (comprised of $1.1 billion of availability under our committed credit facilities and approximately $3.3 billion available for use in our vehicle programs). As of December 31, 2015, the committed non-vehicle-backed credit facilities available to us and/or our subsidiaries included: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Letters of Credit</w:t>
            </w:r>
          </w:p>
        </w:tc>
        <w:tc>
          <w:tcPr>
            <w:tcW w:w="24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46"/>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Total Capacity</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94"/>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Senior revolving credit facility maturing 2018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1,113</w:t>
            </w:r>
          </w:p>
        </w:tc>
      </w:tr>
      <w:tr>
        <w:trPr>
          <w:trHeight w:val="235"/>
        </w:trPr>
        <w:tc>
          <w:tcPr>
            <w:tcW w:w="5160" w:type="dxa"/>
            <w:vAlign w:val="bottom"/>
          </w:tcPr>
          <w:p>
            <w:pPr>
              <w:ind w:left="40"/>
              <w:spacing w:after="0" w:line="235" w:lineRule="exact"/>
              <w:rPr>
                <w:sz w:val="20"/>
                <w:szCs w:val="20"/>
                <w:color w:val="auto"/>
              </w:rPr>
            </w:pPr>
            <w:r>
              <w:rPr>
                <w:rFonts w:ascii="Arial" w:cs="Arial" w:eastAsia="Arial" w:hAnsi="Arial"/>
                <w:sz w:val="18"/>
                <w:szCs w:val="18"/>
                <w:color w:val="auto"/>
              </w:rPr>
              <w:t xml:space="preserve">Other credit facilities </w:t>
            </w:r>
            <w:r>
              <w:rPr>
                <w:rFonts w:ascii="Arial" w:cs="Arial" w:eastAsia="Arial" w:hAnsi="Arial"/>
                <w:sz w:val="21"/>
                <w:szCs w:val="21"/>
                <w:color w:val="auto"/>
                <w:vertAlign w:val="superscript"/>
              </w:rPr>
              <w:t>(b)</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84"/>
        </w:trPr>
        <w:tc>
          <w:tcPr>
            <w:tcW w:w="5160" w:type="dxa"/>
            <w:vAlign w:val="bottom"/>
          </w:tcPr>
          <w:p>
            <w:pPr>
              <w:jc w:val="right"/>
              <w:ind w:right="4173"/>
              <w:spacing w:after="0"/>
              <w:rPr>
                <w:sz w:val="20"/>
                <w:szCs w:val="20"/>
                <w:color w:val="auto"/>
              </w:rPr>
            </w:pPr>
            <w:r>
              <w:rPr>
                <w:rFonts w:ascii="Arial" w:cs="Arial" w:eastAsia="Arial" w:hAnsi="Arial"/>
                <w:sz w:val="16"/>
                <w:szCs w:val="16"/>
                <w:color w:val="auto"/>
                <w:w w:val="98"/>
              </w:rPr>
              <w:t>__________</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5" w:lineRule="exact"/>
        <w:rPr>
          <w:sz w:val="20"/>
          <w:szCs w:val="20"/>
          <w:color w:val="auto"/>
        </w:rPr>
      </w:pPr>
    </w:p>
    <w:p>
      <w:pPr>
        <w:ind w:left="340" w:right="60" w:hanging="332"/>
        <w:spacing w:after="0" w:line="219"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These facilities encompass bank overdraft lines of credit, bearing interest of 1.50% to 3.48% as of December 31, 2015.</w:t>
      </w:r>
    </w:p>
    <w:p>
      <w:pPr>
        <w:spacing w:after="0" w:line="15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December 31, 2015, the Company had various other uncommitted credit facilities available, which bear interest at rates of 0.21% to 1.76%, under which it had drawn approximately $3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Rental Car Funding, at December 31, 2015:</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67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 Capacity</w:t>
            </w:r>
            <w:r>
              <w:rPr>
                <w:rFonts w:ascii="Arial" w:cs="Arial" w:eastAsia="Arial" w:hAnsi="Arial"/>
                <w:sz w:val="21"/>
                <w:szCs w:val="21"/>
                <w:b w:val="1"/>
                <w:bCs w:val="1"/>
                <w:color w:val="auto"/>
                <w:vertAlign w:val="superscript"/>
              </w:rPr>
              <w:t>(a)</w:t>
            </w:r>
          </w:p>
        </w:tc>
        <w:tc>
          <w:tcPr>
            <w:tcW w:w="18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Borrowings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87"/>
        </w:trPr>
        <w:tc>
          <w:tcPr>
            <w:tcW w:w="6700" w:type="dxa"/>
            <w:vAlign w:val="bottom"/>
          </w:tcPr>
          <w:p>
            <w:pPr>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2,055</w:t>
            </w: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4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922</w:t>
            </w:r>
          </w:p>
        </w:tc>
      </w:tr>
      <w:tr>
        <w:trPr>
          <w:trHeight w:val="276"/>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33"/>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84"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340" w:hanging="332"/>
        <w:spacing w:after="0" w:line="187" w:lineRule="auto"/>
        <w:tabs>
          <w:tab w:leader="none" w:pos="34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$8.4 billion of underlying vehicles and related assets.</w:t>
      </w:r>
    </w:p>
    <w:p>
      <w:pPr>
        <w:ind w:left="340" w:hanging="332"/>
        <w:spacing w:after="0" w:line="187" w:lineRule="auto"/>
        <w:tabs>
          <w:tab w:leader="none" w:pos="34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$0.9 billion of underlying vehicles and related assets.</w:t>
      </w:r>
    </w:p>
    <w:p>
      <w:pPr>
        <w:ind w:left="340" w:hanging="332"/>
        <w:spacing w:after="0" w:line="187" w:lineRule="auto"/>
        <w:tabs>
          <w:tab w:leader="none" w:pos="34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$1.5 billion of underlying vehicles and related assets.</w:t>
      </w:r>
    </w:p>
    <w:p>
      <w:pPr>
        <w:ind w:left="340" w:hanging="332"/>
        <w:spacing w:after="0" w:line="184"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$0.2 billion of underlying vehicles and related assets.</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significant terms for our outstanding debt instruments, credit facilities and available funding arrangements as of December 31, 2015, can be found in Notes 12 and 13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548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1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discussed above, as of December 31, 2015, we have cash and cash equivalents of $452 million, available borrowing capacity under our committed credit facilities of $1.1 billion, and available capacity under our vehicle programs of approximately $3.3 billion. In January 2016 and August 2015, the Company’s Board of Directors increased the Company’s share repurchase program authorization by $300 million and $250 million, respectively.</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 (i) decreased demand and pricing for vehicles in the used vehicle market, (ii) increased costs associated with, and/or reduced capacity or increased collateral needs under, our financings, (iii) the adverse impact of vehicle manufacturers, including Ford, General Motors, Chrysler, Peugeot, Volkswagen, Fiat, Kia, Toyota, Mercedes, Renault and Hyundai,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December 31, 2015, we were in compliance with the financial covenants governing our indebtedness.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2015:</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Corporate debt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Arial" w:cs="Arial" w:eastAsia="Arial" w:hAnsi="Arial"/>
                <w:sz w:val="16"/>
                <w:szCs w:val="16"/>
                <w:color w:val="auto"/>
              </w:rPr>
              <w:t>Debt under vehicle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8,913</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Debt interest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Commitments to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vehicles </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7,208</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Defined benefit pension plan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(c)</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Other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line="219"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(d)</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2480" w:type="dxa"/>
            <w:vAlign w:val="bottom"/>
          </w:tcPr>
          <w:p>
            <w:pPr>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9,807</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4,243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23,547</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00" w:hanging="332"/>
        <w:spacing w:after="0" w:line="211"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are presented net of sublease rentals to be received (see Note 14 to our Consolidated Financial Statements) and include commitments to enter into operating leases.</w:t>
      </w:r>
    </w:p>
    <w:p>
      <w:pPr>
        <w:ind w:left="340" w:right="240" w:hanging="332"/>
        <w:spacing w:after="0" w:line="225"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commitments to purchase vehicles, the majority of which are from Ford, General Motors and Chrysler.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many of which were purchased under repurchase and guaranteed depreciation programs (see Note 14 to our Consolidated Financial Statements).</w:t>
      </w:r>
    </w:p>
    <w:p>
      <w:pPr>
        <w:spacing w:after="0" w:line="1" w:lineRule="exact"/>
        <w:rPr>
          <w:rFonts w:ascii="Arial" w:cs="Arial" w:eastAsia="Arial" w:hAnsi="Arial"/>
          <w:sz w:val="18"/>
          <w:szCs w:val="18"/>
          <w:color w:val="auto"/>
          <w:vertAlign w:val="superscript"/>
        </w:rPr>
      </w:pPr>
    </w:p>
    <w:p>
      <w:pPr>
        <w:ind w:left="340" w:hanging="332"/>
        <w:spacing w:after="0" w:line="211"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Represents the expected contributions to our defined benefit pension plans in 2016. The amount of future contributions to our defined benefit pension plans will depend on the rates of return generated from plan assets and other factors (see Note 17 to our Consolidated Financial Statements) and are not included above.</w:t>
      </w:r>
    </w:p>
    <w:p>
      <w:pPr>
        <w:ind w:left="340" w:hanging="332"/>
        <w:spacing w:after="0" w:line="187"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right="160" w:hanging="332"/>
        <w:spacing w:after="0" w:line="218"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Excludes income tax uncertainties of $37 million, $15 million of which is subject to indemnification by Realogy and Wyndham. We are unable to estimate the period in which these income tax uncertainties are expected to be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14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2015, 2014 and 2013, there was no impairment of goodwill or other intangible assets.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or intangible assets of our reporting units.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and their expected dates of disposition. The estimation of residual values requires the Company to make assumptions regarding the age and mileage of the vehicle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8 to our Consolidated Financial Statements for more information regarding income taxes.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2015, we adopted the following standards as a result of the issuance of new accounting pronouncements:</w:t>
      </w:r>
    </w:p>
    <w:p>
      <w:pPr>
        <w:spacing w:after="0" w:line="9" w:lineRule="exact"/>
        <w:rPr>
          <w:sz w:val="20"/>
          <w:szCs w:val="20"/>
          <w:color w:val="auto"/>
        </w:rPr>
      </w:pPr>
    </w:p>
    <w:p>
      <w:pPr>
        <w:ind w:left="660" w:right="20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Accounting Standards Update (“ASU”) 2014-08, “Reporting Discontinued Operations and Disclosures of Disposals of Components of an Entity”;</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ASU 2015-03, “Simplifying the Presentation of Debt Issuance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ASU 2015-17, “Balance Sheet Classification of Deferred Taxes”.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January 1, 2016, we adopted the following standards as a result of the issuance of new accounting pronouncements:</w:t>
      </w:r>
    </w:p>
    <w:p>
      <w:pPr>
        <w:spacing w:after="0" w:line="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ASU 2015-16, “Simplifying the Accounting for Measurement-Period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ASU 2015-05, “Customer’s Accounting for Fees Paid in a Cloud Computing Arrangement”;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2014-15, “Disclosure of Uncertainties about an Entity’s Ability to Continue as a Going Concern”.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January 2016, the Financial Accounting Standards Board (“FASB”) issued ASU 2016-01, “Recognition and Measurement of Financial Assets and Financial Liabilities,” which becomes effective for the Company on January 1, 2018.</w:t>
      </w:r>
    </w:p>
    <w:p>
      <w:pPr>
        <w:spacing w:after="0" w:line="1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May 2014, the FASB issued ASU 2014-09, “Revenue from Contracts with Customers,” which becomes effective on January 1, 2018. We have not completed our preliminary evaluation of the effect of this accounting pronouncement and cannot yet quantify the impact on our Consolidated Financial Statements. We have not yet selected a transition method by which we will adopt this standard.</w:t>
      </w:r>
    </w:p>
    <w:p>
      <w:pPr>
        <w:spacing w:after="0" w:line="14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For detailed information regarding these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currency forward contracts to manage and reduce currency exchange rate risk; and derivative commodity instruments to manage and reduce the risk of changing unleaded gasoline prices.</w:t>
      </w:r>
    </w:p>
    <w:p>
      <w:pPr>
        <w:spacing w:after="0" w:line="152"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12, 13 and 18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currency rate exposure to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2015. With all other variables held constant, a hypothetical 10% change (increase or decrease) in currency exchange rates would not have a material impact on our 2015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interest rate exposure at December 31, 2015 was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2015, we estimate that a 10% change in interest rates would not have a material impact on our 2015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340" w:hanging="332"/>
        <w:spacing w:after="0" w:line="25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83"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2015, our internal control over financial reporting was effective. The effectiveness of the Company’s internal control over financial reporting as of December 31, 2015, has been audited by Deloitte &amp; Touche LLP, an independent registered public accounting firm. Their attestation report is included below.</w:t>
      </w:r>
    </w:p>
    <w:p>
      <w:pPr>
        <w:spacing w:after="0" w:line="185" w:lineRule="exact"/>
        <w:rPr>
          <w:rFonts w:ascii="Arial" w:cs="Arial" w:eastAsia="Arial" w:hAnsi="Arial"/>
          <w:sz w:val="18"/>
          <w:szCs w:val="18"/>
          <w:color w:val="auto"/>
        </w:rPr>
      </w:pPr>
    </w:p>
    <w:p>
      <w:pPr>
        <w:ind w:left="340" w:right="260" w:hanging="332"/>
        <w:spacing w:after="0" w:line="26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last fiscal quarter, there has been no change in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Avis Budget Group, Inc. and subsidiaries (the "Company")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Our responsibility is to express an opinion on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audit.</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February 24, 2016 expressed an unqualified opinion on those consolidated financial statements and financial statement schedule.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0"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140"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contained in the Company’s Annual Proxy Statement under the sections titled “Corporate Governance - Board of Directors,” “Corporate Governance - Functions and Meetings of the Board of Directors,” “Corporate Governance - Functions and Meetings of the Board of Directors - Codes of Conduct,” “Corporate Governance - Committees of the Board of Directors,” “Executive Officers” and “Section 16(a) Beneficial Ownership Reporting Compliance”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548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“Executive Compensation”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114" w:lineRule="exact"/>
        <w:rPr>
          <w:sz w:val="20"/>
          <w:szCs w:val="20"/>
          <w:color w:val="auto"/>
        </w:rPr>
      </w:pPr>
    </w:p>
    <w:p>
      <w:pPr>
        <w:ind w:left="40" w:right="74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“Security Ownership of Certain Beneficial Owners” is incorporated herein by reference in response to this item.</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Information concerning our equity compensation plans is included in Part II of this report under the caption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contained in the Company’s Annual Proxy Statement under the section titled “Corporate Governance - Related Person Transactions” and “Corporate Governance - Functions and Meetings of the Board of Directors - Director Independence”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“Proposals To Be Voted On At Meeting-Proposal No. 2: Ratification of Appointment of Auditors” is incorporated herein by reference in response to this item.</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40"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5487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See Schedule II – Valuation and Qualifying Accounts for the years ended December 31, 2015, 2014 and 2013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60"/>
          </w:cols>
          <w:pgMar w:left="240" w:top="140" w:right="7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AVIS BUDGET GROUP, INC.</w:t>
      </w:r>
    </w:p>
    <w:p>
      <w:pPr>
        <w:spacing w:after="0" w:line="387" w:lineRule="exact"/>
        <w:rPr>
          <w:sz w:val="20"/>
          <w:szCs w:val="20"/>
          <w:color w:val="auto"/>
        </w:rPr>
      </w:pPr>
    </w:p>
    <w:p>
      <w:pPr>
        <w:ind w:left="608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David T. Calabria</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81"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2016</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140" w:right="5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(Larry D. De Shon)</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B. Wyshner)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T. Calabria)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W. 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(W. Alun Cathcart)</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(Brian Choi)</w:t>
      </w:r>
    </w:p>
    <w:p>
      <w:pPr>
        <w:spacing w:after="0" w:line="26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(Mary C. Choksi)</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(Leonard S. Coleman,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(Jeffrey H. Fox)</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(John D. Hardy,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(Lynn Krominga)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(Eduardo G. Mestre)</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(Ronald L. Nelson)</w:t>
      </w:r>
    </w:p>
    <w:p>
      <w:pPr>
        <w:spacing w:after="0" w:line="22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(F. Robert Salerno)</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(Stender E. Sweeney)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Title</w:t>
            </w:r>
          </w:p>
        </w:tc>
        <w:tc>
          <w:tcPr>
            <w:tcW w:w="1600" w:type="dxa"/>
            <w:vAlign w:val="bottom"/>
          </w:tcPr>
          <w:p>
            <w:pPr>
              <w:jc w:val="center"/>
              <w:ind w:left="179"/>
              <w:spacing w:after="0"/>
              <w:rPr>
                <w:sz w:val="20"/>
                <w:szCs w:val="20"/>
                <w:color w:val="auto"/>
              </w:rPr>
            </w:pPr>
            <w:r>
              <w:rPr>
                <w:rFonts w:ascii="Arial" w:cs="Arial" w:eastAsia="Arial" w:hAnsi="Arial"/>
                <w:sz w:val="16"/>
                <w:szCs w:val="16"/>
                <w:b w:val="1"/>
                <w:bCs w:val="1"/>
                <w:color w:val="auto"/>
                <w:w w:val="97"/>
              </w:rPr>
              <w:t>Date</w:t>
            </w:r>
          </w:p>
        </w:tc>
      </w:tr>
      <w:tr>
        <w:trPr>
          <w:trHeight w:val="567"/>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Chief Executive Officer and 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President and Chief Financial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79"/>
              <w:spacing w:after="0"/>
              <w:rPr>
                <w:sz w:val="20"/>
                <w:szCs w:val="20"/>
                <w:color w:val="auto"/>
              </w:rPr>
            </w:pPr>
            <w:r>
              <w:rPr>
                <w:rFonts w:ascii="Arial" w:cs="Arial" w:eastAsia="Arial" w:hAnsi="Arial"/>
                <w:sz w:val="16"/>
                <w:szCs w:val="16"/>
                <w:color w:val="auto"/>
              </w:rPr>
              <w:t>Senior Vice President and Chief Accounting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716"/>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Executive Chairman of the Board of Directors</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75"/>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24, 2016</w:t>
            </w:r>
          </w:p>
        </w:tc>
      </w:tr>
    </w:tbl>
    <w:p>
      <w:pPr>
        <w:spacing w:after="0" w:line="486" w:lineRule="exact"/>
        <w:rPr>
          <w:sz w:val="20"/>
          <w:szCs w:val="20"/>
          <w:color w:val="auto"/>
        </w:rPr>
      </w:pPr>
    </w:p>
    <w:p>
      <w:pPr>
        <w:sectPr>
          <w:pgSz w:w="11900" w:h="16838" w:orient="portrait"/>
          <w:cols w:equalWidth="0" w:num="2">
            <w:col w:w="4940" w:space="720"/>
            <w:col w:w="5580"/>
          </w:cols>
          <w:pgMar w:left="240" w:top="140" w:right="419" w:bottom="1440" w:gutter="0" w:footer="0" w:header="0"/>
          <w:type w:val="continuous"/>
        </w:sectPr>
      </w:pP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240" w:top="140" w:right="4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 of Independent Registered Public Accounting Firm</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Operations for the years ended December 31, 2015, 2014 and 2013</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Comprehensive Income for the years ended December 31, 2015, 2014 and 2013</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Balance Sheets as of December 31, 2015 and 2014</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Cash Flows for the years ended December 31, 2015, 2014 and 2013</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Stockholders’ Equity for the years ended December 31, 2015, 2014 and 2013</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Notes to Consolidated Financial Statements</w:t>
        </w:r>
      </w:hyperlink>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28575</wp:posOffset>
            </wp:positionV>
            <wp:extent cx="9347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9" w:lineRule="exact"/>
        <w:rPr>
          <w:sz w:val="20"/>
          <w:szCs w:val="20"/>
          <w:color w:val="auto"/>
        </w:rPr>
      </w:pPr>
    </w:p>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F-2</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F-4</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F-6</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F-9</w:t>
        </w:r>
      </w:hyperlink>
    </w:p>
    <w:p>
      <w:pPr>
        <w:sectPr>
          <w:pgSz w:w="11900" w:h="16838" w:orient="portrait"/>
          <w:cols w:equalWidth="0" w:num="2">
            <w:col w:w="9740" w:space="720"/>
            <w:col w:w="940"/>
          </w:cols>
          <w:pgMar w:left="240" w:top="140"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2015 and 2014, and the related consolidated statements of operations, comprehensive income, stockholders' equity, and cash flows for each of the three years in the period ended December 31, 2015.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200" w:lineRule="exact"/>
        <w:rPr>
          <w:sz w:val="20"/>
          <w:szCs w:val="20"/>
          <w:color w:val="auto"/>
        </w:rPr>
      </w:pPr>
    </w:p>
    <w:p>
      <w:pPr>
        <w:spacing w:after="0" w:line="222"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2015 and 2014, and the results of its operations and its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2016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40"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80" w:type="dxa"/>
            <w:vAlign w:val="bottom"/>
          </w:tcPr>
          <w:p>
            <w:pPr>
              <w:ind w:left="20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7"/>
        </w:trPr>
        <w:tc>
          <w:tcPr>
            <w:tcW w:w="728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0"/>
        </w:trPr>
        <w:tc>
          <w:tcPr>
            <w:tcW w:w="72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527"/>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52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240" w:top="140" w:right="659" w:bottom="1113"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7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534"/>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47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75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 $(22), $(30) and $7,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gains (losses) on available-for-sale securities, net of tax of $1, $0 and $0,</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holding gains (losses), net of tax of $4, $4 and $1,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Cash flow hedges reclassified to earnings, net of tax of $(3), $(3) and $0,</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Pension and post-retirement benefits, net of tax of $(1), $25 and $(19), respectively</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Pension and post-retirement benefits reclassified to earnings, net of tax of $(2), $(1)</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4"/>
        </w:trPr>
        <w:tc>
          <w:tcPr>
            <w:tcW w:w="7580" w:type="dxa"/>
            <w:vAlign w:val="bottom"/>
          </w:tcPr>
          <w:p>
            <w:pPr>
              <w:ind w:left="460"/>
              <w:spacing w:after="0"/>
              <w:rPr>
                <w:sz w:val="20"/>
                <w:szCs w:val="20"/>
                <w:color w:val="auto"/>
              </w:rPr>
            </w:pPr>
            <w:r>
              <w:rPr>
                <w:rFonts w:ascii="Arial" w:cs="Arial" w:eastAsia="Arial" w:hAnsi="Arial"/>
                <w:sz w:val="18"/>
                <w:szCs w:val="18"/>
                <w:color w:val="auto"/>
              </w:rPr>
              <w:t>and $(6),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50"/>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140" w:right="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4"/>
        </w:trPr>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624</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(net of allowance for doubtful accounts of $34, respectively)</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456</w:t>
            </w:r>
          </w:p>
        </w:tc>
      </w:tr>
      <w:tr>
        <w:trPr>
          <w:trHeight w:val="237"/>
        </w:trPr>
        <w:tc>
          <w:tcPr>
            <w:tcW w:w="900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1,679</w:t>
            </w: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638</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1,511</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842</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886</w:t>
            </w:r>
          </w:p>
        </w:tc>
      </w:tr>
      <w:tr>
        <w:trPr>
          <w:trHeight w:val="283"/>
        </w:trPr>
        <w:tc>
          <w:tcPr>
            <w:tcW w:w="90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5,784</w:t>
            </w: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10,658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10,215</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r>
      <w:tr>
        <w:trPr>
          <w:trHeight w:val="250"/>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11,058</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17,634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16,842</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 and other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debt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exclusive of liabilities under vehicle programs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under vehicle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 due to Avis Budget Rental Car Funding (AESOP) LLC—related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 w:val="left"/>
          <w:tab w:leader="none" w:pos="122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1,485</w:t>
        <w:tab/>
        <w:t>$</w:t>
      </w:r>
      <w:r>
        <w:rPr>
          <w:sz w:val="20"/>
          <w:szCs w:val="20"/>
          <w:color w:val="auto"/>
        </w:rPr>
        <w:tab/>
      </w:r>
      <w:r>
        <w:rPr>
          <w:rFonts w:ascii="Arial" w:cs="Arial" w:eastAsia="Arial" w:hAnsi="Arial"/>
          <w:sz w:val="16"/>
          <w:szCs w:val="16"/>
          <w:color w:val="auto"/>
        </w:rPr>
        <w:t>1,491</w:t>
      </w:r>
    </w:p>
    <w:p>
      <w:pPr>
        <w:spacing w:after="0" w:line="86" w:lineRule="exact"/>
        <w:rPr>
          <w:sz w:val="20"/>
          <w:szCs w:val="20"/>
          <w:color w:val="auto"/>
        </w:rPr>
      </w:pPr>
    </w:p>
    <w:p>
      <w:pPr>
        <w:ind w:left="2060" w:hanging="1251"/>
        <w:spacing w:after="0"/>
        <w:tabs>
          <w:tab w:leader="none" w:pos="2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28</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1,5111,519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9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3,435</w:t>
      </w:r>
      <w:r>
        <w:rPr>
          <w:sz w:val="20"/>
          <w:szCs w:val="20"/>
          <w:color w:val="auto"/>
        </w:rPr>
        <w:tab/>
      </w:r>
      <w:r>
        <w:rPr>
          <w:rFonts w:ascii="Arial" w:cs="Arial" w:eastAsia="Arial" w:hAnsi="Arial"/>
          <w:sz w:val="16"/>
          <w:szCs w:val="16"/>
          <w:color w:val="auto"/>
        </w:rPr>
        <w:t>3,325</w:t>
      </w:r>
    </w:p>
    <w:p>
      <w:pPr>
        <w:spacing w:after="0" w:line="86" w:lineRule="exact"/>
        <w:rPr>
          <w:sz w:val="20"/>
          <w:szCs w:val="20"/>
          <w:color w:val="auto"/>
        </w:rPr>
      </w:pPr>
    </w:p>
    <w:p>
      <w:pPr>
        <w:ind w:left="1960" w:hanging="1241"/>
        <w:spacing w:after="0"/>
        <w:tabs>
          <w:tab w:leader="none" w:pos="1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766</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5,6805,610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2,064</w:t>
      </w:r>
      <w:r>
        <w:rPr>
          <w:sz w:val="20"/>
          <w:szCs w:val="20"/>
          <w:color w:val="auto"/>
        </w:rPr>
        <w:tab/>
      </w:r>
      <w:r>
        <w:rPr>
          <w:rFonts w:ascii="Arial" w:cs="Arial" w:eastAsia="Arial" w:hAnsi="Arial"/>
          <w:sz w:val="16"/>
          <w:szCs w:val="16"/>
          <w:color w:val="auto"/>
        </w:rPr>
        <w:t>1,760</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6,796</w:t>
      </w:r>
      <w:r>
        <w:rPr>
          <w:sz w:val="20"/>
          <w:szCs w:val="20"/>
          <w:color w:val="auto"/>
        </w:rPr>
        <w:tab/>
      </w:r>
      <w:r>
        <w:rPr>
          <w:rFonts w:ascii="Arial" w:cs="Arial" w:eastAsia="Arial" w:hAnsi="Arial"/>
          <w:sz w:val="16"/>
          <w:szCs w:val="16"/>
          <w:color w:val="auto"/>
        </w:rPr>
        <w:t>6,296</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2,367</w:t>
      </w:r>
      <w:r>
        <w:rPr>
          <w:sz w:val="20"/>
          <w:szCs w:val="20"/>
          <w:color w:val="auto"/>
        </w:rPr>
        <w:tab/>
      </w:r>
      <w:r>
        <w:rPr>
          <w:rFonts w:ascii="Arial" w:cs="Arial" w:eastAsia="Arial" w:hAnsi="Arial"/>
          <w:sz w:val="16"/>
          <w:szCs w:val="16"/>
          <w:color w:val="auto"/>
        </w:rPr>
        <w:t>2,267</w:t>
      </w:r>
    </w:p>
    <w:p>
      <w:pPr>
        <w:spacing w:after="0" w:line="86" w:lineRule="exact"/>
        <w:rPr>
          <w:sz w:val="20"/>
          <w:szCs w:val="20"/>
          <w:color w:val="auto"/>
        </w:rPr>
      </w:pPr>
    </w:p>
    <w:p>
      <w:pPr>
        <w:ind w:left="1960" w:hanging="1241"/>
        <w:spacing w:after="0"/>
        <w:tabs>
          <w:tab w:leader="none" w:pos="1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244</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11,51510,567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14)</w:t>
      </w:r>
    </w:p>
    <w:p>
      <w:pPr>
        <w:sectPr>
          <w:pgSz w:w="11900" w:h="16838" w:orient="portrait"/>
          <w:cols w:equalWidth="0" w:num="1">
            <w:col w:w="11420"/>
          </w:cols>
          <w:pgMar w:left="240" w:top="140" w:right="239" w:bottom="0" w:gutter="0" w:footer="0" w:header="0"/>
          <w:type w:val="continuous"/>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$.01 par value—authorized 10 shares; none issued and outstanding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$.01 par value—authorized 250 shares; issued 137 shares, respectively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Treasury stock, at cost—39 and 31 shares,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195"/>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7,010</w:t>
            </w:r>
          </w:p>
        </w:tc>
        <w:tc>
          <w:tcPr>
            <w:tcW w:w="880" w:type="dxa"/>
            <w:vAlign w:val="bottom"/>
          </w:tcPr>
          <w:p>
            <w:pPr>
              <w:jc w:val="right"/>
              <w:spacing w:after="0"/>
              <w:rPr>
                <w:sz w:val="20"/>
                <w:szCs w:val="20"/>
                <w:color w:val="auto"/>
              </w:rPr>
            </w:pPr>
            <w:r>
              <w:rPr>
                <w:rFonts w:ascii="Arial" w:cs="Arial" w:eastAsia="Arial" w:hAnsi="Arial"/>
                <w:sz w:val="16"/>
                <w:szCs w:val="16"/>
                <w:color w:val="auto"/>
              </w:rPr>
              <w:t>7,212</w:t>
            </w:r>
          </w:p>
        </w:tc>
      </w:tr>
      <w:tr>
        <w:trPr>
          <w:trHeight w:val="270"/>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(1,802)</w:t>
            </w:r>
          </w:p>
        </w:tc>
        <w:tc>
          <w:tcPr>
            <w:tcW w:w="880" w:type="dxa"/>
            <w:vAlign w:val="bottom"/>
          </w:tcPr>
          <w:p>
            <w:pPr>
              <w:jc w:val="right"/>
              <w:spacing w:after="0"/>
              <w:rPr>
                <w:sz w:val="20"/>
                <w:szCs w:val="20"/>
                <w:color w:val="auto"/>
              </w:rPr>
            </w:pPr>
            <w:r>
              <w:rPr>
                <w:rFonts w:ascii="Arial" w:cs="Arial" w:eastAsia="Arial" w:hAnsi="Arial"/>
                <w:sz w:val="16"/>
                <w:szCs w:val="16"/>
                <w:color w:val="auto"/>
              </w:rPr>
              <w:t>(2,115)</w:t>
            </w:r>
          </w:p>
        </w:tc>
      </w:tr>
    </w:tbl>
    <w:p>
      <w:pPr>
        <w:spacing w:after="0" w:line="75" w:lineRule="exact"/>
        <w:rPr>
          <w:sz w:val="20"/>
          <w:szCs w:val="20"/>
          <w:color w:val="auto"/>
        </w:rPr>
      </w:pPr>
    </w:p>
    <w:p>
      <w:pPr>
        <w:ind w:left="2000" w:hanging="1335"/>
        <w:spacing w:after="0"/>
        <w:tabs>
          <w:tab w:leader="none" w:pos="20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(22)</w:t>
      </w:r>
    </w:p>
    <w:p>
      <w:pPr>
        <w:spacing w:after="0" w:line="98"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color w:val="auto"/>
        </w:rPr>
        <w:t>(4,623)</w:t>
      </w:r>
      <w:r>
        <w:rPr>
          <w:sz w:val="20"/>
          <w:szCs w:val="20"/>
          <w:color w:val="auto"/>
        </w:rPr>
        <w:tab/>
      </w:r>
      <w:r>
        <w:rPr>
          <w:rFonts w:ascii="Arial" w:cs="Arial" w:eastAsia="Arial" w:hAnsi="Arial"/>
          <w:sz w:val="16"/>
          <w:szCs w:val="16"/>
          <w:color w:val="auto"/>
        </w:rPr>
        <w:t>(4,411)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ind w:left="1960" w:hanging="1241"/>
        <w:spacing w:after="0"/>
        <w:tabs>
          <w:tab w:leader="none" w:pos="1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665</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$17,634   $16,842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-142875</wp:posOffset>
            </wp:positionV>
            <wp:extent cx="15093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40" w:right="239" w:bottom="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77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Vehicle depreciation</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Gain on sale of vehicles,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Amortization of debt financing fees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Early extinguishment of debt costs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Impairment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7780" w:type="dxa"/>
            <w:vAlign w:val="bottom"/>
          </w:tcPr>
          <w:p>
            <w:pPr>
              <w:ind w:left="100"/>
              <w:spacing w:after="0"/>
              <w:rPr>
                <w:sz w:val="20"/>
                <w:szCs w:val="20"/>
                <w:color w:val="auto"/>
              </w:rPr>
            </w:pPr>
            <w:r>
              <w:rPr>
                <w:rFonts w:ascii="Arial" w:cs="Arial" w:eastAsia="Arial" w:hAnsi="Arial"/>
                <w:sz w:val="16"/>
                <w:szCs w:val="16"/>
                <w:color w:val="auto"/>
              </w:rPr>
              <w:t>Net change in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3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r>
      <w:tr>
        <w:trPr>
          <w:trHeight w:val="453"/>
        </w:trPr>
        <w:tc>
          <w:tcPr>
            <w:tcW w:w="778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Increase in program cash</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vehicles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(10,899)</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9,409</w:t>
            </w: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(2,608)</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Purchases of warrants</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Proceeds from sale of call options</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provided by financing activities exclusive of vehicle programs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w:t>
            </w:r>
          </w:p>
        </w:tc>
      </w:tr>
    </w:tbl>
    <w:p>
      <w:pPr>
        <w:spacing w:after="0" w:line="200" w:lineRule="exact"/>
        <w:rPr>
          <w:sz w:val="20"/>
          <w:szCs w:val="20"/>
          <w:color w:val="auto"/>
        </w:rPr>
      </w:pPr>
    </w:p>
    <w:p>
      <w:pPr>
        <w:sectPr>
          <w:pgSz w:w="11900" w:h="16838" w:orient="portrait"/>
          <w:cols w:equalWidth="0" w:num="1">
            <w:col w:w="11420"/>
          </w:cols>
          <w:pgMar w:left="240" w:top="140" w:right="239" w:bottom="2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40" w:right="239" w:bottom="233"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76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14,373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12,953</w:t>
            </w:r>
          </w:p>
        </w:tc>
        <w:tc>
          <w:tcPr>
            <w:tcW w:w="0" w:type="dxa"/>
            <w:vAlign w:val="bottom"/>
          </w:tcPr>
          <w:p>
            <w:pPr>
              <w:spacing w:after="0"/>
              <w:rPr>
                <w:sz w:val="1"/>
                <w:szCs w:val="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(13,115)</w:t>
            </w:r>
          </w:p>
        </w:tc>
        <w:tc>
          <w:tcPr>
            <w:tcW w:w="0" w:type="dxa"/>
            <w:vAlign w:val="bottom"/>
          </w:tcPr>
          <w:p>
            <w:pPr>
              <w:spacing w:after="0"/>
              <w:rPr>
                <w:sz w:val="1"/>
                <w:szCs w:val="1"/>
                <w:color w:val="auto"/>
              </w:rPr>
            </w:pP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493"/>
        </w:trPr>
        <w:tc>
          <w:tcPr>
            <w:tcW w:w="77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521"/>
        </w:trPr>
        <w:tc>
          <w:tcPr>
            <w:tcW w:w="776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January 1, 2013</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warrants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call options, net of tax of $(1)</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2013</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200" w:right="80" w:hanging="161"/>
        <w:spacing w:after="0" w:line="230" w:lineRule="auto"/>
        <w:rPr>
          <w:sz w:val="20"/>
          <w:szCs w:val="20"/>
          <w:color w:val="auto"/>
        </w:rPr>
      </w:pPr>
      <w:r>
        <w:rPr>
          <w:rFonts w:ascii="Arial" w:cs="Arial" w:eastAsia="Arial" w:hAnsi="Arial"/>
          <w:sz w:val="13"/>
          <w:szCs w:val="13"/>
          <w:color w:val="auto"/>
        </w:rPr>
        <w:t>Issuance of common stock - conversion of convertible debt</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2014</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1"/>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8,211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(5,189)</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7,893</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(4,880)</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7,212</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372"/>
        </w:trPr>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7,010</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(4,623)</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180"/>
            <w:col w:w="87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5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2015, 2014 and 2013, the Company completed the business acquisitions discussed in Note 5 to these Consolidated Financial Statements. The operating results of the acquired businesses are included in the accompanying Consolidated Financial Statements from the dates of acquisition.</w:t>
      </w:r>
    </w:p>
    <w:p>
      <w:pPr>
        <w:spacing w:after="0" w:line="14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right="7120" w:hanging="492"/>
        <w:spacing w:after="0" w:line="451" w:lineRule="auto"/>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Accounting Principles</w:t>
      </w: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w:t>
      </w:r>
    </w:p>
    <w:p>
      <w:pPr>
        <w:spacing w:after="0" w:line="12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p>
    <w:p>
      <w:pPr>
        <w:spacing w:after="0" w:line="193"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Reclassifications</w:t>
      </w:r>
    </w:p>
    <w:p>
      <w:pPr>
        <w:spacing w:after="0" w:line="193" w:lineRule="exact"/>
        <w:rPr>
          <w:rFonts w:ascii="Arial" w:cs="Arial" w:eastAsia="Arial" w:hAnsi="Arial"/>
          <w:sz w:val="18"/>
          <w:szCs w:val="18"/>
          <w:b w:val="1"/>
          <w:bCs w:val="1"/>
          <w:color w:val="auto"/>
        </w:rPr>
      </w:pP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prior years’ Consolidated Financial Statements to conform to the current year presentation. These reclassifications have no impact on period reported net income or cash flow.</w:t>
      </w:r>
    </w:p>
    <w:p>
      <w:pPr>
        <w:spacing w:after="0" w:line="12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Company derives revenue primarily through the operation and licensing of its rental systems and by providing vehicle rentals and other services to business and leisure travelers and others. Other revenue includes sales of loss damage waivers and insurance products, fuel and fuel service charges, rentals of GPS navigation units and other items. Revenue is recognized when persuasive evidence of an arrangement exists, the services have been rendered to customers, the pricing is fixed or determinable and collection is reasonably assured.</w:t>
      </w:r>
    </w:p>
    <w:p>
      <w:pPr>
        <w:spacing w:after="0" w:line="152"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Vehicle rental and rental-related revenue is recognized over the period the vehicle is rented. Licensing revenue principally consists of royalties paid by the Company’s licensees and is recorded within other revenues as the licensees’ revenue is earned (over the rental period of a vehicle).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 and expenses associated with gasoline, vehicle licensing and airport concessions are recorded on a gross basis within revenue and operating expenses. Membership fees related to the Company’s car sharing business are generally nonrefundable, are deferred and recognized ratably over the period of membership and are included in accounts payable and other current liabilities in the Consolidated Balance Sheets.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30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2015 and 2014 was $ (80) million and $51 million, respectively. The Company has designated its 6%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00"/>
          </w:cols>
          <w:pgMar w:left="240" w:top="140" w:right="259" w:bottom="1440" w:gutter="0" w:footer="0" w:header="0"/>
        </w:sectPr>
      </w:pP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780"/>
        <w:spacing w:after="0"/>
        <w:rPr>
          <w:sz w:val="20"/>
          <w:szCs w:val="20"/>
          <w:color w:val="auto"/>
        </w:rPr>
      </w:pPr>
      <w:r>
        <w:rPr>
          <w:rFonts w:ascii="Arial" w:cs="Arial" w:eastAsia="Arial" w:hAnsi="Arial"/>
          <w:sz w:val="17"/>
          <w:szCs w:val="17"/>
          <w:color w:val="auto"/>
        </w:rPr>
        <w:t>30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to 15 years</w:t>
      </w:r>
    </w:p>
    <w:p>
      <w:pPr>
        <w:spacing w:after="0" w:line="196"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00" w:right="12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$185 million and $140 million as of December 31, 2015 and 2014, respectively.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40" w:right="25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53"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Program Cash</w:t>
      </w:r>
    </w:p>
    <w:p>
      <w:pPr>
        <w:spacing w:after="0" w:line="193"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Program cash primarily represents amounts specifically designated to purchase assets under vehicle programs and/or to repay the related debt.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55"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$13 million, $10 million and $9 million for 2015, 2014 and 2013,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Advertising costs are generally expensed in the period incurred. Advertising expenses, recorded within selling, general and administrative expense on our Consolidated Statements of Operations, include radio,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television, travel partner rewards programs, Internet advertising and other advertising and promotions and were approximately $123 million, $112 million and $116 million in 2015, 2014 and 2013,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2"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52" w:lineRule="exact"/>
        <w:rPr>
          <w:sz w:val="20"/>
          <w:szCs w:val="20"/>
          <w:color w:val="auto"/>
        </w:rPr>
      </w:pPr>
    </w:p>
    <w:p>
      <w:pPr>
        <w:ind w:left="500" w:right="500"/>
        <w:spacing w:after="0" w:line="262" w:lineRule="auto"/>
        <w:rPr>
          <w:sz w:val="20"/>
          <w:szCs w:val="20"/>
          <w:color w:val="auto"/>
        </w:rPr>
      </w:pPr>
      <w:r>
        <w:rPr>
          <w:rFonts w:ascii="Arial" w:cs="Arial" w:eastAsia="Arial" w:hAnsi="Arial"/>
          <w:sz w:val="18"/>
          <w:szCs w:val="18"/>
          <w:color w:val="auto"/>
        </w:rPr>
        <w:t>The Company reports revenues net of any tax assessed by a governmental authority that is both imposed on and concurrent with a specific revenue-producing transaction between a seller and a customer.</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measures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commodity prices, interest rate yield curves of the Company and counterparties, credit curves, counterparty creditworthiness and currency exchange rates. These factors are applied on a consistent basis and are based upon observable inputs where available.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effective portion of changes in fair value of a derivative that is designated as either a cash flow or net investment hedge is recorded as a component of accumulated other comprehensive income (loss). The ineffective portion is recognized in earnings within the same line item as the hedged item, including vehicle interest, net or interest related to corporate debt, net. Amounts included in accumulated other comprehensive income (loss) are reclassified into earnings in the same period during which the hedged item affects earnings. Amounts related to our derivative instruments are recognized in the Consolidated Statements of Cash Flows consistent with the nature of the hedged item (principally operating activities).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2015 and 2014, the Company had investments in several joint ventures with a carrying value of $36 million and $46 million, respectively, recorded within other non-current assets on the Consolidated Balance Sheets.</w:t>
      </w:r>
    </w:p>
    <w:p>
      <w:pPr>
        <w:spacing w:after="0" w:line="153"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Aggregate realized gains and losses on investments and dividend income are recorded within operating expenses on the Consolidated Statements of Operations. During 2014, the Company realized gains of $7 million from the sale of equity investments and during 2015 and 2013, the amounts realized were not material.</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Consolidated Balance Sheets include $ 413 million and $397 million of liabilities associated with retained risks of liability to third parties as of December 31, 2015 and 2014,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$70 million and $67 million as of December 31, 2015 and 2014, respectively, related to workers’ compensation, health and welfare and other employee benefit programs. The liabilities represent an estimate for both reported claims not yet paid and claims incurred but not yet reported, utilizing actuarial methodologies similar to those mentioned above. These amounts are included within accounts payable and other current liabilities and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is expected to vest.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5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 During 2015, the Company paid $18 million of contingent consideration associated with the acquisition of Apex, which consisted of $9 million related to the liability recognized at fair value as of the acquisition date and $13 million related to fair value adjustments previously recognized in earnings, partially offset by $4 million of favorable currency exchange rate movements.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comprise expenses related to acquisition-related activities such as due-diligence and other advisory costs, expenses related to the integration of the acquiree’s operations with those of the Company, including the implementation of best practices and process improvements, non-cash charges related to re-acquired rights, expenses related to pre-acquisition contingencies and contingent consideration related to acquisitions.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Currency gains and losses resulting from foreign currency transactions are generally included in operating expenses within the Consolidated Statement of Operations; however, the net gain or loss of currency transactions on intercompany loans and the unrealized gain or loss on intercompany loan hedges are included within interest expense related to corporate debt, net. During the years ended December 31, 2015, 2014 and 2013, the Company recorded losses of $11 million, $9 million and $11 million, respectively, on such items.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 During 2015</w:t>
      </w:r>
    </w:p>
    <w:p>
      <w:pPr>
        <w:spacing w:after="0" w:line="24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On January 1, 2015, the Company adopted Accounting Standards Update (“ASU”) 2014-08, “Reporting Discontinued Operations and Disclosures of Disposals of Components of an Entity,” which changes the criteria for determining which disposals can be presented as discontinued operations and also modifies related disclosure requirements. The adoption of this accounting pronouncement did not have an impact on the Company’s Consolidated Financial Statements.</w:t>
      </w:r>
    </w:p>
    <w:p>
      <w:pPr>
        <w:spacing w:after="0" w:line="204"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In November 2015, the Financial Accounting Standards Board (“FASB”) issued ASU 2015-17, “Balance Sheet Classification of Deferred Taxes,” which requires that deferred tax liabilities and assets be classified as non-current in a classified statement of financial position. ASU 2015-17 becomes effective for the Company on January 1, 2017; however, the Company has elected to adopt the provisions of ASU 2015-17</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40"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500" w:right="280"/>
        <w:spacing w:after="0" w:line="256" w:lineRule="auto"/>
        <w:rPr>
          <w:sz w:val="20"/>
          <w:szCs w:val="20"/>
          <w:color w:val="auto"/>
        </w:rPr>
      </w:pPr>
      <w:r>
        <w:rPr>
          <w:rFonts w:ascii="Arial" w:cs="Arial" w:eastAsia="Arial" w:hAnsi="Arial"/>
          <w:sz w:val="18"/>
          <w:szCs w:val="18"/>
          <w:color w:val="auto"/>
        </w:rPr>
        <w:t>early on a retrospective basis. Accordingly, in the Company’s Consolidated Balance Sheet as of December 31, 2014, current deferred income tax assets of $159 million have been reclassified to non-current assets to conform to ASU 2015-17. For additional information, see Note 8-Income Taxes.</w:t>
      </w: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requires that debt issuance costs be presented in the balance sheet as a direct deduction from the carrying amount of the related debt liability. ASU 2015-03 becomes effective for the Company on January 1, 2016; however, the Company has elected to adopt the provisions of ASU 2015-03 early on a retrospective basis. Accordingly, in the Company’s Consolidated Balance Sheet as of December 31, 2014, debt issuance costs associated with long-term debt of $67 million and $60 million were reclassified from other noncurrent assets to long-term debt and to liabilities under vehicle programs, respectively, to conform to ASU 2015-03. For additional information, see Note 12-Long-term Debt and Borrowing Arrangements, Note13-Debt under Vehicle Programs, Note 18-Financial Instruments and Note 19-Segment Information.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47"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206"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September 2015, the FASB issued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ASU 2015-16 became effective for the Company on January 1, 2016. The adoption of this accounting pronouncement did not have a material impact on the Company’s Consolidated Financial Statements.</w:t>
      </w:r>
    </w:p>
    <w:p>
      <w:pPr>
        <w:spacing w:after="0" w:line="206"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provides guidance for determining whether a cloud computing arrangement contains a software license that should be accounted for as internal-use software, rather than as a service contract. ASU 2015-05 became effective for the Company on January 1, 2016. The adoption of this accounting pronouncement did not have a material impact on the Company’s Consolidated Financial Statements.</w:t>
      </w:r>
    </w:p>
    <w:p>
      <w:pPr>
        <w:spacing w:after="0" w:line="204" w:lineRule="exact"/>
        <w:rPr>
          <w:sz w:val="20"/>
          <w:szCs w:val="20"/>
          <w:color w:val="auto"/>
        </w:rPr>
      </w:pPr>
    </w:p>
    <w:p>
      <w:pPr>
        <w:jc w:val="both"/>
        <w:ind w:left="500" w:right="220"/>
        <w:spacing w:after="0" w:line="253"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became effective for the Company on January 1, 2016. The adoption of this accounting pronouncement did not have an impact on the Company’s Consolidated Financial Statements.</w:t>
      </w:r>
    </w:p>
    <w:p>
      <w:pPr>
        <w:spacing w:after="0" w:line="206"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2018. The Company has not completed its preliminary evaluation of the effect of this accounting pronouncement and cannot yet quantify the impact on its Consolidated Financial Statements. The Company has not yet selected a transition method by which it will adopt this standard.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Net income for basic EPS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 interest, net of tax</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Net income for diluted EPS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color w:val="auto"/>
              </w:rPr>
              <w:t>Options, warrants and non-vested stock</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spacing w:after="0" w:line="13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28575</wp:posOffset>
            </wp:positionV>
            <wp:extent cx="22898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8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1"/>
                <w:szCs w:val="21"/>
                <w:color w:val="auto"/>
                <w:vertAlign w:val="superscript"/>
              </w:rPr>
              <w:t>(a)</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Shares underlying convertible debt</w:t>
            </w:r>
          </w:p>
        </w:tc>
        <w:tc>
          <w:tcPr>
            <w:tcW w:w="1280" w:type="dxa"/>
            <w:vAlign w:val="bottom"/>
            <w:gridSpan w:val="3"/>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820" w:hanging="326"/>
        <w:spacing w:after="0" w:line="189" w:lineRule="auto"/>
        <w:tabs>
          <w:tab w:leader="none" w:pos="820" w:val="left"/>
        </w:tabs>
        <w:numPr>
          <w:ilvl w:val="1"/>
          <w:numId w:val="59"/>
        </w:numPr>
        <w:rPr>
          <w:rFonts w:ascii="Arial" w:cs="Arial" w:eastAsia="Arial" w:hAnsi="Arial"/>
          <w:sz w:val="22"/>
          <w:szCs w:val="22"/>
          <w:color w:val="auto"/>
          <w:vertAlign w:val="superscript"/>
        </w:rPr>
      </w:pPr>
      <w:r>
        <w:rPr>
          <w:rFonts w:ascii="Arial" w:cs="Arial" w:eastAsia="Arial" w:hAnsi="Arial"/>
          <w:sz w:val="16"/>
          <w:szCs w:val="16"/>
          <w:color w:val="auto"/>
        </w:rPr>
        <w:t>The weighted average grant date fair value for anti-dilutive non-vested stock for 2015 was $61.15.</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93"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conjunction with recent acquisitions (see Note 5-Acquisitions), the Company has identified opportunities to integrate and streamline its operations, primarily in Europe (the “Acquisition integration”). During the year ended December 31, 2015, as part of this process, the Company formally communicated the termination of employment to approximately 180 employees, and as of December 31, 2015, the Company terminated approximately 140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$10 million related to this initiative to be incurred in 2016.</w:t>
      </w:r>
    </w:p>
    <w:p>
      <w:pPr>
        <w:spacing w:after="0" w:line="153" w:lineRule="exact"/>
        <w:rPr>
          <w:rFonts w:ascii="Arial" w:cs="Arial" w:eastAsia="Arial" w:hAnsi="Arial"/>
          <w:sz w:val="18"/>
          <w:szCs w:val="18"/>
          <w:b w:val="1"/>
          <w:bCs w:val="1"/>
          <w:color w:val="auto"/>
        </w:rPr>
      </w:pPr>
    </w:p>
    <w:p>
      <w:pPr>
        <w:ind w:left="5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During the years ended December 31, 2015 and 2014, as part of this process, the Company formally communicated the termination of employment to approximately 325 and</w:t>
      </w:r>
    </w:p>
    <w:p>
      <w:pPr>
        <w:spacing w:after="0" w:line="1"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75 employees, respectively. During 2015, the Company terminated approximately 315 of the affected employees. The costs associated with this initiative primarily represent severance, outplacement services and other costs associated with employee terminations, the majority of which have been or are expected to be settled in cash. The Company does not anticipate any further restructuring expense related to this phase of the initiative.</w:t>
      </w:r>
    </w:p>
    <w:p>
      <w:pPr>
        <w:spacing w:after="0" w:line="150"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2012, the Company initiated a strategic restructuring initiative to better position its truck rental operations in the United States, in which it closed certain rental locations and decreased the size of the rental fleet, with the intent to increase fleet utilization and reduce costs (the “Truck Rental restructuring”). This initiative is complete.</w:t>
      </w:r>
    </w:p>
    <w:p>
      <w:pPr>
        <w:spacing w:after="0" w:line="147"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2011, subsequent to the acquisition of Avis Europe plc, the Company initiated restructuring initiatives, identifying synergies across the Company, enhancing organizational efficiencies and consolidating and rationalizing processes (the “Avis Europe restructuring”). During the years ended December 31, 2014 and 2013, as part of this process, the Company formally communicated the termination of employment to approximately 230 and 580 employees, respectively. The costs associated with severance, outplacement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40"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services and other costs associated with employee terminations were settled in cash. This initiative is substantially complete.</w:t>
      </w:r>
    </w:p>
    <w:p>
      <w:pPr>
        <w:spacing w:after="0" w:line="17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tables summarize the change to our restructuring-related liabilities and identify the amounts recorded within the Company’s reporting segments for restructuring charges and corresponding payments and utilizations:</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Personnel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Related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Facility Related</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January 1, 2013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Truck Rental restructuring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Truck Rental payment/utilization</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2013</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payment</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20"/>
                <w:szCs w:val="20"/>
                <w:color w:val="auto"/>
              </w:rPr>
            </w:pPr>
            <w:r>
              <w:rPr>
                <w:rFonts w:ascii="Arial" w:cs="Arial" w:eastAsia="Arial" w:hAnsi="Arial"/>
                <w:sz w:val="11"/>
                <w:szCs w:val="11"/>
                <w:color w:val="auto"/>
                <w:w w:val="74"/>
              </w:rPr>
              <w:t>(a)</w:t>
            </w:r>
          </w:p>
        </w:tc>
        <w:tc>
          <w:tcPr>
            <w:tcW w:w="5260" w:type="dxa"/>
            <w:vAlign w:val="bottom"/>
            <w:gridSpan w:val="3"/>
            <w:vMerge w:val="restart"/>
          </w:tcPr>
          <w:p>
            <w:pPr>
              <w:ind w:left="200"/>
              <w:spacing w:after="0"/>
              <w:rPr>
                <w:sz w:val="20"/>
                <w:szCs w:val="20"/>
                <w:color w:val="auto"/>
              </w:rPr>
            </w:pPr>
            <w:r>
              <w:rPr>
                <w:rFonts w:ascii="Arial" w:cs="Arial" w:eastAsia="Arial" w:hAnsi="Arial"/>
                <w:sz w:val="16"/>
                <w:szCs w:val="16"/>
                <w:color w:val="auto"/>
              </w:rPr>
              <w:t>Includes expenses related to the disposition of vehicles.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52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Americas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January 1, 2013</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Truck Rental restructuring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Truck Rental payment/utilization</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2013</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right="9500" w:hanging="492"/>
        <w:spacing w:after="0" w:line="509" w:lineRule="auto"/>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u w:val="single" w:color="auto"/>
          <w:color w:val="auto"/>
        </w:rPr>
        <w:t xml:space="preserve">2015 </w:t>
      </w:r>
      <w:r>
        <w:rPr>
          <w:rFonts w:ascii="Arial" w:cs="Arial" w:eastAsia="Arial" w:hAnsi="Arial"/>
          <w:sz w:val="18"/>
          <w:szCs w:val="18"/>
          <w:b w:val="1"/>
          <w:bCs w:val="1"/>
          <w:color w:val="auto"/>
        </w:rPr>
        <w:t>Maggiore Group</w:t>
      </w:r>
    </w:p>
    <w:p>
      <w:pPr>
        <w:spacing w:after="0" w:line="1"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completed the acquisition of Maggiore Group (“Maggiore”) for approximately $160 million, net of acquired cash and short-term investments. The investment enables the Company to expand its footprint with a leading provider of vehicle rental services in Italy. The excess of the purchase price over preliminary fair value of net assets acquired was allocated to goodwill, which was assigned to the Company’s International reportable segment. In connection with this acquisition, approximately $88 million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140"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was recorded in goodwill, $ 50 million was recorded in customer relationships, $ 34 million related to trademarks were recorded in other intangibles and $ 11 million was recorded in license agreements. The customer relationships, trademarks and license agreements will be amortized over a weighted average useful life of approximately ten years. The goodwill is not deductible for tax purposes. The fair value of the assets acquired and liabilities assumed has not yet been finalized and is therefore subject to change.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Brazil</w:t>
      </w:r>
    </w:p>
    <w:p>
      <w:pPr>
        <w:spacing w:after="0" w:line="247"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In August 2013, the Company made an initial equity investment of $53 million in its Brazilian licensee (“Brazil”) for a 50% ownership stake. Approximately $47 million of this consideration was paid in 2013 and the remaining consideration of $6 million was paid in 2014. In April 2015, the Company acquired the remaining 50% equity interest in Brazil, which is now a wholly-owned subsidiary, for cash consideration of $8 million plus $46 million principally to acquire debt interests and settle certain debt and accrued interest obligations. The acquisition enables the Company to significantly increase its presence in the Brazilian car rental market. The Company’s initial investment in Brazil was recorded as an equity investment within other non-current assets, and the Company’s share of Brazil’s operating results was reported within operating expenses. At December 31, 2014, the Company’s investment, which was recorded in its Americas reportable segment, totaled approximately $ 12 million, net of an impairment charge of $33 million ($33 million, net of tax). The impairment charge was recorded at the time of the initial investment based on a combination of observable and unobservable fair value inputs (Level 3), specifically a combination of the Income approach-discounted cash flow method and the Market approach-public company market multiple method. Since the Company previously accounted for its 50% interest in Brazil as an equity-method investment, in order to recognize Brazil as a wholly-owned subsidiary in April 2015, the Company remeasured its previously held equity method investment to fair value using the Income approach-discounted cash flow method (Level 3), resulting in a loss of $8 million during 2015 as part of transaction-related costs. The results of the operations of Brazil and the fair value of its assets and liabilities have been included in the Company’s Consolidated Financial Statements from the date of the acquisition. As the fair value of the licensee’s liabilities exceeded its assets, $77 million was allocated to goodwill for the excess of the purchase price over preliminary fair value of net assets acquired, which was assigned to the Company’s Americas reportable segment and is not deductible for tax purposes. The fair value of the assets acquired and liabilities assumed has not yet been finalized and is therefore subject to change.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right="80"/>
        <w:spacing w:after="0" w:line="251" w:lineRule="auto"/>
        <w:rPr>
          <w:sz w:val="20"/>
          <w:szCs w:val="20"/>
          <w:color w:val="auto"/>
        </w:rPr>
      </w:pPr>
      <w:r>
        <w:rPr>
          <w:rFonts w:ascii="Arial" w:cs="Arial" w:eastAsia="Arial" w:hAnsi="Arial"/>
          <w:sz w:val="18"/>
          <w:szCs w:val="18"/>
          <w:color w:val="auto"/>
        </w:rPr>
        <w:t>In November and April 2015, the Company completed the acquisitions of its Avis licensee in Poland and its Avis and Budget licensees in Norway, Sweden and Denmark, respectively, for approximately $62 million, net of acquired cash. Additionally, the Company settled debt obligations of approximately $ 23 million in Poland. These investments will enable the Company to expand its footprint of Company-operated locations in Europe. The excess of the purchase price over preliminary fair value of net assets acquired was allocated to goodwill, which was assigned to the Company’s International reportable segment. In connection with these acquisitions, approximately $36 million was recorded in license agreements, $29 million was recorded in goodwill and $12 million was recorded in customer relationships. The license agreements and customer relationships will be amortized over a weighted average useful life of approximately eight years. In addition, at the time of acquisition, the Company recorded a $25 million non-cash charge within transaction-related costs, net in connection with license rights reacquired by the Company. The goodwill is not deductible for tax purposes. The fair value of the assets acquired and liabilities assumed has not yet been finalized and is therefore subject to change.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Budget Licensees</w:t>
      </w:r>
    </w:p>
    <w:p>
      <w:pPr>
        <w:spacing w:after="0" w:line="247"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During 2014, the Company completed the acquisition of its Budget licensees for Edmonton, Canada; Southern California and Las Vegas, and reacquired the right to operate the Budget brand in Portugal, for approximately $263 million, plus $132 million for acquired fleet. These investments enabled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Americas reportable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for Edmonton, Southern California and Las Vegas and to the Company’s International reportable segment for Portugal. In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connection with these acquisitions, approximately $58 million was recorded in identifiable intangible assets (consisting of $10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million related to customer relationships and $48 million related to the license agreements) and $192 million was recorded in goodwill.</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customer relationships will be amortized over a weighted average useful life of approximately 12 years and the license agreements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will be amortized over a weighted average useful life of approximately three years. In addition, the Company recorded a non-cash gain of</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approximately $20 million within transaction-related costs, net in connection with license rights reacquired by the Company. The goodwill</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is deductible for tax purposes. Differences between the preliminary allocation of purchase price and the final allocation were not material</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Edmonton, Southern California and Las Vegas and Portugal.</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Payless Car Rental</w:t>
      </w:r>
    </w:p>
    <w:p>
      <w:pPr>
        <w:spacing w:after="0" w:line="247"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In July 2013, the Company completed the acquisition of Payless for $46 million, net of acquired cash. The acquisition provided the Company with a position in the deep-value segment of the car rental industry. The excess of the purchase price over preliminary fair value of net assets acquired was allocated to goodwill, which was assigned to the Company’s Americas reportable segment. The goodwill is not deductible for tax purposes. In connection with this acquisition, $ 23 million was recorded in identifiable intangible assets (consisting of $ 16 million related to trademarks and $7 million related to license agreements) and $27 million was recorded in goodwill. The trademark assets are indefinite-lived and the license agreements will be amortized over an estimated life of 15 years.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Zipcar</w:t>
      </w:r>
    </w:p>
    <w:p>
      <w:pPr>
        <w:spacing w:after="0" w:line="247"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March 2013, the Company completed the acquisition of the entire issued share capital of Zipcar, a leading car sharing company, for $473 million, net of acquired cash. The acquisition increased the Company’s growth potential and its ability to better serve a greater variety of customer transportation needs. The excess of the purchase price over fair value of net assets acquired was allocated to goodwill, which was assigned to the Company’s Americas reportable segment and is not deductible for tax purposes. In connection with this acquisition, $188 million was recorded in identifiable intangible assets (consisting of $112 million related to trademarks and $76 million related to customer relationships) and $269 million was recorded in goodwill. The trademark assets are indefinite-lived and the customer relationship intangibles will be amortized over an estimated life of eight years.</w:t>
      </w:r>
    </w:p>
    <w:p>
      <w:pPr>
        <w:spacing w:after="0" w:line="18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As of December 31, 2015</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2014</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1 to 40 years with a weighted average life of 19 years.</w:t>
      </w:r>
    </w:p>
    <w:p>
      <w:pPr>
        <w:ind w:left="820" w:hanging="326"/>
        <w:spacing w:after="0" w:line="199" w:lineRule="auto"/>
        <w:tabs>
          <w:tab w:leader="none" w:pos="8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2 to 27 years with a weighted average life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140"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6240" w:type="dxa"/>
            <w:vAlign w:val="bottom"/>
            <w:gridSpan w:val="2"/>
          </w:tcPr>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4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License agreements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right="120"/>
        <w:spacing w:after="0" w:line="256" w:lineRule="auto"/>
        <w:rPr>
          <w:sz w:val="20"/>
          <w:szCs w:val="20"/>
          <w:color w:val="auto"/>
        </w:rPr>
      </w:pPr>
      <w:r>
        <w:rPr>
          <w:rFonts w:ascii="Arial" w:cs="Arial" w:eastAsia="Arial" w:hAnsi="Arial"/>
          <w:sz w:val="18"/>
          <w:szCs w:val="18"/>
          <w:color w:val="auto"/>
        </w:rPr>
        <w:t>Based on the Company’s amortizable intangible assets at December 31, 2015, the Company expects related amortization expense of approximately $61 million for 2016, $54 million for 2017, $40 million for 2018, $38 million for 2019 and $38 million for 2020, excluding effects of currency exchange rates.</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The carrying amounts of goodwill and related changes are as follows: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Gross goodwill as of January 1, 2014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Accumulated impairment losses as of January 1, 2014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January 1, 2014</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2014</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are as follows: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Rental vehicles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11,195</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11,006</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10,658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730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3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Gain on sale of vehicles, net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spacing w:after="0" w:line="278" w:lineRule="auto"/>
        <w:rPr>
          <w:sz w:val="20"/>
          <w:szCs w:val="20"/>
          <w:color w:val="auto"/>
        </w:rPr>
      </w:pPr>
      <w:r>
        <w:rPr>
          <w:rFonts w:ascii="Arial" w:cs="Arial" w:eastAsia="Arial" w:hAnsi="Arial"/>
          <w:sz w:val="17"/>
          <w:szCs w:val="17"/>
          <w:color w:val="auto"/>
        </w:rPr>
        <w:t>At December 31, 2015, 2014 and 2013, the Company had payables related to vehicle purchases included in liabilities under vehicle programs - other of $269 million, $222 million and $260 million, respectively, and receivables related to vehicle sales included in assets under vehicle programs - receivables from vehicle manufacturers and other of $433 million, $352 million and $378 million, respectively.</w:t>
      </w: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108" w:right="4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provision for (benefit from) income taxes consists of the following:</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Current income tax provision</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513"/>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Deferred income tax provision</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5"/>
        </w:trPr>
        <w:tc>
          <w:tcPr>
            <w:tcW w:w="6740" w:type="dxa"/>
            <w:vAlign w:val="bottom"/>
            <w:gridSpan w:val="3"/>
          </w:tcPr>
          <w:p>
            <w:pPr>
              <w:spacing w:after="0"/>
              <w:rPr>
                <w:sz w:val="20"/>
                <w:szCs w:val="20"/>
                <w:color w:val="auto"/>
              </w:rPr>
            </w:pPr>
            <w:r>
              <w:rPr>
                <w:rFonts w:ascii="Arial" w:cs="Arial" w:eastAsia="Arial" w:hAnsi="Arial"/>
                <w:sz w:val="18"/>
                <w:szCs w:val="18"/>
                <w:color w:val="auto"/>
              </w:rPr>
              <w:t>Pretax income for domestic and foreign operations consists of the following: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5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87"/>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(a)</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Pretax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8890</wp:posOffset>
            </wp:positionV>
            <wp:extent cx="29159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592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460" w:right="120" w:hanging="966"/>
        <w:spacing w:after="0" w:line="235" w:lineRule="auto"/>
        <w:tabs>
          <w:tab w:leader="none" w:pos="65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For the years ended December 31, 2015, 2014 and 2013, includes corporate debt extinguishment costs of $23 million, $56 million and $147 million, respectively.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are comprised of the following:</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340"/>
          </w:cols>
          <w:pgMar w:left="240" w:top="140" w:right="319" w:bottom="1140" w:gutter="0" w:footer="0" w:header="0"/>
        </w:sectPr>
      </w:pPr>
    </w:p>
    <w:p>
      <w:pPr>
        <w:spacing w:after="0" w:line="337"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Deferred income tax assets:</w:t>
      </w:r>
    </w:p>
    <w:p>
      <w:pPr>
        <w:spacing w:after="0" w:line="120" w:lineRule="exact"/>
        <w:rPr>
          <w:sz w:val="20"/>
          <w:szCs w:val="20"/>
          <w:color w:val="auto"/>
        </w:rPr>
      </w:pPr>
    </w:p>
    <w:p>
      <w:pPr>
        <w:jc w:val="right"/>
        <w:ind w:right="4380"/>
        <w:spacing w:after="0"/>
        <w:rPr>
          <w:sz w:val="20"/>
          <w:szCs w:val="20"/>
          <w:color w:val="auto"/>
        </w:rPr>
      </w:pPr>
      <w:r>
        <w:rPr>
          <w:rFonts w:ascii="Arial" w:cs="Arial" w:eastAsia="Arial" w:hAnsi="Arial"/>
          <w:sz w:val="18"/>
          <w:szCs w:val="18"/>
          <w:color w:val="auto"/>
        </w:rPr>
        <w:t>Net tax loss carryforwards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liabilities and deferred revenue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credits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Acquisition and integration-related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Provision for doubtful accounts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Unrealized hedge loss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income tax assets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52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7"/>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50"/>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r>
    </w:tbl>
    <w:p>
      <w:pPr>
        <w:spacing w:after="0" w:line="200" w:lineRule="exact"/>
        <w:rPr>
          <w:sz w:val="20"/>
          <w:szCs w:val="20"/>
          <w:color w:val="auto"/>
        </w:rPr>
      </w:pPr>
    </w:p>
    <w:p>
      <w:pPr>
        <w:sectPr>
          <w:pgSz w:w="11900" w:h="16838" w:orient="portrait"/>
          <w:cols w:equalWidth="0" w:num="2">
            <w:col w:w="7080" w:space="720"/>
            <w:col w:w="3540"/>
          </w:cols>
          <w:pgMar w:left="240" w:top="140" w:right="319" w:bottom="1140"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4"/>
        </w:trPr>
        <w:tc>
          <w:tcPr>
            <w:tcW w:w="7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7280" w:type="dxa"/>
            <w:vAlign w:val="bottom"/>
          </w:tcPr>
          <w:p>
            <w:pPr>
              <w:ind w:left="1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assets, net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140" w:hanging="646"/>
        <w:spacing w:after="0" w:line="227" w:lineRule="auto"/>
        <w:tabs>
          <w:tab w:leader="none" w:pos="816"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The valuation allowance of $351 million at December 31, 2015 relates to tax loss carryforwards, foreign tax credits and certain deferred tax assets of $267 million, $53 million and $31 million, respectively. The valuation allowance will be reduced when and if the Company determines it is more likely than not that the related deferred income tax assets will be realized. The valuation allowance of $319 million at December 31, 2014 relates to tax loss carryforwards, foreign tax credits and certain deferred tax assets of $249 million, $46 million and $24 million, respectively.</w:t>
      </w:r>
    </w:p>
    <w:p>
      <w:pPr>
        <w:sectPr>
          <w:pgSz w:w="11900" w:h="16838" w:orient="portrait"/>
          <w:cols w:equalWidth="0" w:num="1">
            <w:col w:w="11340"/>
          </w:cols>
          <w:pgMar w:left="240" w:top="140" w:right="319" w:bottom="1140" w:gutter="0" w:footer="0" w:header="0"/>
          <w:type w:val="continuous"/>
        </w:sect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140" w:right="319" w:bottom="11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80"/>
        </w:trPr>
        <w:tc>
          <w:tcPr>
            <w:tcW w:w="9360" w:type="dxa"/>
            <w:vAlign w:val="bottom"/>
            <w:gridSpan w:val="5"/>
          </w:tcPr>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140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30"/>
        </w:trPr>
        <w:tc>
          <w:tcPr>
            <w:tcW w:w="7800" w:type="dxa"/>
            <w:vAlign w:val="bottom"/>
            <w:gridSpan w:val="2"/>
          </w:tcPr>
          <w:p>
            <w:pPr>
              <w:ind w:left="520"/>
              <w:spacing w:after="0"/>
              <w:rPr>
                <w:sz w:val="20"/>
                <w:szCs w:val="20"/>
                <w:color w:val="auto"/>
              </w:rPr>
            </w:pPr>
            <w:r>
              <w:rPr>
                <w:rFonts w:ascii="Arial" w:cs="Arial" w:eastAsia="Arial" w:hAnsi="Arial"/>
                <w:sz w:val="18"/>
                <w:szCs w:val="18"/>
                <w:i w:val="1"/>
                <w:iCs w:val="1"/>
                <w:color w:val="auto"/>
              </w:rPr>
              <w:t>Deferred income tax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4"/>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513"/>
        </w:trPr>
        <w:tc>
          <w:tcPr>
            <w:tcW w:w="7800" w:type="dxa"/>
            <w:vAlign w:val="bottom"/>
            <w:gridSpan w:val="2"/>
          </w:tcPr>
          <w:p>
            <w:pPr>
              <w:ind w:left="520"/>
              <w:spacing w:after="0"/>
              <w:rPr>
                <w:sz w:val="20"/>
                <w:szCs w:val="20"/>
                <w:color w:val="auto"/>
              </w:rPr>
            </w:pPr>
            <w:r>
              <w:rPr>
                <w:rFonts w:ascii="Arial" w:cs="Arial" w:eastAsia="Arial" w:hAnsi="Arial"/>
                <w:sz w:val="18"/>
                <w:szCs w:val="18"/>
                <w:i w:val="1"/>
                <w:iCs w:val="1"/>
                <w:color w:val="auto"/>
              </w:rPr>
              <w:t>Deferred income tax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r>
      <w:tr>
        <w:trPr>
          <w:trHeight w:val="250"/>
        </w:trPr>
        <w:tc>
          <w:tcPr>
            <w:tcW w:w="780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r>
      <w:tr>
        <w:trPr>
          <w:trHeight w:val="20"/>
        </w:trPr>
        <w:tc>
          <w:tcPr>
            <w:tcW w:w="14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At December 31, 2015, the Company had U.S. federal net operating loss carryforwards of approximately $3.6 billion, most of which expire in 2031.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2015, the Company had foreign net operating loss carryforwards of approximately $583 million with an indefinite utilization period. No provision has been made for U.S. federal deferred income taxes on approximately $941 million of accumulated and undistributed earnings of foreign subsidiaries at December 31, 2015, since it is the present intention of management to reinvest the undistributed earnings indefinitely in those foreign operations. Due to the variability associated with the various methods in which such earnings could be repatriated, it is not practicable to estimate the actual amount of such deferred tax liabilities. If such earnings were repatriated and subject to taxation at the current U.S. federal tax rate, the Company would consider and pursue alternatives to reduce the tax liability.</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the Company’s effective income tax rate is as follows:</w:t>
      </w:r>
    </w:p>
    <w:p>
      <w:pPr>
        <w:spacing w:after="0" w:line="16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28575</wp:posOffset>
            </wp:positionV>
            <wp:extent cx="3035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2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15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53" w:lineRule="exact"/>
        <w:rPr>
          <w:sz w:val="20"/>
          <w:szCs w:val="20"/>
          <w:color w:val="auto"/>
        </w:rPr>
      </w:pPr>
    </w:p>
    <w:p>
      <w:pPr>
        <w:sectPr>
          <w:pgSz w:w="11900" w:h="16838" w:orient="portrait"/>
          <w:cols w:equalWidth="0" w:num="1">
            <w:col w:w="11320"/>
          </w:cols>
          <w:pgMar w:left="240" w:top="108" w:right="339" w:bottom="1440" w:gutter="0" w:footer="0" w:header="0"/>
        </w:sectPr>
      </w:pPr>
    </w:p>
    <w:p>
      <w:pPr>
        <w:ind w:left="620" w:right="660"/>
        <w:spacing w:after="0" w:line="289" w:lineRule="auto"/>
        <w:rPr>
          <w:sz w:val="20"/>
          <w:szCs w:val="20"/>
          <w:color w:val="auto"/>
        </w:rPr>
      </w:pPr>
      <w:r>
        <w:rPr>
          <w:rFonts w:ascii="Arial" w:cs="Arial" w:eastAsia="Arial" w:hAnsi="Arial"/>
          <w:sz w:val="18"/>
          <w:szCs w:val="18"/>
          <w:color w:val="auto"/>
        </w:rPr>
        <w:t xml:space="preserve">State and local income taxes, net of federal tax benefits Changes in valuation allowances </w:t>
      </w:r>
      <w:r>
        <w:rPr>
          <w:rFonts w:ascii="Arial" w:cs="Arial" w:eastAsia="Arial" w:hAnsi="Arial"/>
          <w:sz w:val="21"/>
          <w:szCs w:val="21"/>
          <w:color w:val="auto"/>
          <w:vertAlign w:val="superscript"/>
        </w:rPr>
        <w:t>(a)</w:t>
      </w:r>
    </w:p>
    <w:p>
      <w:pPr>
        <w:ind w:left="800" w:hanging="161"/>
        <w:spacing w:after="0" w:line="246" w:lineRule="auto"/>
        <w:rPr>
          <w:sz w:val="20"/>
          <w:szCs w:val="20"/>
          <w:color w:val="auto"/>
        </w:rPr>
      </w:pPr>
      <w:r>
        <w:rPr>
          <w:rFonts w:ascii="Arial" w:cs="Arial" w:eastAsia="Arial" w:hAnsi="Arial"/>
          <w:sz w:val="18"/>
          <w:szCs w:val="18"/>
          <w:color w:val="auto"/>
        </w:rPr>
        <w:t>Taxes on foreign operations at rates different than statutory U.S. federal rates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Resolution of a prior-year tax matter </w:t>
      </w:r>
      <w:r>
        <w:rPr>
          <w:rFonts w:ascii="Arial" w:cs="Arial" w:eastAsia="Arial" w:hAnsi="Arial"/>
          <w:sz w:val="21"/>
          <w:szCs w:val="21"/>
          <w:color w:val="auto"/>
          <w:vertAlign w:val="superscript"/>
        </w:rPr>
        <w:t>(b)</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Non-deductible debt extinguishment costs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Non-deductible transaction-related costs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non-deductible expenses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4.1</w:t>
            </w:r>
          </w:p>
        </w:tc>
      </w:tr>
      <w:tr>
        <w:trPr>
          <w:trHeight w:val="270"/>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15.5</w:t>
            </w:r>
          </w:p>
        </w:tc>
      </w:tr>
      <w:tr>
        <w:trPr>
          <w:trHeight w:val="459"/>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70"/>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18.8</w:t>
            </w:r>
          </w:p>
        </w:tc>
      </w:tr>
      <w:tr>
        <w:trPr>
          <w:trHeight w:val="270"/>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3.2</w:t>
            </w:r>
          </w:p>
        </w:tc>
      </w:tr>
      <w:tr>
        <w:trPr>
          <w:trHeight w:val="270"/>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7"/>
        </w:trPr>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r>
      <w:tr>
        <w:trPr>
          <w:trHeight w:val="25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83.5 %</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ectPr>
          <w:pgSz w:w="11900" w:h="16838" w:orient="portrait"/>
          <w:cols w:equalWidth="0" w:num="2">
            <w:col w:w="5720" w:space="320"/>
            <w:col w:w="5280"/>
          </w:cols>
          <w:pgMar w:left="240" w:top="108" w:right="339" w:bottom="1440" w:gutter="0" w:footer="0" w:header="0"/>
          <w:type w:val="continuous"/>
        </w:sectPr>
      </w:pPr>
    </w:p>
    <w:p>
      <w:pPr>
        <w:ind w:left="820" w:hanging="326"/>
        <w:spacing w:after="0" w:line="189" w:lineRule="auto"/>
        <w:tabs>
          <w:tab w:leader="none" w:pos="820" w:val="left"/>
        </w:tabs>
        <w:numPr>
          <w:ilvl w:val="0"/>
          <w:numId w:val="68"/>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2013, includes 13.1% related to our impairment expense.</w:t>
      </w:r>
    </w:p>
    <w:p>
      <w:pPr>
        <w:spacing w:after="0" w:line="8" w:lineRule="exact"/>
        <w:rPr>
          <w:rFonts w:ascii="Arial" w:cs="Arial" w:eastAsia="Arial" w:hAnsi="Arial"/>
          <w:sz w:val="22"/>
          <w:szCs w:val="22"/>
          <w:color w:val="auto"/>
          <w:vertAlign w:val="superscript"/>
        </w:rPr>
      </w:pPr>
    </w:p>
    <w:p>
      <w:pPr>
        <w:ind w:left="820" w:right="180" w:hanging="326"/>
        <w:spacing w:after="0" w:line="225" w:lineRule="auto"/>
        <w:tabs>
          <w:tab w:leader="none" w:pos="820" w:val="left"/>
        </w:tabs>
        <w:numPr>
          <w:ilvl w:val="0"/>
          <w:numId w:val="68"/>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2015, the Company recognized a $98 million income tax benefit from the resolution of a prior</w:t>
      </w:r>
      <w:r>
        <w:rPr>
          <w:rFonts w:ascii="Arial" w:cs="Arial" w:eastAsia="Arial" w:hAnsi="Arial"/>
          <w:sz w:val="18"/>
          <w:szCs w:val="18"/>
          <w:color w:val="auto"/>
        </w:rPr>
        <w:t>-</w:t>
      </w:r>
      <w:r>
        <w:rPr>
          <w:rFonts w:ascii="Arial" w:cs="Arial" w:eastAsia="Arial" w:hAnsi="Arial"/>
          <w:sz w:val="16"/>
          <w:szCs w:val="16"/>
          <w:color w:val="auto"/>
        </w:rPr>
        <w:t>year income tax matter.</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6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Balance at January 1</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for prior years</w:t>
            </w:r>
          </w:p>
        </w:tc>
        <w:tc>
          <w:tcPr>
            <w:tcW w:w="10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760" w:type="dxa"/>
            <w:vAlign w:val="bottom"/>
          </w:tcPr>
          <w:p>
            <w:pPr>
              <w:ind w:left="100"/>
              <w:spacing w:after="0"/>
              <w:rPr>
                <w:sz w:val="20"/>
                <w:szCs w:val="20"/>
                <w:color w:val="auto"/>
              </w:rPr>
            </w:pPr>
            <w:r>
              <w:rPr>
                <w:rFonts w:ascii="Arial" w:cs="Arial" w:eastAsia="Arial" w:hAnsi="Arial"/>
                <w:sz w:val="18"/>
                <w:szCs w:val="18"/>
                <w:color w:val="auto"/>
              </w:rPr>
              <w:t>Statute of limitations</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7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08"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108"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in 2016.</w:t>
      </w:r>
    </w:p>
    <w:p>
      <w:pPr>
        <w:spacing w:after="0" w:line="171"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is subject to taxation in the United States and various foreign jurisdictions. As of December 31, 2015, the 2012 through 2014 tax years generally remain subject to examination by the federal tax authorities. The 2010 through 2014 tax years generally remain subject to examination by various state tax authorities. In significant foreign jurisdictions, the 2009 through 2014 tax years generally remain subject to examination by their respective tax authorities.</w:t>
      </w:r>
    </w:p>
    <w:p>
      <w:pPr>
        <w:spacing w:after="0" w:line="150"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2015, 2014 and 2013, if recognized, would affect the Company’s provision for, or benefit from, income taxes. As of December 31, 2015, the Company’s unrecognized tax benefits were offset by tax loss carryforwards in the amount of $20 million.</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9"/>
        </w:trPr>
        <w:tc>
          <w:tcPr>
            <w:tcW w:w="73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64"/>
        </w:trPr>
        <w:tc>
          <w:tcPr>
            <w:tcW w:w="730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2"/>
                <w:szCs w:val="22"/>
                <w:color w:val="auto"/>
              </w:rPr>
            </w:pPr>
          </w:p>
        </w:tc>
      </w:tr>
      <w:tr>
        <w:trPr>
          <w:trHeight w:val="294"/>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1"/>
                <w:szCs w:val="21"/>
                <w:color w:val="auto"/>
                <w:vertAlign w:val="superscript"/>
              </w:rPr>
              <w:t>(a)</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6"/>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1"/>
                <w:szCs w:val="21"/>
                <w:color w:val="auto"/>
                <w:vertAlign w:val="superscript"/>
              </w:rPr>
              <w:t>(b)</w:t>
            </w:r>
          </w:p>
        </w:tc>
        <w:tc>
          <w:tcPr>
            <w:tcW w:w="10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hanging="326"/>
        <w:spacing w:after="0" w:line="219" w:lineRule="auto"/>
        <w:tabs>
          <w:tab w:leader="none" w:pos="820" w:val="left"/>
        </w:tabs>
        <w:numPr>
          <w:ilvl w:val="1"/>
          <w:numId w:val="69"/>
        </w:numPr>
        <w:rPr>
          <w:rFonts w:ascii="Arial" w:cs="Arial" w:eastAsia="Arial" w:hAnsi="Arial"/>
          <w:sz w:val="22"/>
          <w:szCs w:val="22"/>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2015 and 2014, $15 million and $16 million, respectively, of unrecognized tax benefits are related to tax contingencies for which the Company believes it is entitled to indemnification.</w:t>
      </w:r>
    </w:p>
    <w:p>
      <w:pPr>
        <w:ind w:left="820" w:right="220" w:hanging="326"/>
        <w:spacing w:after="0" w:line="221" w:lineRule="auto"/>
        <w:tabs>
          <w:tab w:leader="none" w:pos="820" w:val="left"/>
        </w:tabs>
        <w:numPr>
          <w:ilvl w:val="1"/>
          <w:numId w:val="69"/>
        </w:numPr>
        <w:rPr>
          <w:rFonts w:ascii="Arial" w:cs="Arial" w:eastAsia="Arial" w:hAnsi="Arial"/>
          <w:sz w:val="22"/>
          <w:szCs w:val="22"/>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years ended December 31, 2015, 2014 and 2013, were not significant and were recognized as a component of the provision for income taxes.</w:t>
      </w:r>
    </w:p>
    <w:p>
      <w:pPr>
        <w:spacing w:after="0" w:line="186"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320"/>
        <w:spacing w:after="0"/>
        <w:tabs>
          <w:tab w:leader="none" w:pos="98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w:t>
      </w:r>
    </w:p>
    <w:p>
      <w:pPr>
        <w:spacing w:after="0" w:line="271"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net consisted of:</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7"/>
        </w:trPr>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20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32" w:lineRule="exact"/>
        <w:rPr>
          <w:sz w:val="20"/>
          <w:szCs w:val="20"/>
          <w:color w:val="auto"/>
        </w:rPr>
      </w:pPr>
    </w:p>
    <w:p>
      <w:pPr>
        <w:sectPr>
          <w:pgSz w:w="11900" w:h="16838" w:orient="portrait"/>
          <w:cols w:equalWidth="0" w:num="2">
            <w:col w:w="7080" w:space="720"/>
            <w:col w:w="3600"/>
          </w:cols>
          <w:pgMar w:left="240" w:top="140" w:right="259" w:bottom="1440" w:gutter="0" w:footer="0" w:header="0"/>
          <w:type w:val="continuous"/>
        </w:sectPr>
      </w:pPr>
    </w:p>
    <w:tbl>
      <w:tblPr>
        <w:tblLayout w:type="fixed"/>
        <w:tblInd w:w="520" w:type="dxa"/>
        <w:tblCellMar>
          <w:top w:w="0" w:type="dxa"/>
          <w:left w:w="0" w:type="dxa"/>
          <w:bottom w:w="0" w:type="dxa"/>
          <w:right w:w="0" w:type="dxa"/>
        </w:tblCellMar>
      </w:tblP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Land</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Capitalized software</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Projects in process</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Buses and support vehicles</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7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60"/>
        <w:spacing w:after="0" w:line="256" w:lineRule="auto"/>
        <w:rPr>
          <w:sz w:val="20"/>
          <w:szCs w:val="20"/>
          <w:color w:val="auto"/>
        </w:rPr>
      </w:pPr>
      <w:r>
        <w:rPr>
          <w:rFonts w:ascii="Arial" w:cs="Arial" w:eastAsia="Arial" w:hAnsi="Arial"/>
          <w:sz w:val="18"/>
          <w:szCs w:val="18"/>
          <w:color w:val="auto"/>
        </w:rPr>
        <w:t>Depreciation and amortization expense relating to property and equipment during 2015, 2014 and 2013 was $159 million, $144 million and $124 million, respectively (including $61 million, $46 million and $36 million, respectively, of amortization expense relating to capitalized software).</w:t>
      </w:r>
    </w:p>
    <w:p>
      <w:pPr>
        <w:sectPr>
          <w:pgSz w:w="11900" w:h="16838" w:orient="portrait"/>
          <w:cols w:equalWidth="0" w:num="1">
            <w:col w:w="11400"/>
          </w:cols>
          <w:pgMar w:left="240" w:top="140" w:right="2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40" w:right="25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11.   Accounts Payable and Other Current Liabilities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Deferred revenue – current</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7"/>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50"/>
        </w:trPr>
        <w:tc>
          <w:tcPr>
            <w:tcW w:w="608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Long-term Debt and Borrowing Arrangements</w:t>
            </w: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gridSpan w:val="2"/>
          </w:tcPr>
          <w:p>
            <w:pPr>
              <w:ind w:left="500"/>
              <w:spacing w:after="0"/>
              <w:rPr>
                <w:sz w:val="20"/>
                <w:szCs w:val="20"/>
                <w:color w:val="auto"/>
              </w:rPr>
            </w:pPr>
            <w:r>
              <w:rPr>
                <w:rFonts w:ascii="Arial" w:cs="Arial" w:eastAsia="Arial" w:hAnsi="Arial"/>
                <w:sz w:val="18"/>
                <w:szCs w:val="18"/>
                <w:color w:val="auto"/>
              </w:rPr>
              <w:t>Long-term debt and other borrowing arrangements consisted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36"/>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6"/>
        </w:trPr>
        <w:tc>
          <w:tcPr>
            <w:tcW w:w="140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4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37"/>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4⅞%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November 2017</w:t>
            </w: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Floating Rate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2017</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346"/>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2019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5"/>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9¾%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6% Euro-denominated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2021</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5⅛%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June 2022</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5½%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2023</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5¼%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5"/>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Deferred financing fees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83"/>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Less: Short-term debt and current portion of long-term debt</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6080" w:type="dxa"/>
            <w:vAlign w:val="bottom"/>
            <w:gridSpan w:val="2"/>
          </w:tcPr>
          <w:p>
            <w:pPr>
              <w:ind w:left="520"/>
              <w:spacing w:after="0"/>
              <w:rPr>
                <w:sz w:val="20"/>
                <w:szCs w:val="20"/>
                <w:color w:val="auto"/>
              </w:rPr>
            </w:pPr>
            <w:r>
              <w:rPr>
                <w:rFonts w:ascii="Arial" w:cs="Arial" w:eastAsia="Arial" w:hAnsi="Arial"/>
                <w:sz w:val="16"/>
                <w:szCs w:val="16"/>
                <w:color w:val="auto"/>
              </w:rPr>
              <w:t>Long-term debt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500"/>
              <w:spacing w:after="0"/>
              <w:rPr>
                <w:sz w:val="20"/>
                <w:szCs w:val="20"/>
                <w:color w:val="auto"/>
              </w:rPr>
            </w:pPr>
            <w:r>
              <w:rPr>
                <w:rFonts w:ascii="Arial" w:cs="Arial" w:eastAsia="Arial" w:hAnsi="Arial"/>
                <w:sz w:val="16"/>
                <w:szCs w:val="16"/>
                <w:color w:val="auto"/>
                <w:w w:val="98"/>
              </w:rPr>
              <w:t>__________</w:t>
            </w:r>
          </w:p>
        </w:tc>
        <w:tc>
          <w:tcPr>
            <w:tcW w:w="4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0" w:type="dxa"/>
            <w:vAlign w:val="bottom"/>
            <w:vMerge w:val="continue"/>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0" w:hanging="326"/>
        <w:spacing w:after="0" w:line="211" w:lineRule="auto"/>
        <w:tabs>
          <w:tab w:leader="none" w:pos="8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w:t>
      </w:r>
    </w:p>
    <w:p>
      <w:pPr>
        <w:ind w:left="820" w:hanging="326"/>
        <w:spacing w:after="0" w:line="199" w:lineRule="auto"/>
        <w:tabs>
          <w:tab w:leader="none" w:pos="8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180"/>
        <w:spacing w:after="0" w:line="266" w:lineRule="auto"/>
        <w:rPr>
          <w:sz w:val="20"/>
          <w:szCs w:val="20"/>
          <w:color w:val="auto"/>
        </w:rPr>
      </w:pPr>
      <w:r>
        <w:rPr>
          <w:rFonts w:ascii="Arial" w:cs="Arial" w:eastAsia="Arial" w:hAnsi="Arial"/>
          <w:sz w:val="18"/>
          <w:szCs w:val="18"/>
          <w:i w:val="1"/>
          <w:iCs w:val="1"/>
          <w:color w:val="auto"/>
        </w:rPr>
        <w:t xml:space="preserve">Floating Rate Term Loan due 2019. </w:t>
      </w:r>
      <w:r>
        <w:rPr>
          <w:rFonts w:ascii="Arial" w:cs="Arial" w:eastAsia="Arial" w:hAnsi="Arial"/>
          <w:sz w:val="18"/>
          <w:szCs w:val="18"/>
          <w:color w:val="auto"/>
        </w:rPr>
        <w:t>The Company issued $500 million and $200 million of Floating Rate Term Loan due 2019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October 2012, respectively, under the Company’s senior credit facility. The Company used the proceeds of the loan to repay approximately $420 million of term loan borrowings due 2014 and 2018 and $75 million of its senior notes due 2014.</w:t>
      </w:r>
    </w:p>
    <w:p>
      <w:pPr>
        <w:spacing w:after="0" w:line="140"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2013, the Company amended its senior credit facility to issue, in aggregate, an additional $300 million of Floating Rate Term Loan due 2019. A portion of the proceeds was used to partially fund the acquisition of Zipcar. The term loan bears interest at the greater of three-month LIBOR or 0.75% plus 225 basis points, for an aggregate rate of 3.00% at December 31, 2015; however, the Company has entered into an interest rate swap to hedge $600 million of its interest rate exposure related to the floating rate term loan at an aggregate rate of 3.96%.</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175" w:lineRule="exact"/>
        <w:rPr>
          <w:sz w:val="20"/>
          <w:szCs w:val="20"/>
          <w:color w:val="auto"/>
        </w:rPr>
      </w:pPr>
    </w:p>
    <w:p>
      <w:pPr>
        <w:ind w:left="500" w:right="160"/>
        <w:spacing w:after="0" w:line="266" w:lineRule="auto"/>
        <w:rPr>
          <w:sz w:val="20"/>
          <w:szCs w:val="20"/>
          <w:color w:val="auto"/>
        </w:rPr>
      </w:pPr>
      <w:r>
        <w:rPr>
          <w:rFonts w:ascii="Arial" w:cs="Arial" w:eastAsia="Arial" w:hAnsi="Arial"/>
          <w:sz w:val="18"/>
          <w:szCs w:val="18"/>
          <w:i w:val="1"/>
          <w:iCs w:val="1"/>
          <w:color w:val="auto"/>
        </w:rPr>
        <w:t xml:space="preserve">4⅞% Senior Notes due 2017. </w:t>
      </w:r>
      <w:r>
        <w:rPr>
          <w:rFonts w:ascii="Arial" w:cs="Arial" w:eastAsia="Arial" w:hAnsi="Arial"/>
          <w:sz w:val="18"/>
          <w:szCs w:val="18"/>
          <w:color w:val="auto"/>
        </w:rPr>
        <w:t>In November 2012, the Company issued its 4⅞% Senior Notes at par, for aggregate proceeds of $300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with interest payable semi-annually. The Company has the right to redeem these notes in whole or in part at any time on or after May 15, 2015, at specified prices, plus accrued interest through the redemption date.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108"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500" w:right="200"/>
        <w:spacing w:after="0" w:line="261" w:lineRule="auto"/>
        <w:rPr>
          <w:sz w:val="20"/>
          <w:szCs w:val="20"/>
          <w:color w:val="auto"/>
        </w:rPr>
      </w:pPr>
      <w:r>
        <w:rPr>
          <w:rFonts w:ascii="Arial" w:cs="Arial" w:eastAsia="Arial" w:hAnsi="Arial"/>
          <w:sz w:val="18"/>
          <w:szCs w:val="18"/>
          <w:i w:val="1"/>
          <w:iCs w:val="1"/>
          <w:color w:val="auto"/>
        </w:rPr>
        <w:t xml:space="preserve">Floating Rate Senior Notes due 2017. </w:t>
      </w:r>
      <w:r>
        <w:rPr>
          <w:rFonts w:ascii="Arial" w:cs="Arial" w:eastAsia="Arial" w:hAnsi="Arial"/>
          <w:sz w:val="18"/>
          <w:szCs w:val="18"/>
          <w:color w:val="auto"/>
        </w:rPr>
        <w:t>In November 2013, the Company issued its Floating Rate Senior Notes at 98.75% of their face</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aggregate proceeds of $247 million. The interest rate on these notes is equal to three-month LIBOR plus 275 basis points, for an aggregate rate of 3.16% at December 31, 2015; however, the Company has entered into an interest rate swap to hedge its interest rate exposure related to these notes at an aggregate rate of 3.58%.</w:t>
      </w:r>
    </w:p>
    <w:p>
      <w:pPr>
        <w:spacing w:after="0" w:line="126" w:lineRule="exact"/>
        <w:rPr>
          <w:sz w:val="20"/>
          <w:szCs w:val="20"/>
          <w:color w:val="auto"/>
        </w:rPr>
      </w:pPr>
    </w:p>
    <w:p>
      <w:pPr>
        <w:ind w:left="500" w:right="260"/>
        <w:spacing w:after="0" w:line="258" w:lineRule="auto"/>
        <w:rPr>
          <w:sz w:val="20"/>
          <w:szCs w:val="20"/>
          <w:color w:val="auto"/>
        </w:rPr>
      </w:pPr>
      <w:r>
        <w:rPr>
          <w:rFonts w:ascii="Arial" w:cs="Arial" w:eastAsia="Arial" w:hAnsi="Arial"/>
          <w:sz w:val="18"/>
          <w:szCs w:val="18"/>
          <w:i w:val="1"/>
          <w:iCs w:val="1"/>
          <w:color w:val="auto"/>
        </w:rPr>
        <w:t xml:space="preserve">9¾% Senior Notes due 2020. </w:t>
      </w:r>
      <w:r>
        <w:rPr>
          <w:rFonts w:ascii="Arial" w:cs="Arial" w:eastAsia="Arial" w:hAnsi="Arial"/>
          <w:sz w:val="18"/>
          <w:szCs w:val="18"/>
          <w:color w:val="auto"/>
        </w:rPr>
        <w:t>In October 2011, the Company issued 9¾% Senior Notes at par, for aggregate proceeds of $ 250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interest payable semi-annually. The Company has the right to redeem these notes in whole or in part at any time on or after September 15, 2015, at specified prices, plus accrued interest through the redemption date. In April 2013, the Company purchased approximately $27 million of the aggregate principal amount, and in April 2015, the Company redeemed the remaining $223 million principal amount for $243 million plus accrued interest.</w:t>
      </w:r>
    </w:p>
    <w:p>
      <w:pPr>
        <w:spacing w:after="0" w:line="184"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i w:val="1"/>
          <w:iCs w:val="1"/>
          <w:color w:val="auto"/>
        </w:rPr>
        <w:t xml:space="preserve">6% Euro-denominated Senior Notes. </w:t>
      </w:r>
      <w:r>
        <w:rPr>
          <w:rFonts w:ascii="Arial" w:cs="Arial" w:eastAsia="Arial" w:hAnsi="Arial"/>
          <w:sz w:val="18"/>
          <w:szCs w:val="18"/>
          <w:color w:val="auto"/>
        </w:rPr>
        <w:t>In March 2013, the Company issued €250 million (approximately $ 325 million, at issuance) of 6%</w:t>
      </w:r>
      <w:r>
        <w:rPr>
          <w:rFonts w:ascii="Arial" w:cs="Arial" w:eastAsia="Arial" w:hAnsi="Arial"/>
          <w:sz w:val="18"/>
          <w:szCs w:val="18"/>
          <w:i w:val="1"/>
          <w:iCs w:val="1"/>
          <w:color w:val="auto"/>
        </w:rPr>
        <w:t xml:space="preserve"> </w:t>
      </w:r>
      <w:r>
        <w:rPr>
          <w:rFonts w:ascii="Arial" w:cs="Arial" w:eastAsia="Arial" w:hAnsi="Arial"/>
          <w:sz w:val="18"/>
          <w:szCs w:val="18"/>
          <w:color w:val="auto"/>
        </w:rPr>
        <w:t>Euro-denominated Senior Notes due March 2021,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on or after April 1, 2016 at specified redemption prices plus accrued interest. The Company used the proceeds from the issuance to partially fund the acquisition of Zipcar.</w:t>
      </w:r>
    </w:p>
    <w:p>
      <w:pPr>
        <w:spacing w:after="0" w:line="201"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March 2014, the Company issued €200 million (approximately $275 million, at issuance) of additional 6% Euro-denominated Senior Notes due 2021. These notes were sold at 106.75% of their face value with interest payable semi-annually, for aggregate proceeds of approximately $295 million, with a yield to maturity of 4.85%. In April 2014, the Company used the proceeds to repurchase $292 million principal amount of its 8¼% Senior Notes.</w:t>
      </w:r>
    </w:p>
    <w:p>
      <w:pPr>
        <w:spacing w:after="0" w:line="186"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⅛</w:t>
      </w:r>
      <w:r>
        <w:rPr>
          <w:rFonts w:ascii="Arial" w:cs="Arial" w:eastAsia="Arial" w:hAnsi="Arial"/>
          <w:sz w:val="18"/>
          <w:szCs w:val="18"/>
          <w:i w:val="1"/>
          <w:iCs w:val="1"/>
          <w:color w:val="auto"/>
        </w:rPr>
        <w:t xml:space="preserve">% Senior Notes due 2022. </w:t>
      </w:r>
      <w:r>
        <w:rPr>
          <w:rFonts w:ascii="Arial" w:cs="Arial" w:eastAsia="Arial" w:hAnsi="Arial"/>
          <w:sz w:val="18"/>
          <w:szCs w:val="18"/>
          <w:color w:val="auto"/>
        </w:rPr>
        <w:t>In May 2014, the Company issued $400 million of 5⅛% Senior Notes due 2022 at par. In June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proceeds to repurchase the remaining $395 million principal amount of its 8¼% Senior Notes. The notes were issued at par, with interest payable semi-annually. The Company has the right to redeem these notes in whole or in part at any time on or after June 1, 2017 at specified redemption prices plus accrued interest.</w:t>
      </w:r>
    </w:p>
    <w:p>
      <w:pPr>
        <w:spacing w:after="0" w:line="180" w:lineRule="exact"/>
        <w:rPr>
          <w:sz w:val="20"/>
          <w:szCs w:val="20"/>
          <w:color w:val="auto"/>
        </w:rPr>
      </w:pPr>
    </w:p>
    <w:p>
      <w:pPr>
        <w:ind w:left="500" w:right="80"/>
        <w:spacing w:after="0" w:line="289" w:lineRule="auto"/>
        <w:rPr>
          <w:sz w:val="20"/>
          <w:szCs w:val="20"/>
          <w:color w:val="auto"/>
        </w:rPr>
      </w:pPr>
      <w:r>
        <w:rPr>
          <w:rFonts w:ascii="Arial" w:cs="Arial" w:eastAsia="Arial" w:hAnsi="Arial"/>
          <w:sz w:val="17"/>
          <w:szCs w:val="17"/>
          <w:i w:val="1"/>
          <w:iCs w:val="1"/>
          <w:color w:val="auto"/>
        </w:rPr>
        <w:t xml:space="preserve">5½% Senior Notes due 2023. </w:t>
      </w:r>
      <w:r>
        <w:rPr>
          <w:rFonts w:ascii="Arial" w:cs="Arial" w:eastAsia="Arial" w:hAnsi="Arial"/>
          <w:sz w:val="17"/>
          <w:szCs w:val="17"/>
          <w:color w:val="auto"/>
        </w:rPr>
        <w:t>In April 2013, the Company completed an offering of $500 million of 5½% Senior Notes due April 2023.</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were issued at par, with interest payable semi-annually. The Company has the right to redeem these notes in whole or in part on or after April 1, 2018 at specified redemption prices plus accrued interest. The Company used the proceeds to retire higher-cost debt.</w:t>
      </w:r>
    </w:p>
    <w:p>
      <w:pPr>
        <w:spacing w:after="0" w:line="176"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186"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5¼% Senior Notes due 2025</w:t>
      </w:r>
      <w:r>
        <w:rPr>
          <w:rFonts w:ascii="Arial" w:cs="Arial" w:eastAsia="Arial" w:hAnsi="Arial"/>
          <w:sz w:val="18"/>
          <w:szCs w:val="18"/>
          <w:color w:val="auto"/>
        </w:rPr>
        <w:t>. In March 2015, the Company issued $375 million of 5¼% Senior Notes due 2025 at par. In April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net proceeds from the offering to redeem the remaining $223 million principal amount of its 9¾% Senior Notes and to partially fund the acquisition of Maggiore.</w:t>
      </w:r>
    </w:p>
    <w:p>
      <w:pPr>
        <w:spacing w:after="0" w:line="19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Floating Rate Senior Notes, the 4⅞% Senior Notes, the 9¾% Senior Notes, the 5⅛% Senior Notes, the 5½% Senior Notes and the 5¼%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04" w:lineRule="exact"/>
        <w:rPr>
          <w:sz w:val="20"/>
          <w:szCs w:val="20"/>
          <w:color w:val="auto"/>
        </w:rPr>
      </w:pPr>
    </w:p>
    <w:p>
      <w:pPr>
        <w:ind w:left="500" w:right="640"/>
        <w:spacing w:after="0" w:line="262" w:lineRule="auto"/>
        <w:rPr>
          <w:sz w:val="20"/>
          <w:szCs w:val="20"/>
          <w:color w:val="auto"/>
        </w:rPr>
      </w:pPr>
      <w:r>
        <w:rPr>
          <w:rFonts w:ascii="Arial" w:cs="Arial" w:eastAsia="Arial" w:hAnsi="Arial"/>
          <w:sz w:val="18"/>
          <w:szCs w:val="18"/>
          <w:color w:val="auto"/>
        </w:rPr>
        <w:t>In connection with the debt amendments and repayments for the years ended December 31, 2015, 2014 and 2013, the Company recorded $23 million, $56 million and $147 million in early extinguishment of debt costs, respectively.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4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42"/>
        </w:trPr>
        <w:tc>
          <w:tcPr>
            <w:tcW w:w="936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 MATURITIES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360" w:type="dxa"/>
            <w:vAlign w:val="bottom"/>
            <w:gridSpan w:val="2"/>
          </w:tcPr>
          <w:p>
            <w:pPr>
              <w:ind w:left="500"/>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2015:</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5"/>
        </w:trPr>
        <w:tc>
          <w:tcPr>
            <w:tcW w:w="936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1400" w:type="dxa"/>
            <w:vAlign w:val="bottom"/>
          </w:tcPr>
          <w:p>
            <w:pPr>
              <w:ind w:left="520"/>
              <w:spacing w:after="0"/>
              <w:rPr>
                <w:sz w:val="20"/>
                <w:szCs w:val="20"/>
                <w:color w:val="auto"/>
              </w:rPr>
            </w:pPr>
            <w:r>
              <w:rPr>
                <w:rFonts w:ascii="Arial" w:cs="Arial" w:eastAsia="Arial" w:hAnsi="Arial"/>
                <w:sz w:val="18"/>
                <w:szCs w:val="18"/>
                <w:color w:val="auto"/>
              </w:rPr>
              <w:t>2016</w:t>
            </w:r>
          </w:p>
        </w:tc>
        <w:tc>
          <w:tcPr>
            <w:tcW w:w="796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2017</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2018</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2019</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2020</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936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r>
      <w:tr>
        <w:trPr>
          <w:trHeight w:val="250"/>
        </w:trPr>
        <w:tc>
          <w:tcPr>
            <w:tcW w:w="140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r>
      <w:tr>
        <w:trPr>
          <w:trHeight w:val="20"/>
        </w:trPr>
        <w:tc>
          <w:tcPr>
            <w:tcW w:w="1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2015,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Letters of Credit</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72"/>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5" w:lineRule="exact"/>
        <w:rPr>
          <w:sz w:val="20"/>
          <w:szCs w:val="20"/>
          <w:color w:val="auto"/>
        </w:rPr>
      </w:pPr>
    </w:p>
    <w:p>
      <w:pPr>
        <w:ind w:left="820" w:hanging="326"/>
        <w:spacing w:after="0"/>
        <w:tabs>
          <w:tab w:leader="none" w:pos="8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3.48% as of December 31, 2015.</w:t>
      </w:r>
    </w:p>
    <w:p>
      <w:pPr>
        <w:spacing w:after="0" w:line="201" w:lineRule="exact"/>
        <w:rPr>
          <w:sz w:val="20"/>
          <w:szCs w:val="20"/>
          <w:color w:val="auto"/>
        </w:rPr>
      </w:pPr>
    </w:p>
    <w:p>
      <w:pPr>
        <w:ind w:left="500" w:right="100"/>
        <w:spacing w:after="0" w:line="262" w:lineRule="auto"/>
        <w:rPr>
          <w:sz w:val="20"/>
          <w:szCs w:val="20"/>
          <w:color w:val="auto"/>
        </w:rPr>
      </w:pPr>
      <w:r>
        <w:rPr>
          <w:rFonts w:ascii="Arial" w:cs="Arial" w:eastAsia="Arial" w:hAnsi="Arial"/>
          <w:sz w:val="18"/>
          <w:szCs w:val="18"/>
          <w:color w:val="auto"/>
        </w:rPr>
        <w:t>At December 31, 2015 and 2014, the Company had various uncommitted credit facilities available, which bear interest at rates of 0.21% to 2.50%, under which it had drawn approximately $3 million and $9 million,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2015,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93"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96"/>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323"/>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(a)(b)</w:t>
            </w: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75"/>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hanging="326"/>
        <w:spacing w:after="0" w:line="187" w:lineRule="auto"/>
        <w:tabs>
          <w:tab w:leader="none" w:pos="820" w:val="left"/>
        </w:tabs>
        <w:numPr>
          <w:ilvl w:val="0"/>
          <w:numId w:val="75"/>
        </w:numPr>
        <w:rPr>
          <w:rFonts w:ascii="Arial" w:cs="Arial" w:eastAsia="Arial" w:hAnsi="Arial"/>
          <w:sz w:val="21"/>
          <w:szCs w:val="21"/>
          <w:color w:val="auto"/>
          <w:vertAlign w:val="superscript"/>
        </w:rPr>
      </w:pPr>
      <w:r>
        <w:rPr>
          <w:rFonts w:ascii="Arial" w:cs="Arial" w:eastAsia="Arial" w:hAnsi="Arial"/>
          <w:sz w:val="15"/>
          <w:szCs w:val="15"/>
          <w:color w:val="auto"/>
        </w:rPr>
        <w:t>The increase includes additional borrowing related to the acquisition of Maggiore.</w:t>
      </w:r>
    </w:p>
    <w:p>
      <w:pPr>
        <w:ind w:left="820" w:right="500" w:hanging="326"/>
        <w:spacing w:after="0" w:line="210" w:lineRule="auto"/>
        <w:tabs>
          <w:tab w:leader="none" w:pos="820" w:val="left"/>
        </w:tabs>
        <w:numPr>
          <w:ilvl w:val="0"/>
          <w:numId w:val="75"/>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December 31, 2015 and 2014 were $41 million and $44 million, respectively.</w:t>
      </w:r>
    </w:p>
    <w:p>
      <w:pPr>
        <w:sectPr>
          <w:pgSz w:w="11900" w:h="16838" w:orient="portrait"/>
          <w:cols w:equalWidth="0" w:num="1">
            <w:col w:w="11380"/>
          </w:cols>
          <w:pgMar w:left="240" w:top="108" w:right="27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108" w:right="27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2015, approximate $8.6 billion and many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financial statements.</w:t>
      </w:r>
    </w:p>
    <w:p>
      <w:pPr>
        <w:spacing w:after="0" w:line="15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During February 2014 and July 2014, Avis Budget Rental Car Funding issued approximately $675 million in asset-backed notes with an expected final payment date of July 2019 and $500 million in asset-backed notes with an expected final payment date of February 2020, respectively. During January 2015 and May 2015, Avis Budget Rental Car Funding issued approximately $650 million in asset-backed notes with an expected final payment date of July 2020 and approximately $550 million in asset-backed notes with an expected final payment date of December 2020,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 as of December 31, 2015 and 2014.</w:t>
      </w:r>
    </w:p>
    <w:p>
      <w:pPr>
        <w:spacing w:after="0" w:line="134" w:lineRule="exact"/>
        <w:rPr>
          <w:sz w:val="20"/>
          <w:szCs w:val="20"/>
          <w:color w:val="auto"/>
        </w:rPr>
      </w:pPr>
    </w:p>
    <w:p>
      <w:pPr>
        <w:ind w:left="500" w:right="100"/>
        <w:spacing w:after="0" w:line="258"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The Company finances the acquisition of vehicles used in its Canadian rental operations through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remote 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3% as of December 31, 2015 and 2014.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40"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the Company entered into a three-year, €500 million (approximately $687 million) European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program, which is used to finance fleet purchases for certain of the Company’s European operations. During 2015 and 2014, the Company increased its capacity under this program by €210 million (approximately $235 million) and €290 million (approximately $ 370 million), respectively, and extended the securitization’s maturity to 2017.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3% as of December 31, 2015 and 2014.</w:t>
      </w:r>
    </w:p>
    <w:p>
      <w:pPr>
        <w:spacing w:after="0" w:line="135" w:lineRule="exact"/>
        <w:rPr>
          <w:sz w:val="20"/>
          <w:szCs w:val="20"/>
          <w:color w:val="auto"/>
        </w:rPr>
      </w:pPr>
    </w:p>
    <w:p>
      <w:pPr>
        <w:ind w:left="500" w:right="520"/>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 obtained a portion of its International vehicles under capital lease arrangements.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2014, the weighted average interest rate on these borrowings was 2%. All capital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the contractual maturities of the Company’s debt under vehicle programs, including related party debt due to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Avis Budget Rental Car Funding, at December 31, 2015:</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780" w:type="dxa"/>
            <w:vAlign w:val="bottom"/>
          </w:tcPr>
          <w:p>
            <w:pPr>
              <w:ind w:left="20"/>
              <w:spacing w:after="0"/>
              <w:rPr>
                <w:sz w:val="20"/>
                <w:szCs w:val="20"/>
                <w:color w:val="auto"/>
              </w:rPr>
            </w:pPr>
            <w:r>
              <w:rPr>
                <w:rFonts w:ascii="Arial" w:cs="Arial" w:eastAsia="Arial" w:hAnsi="Arial"/>
                <w:sz w:val="18"/>
                <w:szCs w:val="18"/>
                <w:color w:val="auto"/>
              </w:rPr>
              <w:t>2016</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7"/>
        </w:trPr>
        <w:tc>
          <w:tcPr>
            <w:tcW w:w="8780" w:type="dxa"/>
            <w:vAlign w:val="bottom"/>
          </w:tcPr>
          <w:p>
            <w:pPr>
              <w:ind w:left="2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64"/>
        </w:trPr>
        <w:tc>
          <w:tcPr>
            <w:tcW w:w="878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50"/>
        </w:trPr>
        <w:tc>
          <w:tcPr>
            <w:tcW w:w="87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Vehicle backed debt maturing within one year primarily represents term asset-backed securities.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2015:</w:t>
      </w: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540" w:type="dxa"/>
            <w:vAlign w:val="bottom"/>
            <w:gridSpan w:val="3"/>
          </w:tcPr>
          <w:p>
            <w:pPr>
              <w:ind w:left="80"/>
              <w:spacing w:after="0" w:line="234" w:lineRule="exact"/>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21"/>
                <w:szCs w:val="21"/>
                <w:b w:val="1"/>
                <w:bCs w:val="1"/>
                <w:color w:val="auto"/>
                <w:vertAlign w:val="superscript"/>
              </w:rPr>
              <w:t>(a)</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Borrowings</w:t>
            </w:r>
          </w:p>
        </w:tc>
        <w:tc>
          <w:tcPr>
            <w:tcW w:w="240" w:type="dxa"/>
            <w:vAlign w:val="bottom"/>
          </w:tcPr>
          <w:p>
            <w:pPr>
              <w:spacing w:after="0"/>
              <w:rPr>
                <w:sz w:val="20"/>
                <w:szCs w:val="20"/>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8,892</w:t>
            </w:r>
          </w:p>
        </w:tc>
        <w:tc>
          <w:tcPr>
            <w:tcW w:w="10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6,837</w:t>
            </w:r>
          </w:p>
        </w:tc>
        <w:tc>
          <w:tcPr>
            <w:tcW w:w="100" w:type="dxa"/>
            <w:vAlign w:val="bottom"/>
          </w:tcPr>
          <w:p>
            <w:pPr>
              <w:spacing w:after="0"/>
              <w:rPr>
                <w:sz w:val="23"/>
                <w:szCs w:val="23"/>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75"/>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12,251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$8.4 billion of underlying vehicles and related assets.</w:t>
      </w:r>
    </w:p>
    <w:p>
      <w:pPr>
        <w:ind w:left="820" w:hanging="326"/>
        <w:spacing w:after="0" w:line="187"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$0.9 billion of underlying vehicles and related assets.</w:t>
      </w:r>
    </w:p>
    <w:p>
      <w:pPr>
        <w:ind w:left="820" w:hanging="326"/>
        <w:spacing w:after="0" w:line="187"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$1.5 billion of underlying vehicles and related assets.</w:t>
      </w:r>
    </w:p>
    <w:p>
      <w:pPr>
        <w:ind w:left="820" w:hanging="326"/>
        <w:spacing w:after="0" w:line="199"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$0.2 billion of underlying vehicles and related assets.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2015, the Company is not aware of any instances of non-compliance with any of the financial or restrictive covenants contained in the debt agreements under its vehicle-backed funding programs.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140"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8040" w:hanging="492"/>
        <w:spacing w:after="0" w:line="477" w:lineRule="auto"/>
        <w:tabs>
          <w:tab w:leader="none" w:pos="50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rFonts w:ascii="Arial" w:cs="Arial" w:eastAsia="Arial" w:hAnsi="Arial"/>
          <w:sz w:val="17"/>
          <w:szCs w:val="17"/>
          <w:b w:val="1"/>
          <w:bCs w:val="1"/>
          <w:color w:val="auto"/>
        </w:rPr>
      </w:pPr>
    </w:p>
    <w:p>
      <w:pPr>
        <w:ind w:left="500" w:right="12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various term lengths and prevailing market rate rents.</w:t>
      </w:r>
    </w:p>
    <w:p>
      <w:pPr>
        <w:spacing w:after="0" w:line="147" w:lineRule="exact"/>
        <w:rPr>
          <w:rFonts w:ascii="Arial" w:cs="Arial" w:eastAsia="Arial" w:hAnsi="Arial"/>
          <w:sz w:val="17"/>
          <w:szCs w:val="17"/>
          <w:b w:val="1"/>
          <w:bCs w:val="1"/>
          <w:color w:val="auto"/>
        </w:rPr>
      </w:pPr>
    </w:p>
    <w:p>
      <w:pPr>
        <w:ind w:left="500" w:right="6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2015, are as follows: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8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884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64"/>
        </w:trPr>
        <w:tc>
          <w:tcPr>
            <w:tcW w:w="88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50"/>
        </w:trPr>
        <w:tc>
          <w:tcPr>
            <w:tcW w:w="884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The future minimum lease payments in the above table have been reduced by minimum future sublease rental inflows in the aggregate of $4 million for all periods shown in the table.</w:t>
      </w:r>
    </w:p>
    <w:p>
      <w:pPr>
        <w:spacing w:after="0" w:line="142" w:lineRule="exact"/>
        <w:rPr>
          <w:sz w:val="20"/>
          <w:szCs w:val="20"/>
          <w:color w:val="auto"/>
        </w:rPr>
      </w:pPr>
    </w:p>
    <w:p>
      <w:pPr>
        <w:ind w:left="500" w:right="300"/>
        <w:spacing w:after="0" w:line="254" w:lineRule="auto"/>
        <w:rPr>
          <w:sz w:val="20"/>
          <w:szCs w:val="20"/>
          <w:color w:val="auto"/>
        </w:rPr>
      </w:pPr>
      <w:r>
        <w:rPr>
          <w:rFonts w:ascii="Arial" w:cs="Arial" w:eastAsia="Arial" w:hAnsi="Arial"/>
          <w:sz w:val="18"/>
          <w:szCs w:val="18"/>
          <w:color w:val="auto"/>
        </w:rPr>
        <w:t>The Company maintains concession agreements with various airport authorities that allow the Company to conduct its car rental operations on site. In general, concession fees for airport locations are based on a percentage of total commissionable revenue (as defined by each airport authority), subject to minimum annual guaranteed amounts. These concession fees, which are included in the Company’s total rent expense, were as follows for the years ended December 31:</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Rent expense (including minimum concession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Contingent concession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5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Less: sublease rental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Commitments under capital leases, other than those within the Company’s vehicle rental programs, for which the future minimum lease payments have been reflected in Note 13-Debt Under Vehicle Programs and Borrowing Arrangements, are not significant.</w:t>
      </w:r>
    </w:p>
    <w:p>
      <w:pPr>
        <w:spacing w:after="0" w:line="142" w:lineRule="exact"/>
        <w:rPr>
          <w:sz w:val="20"/>
          <w:szCs w:val="20"/>
          <w:color w:val="auto"/>
        </w:rPr>
      </w:pPr>
    </w:p>
    <w:p>
      <w:pPr>
        <w:ind w:left="500" w:right="300"/>
        <w:spacing w:after="0" w:line="254" w:lineRule="auto"/>
        <w:rPr>
          <w:sz w:val="20"/>
          <w:szCs w:val="20"/>
          <w:color w:val="auto"/>
        </w:rPr>
      </w:pPr>
      <w:r>
        <w:rPr>
          <w:rFonts w:ascii="Arial" w:cs="Arial" w:eastAsia="Arial" w:hAnsi="Arial"/>
          <w:sz w:val="18"/>
          <w:szCs w:val="18"/>
          <w:color w:val="auto"/>
        </w:rPr>
        <w:t>The Company leases a portion of its vehicles under operating leases, which extend through 2020. As of December 31, 2015, the Company has guaranteed up to $ 202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left="500" w:right="60"/>
        <w:spacing w:after="0" w:line="271" w:lineRule="auto"/>
        <w:rPr>
          <w:sz w:val="20"/>
          <w:szCs w:val="20"/>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40"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French airports, the majority of which are controlled by public administrative bodies or the French state, violated competition law through the distribution of company-specific statistics by airports to car rental companies operating at those airports; and (ii) two other international car rental companies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206"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$ 25 million as well as reimbursements to current and former customers of amounts collected and retained by the Company related to the alleged deceptive marketing practices. The Company believes that it has valid defenses and intends to vigorously defend against the allegations, but it is currently unable to predict the outcome of the proceedings or range of reasonably possible losses, which may be material.</w:t>
      </w:r>
    </w:p>
    <w:p>
      <w:pPr>
        <w:spacing w:after="0" w:line="207"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and Canadian competition matters discussed above, the Company estimates that the potential exposure resulting from adverse outcomes of legal proceedings in which it is reasonably possible that a loss may be incurred could, in the aggregate, be up to approximately $25 million in excess of amounts accrued as of December 31, 2015; however, the Company does not believe that the impact should result in a material liability to the Company in relation to its consolidated financial condition or results of operations.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$7.2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2015, the Company had approximately $160 million of purchase obligations, which extend through 2020.</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Concentrations of credit risk at December 31, 2015, include (i) risks related to the Company’s repurchase and guaranteed depreciation agreements with domestic and foreign car manufacturers, including Ford, General Motors, Chrysler, Peugeot, Volkswagen, Fiat, Kia, Toyota, Mercedes, Renault and Hyundai, and primarily with respect to receivables for program cars that have been disposed but for which the Company has not yet received payment from the manufacturers and (ii) risks related to Realogy and Wyndham, including receivables of $ 54 million and $33 million, respectively, related to certain contingent, income tax and other corporate liabilities assumed by Realogy and Wyndham in connection with their disposition.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jc w:val="both"/>
        <w:ind w:left="500" w:right="160"/>
        <w:spacing w:after="0" w:line="256" w:lineRule="auto"/>
        <w:rPr>
          <w:sz w:val="20"/>
          <w:szCs w:val="20"/>
          <w:color w:val="auto"/>
        </w:rPr>
      </w:pPr>
      <w:r>
        <w:rPr>
          <w:rFonts w:ascii="Arial" w:cs="Arial" w:eastAsia="Arial" w:hAnsi="Arial"/>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140"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00"/>
        <w:spacing w:after="0" w:line="262" w:lineRule="auto"/>
        <w:rPr>
          <w:sz w:val="20"/>
          <w:szCs w:val="20"/>
          <w:color w:val="auto"/>
        </w:rPr>
      </w:pPr>
      <w:r>
        <w:rPr>
          <w:rFonts w:ascii="Arial" w:cs="Arial" w:eastAsia="Arial" w:hAnsi="Arial"/>
          <w:sz w:val="18"/>
          <w:szCs w:val="18"/>
          <w:color w:val="auto"/>
        </w:rPr>
        <w:t>related to the removal of underground gasoline storage tanks at its rental facilities. Liabilities accrued for asset retirement obligations were $24 million and $25 million at December 31, 2015 and 2014,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ind w:left="500" w:right="60"/>
        <w:spacing w:after="0" w:line="265" w:lineRule="auto"/>
        <w:rPr>
          <w:sz w:val="20"/>
          <w:szCs w:val="20"/>
          <w:color w:val="auto"/>
        </w:rPr>
      </w:pPr>
      <w:r>
        <w:rPr>
          <w:rFonts w:ascii="Arial" w:cs="Arial" w:eastAsia="Arial" w:hAnsi="Arial"/>
          <w:sz w:val="17"/>
          <w:szCs w:val="17"/>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w:t>
      </w:r>
    </w:p>
    <w:p>
      <w:pPr>
        <w:spacing w:after="0" w:line="2"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85" w:lineRule="exact"/>
        <w:rPr>
          <w:sz w:val="20"/>
          <w:szCs w:val="20"/>
          <w:color w:val="auto"/>
        </w:rPr>
      </w:pPr>
    </w:p>
    <w:p>
      <w:pPr>
        <w:ind w:left="500" w:right="8780" w:hanging="492"/>
        <w:spacing w:after="0" w:line="477" w:lineRule="auto"/>
        <w:tabs>
          <w:tab w:leader="none" w:pos="50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spacing w:after="0" w:line="1" w:lineRule="exact"/>
        <w:rPr>
          <w:rFonts w:ascii="Arial" w:cs="Arial" w:eastAsia="Arial" w:hAnsi="Arial"/>
          <w:sz w:val="17"/>
          <w:szCs w:val="17"/>
          <w:b w:val="1"/>
          <w:bCs w:val="1"/>
          <w:color w:val="auto"/>
        </w:rPr>
      </w:pPr>
    </w:p>
    <w:p>
      <w:pPr>
        <w:ind w:left="500" w:right="6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During 2015, 2014 and 2013,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93" w:lineRule="exact"/>
        <w:rPr>
          <w:rFonts w:ascii="Arial" w:cs="Arial" w:eastAsia="Arial" w:hAnsi="Arial"/>
          <w:sz w:val="17"/>
          <w:szCs w:val="17"/>
          <w:b w:val="1"/>
          <w:bCs w:val="1"/>
          <w:color w:val="auto"/>
        </w:rPr>
      </w:pPr>
    </w:p>
    <w:p>
      <w:pPr>
        <w:ind w:left="500" w:right="20"/>
        <w:spacing w:after="0" w:line="253" w:lineRule="auto"/>
        <w:rPr>
          <w:rFonts w:ascii="Arial" w:cs="Arial" w:eastAsia="Arial" w:hAnsi="Arial"/>
          <w:sz w:val="17"/>
          <w:szCs w:val="17"/>
          <w:b w:val="1"/>
          <w:bCs w:val="1"/>
          <w:color w:val="auto"/>
        </w:rPr>
      </w:pPr>
      <w:r>
        <w:rPr>
          <w:rFonts w:ascii="Arial" w:cs="Arial" w:eastAsia="Arial" w:hAnsi="Arial"/>
          <w:sz w:val="18"/>
          <w:szCs w:val="18"/>
          <w:color w:val="262626"/>
        </w:rPr>
        <w:t xml:space="preserve">The Company’s Board of Directors has authorized the repurchase of up to $885 million of its common stock under a plan originally approved in 2013 and subsequently expanded in 2014 and 2015. </w:t>
      </w:r>
      <w:r>
        <w:rPr>
          <w:rFonts w:ascii="Arial" w:cs="Arial" w:eastAsia="Arial" w:hAnsi="Arial"/>
          <w:sz w:val="18"/>
          <w:szCs w:val="18"/>
          <w:color w:val="000000"/>
        </w:rPr>
        <w:t>During 2015, 2014 and 2013, the Company repurchased approximately</w:t>
      </w:r>
      <w:r>
        <w:rPr>
          <w:rFonts w:ascii="Arial" w:cs="Arial" w:eastAsia="Arial" w:hAnsi="Arial"/>
          <w:sz w:val="18"/>
          <w:szCs w:val="18"/>
          <w:color w:val="262626"/>
        </w:rPr>
        <w:t xml:space="preserve"> </w:t>
      </w:r>
      <w:r>
        <w:rPr>
          <w:rFonts w:ascii="Arial" w:cs="Arial" w:eastAsia="Arial" w:hAnsi="Arial"/>
          <w:sz w:val="18"/>
          <w:szCs w:val="18"/>
          <w:color w:val="000000"/>
        </w:rPr>
        <w:t>16.1 million shares of common stock at a cost of $745 million under the program. As of December 31, 2015, approximately $140 million of authorization remained available to repurchase common stock under this plan. In January 2016, the Board of Directors authorized a $300 million increase in the Company</w:t>
      </w:r>
      <w:r>
        <w:rPr>
          <w:rFonts w:ascii="Arial" w:cs="Arial" w:eastAsia="Arial" w:hAnsi="Arial"/>
          <w:sz w:val="18"/>
          <w:szCs w:val="18"/>
          <w:color w:val="262626"/>
        </w:rPr>
        <w:t>’</w:t>
      </w:r>
      <w:r>
        <w:rPr>
          <w:rFonts w:ascii="Arial" w:cs="Arial" w:eastAsia="Arial" w:hAnsi="Arial"/>
          <w:sz w:val="18"/>
          <w:szCs w:val="18"/>
          <w:color w:val="000000"/>
        </w:rPr>
        <w:t>s share repurchase program.</w:t>
      </w:r>
    </w:p>
    <w:p>
      <w:pPr>
        <w:spacing w:after="0" w:line="12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Convertible Note Hedge and Warrants</w:t>
      </w:r>
    </w:p>
    <w:p>
      <w:pPr>
        <w:spacing w:after="0" w:line="193" w:lineRule="exact"/>
        <w:rPr>
          <w:rFonts w:ascii="Arial" w:cs="Arial" w:eastAsia="Arial" w:hAnsi="Arial"/>
          <w:sz w:val="17"/>
          <w:szCs w:val="17"/>
          <w:b w:val="1"/>
          <w:bCs w:val="1"/>
          <w:color w:val="auto"/>
        </w:rPr>
      </w:pP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October 2009, the Company issued 3½% Convertible Senior Notes due October 2014. Concurrent with the issuance of the Convertible Notes, the Company purchased a convertible note hedge for approximately $95 million, to potentially reduce the net number of shares required to be issued upon conversion of the Convertible Notes, and issued warrants for approximately $62 million to offset the cost of the convertible note hedge.</w:t>
      </w:r>
    </w:p>
    <w:p>
      <w:pPr>
        <w:spacing w:after="0" w:line="150" w:lineRule="exact"/>
        <w:rPr>
          <w:rFonts w:ascii="Arial" w:cs="Arial" w:eastAsia="Arial" w:hAnsi="Arial"/>
          <w:sz w:val="17"/>
          <w:szCs w:val="17"/>
          <w:b w:val="1"/>
          <w:bCs w:val="1"/>
          <w:color w:val="auto"/>
        </w:rPr>
      </w:pPr>
    </w:p>
    <w:p>
      <w:pPr>
        <w:ind w:left="500" w:right="2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The convertible note hedge and warrants, which were to be net-share settled, initially covered the purchase and issuance, respectively, of approximately 21.2 million shares of common stock, subject to customary anti-dilution provisions. The initial strike price per share of the convertible note hedge and warrants was $16.25 and $22.50, respectively. The convertible note hedge was exercisable before expiration only to the extent that corresponding amounts of the Convertible Notes were exercised. The convertible note hedge and warrant transactions were accounted for as capital transactions and included as a component of stockholders’ equity.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In October 2014, the $66 million of outstanding Convertible Notes converted into approximately 4.0 million shares of the Company’s common stock at the initial conversion rate of 61.5385 shares of common stock per $1,000 principal amount.</w:t>
      </w:r>
    </w:p>
    <w:p>
      <w:pPr>
        <w:spacing w:after="0" w:line="14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During 2013, along with the Company’s repurchase of a portion of its Convertible Notes, the Company repurchased warrants for the purchase of the Company’s common stock for $37 million and sold an equal portion of its convertible note hedge for $ 50 million, reducing the number of shares related to each of the hedge and warrant by approximately 13 million. In addition, the Company unwound the remaining outstanding convertible note hedge and warrants, repurchasing warrants for the purchase of the Company’s common stock for $41 million, and settling its convertible note hedge for proceeds of $54 million and 179,000 shares of the Company’s common stock valued at $7 million.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2013</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2013</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2014</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Minimum Pension</w:t>
            </w:r>
          </w:p>
        </w:tc>
        <w:tc>
          <w:tcPr>
            <w:tcW w:w="12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10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Currency Translation</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Liability</w:t>
            </w:r>
          </w:p>
        </w:tc>
        <w:tc>
          <w:tcPr>
            <w:tcW w:w="120" w:type="dxa"/>
            <w:vAlign w:val="bottom"/>
          </w:tcPr>
          <w:p>
            <w:pPr>
              <w:spacing w:after="0"/>
              <w:rPr>
                <w:sz w:val="11"/>
                <w:szCs w:val="11"/>
                <w:color w:val="auto"/>
              </w:rPr>
            </w:pPr>
          </w:p>
        </w:tc>
        <w:tc>
          <w:tcPr>
            <w:tcW w:w="13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 xml:space="preserve">Cash Flow Hedges </w:t>
            </w:r>
            <w:r>
              <w:rPr>
                <w:rFonts w:ascii="Arial" w:cs="Arial" w:eastAsia="Arial" w:hAnsi="Arial"/>
                <w:sz w:val="8"/>
                <w:szCs w:val="8"/>
                <w:b w:val="1"/>
                <w:bCs w:val="1"/>
                <w:color w:val="auto"/>
                <w:w w:val="97"/>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For-Sale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rPr>
              <w:t xml:space="preserve">Adjustment </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r>
      <w:tr>
        <w:trPr>
          <w:trHeight w:val="25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304"/>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7</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r>
      <w:tr>
        <w:trPr>
          <w:trHeight w:val="304"/>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r>
      <w:tr>
        <w:trPr>
          <w:trHeight w:val="237"/>
        </w:trPr>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(147)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3060" w:space="120"/>
            <w:col w:w="8240"/>
          </w:cols>
          <w:pgMar w:left="240" w:top="140" w:right="2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$69 million gain, net of tax, related to the Company’s hedge of its investment in Euro-denominated foreign operations (See Note 18-Financial Instruments).</w:t>
      </w:r>
    </w:p>
    <w:p>
      <w:pPr>
        <w:spacing w:after="0" w:line="5" w:lineRule="exact"/>
        <w:rPr>
          <w:sz w:val="20"/>
          <w:szCs w:val="20"/>
          <w:color w:val="auto"/>
        </w:rPr>
      </w:pPr>
    </w:p>
    <w:p>
      <w:pPr>
        <w:ind w:left="820" w:right="140" w:hanging="326"/>
        <w:spacing w:after="0" w:line="220" w:lineRule="auto"/>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2015 and 2014, amounts reclassified from accumulated other comprehensive income (loss) into interest expense were $7 million ($4 million, net of tax) and $8 million ($5 million, net of tax), respectively. For the year ended December 31, 2015, the amount reclassified from accumulated comprehensive income (loss) into vehicle interest expense was $1 million ($1 million, net of tax).</w:t>
      </w:r>
    </w:p>
    <w:p>
      <w:pPr>
        <w:spacing w:after="0" w:line="1" w:lineRule="exact"/>
        <w:rPr>
          <w:rFonts w:ascii="Arial" w:cs="Arial" w:eastAsia="Arial" w:hAnsi="Arial"/>
          <w:sz w:val="18"/>
          <w:szCs w:val="18"/>
          <w:color w:val="auto"/>
          <w:vertAlign w:val="superscript"/>
        </w:rPr>
      </w:pPr>
    </w:p>
    <w:p>
      <w:pPr>
        <w:ind w:left="820" w:right="500" w:hanging="326"/>
        <w:spacing w:after="0" w:line="225" w:lineRule="auto"/>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2015, 2014 and 2013, amounts reclassified from accumulated other comprehensive income (loss) into selling, general and administrative expenses and operating expenses were $5 million ($3 million, net of tax), $3 million ($2 million, net of tax) and $15 million ($9 million, net of tax), respectively.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Agreement with Shareholder</w:t>
      </w:r>
    </w:p>
    <w:p>
      <w:pPr>
        <w:spacing w:after="0" w:line="247"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In January 2016, the Company entered into an agreement with SRS Investment Management LLC and certain of its affiliates pursuant to which the Company increased the size of its Board to twelve directors and appointed an SRS investment professional to the Board. The Company has also agreed to increase the size of its Board by one additional director and to appoint a reasonably acceptable independent director recommended by SRS. The Company will include the SRS investment professional and the additional director recommended by SRS in its slate of nominees for election as directors at the Company’s 2016 annual meeting of stockholders. The SRS investment professional will be appointed to the Compensation Committee of the Board.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18.5 million, with approximately 4.9 million shares available as of December 31, 2015. The Company typically settles stock-based awards with treasury shares.</w:t>
      </w:r>
    </w:p>
    <w:p>
      <w:pPr>
        <w:spacing w:after="0" w:line="15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Unit Awards</w:t>
      </w:r>
    </w:p>
    <w:p>
      <w:pPr>
        <w:spacing w:after="0" w:line="193"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time-based restricted cash units is based on the Company’s stock price on the grant date. Market-vesting restricted cash units generally vest depending on the level of relative total shareholder return achieved by the Company during the period prior to scheduled vesting. Settlement of restricted cash units is based on the Company’s average closing stock price over a specified number of trading days and the value of these awards varies based on changes in the Company’s stock price.</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Unit Awards</w:t>
      </w:r>
    </w:p>
    <w:p>
      <w:pPr>
        <w:spacing w:after="0" w:line="193"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Stock unit awards entitle the holder to receive shares of common stock upon vesting on a one-to-one basis. Performance-based RSUs principally vest based upon the level of performance attained, but vesting can increase by up to 20% if certain relative total shareholder return goals are achieved. Market-based RSUs generally vest based on the level of total shareholder return or absolute stock price attainment.</w:t>
      </w:r>
    </w:p>
    <w:p>
      <w:pPr>
        <w:spacing w:after="0" w:line="150" w:lineRule="exact"/>
        <w:rPr>
          <w:rFonts w:ascii="Arial" w:cs="Arial" w:eastAsia="Arial" w:hAnsi="Arial"/>
          <w:sz w:val="18"/>
          <w:szCs w:val="18"/>
          <w:b w:val="1"/>
          <w:bCs w:val="1"/>
          <w:color w:val="auto"/>
        </w:rPr>
      </w:pPr>
    </w:p>
    <w:p>
      <w:pPr>
        <w:ind w:left="50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grant date fair value of the performance-based RSUs incorporates the total shareholder return metric, which is estimated using a Monte Carlo simulation model to estimate the Company’s ranking relative to an applicable stock index. The weighted average assumptions used in the Monte Carlo simulation model to calculate the fair value of the Company’s stock unit awards are outlined in the table below.</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7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r>
      <w:tr>
        <w:trPr>
          <w:trHeight w:val="237"/>
        </w:trPr>
        <w:tc>
          <w:tcPr>
            <w:tcW w:w="576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0.39%</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Valuation period</w:t>
            </w:r>
          </w:p>
        </w:tc>
        <w:tc>
          <w:tcPr>
            <w:tcW w:w="154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440" w:type="dxa"/>
            <w:vAlign w:val="bottom"/>
          </w:tcPr>
          <w:p>
            <w:pPr>
              <w:ind w:left="460"/>
              <w:spacing w:after="0"/>
              <w:rPr>
                <w:sz w:val="20"/>
                <w:szCs w:val="20"/>
                <w:color w:val="auto"/>
              </w:rPr>
            </w:pPr>
            <w:r>
              <w:rPr>
                <w:rFonts w:ascii="Arial" w:cs="Arial" w:eastAsia="Arial" w:hAnsi="Arial"/>
                <w:sz w:val="16"/>
                <w:szCs w:val="16"/>
                <w:color w:val="auto"/>
              </w:rPr>
              <w:t>3 years</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Dividend yield</w:t>
            </w: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and cash units,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350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 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r>
      <w:tr>
        <w:trPr>
          <w:trHeight w:val="198"/>
        </w:trPr>
        <w:tc>
          <w:tcPr>
            <w:tcW w:w="3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r>
      <w:tr>
        <w:trPr>
          <w:trHeight w:val="228"/>
        </w:trPr>
        <w:tc>
          <w:tcPr>
            <w:tcW w:w="35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Outstanding at January 1, 2015</w:t>
            </w:r>
          </w:p>
        </w:tc>
        <w:tc>
          <w:tcPr>
            <w:tcW w:w="1020" w:type="dxa"/>
            <w:vAlign w:val="bottom"/>
          </w:tcPr>
          <w:p>
            <w:pPr>
              <w:jc w:val="right"/>
              <w:spacing w:after="0"/>
              <w:rPr>
                <w:sz w:val="20"/>
                <w:szCs w:val="20"/>
                <w:color w:val="auto"/>
              </w:rPr>
            </w:pPr>
            <w:r>
              <w:rPr>
                <w:rFonts w:ascii="Arial" w:cs="Arial" w:eastAsia="Arial" w:hAnsi="Arial"/>
                <w:sz w:val="16"/>
                <w:szCs w:val="16"/>
                <w:color w:val="auto"/>
              </w:rPr>
              <w:t>998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313"/>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54.70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5"/>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r>
      <w:tr>
        <w:trPr>
          <w:trHeight w:val="235"/>
        </w:trPr>
        <w:tc>
          <w:tcPr>
            <w:tcW w:w="3500" w:type="dxa"/>
            <w:vAlign w:val="bottom"/>
          </w:tcPr>
          <w:p>
            <w:pPr>
              <w:ind w:left="22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41.07</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500" w:type="dxa"/>
            <w:vAlign w:val="bottom"/>
          </w:tcPr>
          <w:p>
            <w:pPr>
              <w:spacing w:after="0"/>
              <w:rPr>
                <w:sz w:val="20"/>
                <w:szCs w:val="20"/>
                <w:color w:val="auto"/>
              </w:rPr>
            </w:pPr>
            <w:r>
              <w:rPr>
                <w:rFonts w:ascii="Arial" w:cs="Arial" w:eastAsia="Arial" w:hAnsi="Arial"/>
                <w:sz w:val="16"/>
                <w:szCs w:val="16"/>
                <w:color w:val="auto"/>
              </w:rPr>
              <w:t xml:space="preserve">Outstanding at December 31, 2015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right="260" w:hanging="326"/>
        <w:spacing w:after="0" w:line="225"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2014 was $42.05 and $42.03, respectively, and the weighted-average fair value of time-based RSUs, performance-based and market-based RSUs, and cash units granted in 2013 was $21.77, $20.04 and $18.04, respectively.</w:t>
      </w:r>
    </w:p>
    <w:p>
      <w:pPr>
        <w:spacing w:after="0" w:line="1" w:lineRule="exact"/>
        <w:rPr>
          <w:rFonts w:ascii="Arial" w:cs="Arial" w:eastAsia="Arial" w:hAnsi="Arial"/>
          <w:sz w:val="18"/>
          <w:szCs w:val="18"/>
          <w:color w:val="auto"/>
          <w:vertAlign w:val="superscript"/>
        </w:rPr>
      </w:pPr>
    </w:p>
    <w:p>
      <w:pPr>
        <w:ind w:left="820" w:right="100" w:hanging="326"/>
        <w:spacing w:after="0" w:line="218"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2015, 2014 and 2013 was $25 million, $15 million and $13 million, respectively. The total grant date fair value of cash units vested during the year ended December 31, 2015 was $2 million.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40"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820" w:hanging="326"/>
        <w:spacing w:after="0"/>
        <w:tabs>
          <w:tab w:leader="none" w:pos="8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$30 million, $34 million and $4 million, respectively. Aggregate unrecognized compensation expense related to time-based RSUs and performance-based and market-based RSUs amounted to $32 million and will be recognized over a weighted average vesting period of 0.8 years. The Company assumes that substantially all outstanding awards will vest over time.</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annual stock option activity consisted of (in thousands of shares):</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Outstanding at January 1, 2015</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Forfeited/expired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Outstanding and exercisable at December 31, 2015 </w:t>
      </w:r>
      <w:r>
        <w:rPr>
          <w:rFonts w:ascii="Arial" w:cs="Arial" w:eastAsia="Arial" w:hAnsi="Arial"/>
          <w:sz w:val="21"/>
          <w:szCs w:val="21"/>
          <w:color w:val="auto"/>
          <w:vertAlign w:val="superscript"/>
        </w:rPr>
        <w:t>(c)</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132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6" w:lineRule="exact"/>
        <w:rPr>
          <w:sz w:val="20"/>
          <w:szCs w:val="20"/>
          <w:color w:val="auto"/>
        </w:rPr>
      </w:pPr>
    </w:p>
    <w:p>
      <w:pPr>
        <w:sectPr>
          <w:pgSz w:w="11900" w:h="16838" w:orient="portrait"/>
          <w:cols w:equalWidth="0" w:num="2">
            <w:col w:w="4420" w:space="720"/>
            <w:col w:w="6240"/>
          </w:cols>
          <w:pgMar w:left="240" w:top="140" w:right="279" w:bottom="1440" w:gutter="0" w:footer="0" w:header="0"/>
          <w:type w:val="continuous"/>
        </w:sectPr>
      </w:pPr>
    </w:p>
    <w:p>
      <w:pPr>
        <w:ind w:left="820" w:hanging="326"/>
        <w:spacing w:after="0" w:line="193"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No stock options were granted during 2014 or 2013.</w:t>
      </w:r>
    </w:p>
    <w:p>
      <w:pPr>
        <w:ind w:left="820" w:right="100" w:hanging="326"/>
        <w:spacing w:after="0" w:line="211"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2014 and 2013 had intrinsic values of $6 million and $23 million, respectively, and the cash received from the exercise of options was insignificant in 2015 and 2014 and $3 million in 2013.</w:t>
      </w:r>
    </w:p>
    <w:p>
      <w:pPr>
        <w:ind w:left="820" w:hanging="326"/>
        <w:spacing w:after="0" w:line="199"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Company assumes that substantially all outstanding stock options will vest over time.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jc w:val="both"/>
        <w:ind w:left="500" w:right="140"/>
        <w:spacing w:after="0" w:line="256" w:lineRule="auto"/>
        <w:rPr>
          <w:sz w:val="20"/>
          <w:szCs w:val="20"/>
          <w:color w:val="auto"/>
        </w:rPr>
      </w:pPr>
      <w:r>
        <w:rPr>
          <w:rFonts w:ascii="Arial" w:cs="Arial" w:eastAsia="Arial" w:hAnsi="Arial"/>
          <w:sz w:val="18"/>
          <w:szCs w:val="18"/>
          <w:color w:val="auto"/>
        </w:rPr>
        <w:t>The Company grants stock awards on a quarterly basis to non-employee directors representing between 50% and 100% of a director’s annual compensation and such awards can be deferred under the Non-employee Directors Deferred Compensation Plan. During 2015, 2014 and 2013, the Company granted 22,000, 20,000 and 33,000 awards, respectively, to non-employee directors.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left="500" w:right="400"/>
        <w:spacing w:after="0" w:line="262" w:lineRule="auto"/>
        <w:rPr>
          <w:sz w:val="20"/>
          <w:szCs w:val="20"/>
          <w:color w:val="auto"/>
        </w:rPr>
      </w:pPr>
      <w:r>
        <w:rPr>
          <w:rFonts w:ascii="Arial" w:cs="Arial" w:eastAsia="Arial" w:hAnsi="Arial"/>
          <w:sz w:val="18"/>
          <w:szCs w:val="18"/>
          <w:color w:val="auto"/>
        </w:rPr>
        <w:t>The Company is authorized to sell shares of its common stock to eligible employees at 95% of fair market value. This plan has been deemed to be non-compensatory and therefore, no compensation expense has been recognized.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During 2015, 2014 and 2013, the Company recorded stock-based compensation expense of $26 million ($17 million, net of tax), $34 million ($21 million, net of tax) and $24 million ($14 million, net of tax), respectively. In jurisdictions with net operating loss carryforwards, exercises and/or vestings of stock-based awards have generated $140 million of total tax deductions at December 31, 2015. Approximately $55 million of tax benefits will be recorded in additional paid-in capital when these tax deductions are realized in these jurisdictions.</w:t>
      </w:r>
    </w:p>
    <w:p>
      <w:pPr>
        <w:spacing w:after="0" w:line="184"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93" w:lineRule="exact"/>
        <w:rPr>
          <w:rFonts w:ascii="Arial" w:cs="Arial" w:eastAsia="Arial" w:hAnsi="Arial"/>
          <w:sz w:val="18"/>
          <w:szCs w:val="18"/>
          <w:b w:val="1"/>
          <w:bCs w:val="1"/>
          <w:color w:val="auto"/>
        </w:rPr>
      </w:pPr>
    </w:p>
    <w:p>
      <w:pPr>
        <w:ind w:left="500" w:right="3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$32 million, $34 million and $39 million during 2015, 2014 and 2013, respectively.</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Benefit Pension Plans</w:t>
      </w:r>
    </w:p>
    <w:p>
      <w:pPr>
        <w:spacing w:after="0" w:line="193" w:lineRule="exact"/>
        <w:rPr>
          <w:rFonts w:ascii="Arial" w:cs="Arial" w:eastAsia="Arial" w:hAnsi="Arial"/>
          <w:sz w:val="18"/>
          <w:szCs w:val="18"/>
          <w:b w:val="1"/>
          <w:bCs w:val="1"/>
          <w:color w:val="auto"/>
        </w:rPr>
      </w:pPr>
    </w:p>
    <w:p>
      <w:pPr>
        <w:ind w:left="500" w:right="2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sponsors defined benefit pension plans in the United States and in certain foreign subsidiaries with some plans offering participation in the plans at the employees’ option. Under these plans,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140" w:right="27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benefits are based on an employee’s years of credited service and a percentage of final average compensation. However, the majority of the plans are closed to new employees and participants are no longer accruing benefits.</w:t>
      </w:r>
    </w:p>
    <w:p>
      <w:pPr>
        <w:spacing w:after="0" w:line="142" w:lineRule="exact"/>
        <w:rPr>
          <w:sz w:val="20"/>
          <w:szCs w:val="20"/>
          <w:color w:val="auto"/>
        </w:rPr>
      </w:pPr>
    </w:p>
    <w:p>
      <w:pPr>
        <w:ind w:left="500" w:right="200"/>
        <w:spacing w:after="0" w:line="256"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income (loss), net of tax.</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The components of net periodic benefit cost consisted of the following:</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6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6020" w:type="dxa"/>
            <w:vAlign w:val="bottom"/>
          </w:tcPr>
          <w:p>
            <w:pPr>
              <w:ind w:left="20"/>
              <w:spacing w:after="0"/>
              <w:rPr>
                <w:sz w:val="20"/>
                <w:szCs w:val="20"/>
                <w:color w:val="auto"/>
              </w:rPr>
            </w:pPr>
            <w:r>
              <w:rPr>
                <w:rFonts w:ascii="Arial" w:cs="Arial" w:eastAsia="Arial" w:hAnsi="Arial"/>
                <w:sz w:val="18"/>
                <w:szCs w:val="18"/>
                <w:color w:val="auto"/>
              </w:rPr>
              <w:t>Amortization of unrecognized amounts</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estimated amount that will be amortized from accumulated other comprehensive income (loss) into net periodic benefit cost in 2016 is $6 million, which consists of $5 million for net actuarial loss and $1 million for prior service cost.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Benefit Obligation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Plan amendments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current year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Plan Assets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current year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Funded Status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Classification of net balance sheet assets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funded status</w:t>
      </w:r>
    </w:p>
    <w:p>
      <w:pPr>
        <w:spacing w:after="0" w:line="293"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5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756"/>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bl>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9" w:lineRule="exact"/>
        <w:rPr>
          <w:sz w:val="20"/>
          <w:szCs w:val="20"/>
          <w:color w:val="auto"/>
        </w:rPr>
      </w:pPr>
    </w:p>
    <w:p>
      <w:pPr>
        <w:ind w:left="40"/>
        <w:spacing w:after="0"/>
        <w:tabs>
          <w:tab w:leader="none" w:pos="1060" w:val="left"/>
          <w:tab w:leader="none" w:pos="1480" w:val="left"/>
          <w:tab w:leader="none" w:pos="2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w:t>
        <w:tab/>
        <w:t>$</w:t>
      </w:r>
      <w:r>
        <w:rPr>
          <w:sz w:val="20"/>
          <w:szCs w:val="20"/>
          <w:color w:val="auto"/>
        </w:rPr>
        <w:tab/>
      </w:r>
      <w:r>
        <w:rPr>
          <w:rFonts w:ascii="Arial" w:cs="Arial" w:eastAsia="Arial" w:hAnsi="Arial"/>
          <w:sz w:val="17"/>
          <w:szCs w:val="17"/>
          <w:color w:val="auto"/>
        </w:rPr>
        <w:t>15</w:t>
      </w:r>
    </w:p>
    <w:p>
      <w:pPr>
        <w:spacing w:after="0" w:line="63" w:lineRule="exact"/>
        <w:rPr>
          <w:sz w:val="20"/>
          <w:szCs w:val="20"/>
          <w:color w:val="auto"/>
        </w:rPr>
      </w:pPr>
    </w:p>
    <w:p>
      <w:pPr>
        <w:ind w:left="2600" w:hanging="1481"/>
        <w:spacing w:after="0"/>
        <w:tabs>
          <w:tab w:leader="none" w:pos="2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w:t>
      </w:r>
    </w:p>
    <w:p>
      <w:pPr>
        <w:spacing w:after="0" w:line="63" w:lineRule="exact"/>
        <w:rPr>
          <w:sz w:val="20"/>
          <w:szCs w:val="20"/>
          <w:color w:val="auto"/>
        </w:rPr>
      </w:pPr>
    </w:p>
    <w:p>
      <w:pPr>
        <w:ind w:left="2400" w:hanging="1481"/>
        <w:spacing w:after="0"/>
        <w:tabs>
          <w:tab w:leader="none" w:pos="2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00" w:val="left"/>
          <w:tab w:leader="none" w:pos="148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w:t>
        <w:tab/>
        <w:t>$</w:t>
      </w:r>
      <w:r>
        <w:rPr>
          <w:sz w:val="20"/>
          <w:szCs w:val="20"/>
          <w:color w:val="auto"/>
        </w:rPr>
        <w:tab/>
      </w: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2">
            <w:col w:w="7260" w:space="720"/>
            <w:col w:w="3380"/>
          </w:cols>
          <w:pgMar w:left="240" w:top="140" w:right="2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 Company’s employees participated:</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47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For the Year Ended December 31,</w:t>
            </w:r>
          </w:p>
        </w:tc>
      </w:tr>
      <w:tr>
        <w:trPr>
          <w:trHeight w:val="257"/>
        </w:trPr>
        <w:tc>
          <w:tcPr>
            <w:tcW w:w="558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8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4"/>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820" w:type="dxa"/>
            <w:vAlign w:val="bottom"/>
          </w:tcPr>
          <w:p>
            <w:pPr>
              <w:ind w:left="960"/>
              <w:spacing w:after="0"/>
              <w:rPr>
                <w:sz w:val="20"/>
                <w:szCs w:val="20"/>
                <w:color w:val="auto"/>
              </w:rPr>
            </w:pPr>
            <w:r>
              <w:rPr>
                <w:rFonts w:ascii="Arial" w:cs="Arial" w:eastAsia="Arial" w:hAnsi="Arial"/>
                <w:sz w:val="18"/>
                <w:szCs w:val="18"/>
                <w:color w:val="auto"/>
              </w:rPr>
              <w:t>4.00%</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4.75%</w:t>
            </w: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820" w:type="dxa"/>
            <w:vAlign w:val="bottom"/>
          </w:tcPr>
          <w:p>
            <w:pPr>
              <w:ind w:left="960"/>
              <w:spacing w:after="0"/>
              <w:rPr>
                <w:sz w:val="20"/>
                <w:szCs w:val="20"/>
                <w:color w:val="auto"/>
              </w:rPr>
            </w:pPr>
            <w:r>
              <w:rPr>
                <w:rFonts w:ascii="Arial" w:cs="Arial" w:eastAsia="Arial" w:hAnsi="Arial"/>
                <w:sz w:val="18"/>
                <w:szCs w:val="18"/>
                <w:color w:val="auto"/>
              </w:rPr>
              <w:t>4.40%</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3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820" w:type="dxa"/>
            <w:vAlign w:val="bottom"/>
          </w:tcPr>
          <w:p>
            <w:pPr>
              <w:ind w:left="960"/>
              <w:spacing w:after="0"/>
              <w:rPr>
                <w:sz w:val="20"/>
                <w:szCs w:val="20"/>
                <w:color w:val="auto"/>
              </w:rPr>
            </w:pPr>
            <w:r>
              <w:rPr>
                <w:rFonts w:ascii="Arial" w:cs="Arial" w:eastAsia="Arial" w:hAnsi="Arial"/>
                <w:sz w:val="18"/>
                <w:szCs w:val="18"/>
                <w:color w:val="auto"/>
              </w:rPr>
              <w:t>7.25%</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540"/>
        </w:trPr>
        <w:tc>
          <w:tcPr>
            <w:tcW w:w="558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8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4"/>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820" w:type="dxa"/>
            <w:vAlign w:val="bottom"/>
          </w:tcPr>
          <w:p>
            <w:pPr>
              <w:ind w:left="960"/>
              <w:spacing w:after="0"/>
              <w:rPr>
                <w:sz w:val="20"/>
                <w:szCs w:val="20"/>
                <w:color w:val="auto"/>
              </w:rPr>
            </w:pPr>
            <w:r>
              <w:rPr>
                <w:rFonts w:ascii="Arial" w:cs="Arial" w:eastAsia="Arial" w:hAnsi="Arial"/>
                <w:sz w:val="18"/>
                <w:szCs w:val="18"/>
                <w:color w:val="auto"/>
              </w:rPr>
              <w:t>3.30%</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4.50%</w:t>
            </w:r>
          </w:p>
        </w:tc>
        <w:tc>
          <w:tcPr>
            <w:tcW w:w="13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820" w:type="dxa"/>
            <w:vAlign w:val="bottom"/>
          </w:tcPr>
          <w:p>
            <w:pPr>
              <w:ind w:left="960"/>
              <w:spacing w:after="0"/>
              <w:rPr>
                <w:sz w:val="20"/>
                <w:szCs w:val="20"/>
                <w:color w:val="auto"/>
              </w:rPr>
            </w:pPr>
            <w:r>
              <w:rPr>
                <w:rFonts w:ascii="Arial" w:cs="Arial" w:eastAsia="Arial" w:hAnsi="Arial"/>
                <w:sz w:val="18"/>
                <w:szCs w:val="18"/>
                <w:color w:val="auto"/>
              </w:rPr>
              <w:t>3.45%</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3.30%</w:t>
            </w:r>
          </w:p>
        </w:tc>
        <w:tc>
          <w:tcPr>
            <w:tcW w:w="13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820" w:type="dxa"/>
            <w:vAlign w:val="bottom"/>
          </w:tcPr>
          <w:p>
            <w:pPr>
              <w:ind w:left="960"/>
              <w:spacing w:after="0"/>
              <w:rPr>
                <w:sz w:val="20"/>
                <w:szCs w:val="20"/>
                <w:color w:val="auto"/>
              </w:rPr>
            </w:pPr>
            <w:r>
              <w:rPr>
                <w:rFonts w:ascii="Arial" w:cs="Arial" w:eastAsia="Arial" w:hAnsi="Arial"/>
                <w:sz w:val="18"/>
                <w:szCs w:val="18"/>
                <w:color w:val="auto"/>
              </w:rPr>
              <w:t>4.65%</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5.30%</w:t>
            </w:r>
          </w:p>
        </w:tc>
        <w:tc>
          <w:tcPr>
            <w:tcW w:w="130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17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48" w:lineRule="exact"/>
        <w:rPr>
          <w:sz w:val="20"/>
          <w:szCs w:val="20"/>
          <w:color w:val="auto"/>
        </w:rPr>
      </w:pPr>
    </w:p>
    <w:p>
      <w:pPr>
        <w:jc w:val="both"/>
        <w:ind w:left="500" w:right="140"/>
        <w:spacing w:after="0" w:line="256" w:lineRule="auto"/>
        <w:rPr>
          <w:sz w:val="20"/>
          <w:szCs w:val="20"/>
          <w:color w:val="auto"/>
        </w:rPr>
      </w:pPr>
      <w:r>
        <w:rPr>
          <w:rFonts w:ascii="Arial" w:cs="Arial" w:eastAsia="Arial" w:hAnsi="Arial"/>
          <w:sz w:val="18"/>
          <w:szCs w:val="18"/>
          <w:color w:val="auto"/>
        </w:rPr>
        <w:t>The Company’s expected rate of return on plan assets of 7.25% and 4.65% for the U.S. plans and non-U.S. plans, respectively, used to determine pension obligations and pension costs, is a long-term rate based on historic plan asset returns in individual jurisdictions, over varying long-term periods combined with current market expectations and broad asset mix considerations.</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As of December 31, 2015, plans with benefit obligations in excess of plan assets had accumulated benefit obligations of $386 million and plan assets of $228 million. As of December 31, 2014, plans with benefit obligations in excess of plan assets had accumulated benefit obligations of $421 million and plan assets of $243 million. The accumulated benefit obligation for all plans was $646 million and $703 million as of December 31, 2015 and 2014, respectively. The Company expects to contribute approximately $2 million to the U.S. plans and $8 million to the non-U.S. plans in 2016.</w:t>
      </w:r>
    </w:p>
    <w:p>
      <w:pPr>
        <w:spacing w:after="0" w:line="152"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the Company or Company-appointed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(government issued securities, corporate bonds and short-term cash investments) and other investment strategies.</w:t>
      </w:r>
    </w:p>
    <w:p>
      <w:pPr>
        <w:spacing w:after="0" w:line="15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45%-65% of the plans’ assets.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40"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35%-55% of the plans’ assets.</w:t>
      </w:r>
    </w:p>
    <w:p>
      <w:pPr>
        <w:spacing w:after="0" w:line="150"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The Company used significant observable inputs (Level 2) to determine the fair value of the defined benefit pension plans’ assets. See Note 2-Summary of Significant Accounting Policies for the Company’s methodology used to measure fair value.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 as of December 31:</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68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Cash equivalents and short term investments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U.S. equities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Foreign equities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Government bonds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7"/>
        </w:trPr>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76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Company estimates that future benefit payments from plan assets will be $23 million, $23 million, $25 million, $28 million, $28 million and $156 million for 2016, 2017, 2018, 2019, 2020 and 2021 to 2025,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w:t>
      </w:r>
    </w:p>
    <w:p>
      <w:pPr>
        <w:spacing w:after="0" w:line="1"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2015, 2014 and 2013, the Company contributed a total of $9 million, $9 million and $8 million, respectively, to multiemployer plans.</w:t>
      </w:r>
    </w:p>
    <w:p>
      <w:pPr>
        <w:spacing w:after="0" w:line="186" w:lineRule="exact"/>
        <w:rPr>
          <w:sz w:val="20"/>
          <w:szCs w:val="20"/>
          <w:color w:val="auto"/>
        </w:rPr>
      </w:pPr>
    </w:p>
    <w:p>
      <w:pPr>
        <w:ind w:left="500" w:right="9060" w:hanging="492"/>
        <w:spacing w:after="0" w:line="466" w:lineRule="auto"/>
        <w:tabs>
          <w:tab w:leader="none" w:pos="50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spacing w:after="0" w:line="1" w:lineRule="exact"/>
        <w:rPr>
          <w:rFonts w:ascii="Arial" w:cs="Arial" w:eastAsia="Arial" w:hAnsi="Arial"/>
          <w:sz w:val="17"/>
          <w:szCs w:val="17"/>
          <w:b w:val="1"/>
          <w:bCs w:val="1"/>
          <w:color w:val="auto"/>
        </w:rPr>
      </w:pPr>
    </w:p>
    <w:p>
      <w:pPr>
        <w:ind w:left="500" w:right="2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6% Euro-denominated notes as a hedge of its investment in Euro-denominated foreign operations.</w:t>
      </w:r>
    </w:p>
    <w:p>
      <w:pPr>
        <w:spacing w:after="0" w:line="149" w:lineRule="exact"/>
        <w:rPr>
          <w:rFonts w:ascii="Arial" w:cs="Arial" w:eastAsia="Arial" w:hAnsi="Arial"/>
          <w:sz w:val="17"/>
          <w:szCs w:val="17"/>
          <w:b w:val="1"/>
          <w:bCs w:val="1"/>
          <w:color w:val="auto"/>
        </w:rPr>
      </w:pPr>
    </w:p>
    <w:p>
      <w:pPr>
        <w:ind w:left="500" w:right="2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2015, 2014 and 2013 was not material, nor is the amount of gains or losses the Company expects to reclassify from accumulated other comprehensive income (loss) to earnings over the next 12 months.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500" w:right="400"/>
        <w:spacing w:after="0" w:line="258"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after-tax amount of gains or losses reclassified from accumulated other comprehensive income (loss) to earnings resulting from ineffectiveness for 2015, 2014 and 2013 was not material to the Company’s results of operations. The Company expects $5 million of losses currently deferred in accumulated other comprehensive income (loss) to be recognized in earnings during 2016.</w:t>
      </w:r>
    </w:p>
    <w:p>
      <w:pPr>
        <w:spacing w:after="0" w:line="130"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the Company’s consolidated results of operations.</w:t>
      </w:r>
    </w:p>
    <w:p>
      <w:pPr>
        <w:spacing w:after="0" w:line="122"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48" w:lineRule="exact"/>
        <w:rPr>
          <w:sz w:val="20"/>
          <w:szCs w:val="20"/>
          <w:color w:val="auto"/>
        </w:rPr>
      </w:pPr>
    </w:p>
    <w:p>
      <w:pPr>
        <w:ind w:left="500" w:right="20"/>
        <w:spacing w:after="0" w:line="250"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2015 or 2014, other than (i) risks related to the Company’s repurchase and guaranteed depreciation agreements with domestic and foreign car manufacturers, including Ford, General Motors, Chrysler, Peugeot, Volkswagen, Fiat, Kia, Toyota, Mercedes, Renault and Hyundai,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w:t>
      </w:r>
    </w:p>
    <w:p>
      <w:pPr>
        <w:spacing w:after="0" w:line="3" w:lineRule="exact"/>
        <w:rPr>
          <w:sz w:val="20"/>
          <w:szCs w:val="20"/>
          <w:color w:val="auto"/>
        </w:rPr>
      </w:pPr>
    </w:p>
    <w:p>
      <w:pPr>
        <w:ind w:left="500" w:hanging="6"/>
        <w:spacing w:after="0" w:line="256" w:lineRule="auto"/>
        <w:tabs>
          <w:tab w:leader="none" w:pos="7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risks related to leases which have been assumed by Realogy, Wyndham or Travelport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9"/>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96"/>
        </w:trPr>
        <w:tc>
          <w:tcPr>
            <w:tcW w:w="7600" w:type="dxa"/>
            <w:vAlign w:val="bottom"/>
          </w:tcPr>
          <w:p>
            <w:pPr>
              <w:ind w:left="320"/>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8,333</w:t>
            </w:r>
          </w:p>
        </w:tc>
      </w:tr>
      <w:tr>
        <w:trPr>
          <w:trHeight w:val="217"/>
        </w:trPr>
        <w:tc>
          <w:tcPr>
            <w:tcW w:w="7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1,592</w:t>
            </w:r>
          </w:p>
        </w:tc>
      </w:tr>
      <w:tr>
        <w:trPr>
          <w:trHeight w:val="270"/>
        </w:trPr>
        <w:tc>
          <w:tcPr>
            <w:tcW w:w="7600" w:type="dxa"/>
            <w:vAlign w:val="bottom"/>
          </w:tcPr>
          <w:p>
            <w:pPr>
              <w:ind w:left="32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26"/>
        </w:trPr>
        <w:tc>
          <w:tcPr>
            <w:tcW w:w="7600" w:type="dxa"/>
            <w:vAlign w:val="bottom"/>
          </w:tcPr>
          <w:p>
            <w:pPr>
              <w:spacing w:after="0"/>
              <w:rPr>
                <w:sz w:val="20"/>
                <w:szCs w:val="20"/>
                <w:color w:val="auto"/>
              </w:rPr>
            </w:pPr>
            <w:r>
              <w:rPr>
                <w:rFonts w:ascii="Arial" w:cs="Arial" w:eastAsia="Arial" w:hAnsi="Arial"/>
                <w:sz w:val="18"/>
                <w:szCs w:val="18"/>
                <w:color w:val="auto"/>
              </w:rPr>
              <w:t>__________</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5" w:lineRule="exact"/>
        <w:rPr>
          <w:sz w:val="20"/>
          <w:szCs w:val="20"/>
          <w:color w:val="auto"/>
        </w:rPr>
      </w:pPr>
    </w:p>
    <w:p>
      <w:pPr>
        <w:ind w:left="820" w:right="20" w:hanging="326"/>
        <w:spacing w:after="0" w:line="227" w:lineRule="auto"/>
        <w:tabs>
          <w:tab w:leader="none" w:pos="820"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Represents $8.2 billion of interest rate caps sold, partially offset by approximately $2.0 billion of interest rate caps purchased at December 31, 2015 and $6.2 billion of interest rate caps sold, partially offset by approximately $2.1 billion of interest rate caps purchased at December 31, 2014. These amounts exclude $6.2 billion and $4.2 billion of interest rate caps purchased by the Company’s Avis Budget Rental Car Funding subsidiary at December 31, 2015 and 2014, respectively.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40"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2014</w:t>
            </w:r>
          </w:p>
        </w:tc>
      </w:tr>
      <w:tr>
        <w:trPr>
          <w:trHeight w:val="198"/>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r>
      <w:tr>
        <w:trPr>
          <w:trHeight w:val="228"/>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Derivatives</w:t>
            </w:r>
          </w:p>
        </w:tc>
      </w:tr>
      <w:tr>
        <w:trPr>
          <w:trHeight w:val="251"/>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326"/>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020" w:type="dxa"/>
            <w:vAlign w:val="bottom"/>
          </w:tcPr>
          <w:p>
            <w:pPr>
              <w:ind w:left="3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020" w:type="dxa"/>
            <w:vAlign w:val="bottom"/>
          </w:tcPr>
          <w:p>
            <w:pPr>
              <w:ind w:left="3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12700</wp:posOffset>
            </wp:positionV>
            <wp:extent cx="336169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right="1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15-Stockholders’ Equity.</w:t>
      </w:r>
    </w:p>
    <w:p>
      <w:pPr>
        <w:ind w:left="820" w:hanging="326"/>
        <w:spacing w:after="0" w:line="195"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63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87"/>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38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20"/>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(b)</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1"/>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(d)</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638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8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12700</wp:posOffset>
            </wp:positionV>
            <wp:extent cx="24955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555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accumulated other comprehensive income within stockholders’ equity.</w:t>
      </w:r>
    </w:p>
    <w:p>
      <w:pPr>
        <w:ind w:left="820" w:hanging="326"/>
        <w:spacing w:after="0" w:line="187"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220"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2015, included a $32 million gain included in interest expense and a $16 million gain included in operating expenses. For the year ended December 31, 2014, included a $10 million gain in interest expense and a $2 million loss included in operating expenses. For the year ended December 31, 2013, included a $20 million gain in interest expense and a $7 million gain included in operating expenses.</w:t>
      </w:r>
    </w:p>
    <w:p>
      <w:pPr>
        <w:spacing w:after="0" w:line="1" w:lineRule="exact"/>
        <w:rPr>
          <w:rFonts w:ascii="Arial" w:cs="Arial" w:eastAsia="Arial" w:hAnsi="Arial"/>
          <w:sz w:val="18"/>
          <w:szCs w:val="18"/>
          <w:color w:val="auto"/>
          <w:vertAlign w:val="superscript"/>
        </w:rPr>
      </w:pPr>
    </w:p>
    <w:p>
      <w:pPr>
        <w:ind w:left="820" w:right="140" w:hanging="326"/>
        <w:spacing w:after="0" w:line="211"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2015 and 2014, amounts are included in vehicle interest, net. For the year ended December 31, 2013, $1 million of expense is included in vehicle interest, net and a $5 million gain is included in interest expense.</w:t>
      </w:r>
    </w:p>
    <w:p>
      <w:pPr>
        <w:ind w:left="820" w:hanging="326"/>
        <w:spacing w:after="0" w:line="199"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2014</w:t>
            </w:r>
          </w:p>
        </w:tc>
      </w:tr>
      <w:tr>
        <w:trPr>
          <w:trHeight w:val="198"/>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68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311"/>
        </w:trPr>
        <w:tc>
          <w:tcPr>
            <w:tcW w:w="468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68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3,439</w:t>
            </w:r>
          </w:p>
        </w:tc>
      </w:tr>
      <w:tr>
        <w:trPr>
          <w:trHeight w:val="513"/>
        </w:trPr>
        <w:tc>
          <w:tcPr>
            <w:tcW w:w="468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68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 Funding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6,836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6,296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6,407</w:t>
            </w:r>
          </w:p>
        </w:tc>
      </w:tr>
      <w:tr>
        <w:trPr>
          <w:trHeight w:val="270"/>
        </w:trPr>
        <w:tc>
          <w:tcPr>
            <w:tcW w:w="468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347"/>
        </w:trPr>
        <w:tc>
          <w:tcPr>
            <w:tcW w:w="468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185" w:lineRule="exact"/>
        <w:rPr>
          <w:sz w:val="20"/>
          <w:szCs w:val="20"/>
          <w:color w:val="auto"/>
        </w:rPr>
      </w:pPr>
    </w:p>
    <w:p>
      <w:pPr>
        <w:sectPr>
          <w:pgSz w:w="11900" w:h="16838" w:orient="portrait"/>
          <w:cols w:equalWidth="0" w:num="1">
            <w:col w:w="11260"/>
          </w:cols>
          <w:pgMar w:left="240" w:top="140" w:right="399" w:bottom="1440" w:gutter="0" w:footer="0" w:header="0"/>
        </w:sect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60"/>
          </w:cols>
          <w:pgMar w:left="240" w:top="140" w:right="3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spacing w:after="0" w:line="1" w:lineRule="exact"/>
        <w:rPr>
          <w:sz w:val="20"/>
          <w:szCs w:val="20"/>
          <w:color w:val="auto"/>
        </w:rPr>
      </w:pPr>
    </w:p>
    <w:p>
      <w:pPr>
        <w:ind w:left="500" w:right="80"/>
        <w:spacing w:after="0" w:line="239" w:lineRule="auto"/>
        <w:rPr>
          <w:sz w:val="20"/>
          <w:szCs w:val="20"/>
          <w:color w:val="auto"/>
        </w:rPr>
      </w:pPr>
      <w:r>
        <w:rPr>
          <w:rFonts w:ascii="Arial" w:cs="Arial" w:eastAsia="Arial" w:hAnsi="Arial"/>
          <w:sz w:val="14"/>
          <w:szCs w:val="14"/>
          <w:color w:val="auto"/>
        </w:rPr>
        <w:t>The carrying values of long-term debt, vehicle-backed debt due to Avis Budget Rental Car Funding and vehicle-backed debt as of December 31, 2014 have been retrospectively adjusted by $67 million, $44 million and $16 million, respectively, to include debt issuance costs, which are presented as a reduction of the corresponding liability.</w:t>
      </w:r>
    </w:p>
    <w:p>
      <w:pPr>
        <w:ind w:left="820" w:hanging="326"/>
        <w:spacing w:after="0" w:line="205" w:lineRule="auto"/>
        <w:tabs>
          <w:tab w:leader="none" w:pos="820" w:val="left"/>
        </w:tabs>
        <w:numPr>
          <w:ilvl w:val="1"/>
          <w:numId w:val="93"/>
        </w:numPr>
        <w:rPr>
          <w:rFonts w:ascii="Arial" w:cs="Arial" w:eastAsia="Arial" w:hAnsi="Arial"/>
          <w:sz w:val="18"/>
          <w:szCs w:val="18"/>
          <w:color w:val="auto"/>
          <w:vertAlign w:val="superscript"/>
        </w:rPr>
      </w:pPr>
      <w:r>
        <w:rPr>
          <w:rFonts w:ascii="Arial" w:cs="Arial" w:eastAsia="Arial" w:hAnsi="Arial"/>
          <w:sz w:val="14"/>
          <w:szCs w:val="14"/>
          <w:color w:val="auto"/>
        </w:rPr>
        <w:t>Derivatives in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Year Ended December 31, 2015</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120" w:type="dxa"/>
            <w:vAlign w:val="bottom"/>
          </w:tcPr>
          <w:p>
            <w:pPr>
              <w:spacing w:after="0"/>
              <w:rPr>
                <w:sz w:val="17"/>
                <w:szCs w:val="17"/>
                <w:color w:val="auto"/>
              </w:rPr>
            </w:pPr>
          </w:p>
        </w:tc>
      </w:tr>
      <w:tr>
        <w:trPr>
          <w:trHeight w:val="252"/>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 xml:space="preserve">and Other </w:t>
            </w:r>
            <w:r>
              <w:rPr>
                <w:rFonts w:ascii="Arial" w:cs="Arial" w:eastAsia="Arial" w:hAnsi="Arial"/>
                <w:sz w:val="21"/>
                <w:szCs w:val="21"/>
                <w:b w:val="1"/>
                <w:bCs w:val="1"/>
                <w:color w:val="auto"/>
                <w:w w:val="97"/>
                <w:vertAlign w:val="superscript"/>
              </w:rPr>
              <w:t>(a)</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80"/>
        </w:trPr>
        <w:tc>
          <w:tcPr>
            <w:tcW w:w="41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ind w:left="820" w:hanging="326"/>
        <w:spacing w:after="0" w:line="189" w:lineRule="auto"/>
        <w:tabs>
          <w:tab w:leader="none" w:pos="820"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and receivables from our former subsidiaries.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2014</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1280"/>
          </w:cols>
          <w:pgMar w:left="240" w:top="140" w:right="379" w:bottom="1440" w:gutter="0" w:footer="0" w:header="0"/>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4"/>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5,961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1,492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68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(60)</w:t>
            </w: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108</w:t>
            </w:r>
          </w:p>
        </w:tc>
        <w:tc>
          <w:tcPr>
            <w:tcW w:w="90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9,162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1,896</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81" w:lineRule="exact"/>
        <w:rPr>
          <w:sz w:val="20"/>
          <w:szCs w:val="20"/>
          <w:color w:val="auto"/>
        </w:rPr>
      </w:pPr>
    </w:p>
    <w:p>
      <w:pPr>
        <w:sectPr>
          <w:pgSz w:w="11900" w:h="16838" w:orient="portrait"/>
          <w:cols w:equalWidth="0" w:num="2">
            <w:col w:w="4860" w:space="720"/>
            <w:col w:w="5700"/>
          </w:cols>
          <w:pgMar w:left="240" w:top="140" w:right="379" w:bottom="1440" w:gutter="0" w:footer="0" w:header="0"/>
          <w:type w:val="continuous"/>
        </w:sectPr>
      </w:pPr>
    </w:p>
    <w:p>
      <w:pPr>
        <w:ind w:left="820" w:hanging="326"/>
        <w:spacing w:after="0" w:line="189" w:lineRule="auto"/>
        <w:tabs>
          <w:tab w:leader="none" w:pos="82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and receivables from our former subsidiaries.</w:t>
      </w:r>
    </w:p>
    <w:p>
      <w:pPr>
        <w:spacing w:after="0" w:line="23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F-40</w:t>
      </w:r>
    </w:p>
    <w:p>
      <w:pPr>
        <w:sectPr>
          <w:pgSz w:w="11900" w:h="16838" w:orient="portrait"/>
          <w:cols w:equalWidth="0" w:num="1">
            <w:col w:w="11280"/>
          </w:cols>
          <w:pgMar w:left="240" w:top="140" w:right="37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2013</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jc w:val="both"/>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860"/>
          </w:cols>
          <w:pgMar w:left="240" w:top="140" w:right="799" w:bottom="1440" w:gutter="0" w:footer="0" w:header="0"/>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4"/>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5,480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2,457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7,937</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1,315</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68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3,797</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1,749</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152</w:t>
            </w:r>
          </w:p>
        </w:tc>
        <w:tc>
          <w:tcPr>
            <w:tcW w:w="90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8,357</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2,095</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81" w:lineRule="exact"/>
        <w:rPr>
          <w:sz w:val="20"/>
          <w:szCs w:val="20"/>
          <w:color w:val="auto"/>
        </w:rPr>
      </w:pPr>
    </w:p>
    <w:p>
      <w:pPr>
        <w:sectPr>
          <w:pgSz w:w="11900" w:h="16838" w:orient="portrait"/>
          <w:cols w:equalWidth="0" w:num="2">
            <w:col w:w="4860" w:space="720"/>
            <w:col w:w="5280"/>
          </w:cols>
          <w:pgMar w:left="240" w:top="140" w:right="799" w:bottom="1440" w:gutter="0" w:footer="0" w:header="0"/>
          <w:type w:val="continuous"/>
        </w:sectPr>
      </w:pPr>
    </w:p>
    <w:p>
      <w:pPr>
        <w:ind w:left="820" w:hanging="326"/>
        <w:spacing w:after="0" w:line="189" w:lineRule="auto"/>
        <w:tabs>
          <w:tab w:leader="none" w:pos="820" w:val="left"/>
        </w:tabs>
        <w:numPr>
          <w:ilvl w:val="0"/>
          <w:numId w:val="97"/>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and receivables from our former subsidiaries.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000" w:type="dxa"/>
            <w:vAlign w:val="bottom"/>
          </w:tcPr>
          <w:p>
            <w:pPr>
              <w:spacing w:after="0"/>
              <w:rPr>
                <w:sz w:val="21"/>
                <w:szCs w:val="21"/>
                <w:color w:val="auto"/>
              </w:rPr>
            </w:pPr>
          </w:p>
        </w:tc>
        <w:tc>
          <w:tcPr>
            <w:tcW w:w="386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8"/>
                <w:szCs w:val="18"/>
                <w:b w:val="1"/>
                <w:bCs w:val="1"/>
                <w:color w:val="auto"/>
              </w:rPr>
              <w:t>For the Year Ended December 31,</w:t>
            </w:r>
          </w:p>
        </w:tc>
        <w:tc>
          <w:tcPr>
            <w:tcW w:w="440" w:type="dxa"/>
            <w:vAlign w:val="bottom"/>
            <w:tcBorders>
              <w:bottom w:val="single" w:sz="8" w:color="auto"/>
            </w:tcBorders>
          </w:tcPr>
          <w:p>
            <w:pPr>
              <w:spacing w:after="0"/>
              <w:rPr>
                <w:sz w:val="21"/>
                <w:szCs w:val="21"/>
                <w:color w:val="auto"/>
              </w:rPr>
            </w:pPr>
          </w:p>
        </w:tc>
      </w:tr>
      <w:tr>
        <w:trPr>
          <w:trHeight w:val="264"/>
        </w:trPr>
        <w:tc>
          <w:tcPr>
            <w:tcW w:w="6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600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7"/>
        </w:trPr>
        <w:tc>
          <w:tcPr>
            <w:tcW w:w="600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273558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35580" cy="26035"/>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geographic segment information provided below is classified based on the geographic location of the Company’s subsidiaries.</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6"/>
        </w:trPr>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97"/>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7,937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2,228</w:t>
            </w:r>
          </w:p>
        </w:tc>
      </w:tr>
    </w:tbl>
    <w:p>
      <w:pPr>
        <w:spacing w:after="0" w:line="200" w:lineRule="exact"/>
        <w:rPr>
          <w:sz w:val="20"/>
          <w:szCs w:val="20"/>
          <w:color w:val="auto"/>
        </w:rPr>
      </w:pPr>
    </w:p>
    <w:p>
      <w:pPr>
        <w:sectPr>
          <w:pgSz w:w="11900" w:h="16838" w:orient="portrait"/>
          <w:cols w:equalWidth="0" w:num="1">
            <w:col w:w="10860"/>
          </w:cols>
          <w:pgMar w:left="240" w:top="140" w:right="799" w:bottom="1440" w:gutter="0" w:footer="0" w:header="0"/>
          <w:type w:val="continuous"/>
        </w:sect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860"/>
          </w:cols>
          <w:pgMar w:left="240" w:top="140" w:right="79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500" w:right="140"/>
        <w:spacing w:after="0" w:line="258" w:lineRule="auto"/>
        <w:rPr>
          <w:sz w:val="20"/>
          <w:szCs w:val="20"/>
          <w:color w:val="auto"/>
        </w:rPr>
      </w:pPr>
      <w:r>
        <w:rPr>
          <w:rFonts w:ascii="Arial" w:cs="Arial" w:eastAsia="Arial" w:hAnsi="Arial"/>
          <w:sz w:val="14"/>
          <w:szCs w:val="14"/>
          <w:color w:val="auto"/>
        </w:rPr>
        <w:t>The financial data presented has been retrospectively adjusted to reflect the impact of a change in accounting principle related to the presentation of debt issuance costs described in Note 2-Summary of Significant Accounting Policies, as follows.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United States</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 Countries</w:t>
            </w:r>
          </w:p>
        </w:tc>
        <w:tc>
          <w:tcPr>
            <w:tcW w:w="1540" w:type="dxa"/>
            <w:vAlign w:val="bottom"/>
          </w:tcPr>
          <w:p>
            <w:pPr>
              <w:ind w:left="600"/>
              <w:spacing w:after="0"/>
              <w:rPr>
                <w:sz w:val="20"/>
                <w:szCs w:val="20"/>
                <w:color w:val="auto"/>
              </w:rPr>
            </w:pPr>
            <w:r>
              <w:rPr>
                <w:rFonts w:ascii="Arial" w:cs="Arial" w:eastAsia="Arial" w:hAnsi="Arial"/>
                <w:sz w:val="14"/>
                <w:szCs w:val="14"/>
                <w:b w:val="1"/>
                <w:bCs w:val="1"/>
                <w:color w:val="auto"/>
              </w:rPr>
              <w:t>Total</w:t>
            </w:r>
          </w:p>
        </w:tc>
      </w:tr>
      <w:tr>
        <w:trPr>
          <w:trHeight w:val="258"/>
        </w:trPr>
        <w:tc>
          <w:tcPr>
            <w:tcW w:w="4780" w:type="dxa"/>
            <w:vAlign w:val="bottom"/>
          </w:tcPr>
          <w:p>
            <w:pPr>
              <w:spacing w:after="0"/>
              <w:rPr>
                <w:sz w:val="20"/>
                <w:szCs w:val="20"/>
                <w:color w:val="auto"/>
              </w:rPr>
            </w:pPr>
            <w:r>
              <w:rPr>
                <w:rFonts w:ascii="Arial" w:cs="Arial" w:eastAsia="Arial" w:hAnsi="Arial"/>
                <w:sz w:val="14"/>
                <w:szCs w:val="14"/>
                <w:b w:val="1"/>
                <w:bCs w:val="1"/>
                <w:color w:val="auto"/>
              </w:rPr>
              <w:t>For the Year Ended December 31, 2014</w:t>
            </w: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4"/>
                <w:szCs w:val="14"/>
                <w:color w:val="auto"/>
              </w:rPr>
              <w:t>Assets exclusive of assets under vehicle programs decreased</w:t>
            </w: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540" w:type="dxa"/>
            <w:vAlign w:val="bottom"/>
          </w:tcPr>
          <w:p>
            <w:pPr>
              <w:jc w:val="right"/>
              <w:ind w:right="5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color w:val="auto"/>
              </w:rPr>
              <w:t>$127</w:t>
            </w:r>
          </w:p>
        </w:tc>
      </w:tr>
      <w:tr>
        <w:trPr>
          <w:trHeight w:val="270"/>
        </w:trPr>
        <w:tc>
          <w:tcPr>
            <w:tcW w:w="4780" w:type="dxa"/>
            <w:vAlign w:val="bottom"/>
          </w:tcPr>
          <w:p>
            <w:pPr>
              <w:spacing w:after="0"/>
              <w:rPr>
                <w:sz w:val="20"/>
                <w:szCs w:val="20"/>
                <w:color w:val="auto"/>
              </w:rPr>
            </w:pPr>
            <w:r>
              <w:rPr>
                <w:rFonts w:ascii="Arial" w:cs="Arial" w:eastAsia="Arial" w:hAnsi="Arial"/>
                <w:sz w:val="14"/>
                <w:szCs w:val="14"/>
                <w:b w:val="1"/>
                <w:bCs w:val="1"/>
                <w:color w:val="auto"/>
              </w:rPr>
              <w:t>For the Year Ended December 31, 2013</w:t>
            </w: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4"/>
                <w:szCs w:val="14"/>
                <w:color w:val="auto"/>
              </w:rPr>
              <w:t>Assets exclusive of assets under vehicle programs decreased</w:t>
            </w:r>
          </w:p>
        </w:tc>
        <w:tc>
          <w:tcPr>
            <w:tcW w:w="1540" w:type="dxa"/>
            <w:vAlign w:val="bottom"/>
          </w:tcPr>
          <w:p>
            <w:pPr>
              <w:jc w:val="right"/>
              <w:ind w:right="56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1540" w:type="dxa"/>
            <w:vAlign w:val="bottom"/>
          </w:tcPr>
          <w:p>
            <w:pPr>
              <w:jc w:val="right"/>
              <w:ind w:right="6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540" w:type="dxa"/>
            <w:vAlign w:val="bottom"/>
          </w:tcPr>
          <w:p>
            <w:pPr>
              <w:jc w:val="right"/>
              <w:ind w:right="568"/>
              <w:spacing w:after="0"/>
              <w:rPr>
                <w:sz w:val="20"/>
                <w:szCs w:val="20"/>
                <w:color w:val="auto"/>
              </w:rPr>
            </w:pPr>
            <w:r>
              <w:rPr>
                <w:rFonts w:ascii="Arial" w:cs="Arial" w:eastAsia="Arial" w:hAnsi="Arial"/>
                <w:sz w:val="14"/>
                <w:szCs w:val="14"/>
                <w:color w:val="auto"/>
              </w:rPr>
              <w:t>134</w:t>
            </w:r>
          </w:p>
        </w:tc>
      </w:tr>
    </w:tbl>
    <w:p>
      <w:pPr>
        <w:spacing w:after="0" w:line="178"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Financial Statements</w:t>
      </w:r>
    </w:p>
    <w:p>
      <w:pPr>
        <w:spacing w:after="0" w:line="193"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Operations for the years ended December 31, 2015, 2014 and 2013, Consolidating Condensed Balance Sheets as of December 31, 2015 and December 31, 2014 and Consolidating Condensed Statements of Cash Flows for the years ended December 31, 2015, 2014 and 2013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12-Long-term Debt and Borrowing Arrangements for additional description of these guaranteed notes. The Senior Notes have separate investors than the equity investors of the Company and are guaranteed by the Parent and certain subsidiaries.</w:t>
      </w:r>
    </w:p>
    <w:p>
      <w:pPr>
        <w:spacing w:after="0" w:line="15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60"/>
          </w:cols>
          <w:pgMar w:left="240" w:top="140"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8,502</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40"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40"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7,937</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4,074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Impairment</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4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792" w:right="29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792" w:right="2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As of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5,117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13,729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16,842</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2,769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1,760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6,296</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10,567</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3,316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95" w:right="29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895" w:right="29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(11,928)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9,680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14,138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(13,648)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9,666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14,285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14,373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(13,963)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40"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(10,899)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2,972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Purchases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12,953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12,953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(13,115)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40"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Data—(unaudited)</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Provided below are selected unaudited quarterly financial data for 2015 and 2014.</w:t>
      </w:r>
    </w:p>
    <w:p>
      <w:pPr>
        <w:spacing w:after="0" w:line="17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earnings per share information is calculated independently for each quarter based on the weighted average number of common stock and common stock equivalents outstanding, which may fluctuate, based on quarterly income levels and market prices. Therefore, the sum of the quarters’ per share information may not equal the annual amount presented on the Consolidated Statements of Operations.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r>
    </w:tbl>
    <w:p>
      <w:pPr>
        <w:spacing w:after="0" w:line="35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w:t>
            </w:r>
          </w:p>
        </w:tc>
      </w:tr>
    </w:tbl>
    <w:p>
      <w:pPr>
        <w:spacing w:after="0" w:line="180"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January 2016, the Board of Directors increased the Company’s share repurchase program authorization by $300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140" w:right="4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Balance at End</w:t>
            </w:r>
          </w:p>
        </w:tc>
      </w:tr>
      <w:tr>
        <w:trPr>
          <w:trHeight w:val="246"/>
        </w:trPr>
        <w:tc>
          <w:tcPr>
            <w:tcW w:w="460" w:type="dxa"/>
            <w:vAlign w:val="bottom"/>
          </w:tcPr>
          <w:p>
            <w:pPr>
              <w:spacing w:after="0"/>
              <w:rPr>
                <w:sz w:val="21"/>
                <w:szCs w:val="21"/>
                <w:color w:val="auto"/>
              </w:rPr>
            </w:pPr>
          </w:p>
        </w:tc>
        <w:tc>
          <w:tcPr>
            <w:tcW w:w="2860" w:type="dxa"/>
            <w:vAlign w:val="bottom"/>
          </w:tcPr>
          <w:p>
            <w:pPr>
              <w:ind w:left="880"/>
              <w:spacing w:after="0"/>
              <w:rPr>
                <w:sz w:val="20"/>
                <w:szCs w:val="20"/>
                <w:color w:val="auto"/>
              </w:rPr>
            </w:pPr>
            <w:r>
              <w:rPr>
                <w:rFonts w:ascii="Arial" w:cs="Arial" w:eastAsia="Arial" w:hAnsi="Arial"/>
                <w:sz w:val="18"/>
                <w:szCs w:val="18"/>
                <w:b w:val="1"/>
                <w:bCs w:val="1"/>
                <w:color w:val="auto"/>
              </w:rPr>
              <w:t>Description</w:t>
            </w:r>
          </w:p>
        </w:tc>
        <w:tc>
          <w:tcPr>
            <w:tcW w:w="56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Expensed</w:t>
            </w:r>
          </w:p>
        </w:tc>
        <w:tc>
          <w:tcPr>
            <w:tcW w:w="16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of Period</w:t>
            </w:r>
          </w:p>
        </w:tc>
      </w:tr>
      <w:tr>
        <w:trPr>
          <w:trHeight w:val="243"/>
        </w:trPr>
        <w:tc>
          <w:tcPr>
            <w:tcW w:w="3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5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2014</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2013</w:t>
            </w:r>
          </w:p>
        </w:tc>
        <w:tc>
          <w:tcPr>
            <w:tcW w:w="2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486"/>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2860" w:type="dxa"/>
            <w:vAlign w:val="bottom"/>
          </w:tcPr>
          <w:p>
            <w:pPr>
              <w:ind w:left="20"/>
              <w:spacing w:after="0"/>
              <w:rPr>
                <w:sz w:val="20"/>
                <w:szCs w:val="20"/>
                <w:color w:val="auto"/>
              </w:rPr>
            </w:pPr>
            <w:r>
              <w:rPr>
                <w:rFonts w:ascii="Arial" w:cs="Arial" w:eastAsia="Arial" w:hAnsi="Arial"/>
                <w:sz w:val="11"/>
                <w:szCs w:val="11"/>
                <w:color w:val="auto"/>
              </w:rPr>
              <w:t>(a)(b)</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2014</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2013</w:t>
            </w:r>
          </w:p>
        </w:tc>
        <w:tc>
          <w:tcPr>
            <w:tcW w:w="2860" w:type="dxa"/>
            <w:vAlign w:val="bottom"/>
          </w:tcPr>
          <w:p>
            <w:pPr>
              <w:ind w:left="20"/>
              <w:spacing w:after="0"/>
              <w:rPr>
                <w:sz w:val="20"/>
                <w:szCs w:val="20"/>
                <w:color w:val="auto"/>
              </w:rPr>
            </w:pPr>
            <w:r>
              <w:rPr>
                <w:rFonts w:ascii="Arial" w:cs="Arial" w:eastAsia="Arial" w:hAnsi="Arial"/>
                <w:sz w:val="11"/>
                <w:szCs w:val="11"/>
                <w:color w:val="auto"/>
              </w:rPr>
              <w:t>(c)</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347</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40" w:hanging="332"/>
        <w:spacing w:after="0" w:line="213" w:lineRule="auto"/>
        <w:tabs>
          <w:tab w:leader="none" w:pos="340"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currency translation adjustments.</w:t>
      </w:r>
    </w:p>
    <w:p>
      <w:pPr>
        <w:ind w:left="340" w:hanging="332"/>
        <w:spacing w:after="0" w:line="205" w:lineRule="auto"/>
        <w:tabs>
          <w:tab w:leader="none" w:pos="340"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the acquisition of Brazil.</w:t>
      </w:r>
    </w:p>
    <w:p>
      <w:pPr>
        <w:ind w:left="340" w:hanging="332"/>
        <w:spacing w:after="0" w:line="205" w:lineRule="auto"/>
        <w:tabs>
          <w:tab w:leader="none" w:pos="340" w:val="left"/>
        </w:tabs>
        <w:numPr>
          <w:ilvl w:val="0"/>
          <w:numId w:val="101"/>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the acquisition of Zipcar.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0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DESCRIPTION</w:t>
            </w:r>
          </w:p>
        </w:tc>
      </w:tr>
      <w:tr>
        <w:trPr>
          <w:trHeight w:val="47"/>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160" w:type="dxa"/>
            <w:vAlign w:val="bottom"/>
            <w:tcBorders>
              <w:bottom w:val="single" w:sz="8" w:color="auto"/>
              <w:right w:val="single" w:sz="8" w:color="auto"/>
            </w:tcBorders>
          </w:tcPr>
          <w:p>
            <w:pPr>
              <w:spacing w:after="0"/>
              <w:rPr>
                <w:sz w:val="4"/>
                <w:szCs w:val="4"/>
                <w:color w:val="auto"/>
              </w:rPr>
            </w:pPr>
          </w:p>
        </w:tc>
      </w:tr>
      <w:tr>
        <w:trPr>
          <w:trHeight w:val="211"/>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Separation and Distribution Agreement by and among Cendant Corporation*, Realogy Corporation, Wyndham Worldwide Corporation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Travelport Inc., dated as of July 27, 2006 (Incorporated by reference to Exhibit 2.1 to the Company’s Current Report on Form 8-K dated</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August 1, 2006).</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Letter Agreement dated August 23, 2006 related to the Separation and Distribution Agreement by and among Realogy Corporation, Cendant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Wyndham Worldwide Corporation and Travelport Inc. dated as of July 27, 2006 (Incorporated by reference to Exhibit 2.2 to the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period ended June 30, 2007, dated August 8, 2007).</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By-Laws of Avis Budget Group, Inc. as of September 15, 2015 (Incorporated by reference to Exhibit 3.2 to the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September 18, 2015).</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November 8, 2012 among Avis Budget Car Rental, LLC and Avis Budget Finance, Inc., as Issuers, the Guarantors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from time to time parties thereto and The Bank of Nova Scotia Trust Company of New York as Trustee (Incorporated by reference to Exhibit</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4.1 to the Company’s Current Report on Form 8-K dated November 13, 2012).</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4.1(a)</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dated as of June 21, 2013, to the Indenture, dated as of November 8, 2012, by and among Avis Budget Car Rental,</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and Avis Budget Finance, Inc., as Issuers, the Guarantors from time to time parties thereto and The Bank of Nova Scotia Trust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of New York as Trustee (Incorporated by reference to Exhibit 4.9(b) to Avis Budget Car Rental, LLC and Avis Budget Finance,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Inc.’s Registration Statement on Form S-4, Registration No. 333-189524, dated June 21,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4.875% Senior Notes Due 2017 (Incorporated by reference to Exhibit 4.2 to the Company’s Current Report on Form 8-K dated</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November 13, 2012).</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March 7, 2013 among Avis Budget Finance, plc, as Issuer, the Guarantors from time to time parties thereto, Bank of</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Nova Scotia Trust Company of New York as Trustee and Citibank, N.A., London Branch, as paying agent and note registrar (Incorporated by</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4.1 to the Company’s Current Report on Form 8-K dated March 11,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4.3(a)</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dated as of June 21, 2013, to the Indenture, dated as of March 7, 2013, by and among Avis Budget Finance plc, as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the Guarantors from time to time parties thereto and The Bank of Nova Scotia Trust Company of New York as Trustee (Incorporated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4.11(b) to Avis Budget Car Rental, LLC and Avis Budget Finance, Inc.’s Registration Statement on Form S-4,</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Registration No. 333-189524,dated June 21,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6.0% Senior Notes Due 2021 (Incorporated by reference to Exhibit 4.2 to the Company’s Current Report on Form 8-K dated March</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April 3, 2013, among Avis Budget Car Rental, LLC and Avis Budget Finance, Inc., as Issuers, the Guarantors from</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The Bank of Nova Scotia Trust Company of New York as Trustee (Incorporated by reference to Exhibit 4.1 to</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Current Report on Form 8-K dated April 8,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4.5(a)</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dated as of June 21, 2013, to the Indenture, dated as of April 3, 2013, by and among Avis Budget Finance plc, as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the Guarantors from time to time parties thereto and The Bank of Nova Scotia Trust Company of New York as Trustee (Incorporated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4.12(b) to Avis Budget Car Rental, LLC and Avis Budget Finance, Inc.’s Registration Statement on Form S-4,</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Registration No. 333-189524, dated June 21,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5.50% Senior Notes due 2023 (Incorporated by reference to Exhibit 4.2 to the Company’s Current Report on Form 8-K dated April 8,</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November 25, 2013 among Avis Budget Car Rental, LLC and Avis Budget Finance, Inc., as Issuers, the Guarantors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from time to time parties thereto and Deutsche Bank Trust Company Americas as Trustee (Incorporated by reference to Exhibit 4.1 to the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December 2,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Floating Rate Senior Notes Due 2017 (Incorporated by reference to Exhibit 4.2 to the Company’s Current Report on Form 8-K dated</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December 2, 2013).</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4.9</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May 16, 2014 among Avis Budget Car Rental, LLC and Avis Budget Finance, Inc., as Issuers, the Guarantors from</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Deutsche Bank Trust Company Americas as Trustee (Incorporated by reference to Exhibit 4.1 to the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May 19, 2014).</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5.125% Senior Notes Due 2022 (Incorporated by reference to Exhibit 4.2 to the Company’s Current Report on Form 8-K dated May</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 2014).</w:t>
            </w:r>
          </w:p>
        </w:tc>
      </w:tr>
      <w:tr>
        <w:trPr>
          <w:trHeight w:val="218"/>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4.11</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March 11, 2015 among Avis Budget Car Rental, LLC and Avis Budget Finance, Inc., as Issuers, the Guarantors from</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The Bank of Nova Scotia Trust Company of New York as Trustee (Incorporated by reference to Exhibit 4.1 to</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Current Report on Form 8-K dated March 17, 2015).</w:t>
            </w:r>
          </w:p>
        </w:tc>
      </w:tr>
      <w:tr>
        <w:trPr>
          <w:trHeight w:val="459"/>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440"/>
          </w:cols>
          <w:pgMar w:left="240" w:top="140" w:right="2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4.12</w:t>
            </w:r>
          </w:p>
        </w:tc>
        <w:tc>
          <w:tcPr>
            <w:tcW w:w="100" w:type="dxa"/>
            <w:vAlign w:val="bottom"/>
            <w:tcBorders>
              <w:top w:val="single" w:sz="8" w:color="auto"/>
              <w:right w:val="single" w:sz="8" w:color="auto"/>
            </w:tcBorders>
          </w:tcPr>
          <w:p>
            <w:pPr>
              <w:spacing w:after="0"/>
              <w:rPr>
                <w:sz w:val="20"/>
                <w:szCs w:val="20"/>
                <w:color w:val="auto"/>
              </w:rPr>
            </w:pPr>
          </w:p>
        </w:tc>
        <w:tc>
          <w:tcPr>
            <w:tcW w:w="9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of 5.25% Senior Notes Due 2025 (Incorporated by reference to Exhibit 4.2 to the Company’s Current Report on Form 8-K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March 17, 2015).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Employment Agreement between Avis Budget Group, Inc. and Ronald L. Nelson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 to the Company’s Current Report on Form 8-K dated April 22,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Employment Agreement between Avis Budget Group, Inc. and David B. Wyshner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 to the Company’s Current Report on Form 8-K dated January 27, 2012).†</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Employment Agreement between Avis Budget Group, Inc. and Larry D. DeShon dated as of September 15, 2015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 to the Company’s Current Report on Form 8-K dated September 18, 2015).†</w:t>
            </w:r>
          </w:p>
        </w:tc>
      </w:tr>
      <w:tr>
        <w:trPr>
          <w:trHeight w:val="224"/>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9"/>
                <w:szCs w:val="19"/>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between Avis Budget Group, Inc. and Mark J. Servodidio.†</w:t>
            </w:r>
          </w:p>
        </w:tc>
      </w:tr>
      <w:tr>
        <w:trPr>
          <w:trHeight w:val="47"/>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780" w:type="dxa"/>
            <w:vAlign w:val="bottom"/>
            <w:tcBorders>
              <w:bottom w:val="single" w:sz="8" w:color="auto"/>
              <w:right w:val="single" w:sz="8" w:color="auto"/>
            </w:tcBorders>
          </w:tcPr>
          <w:p>
            <w:pPr>
              <w:spacing w:after="0"/>
              <w:rPr>
                <w:sz w:val="4"/>
                <w:szCs w:val="4"/>
                <w:color w:val="auto"/>
              </w:rPr>
            </w:pPr>
          </w:p>
        </w:tc>
      </w:tr>
      <w:tr>
        <w:trPr>
          <w:trHeight w:val="217"/>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between Avis Budget Group, Inc. and Joseph Ferraro.†</w:t>
            </w:r>
          </w:p>
        </w:tc>
      </w:tr>
      <w:tr>
        <w:trPr>
          <w:trHeight w:val="47"/>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780" w:type="dxa"/>
            <w:vAlign w:val="bottom"/>
            <w:tcBorders>
              <w:bottom w:val="single" w:sz="8" w:color="auto"/>
              <w:right w:val="single" w:sz="8" w:color="auto"/>
            </w:tcBorders>
          </w:tcPr>
          <w:p>
            <w:pPr>
              <w:spacing w:after="0"/>
              <w:rPr>
                <w:sz w:val="4"/>
                <w:szCs w:val="4"/>
                <w:color w:val="auto"/>
              </w:rPr>
            </w:pPr>
          </w:p>
        </w:tc>
      </w:tr>
      <w:tr>
        <w:trPr>
          <w:trHeight w:val="211"/>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Avis Budget Group, Inc. Severance Agreement (Incorporated by reference to Exhibit 10.8 to the Company’s Annual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10-K for the year ended December 31, 2009, dated February 24, 2010).†</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Amended and Restated Equity and Incentive Plan (Incorporated by reference to Annex A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Definitive Proxy Statement on Schedule 14A, dated March 28,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1997 Stock Incentive Plan (Incorporated by reference to Appendix E to the Joint Proxy Statement/ Prospectus included as part of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Registration Statement on Form S-4, Registration No. 333-34517, dated August 28, 1997).†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March 27, 2000 (Incorporated by reference to Exhibit 10.12(b)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2000 dated March 29, 2001).†</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March 28, 2000 (Incorporated by reference to Exhibit 10.12(c)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2000 dated March 29, 2001).†</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January 3, 2001 (Incorporated by reference to Exhibit 10.12(d)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2000 dated March 29, 2001).†</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Various Equity-Based Plans (Incorporated by reference to Exhibit 10.16 to the Company’s Annual Report on Form 10-K</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the year ended December 31, 2005 dated March 1,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Employee Stock Purchase Plan (Incorporated by reference to Exhibit 10.2 to the Company’s Current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June 18,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No. 1 to the Avis Budget Group, Inc. Employee Stock Purchase Plan (Incorporated by reference to Exhibit 10.17(b) to Avis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Car Rental, LLC and Avis Budget Finance, Inc.’s Registration Statement on Form S-4, Registration No. 333-17490,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October 25, 2011).†</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Agreement—Restricted Stock Units (Incorporated by reference to Exhibit 10.17(a) to the Company’s Annual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10-K for the year ended December 31, 2011, dated February 29, 2012).†</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Appreciation Rights (Incorporated by reference to Exhibit 10.2 to the Company’s Current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August 4,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Options (Incorporated by reference to Exhibit 10.15(c) to the Company’s Annual Report on Form 10-</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 for the year ended December 31, 2008, dated February 26,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Options (Incorporated by reference to Exhibit 10.15(d) to the Company’s Annual Report on Form 10-</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 for the year ended December 31, 2008, dated February 26,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Other Stock or Cash-Based Award Agreement (Incorporated by reference to Exhibit 10.4 to the Company’s Quarterly Report</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Form 10-Q for the quarter ended June 30, 2009, dated August 6,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10.16</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Non-Employee Directors Deferred Compensation Plan, amended and restated as of January 1, 2013</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10.20 to the Company’s Annual Report on Form 10-K for the year ended December 31, 2012</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dated February 21,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Deferred Compensation Plan, amended and restated as of November 1, 2008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10.17 to the Company’s Annual Report on Form 10-K for the year ended December 31, 2008, dated February 26,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Savings Restoration Plan, amended and restated as of November 1, 2008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10.18 to the Company’s Annual Report on Form 10-K for the year ended December 31, 2008, dated February 26, 2009).†</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Equalization Benefit Plan (Incorporated by reference to Exhibit 10.59 to the Company’s Annual Report on Form</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2007, dated February 29, 2008).†</w:t>
            </w:r>
          </w:p>
        </w:tc>
      </w:tr>
      <w:tr>
        <w:trPr>
          <w:trHeight w:val="459"/>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Pr>
          <w:p>
            <w:pPr>
              <w:ind w:left="3900"/>
              <w:spacing w:after="0"/>
              <w:rPr>
                <w:sz w:val="20"/>
                <w:szCs w:val="20"/>
                <w:color w:val="auto"/>
              </w:rPr>
            </w:pPr>
            <w:r>
              <w:rPr>
                <w:rFonts w:ascii="Arial" w:cs="Arial" w:eastAsia="Arial" w:hAnsi="Arial"/>
                <w:sz w:val="18"/>
                <w:szCs w:val="18"/>
                <w:color w:val="auto"/>
              </w:rPr>
              <w:t>H-2</w:t>
            </w:r>
          </w:p>
        </w:tc>
      </w:tr>
    </w:tbl>
    <w:p>
      <w:pPr>
        <w:sectPr>
          <w:pgSz w:w="11900" w:h="16838" w:orient="portrait"/>
          <w:cols w:equalWidth="0" w:num="1">
            <w:col w:w="11440"/>
          </w:cols>
          <w:pgMar w:left="240" w:top="140" w:right="2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10.20</w:t>
            </w:r>
          </w:p>
        </w:tc>
        <w:tc>
          <w:tcPr>
            <w:tcW w:w="100" w:type="dxa"/>
            <w:vAlign w:val="bottom"/>
            <w:tcBorders>
              <w:top w:val="single" w:sz="8" w:color="auto"/>
              <w:right w:val="single" w:sz="8" w:color="auto"/>
            </w:tcBorders>
          </w:tcPr>
          <w:p>
            <w:pPr>
              <w:spacing w:after="0"/>
              <w:rPr>
                <w:sz w:val="20"/>
                <w:szCs w:val="20"/>
                <w:color w:val="auto"/>
              </w:rPr>
            </w:pPr>
          </w:p>
        </w:tc>
        <w:tc>
          <w:tcPr>
            <w:tcW w:w="9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Avis Rent A Car System, LLC Pension Plan (Incorporated by reference to Exhibit 10.20 to the Company’s Annual Report on Form 10-K</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the year ended December 31, 2008).†</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Asset and Stock Purchase Agreement by and among Budget Group, Inc. and certain of its Subsidiaries, Cendant Corporation*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Cherokee Acquisition Corporation dated as of August 22, 2002 (Incorporated by reference to Exhibit 10.71 to the Company’s Annual</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10-K/A for the year ended December 31, 2001 dated November 4, 2002).</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10.21(a)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to Asset and Stock Purchase Agreement by and among Budget Group, Inc. and certain of its Subsidiaries, Cendant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and Cherokee Acquisition Corporation dated as of September 10, 2002 (Incorporated by reference to Exhibit 10.72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Annual Report on Form 10-K/A for the year ended December 31, 2001 dated November 4, 2002).</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Separation Agreement, dated as of January 31, 2005, by and between Cendant Corporation* and PHH Corporation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10.3 to the Company’s Current Report on Form 8-K dated February 4, 2005).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Tax Sharing Agreement, dated as of January 31, 2005, by and among Cendant Corporation*, PHH Corporation and certain affiliates of</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PHH Corporation named therein (Incorporated by reference to Exhibit 10.4 to the Company’s Current Report on Form 8-K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February 4, 2005).††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Cendant Corporation* Officer Personal Financial Services Policy (Incorporated by reference to Exhibit 10.3 to the Company’s Current</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January 26, 2005).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10.25</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June 30, 2006, by and among the Company, Travelport Inc. and TDS Investor LLC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 to the Company’s Current Report on Form 8-K dated June 30,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10.26</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Transition Services Agreement among Cendant Corporation*, Realogy Corporation, Wyndham Worldwide Corporation and Travelport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 dated as of July 27, 2006 (Incorporated by reference to Exhibit 10.1 to the Company’s Current Report on Form 8-K dated August</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10.27</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Tax Sharing Agreement among Cendant Corporation*, Realogy Corporation, Wyndham Worldwide Corporation and Travelport Inc.,</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dated as of July 28, 2006 (Incorporated by reference to Exhibit 10.1 to the Company’s Current Report on Form 8-K dated August 1,</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10.27(a)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the Tax Sharing Agreement, dated July 28, 2006, among Avis Budget Group, Inc., Realogy Corporation, Wyndham</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Worldwide Corporation and Travelport Inc. (Incorporated by reference to Exhibit 10.4 to the Company’s Quarterly Report on Form 10-Q</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the quarterly period ended June 30, 2008 dated August 7, 2008).</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10.28</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by and among Cendant Corporation*, Affinity Acquisition, Inc. and Affinity Acquisition Holdings, Inc. dated as of</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July 26, 2005 (Incorporated by reference to Exhibit 10.2 to the Company’s Quarterly Report on Form 10-Q for the quarterly period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ended September 30, 2005 dated November 2, 2005).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10.28(a)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No. 1 dated as of October 17, 2005 to the Purchase Agreement dated as of July 26, 2005 by and among Cendant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Affinity Acquisition, Inc. (now known as Affinion Group, Inc.) and Affinity Acquisition Holdings, Inc. (now known as Affinion</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Holdings, Inc.) (Incorporated by reference to Exhibit 10.3 to the Company’s Quarterly Report on Form 10-Q for the quarterly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period ended September 30, 2005 dated November 2, 2005).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10.29</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dated November 13, 2014 between Avis Budget Car Rental, LLC and General Motors LLC.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 to the Company’s Current Report on Form 8-K dated November 19, 2014) ††</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10.30</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dated August 14, 2015 between Avis Budget Car Rental, LLC and General Motors LLC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 to the Company’s Current Report on Form 8-K dated August 20, 2015). ††</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Car Rental 2015 Model Year Program Letter dated September 30, 2014 between Avis Budget Car Rental, LLC and Ford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Motor Company (Incorporated by reference to Exhibit 10.3 to the Company’s Current Report on Form 8-K dated October 6, 2014). ††</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Car Rental 2016 Model Year Program Letter dated August 14, 2015 between Avis Budget Car Rental, LLC and Ford Motor</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(Incorporated by reference to Exhibit 10.1 to the Company’s Current Report on Form 8-K dated August 20, 2015). ††</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Base Indenture, dated as of June 3, 2004, among Cendant Rental Car Funding (AESOP) LLC***,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and The Bank of New York, as Trustee (Incorporated by reference to Exhibit 10.7 to the Company’s Quarterly Report on Form</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10-Q for the quarterly period ended June 30, 2004, dated August 2, 2004).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1, dated as of December 23, 2005, among Cendant Rental Car Funding (AESOP) LLC***, as Issuer,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Bank of New York, as Trustee, to the Second Amended and Restated Base Indenture, dated as of June 3, 2004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 to the Company’s Current Report on Form 8-K dated January 20, 2006).</w:t>
            </w:r>
          </w:p>
        </w:tc>
      </w:tr>
      <w:tr>
        <w:trPr>
          <w:trHeight w:val="459"/>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Pr>
          <w:p>
            <w:pPr>
              <w:ind w:left="3900"/>
              <w:spacing w:after="0"/>
              <w:rPr>
                <w:sz w:val="20"/>
                <w:szCs w:val="20"/>
                <w:color w:val="auto"/>
              </w:rPr>
            </w:pPr>
            <w:r>
              <w:rPr>
                <w:rFonts w:ascii="Arial" w:cs="Arial" w:eastAsia="Arial" w:hAnsi="Arial"/>
                <w:sz w:val="18"/>
                <w:szCs w:val="18"/>
                <w:color w:val="auto"/>
              </w:rPr>
              <w:t>H-3</w:t>
            </w:r>
          </w:p>
        </w:tc>
      </w:tr>
    </w:tbl>
    <w:p>
      <w:pPr>
        <w:sectPr>
          <w:pgSz w:w="11900" w:h="16838" w:orient="portrait"/>
          <w:cols w:equalWidth="0" w:num="1">
            <w:col w:w="11440"/>
          </w:cols>
          <w:pgMar w:left="240" w:top="140" w:right="2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10.33(b)</w:t>
            </w:r>
          </w:p>
        </w:tc>
        <w:tc>
          <w:tcPr>
            <w:tcW w:w="100" w:type="dxa"/>
            <w:vAlign w:val="bottom"/>
            <w:tcBorders>
              <w:top w:val="single" w:sz="8" w:color="auto"/>
              <w:right w:val="single" w:sz="8" w:color="auto"/>
            </w:tcBorders>
          </w:tcPr>
          <w:p>
            <w:pPr>
              <w:spacing w:after="0"/>
              <w:rPr>
                <w:sz w:val="20"/>
                <w:szCs w:val="20"/>
                <w:color w:val="auto"/>
              </w:rPr>
            </w:pPr>
          </w:p>
        </w:tc>
        <w:tc>
          <w:tcPr>
            <w:tcW w:w="9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2, dated as of May 9, 2007, among Avis Budget Rental Car Funding (AESOP) LLC, as Issuer, and The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of New York Trust Company, N.A. (as successor in interest to The Bank of New York), as Trustee, to the Second Amended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Restated Base Indenture, dated as of June 3, 2004 (Incorporated by reference to Exhibit 10.6 to the Company’s Quarterly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10-Q for the quarterly period ended June 30, 2007, dated August 8,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3, dated as of August 16, 2013, among Avis Budget Rental Car Funding (AESOP) LLC, as Issuer, and The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of New York Trust Company, N.A. (as successor in interest to The Bank of New York), as Trustee, to the Second Amended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Restated Base Indenture, dated as of June 3, 2004 (Incorporated by reference to Exhibit 10.35(c) to the Company’s Annual Report on</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10-K for the year ended December 31, 2013, dated February 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among AESOP Leasing L.P., as Borrower, Quartx Fleet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Management, Inc., as a Permitted Nominee, PV Holding Corp., as a Permitted Nominee, and Cendant Rental Car Funding (AESOP)</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as Lender (Incorporated by reference to Exhibit 10.8 to the Company’s Quarterly Report on Form 10-Q for the quarterly period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ended June 30, 2004, dated August 2, 2004).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Borrower, Quartx Fleet Management, Inc., as a</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Nominee, PV Holding Corp., as a Permitted Nominee, and Cendant Rental Car Funding (AESOP) LLC***, as Lender, to the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(Incorporated by reference to Exhibit 10.2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January 20,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dated as of May 9, 2007, among AESOP Leasing L.P., as Borrower, PV Holding Corp., as a Permitted Nominee,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Quartx Fleet Management, Inc., as a Permitted Nominee, and Avis Budget Rental Car Funding (AESOP) LLC, as Lender, to the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(Incorporated by reference to Exhibit 10.8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quarterly period ended June 30, 2007, dated August 8,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August 16, 2013, among AESOP Leasing L.P., as Borrower, PV Holding Corp., as a Permitted Nominee,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Quartx Fleet Management, Inc., as a Permitted Nominee, and Avis Budget Rental Car Funding (AESOP) LLC, as Lender, to the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(Incorporated by reference to Exhibit 10.36(c)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Annual Report on Form 10-K for the year ended December 31, 2013, dated February 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Loan Agreement, dated as of June 3, 2004, among AESOP Leasing L.P., as Borrower, and Cendant Rental</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 Funding (AESOP) LLC***, as Lender (Incorporated by reference to Exhibit 10.29(a) to the Company’s Annual Report on Form 10-K</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the year ended December 31, 2006, dated March 1,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Borrower, and Cendant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as Lender, to the Amended and Restated Loan Agreement, dated as of June 3, 2004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10.29(b) to the Company’s Annual Report on Form 10-K for the year ended December 31, 2006, dated March 1,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dated as of the May 9, 2007, among AESOP Leasing L.P., as Borrower, and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as Lender, to the Amended and Restated Loan Agreement, dated as of June 3, 2004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10.7 to the Company’s Quarterly Report on Form 10-Q for the quarterly period ended June 30, 2007, dated August 8,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August 16, 2013, among AESOP Leasing L.P., as Borrower, and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as Lender, to the Amended and Restated Loan Agreement, dated as of June 3, 2004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10.37(c) to the Company’s Annual Report on Form 10-K for the year ended December 31, 2013, dated February 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Master Motor Vehicle Operating Lease Agreement, dated as of June 3, 2004, among AESOP Leasing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L.P., as Lessor, and Cendant Car Rental Group, Inc.**, as Lessee and as Administrator (Incorporated by reference to Exhibit 10.9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quarterly period ended June 30, 2004, dated August 2, 2004).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December 23, 2005, among AESOP Leasing L.P., as Lessor, and Cendant Car Rental Group, Inc.**,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and as Administrator, to the Second Amended and Restated Master Motor Vehicle Operating Lease Agreement, dated as of</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December 23, 2005 (Incorporated by reference to Exhibit 10.3 to the Company’s Current Report on Form 8-K dated January 20,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May 9, 2007, among AESOP Leasing L.P., as Lessor and Avis Budget Car Rental, LLC, as Lessee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the Administrator, to the Second Amended and Restated Master Motor Vehicle Operating Lease Agreement, dated as of June 3,</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2004 (Incorporated by reference to Exhibit 10.9 to the Company’s Quarterly Report on Form 10-Q for the quarterly period ended June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 2007, dated August 8,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Amendment, dated as of August 16, 2013, among AESOP Leasing L.P., as Lessor and Avis Budget Car Rental, LLC, as Lessee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as the Administrator, to the Second Amended and Restated Master Motor Vehicle Operating Lease Agreement, dated as of June 3,</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2004 (Incorporated by reference to Exhibit 10.38(c) to the Company’s Annual Report on Form 10-K for the year ended December 31,</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 dated February 20, 2014).</w:t>
            </w:r>
          </w:p>
        </w:tc>
      </w:tr>
      <w:tr>
        <w:trPr>
          <w:trHeight w:val="459"/>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Pr>
          <w:p>
            <w:pPr>
              <w:ind w:left="3900"/>
              <w:spacing w:after="0"/>
              <w:rPr>
                <w:sz w:val="20"/>
                <w:szCs w:val="20"/>
                <w:color w:val="auto"/>
              </w:rPr>
            </w:pPr>
            <w:r>
              <w:rPr>
                <w:rFonts w:ascii="Arial" w:cs="Arial" w:eastAsia="Arial" w:hAnsi="Arial"/>
                <w:sz w:val="18"/>
                <w:szCs w:val="18"/>
                <w:color w:val="auto"/>
              </w:rPr>
              <w:t>H-4</w:t>
            </w:r>
          </w:p>
        </w:tc>
      </w:tr>
    </w:tbl>
    <w:p>
      <w:pPr>
        <w:sectPr>
          <w:pgSz w:w="11900" w:h="16838" w:orient="portrait"/>
          <w:cols w:equalWidth="0" w:num="1">
            <w:col w:w="11440"/>
          </w:cols>
          <w:pgMar w:left="240" w:top="140" w:right="2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w:t>
            </w:r>
          </w:p>
        </w:tc>
        <w:tc>
          <w:tcPr>
            <w:tcW w:w="100" w:type="dxa"/>
            <w:vAlign w:val="bottom"/>
            <w:tcBorders>
              <w:top w:val="single" w:sz="8" w:color="auto"/>
              <w:right w:val="single" w:sz="8" w:color="auto"/>
            </w:tcBorders>
          </w:tcPr>
          <w:p>
            <w:pPr>
              <w:spacing w:after="0"/>
              <w:rPr>
                <w:sz w:val="20"/>
                <w:szCs w:val="20"/>
                <w:color w:val="auto"/>
              </w:rPr>
            </w:pPr>
          </w:p>
        </w:tc>
        <w:tc>
          <w:tcPr>
            <w:tcW w:w="9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Amended and Restated Master Motor Vehicle Finance Lease Agreement, dated as of June 3, 2004, among AESOP Leasing L.P.,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Lessor, Cendant Car Rental Group, Inc.**, as Lessee, as Administrator and as Finance Lease Guarantor, Avis Rent A Car System,</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 as Lessee, and Budget Rent A Car System, Inc., as Lessee (Incorporated by reference to Exhibit 10.30(a)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2006, dated March 1,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Lessor, Cendant Car Rental Group, Inc.**,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as Administrator and as Finance Lease Guarantor, Avis Rent A Car System, Inc.****, as Lessee, and Budget Rent A Car</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System, Inc., as Lessee, to the Amended and Restated Master Motor Vehicle Finance Lease Agreement, dated as of June 3, 2004</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10.30(b) to the Company’s Annual Report on Form 10-K for the year ended December 31, 2006,</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dated March 1,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May 9, 2007, among AESOP Leasing L.P., as Lessor, Avis Budget Car Rental, LLC, as Lessee,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and as Finance Lease Guarantor, Avis Rent A Car System, LLC, as Lessee, and Budget Rent A Car System, Inc.,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to the Amended and Restated Master Motor Vehicle Finance Lease Agreement, dated as of June 3, 2004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10.11 to the Company’s Quarterly Report on Form 10-Q for the quarterly period ended June 30, 2007,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August 8, 2007).</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Amendment, dated as of August 16, 2013, among AESOP Leasing L.P., as Lessor, Avis Budget Car Rental, LLC, as Lessee,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and as Finance Lease Guarantor, Avis Rent A Car System, LLC, as Lessee, and Budget Rent A Car System, Inc., as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to the Amended and Restated Master Motor Vehicle Finance Lease Agreement, dated as of June 3, 2004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10.39(c) to the Company’s Annual Report on Form 10-K for the year ended December 31, 2013, dated February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10.38</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I Operating Sublease Agreement dated as of March 26, 2013 between Zipcar, Inc. and Avis Budget Car Rental, LLC</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10.2 to the Company’s Quarterly Report on Form 10-Q for the quarterly period ended March 31,</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 dated May 8,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10.39</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Administration Agreement, dated as of June 3, 2004, among Cendant Rental Car Funding (AESOP)</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AESOP Leasing L.P., AESOP Leasing Corp. II, Avis Rent A Car System, Inc.****, Budget Rent A Car System, Inc., Cendant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 Rental Group, Inc.** and The Bank of New York, as Trustee (Incorporated by reference to Exhibit 10.34 to the Company’s Annual</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2005, dated March 1,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10.39(a)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August 16, 2013, among Avis Budget Rental Car Funding (AESOP) LLC, AESOP Leasing L.P., AESOP</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Leasing Corp. II, Avis Rent A Car System, LLC, Budget Rent A Car System, Inc. and Avis Budget Car Rental, LLC, as Administrator, to</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Second Amended and Restated Administration Agreement dated as of June 3, 2004 (Incorporated by reference to Exhibit 10.41(a)</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the Company’s Annual Report on Form 10-K for the year ended December 31, 2013, dated February 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10.40</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Assignment and Assumption Agreement dated as of June 3, 2004, among Avis Rent A Car System, Inc.****, Avis Group Holdings,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 and Cendant Car Rental Group, Inc.** (Incorporated by reference to Exhibit 10.35 to the Company’s Annual Report on Form</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2005, dated March 1, 2006).</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2010-5 Supplement, dated as of October 28, 2010, among Avis Budget Rental Car Funding (AESOP) LLC and The Bank of New</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Mellon Trust Company, N.A., as trustee and Series 2010-5 Agent (Incorporated by reference to Exhibit 10.4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October 28, 2010).</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10.41(a)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Series 2010-6 Supplement, dated as of November 5, 2013, by and among Avis Budget Rental Car</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Funding (AESOP) LLC, as Issuer, Avis Budget Car Rental, LLC, as Administrator, JPMorgan Chase Bank, N.A., as Administrative</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Agent, the Non-Conduit Purchasers, the CP Conduit Purchasers, the APA Banks and the Funding Agents named therein and The Bank</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New York Mellon Trust Company, N.A., as Trustee and as Series 2010-6 Agent (Incorporated by reference to Exhibit 10.1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November 7,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10.41(b)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to the Second Amended and Restated Series 2010-6 Supplement, dated as of November 20, 2014, by and among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Rental Car Funding (AESOP) LLC, as Issuer, Avis Budget Car Rental, LLC, as Administrator, JPMorgan Chase Bank,</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 as Administrative Agent, the Non-Conduit Purchasers, the CP Conduit Purchasers, the APA Banks and the Funding Agents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named therein and The Bank of New York Mellon Trust Company, N.A., as Trustee and as Series 2010-6 Agent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 to the Company’s Current Report on Form 8-K dated November 26,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2011-3 Supplement, dated as of September 9, 2013, between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and The Bank of New York Mellon Trust Company, N.A., as trustee and as Series 2011-3 Agent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10.11 to the Company’s Quarterly Report on Form 10-Q for the period ended September 30, 2013,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November 1,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2011-5 Supplement, dated as of September 9, 2013, between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and The Bank of New York Mellon Trust Company, N.A., as trustee and as Series 2011-5 Agent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10.10 to the Company’s Quarterly Report on Form 10-Q for the period ended September 30, 2013, dated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November 1, 2013).</w:t>
            </w:r>
          </w:p>
        </w:tc>
      </w:tr>
      <w:tr>
        <w:trPr>
          <w:trHeight w:val="459"/>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Pr>
          <w:p>
            <w:pPr>
              <w:ind w:left="3900"/>
              <w:spacing w:after="0"/>
              <w:rPr>
                <w:sz w:val="20"/>
                <w:szCs w:val="20"/>
                <w:color w:val="auto"/>
              </w:rPr>
            </w:pPr>
            <w:r>
              <w:rPr>
                <w:rFonts w:ascii="Arial" w:cs="Arial" w:eastAsia="Arial" w:hAnsi="Arial"/>
                <w:sz w:val="18"/>
                <w:szCs w:val="18"/>
                <w:color w:val="auto"/>
              </w:rPr>
              <w:t>H-5</w:t>
            </w:r>
          </w:p>
        </w:tc>
      </w:tr>
    </w:tbl>
    <w:p>
      <w:pPr>
        <w:sectPr>
          <w:pgSz w:w="11900" w:h="16838" w:orient="portrait"/>
          <w:cols w:equalWidth="0" w:num="1">
            <w:col w:w="11440"/>
          </w:cols>
          <w:pgMar w:left="240" w:top="140" w:right="2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10.44</w:t>
            </w:r>
          </w:p>
        </w:tc>
        <w:tc>
          <w:tcPr>
            <w:tcW w:w="100" w:type="dxa"/>
            <w:vAlign w:val="bottom"/>
            <w:tcBorders>
              <w:top w:val="single" w:sz="8" w:color="auto"/>
              <w:right w:val="single" w:sz="8" w:color="auto"/>
            </w:tcBorders>
          </w:tcPr>
          <w:p>
            <w:pPr>
              <w:spacing w:after="0"/>
              <w:rPr>
                <w:sz w:val="20"/>
                <w:szCs w:val="20"/>
                <w:color w:val="auto"/>
              </w:rPr>
            </w:pPr>
          </w:p>
        </w:tc>
        <w:tc>
          <w:tcPr>
            <w:tcW w:w="9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2012-2 Supplement, dated as of September 9, 2013, between Avis Budget Car Funding (AESOP) LLC</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The Bank of New York Mellon Trust company, N.A., as trustee and as Series 2012-2 Agent (Incorporated by reference to Exhibit</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10.9 to the Company’s Quarterly Report on Form 10-Q for the period ended September 30, 2013, dated November 1,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10.45</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2012-3 Supplement, dated as of September 9, 2013, between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and The Bank of New York Mellon Trust Company, N.A., as trustee and as Series 2012-3 Agent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10.8 to the Company’s Quarterly Report on Form 10-Q for the period ended September 30, 2013, dated November</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10.46</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2013-1 Supplement, dated as of September 9, 2013, between Avis Budget Rental Car Funding</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and The Bank of New York Mellon Trust Company, N.A., as trustee and as Series 2013-1 Agent (Incorporated by</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10.7 to the Company’s Quarterly Report on Form 10-Q for the period ended September 30, 2013, dated November</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10.47</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2013-2 Supplement, dated as of February 12, 2014, between Avis Budget Rental Car Funding (AESOP)</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and The Bank of New York Mellon Trust Company, N.A., as trustee and as Series 2013-2 Agent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10.54 to the Company’s Annual Report on Form 10-K for the year ended December 31, 2013, dated February 20,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10.48</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2014-1 Supplement, dated as of February 12, 2014, between Avis Budget Rental Car Funding (AESOP) LLC and The Bank of</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York Mellon Trust Company, N.A., as trustee and as Series 2014-1 Agent (Incorporated by reference to Exhibit 10.1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February 18,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10.49</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2014-2 Supplement, dated as of July 24, 2014, between Avis Budget Rental Car Funding (AESOP) LLC and The Bank of New</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Mellon Trust Company, N.A., as trustee and as Series 2014-2 Agent (Incorporated by reference to Exhibit 10.1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July 24,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2015-1 Supplement, dated as of January 29, 2015, between Avis Budget Rental Car Funding (AESOP) LLC and The Bank of</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York Mellon Trust Company, N.A., as trustee and as Series 2015-1 Agent (Incorporated by reference to Exhibit 10.1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January 30, 2015).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10.51</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2015-2 Supplement, dated as of May 27, 2015, between Avis Budget Rental Car Funding (AESOP) LLC and the Bank of New</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Mellon Trust Company, N.A., as trustee and as Series 2015-2 Agent (Incorporated by reference to Exhibit 10.1 to the Company’s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May 29, 2015).</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Amended and Restated Credit Agreement, dated as of October 3, 2014, among Avis Budget Holdings, LLC, Avis Budget Car</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Rental, LLC, Avis Budget Group, Inc., the Subsidiary Borrowers from time to time parties there, the several banks and other financial</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institutions or entities from time to time parties thereto, JPMorgan Chase Bank, N.A., as Administrative Agent, Deutsche Bank</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Securities Inc., as Syndication Agent, Citicorp USA, Inc., Bank of America, N.A., Barclays Bank plc, Credit Agricole Corporate and</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and The Royal Bank of Scotland plc, as Co-Documentation Agents (Incorporated by reference to Exhibit 10.1 to the</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October 6, 2014).</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Administrative Amendment, dated as of October 22, 2014, to the Third Amended And Restated Credit Agreement dated as of October</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 2014 among Avis Budget Holdings, LLC, Avis Budget Car Rental, LLC, Avis Budget Group, Inc. the Subsidiary Borrowers and</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Lenders party thereto, JPMorgan Chase Bank, N.A., as Administrative Agent and other agent and lending parties thereto.</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Issuing Lender Agreement, dated as of January 15, 2015, among Avis Budget Car Rental, LLC, JPMorgan Chase Bank, N.A., Credit</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Agricole Corporate &amp; Investment Bank and JPMorgan Chase Bank, N.A. as Administrative Agent.</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10.52(c)</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Issuing Lender Agreement, dated as of December 31, 2014, among Avis Budget Car Rental, LLC, JPMorgan Chase Bank, N.A.,</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Deutsche Bank AG New York Branch and JPMorgan Chase Bank, N.A. as Administrative Agent.</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10.53</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Guarantee &amp; Collateral Agreement, dated as of May 3, 2011, among Avis Budget Holdings, LLC, Avis Budget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 Rental, LLC and certain of its Subsidiaries in favor of JPMorgan Chase Bank, N.A., as Administrative Agent (Incorporated by</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10.2 to the Company’s Current Report on Form 8-K dated May 6, 2011).</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10.53(a)</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dated as of March 4, 2013, to the Amended and Restated Credit Agreement and the Amended and Restated Guarantee &amp;</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Collateral Agreement, each dated as of May 3, 2011, among Avis Budget Holdings, LLC, Avis Budget Car Rental, LLC and certain of its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Subsidiaries, JPMorgan Chase Bank, N.A., as Administrative Agent and certain other signatories thereto (Incorporated by reference to</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 to the Company’s Current Report on Form 8-K dated March 5, 2013).</w:t>
            </w:r>
          </w:p>
        </w:tc>
      </w:tr>
      <w:tr>
        <w:trPr>
          <w:trHeight w:val="218"/>
        </w:trPr>
        <w:tc>
          <w:tcPr>
            <w:tcW w:w="1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10.53(b)</w:t>
            </w:r>
          </w:p>
        </w:tc>
        <w:tc>
          <w:tcPr>
            <w:tcW w:w="100" w:type="dxa"/>
            <w:vAlign w:val="bottom"/>
            <w:tcBorders>
              <w:right w:val="single" w:sz="8" w:color="auto"/>
            </w:tcBorders>
          </w:tcPr>
          <w:p>
            <w:pPr>
              <w:spacing w:after="0"/>
              <w:rPr>
                <w:sz w:val="18"/>
                <w:szCs w:val="18"/>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to the Amended and Restated Guarantee &amp; Collateral Agreement, dated as of October 3, 2014, among Avis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Holdings, LLC, Avis Budget Car Rental, LLC and certain of its Subsidiaries, in favor of JPMorgan Chase Bank, N.A., as</w:t>
            </w:r>
          </w:p>
        </w:tc>
      </w:tr>
      <w:tr>
        <w:trPr>
          <w:trHeight w:val="208"/>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Administrative Agent (Incorporated by reference to Exhibit 10.2 to the Company’s Current Report on Form 8-K dated October 6, 2014).</w:t>
            </w:r>
          </w:p>
        </w:tc>
      </w:tr>
      <w:tr>
        <w:trPr>
          <w:trHeight w:val="459"/>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Pr>
          <w:p>
            <w:pPr>
              <w:ind w:left="3900"/>
              <w:spacing w:after="0"/>
              <w:rPr>
                <w:sz w:val="20"/>
                <w:szCs w:val="20"/>
                <w:color w:val="auto"/>
              </w:rPr>
            </w:pPr>
            <w:r>
              <w:rPr>
                <w:rFonts w:ascii="Arial" w:cs="Arial" w:eastAsia="Arial" w:hAnsi="Arial"/>
                <w:sz w:val="18"/>
                <w:szCs w:val="18"/>
                <w:color w:val="auto"/>
              </w:rPr>
              <w:t>H-6</w:t>
            </w:r>
          </w:p>
        </w:tc>
      </w:tr>
    </w:tbl>
    <w:p>
      <w:pPr>
        <w:sectPr>
          <w:pgSz w:w="11900" w:h="16838" w:orient="portrait"/>
          <w:cols w:equalWidth="0" w:num="1">
            <w:col w:w="11440"/>
          </w:cols>
          <w:pgMar w:left="240" w:top="140" w:right="2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80" w:type="dxa"/>
            <w:vAlign w:val="bottom"/>
            <w:tcBorders>
              <w:top w:val="single" w:sz="8" w:color="auto"/>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10.54</w:t>
            </w:r>
          </w:p>
        </w:tc>
        <w:tc>
          <w:tcPr>
            <w:tcW w:w="10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November 15, 2010, by and among Avis Budget Car Rental, LLC, Avis Budget Finance, Inc., Avis Budget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 Avis Budget Holdings, LLC, AB Car Rental Service, Inc., ARACS LLC, Avis Asia and Pacific, Limited, Avis Car Rental Group,</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Avis Caribbean, Limited, Avis Enterprises, Inc., Avis Group Holdings, LLC, Avis International, Ltd., Avis Operations, LLC, Avis Rent A</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 System, LLC, PF Claims Management, Ltd., PR Holdco, Inc., Wizard Co., Inc., BGI Leasing, Inc., Budget Rent A Car System, Inc.,</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Truck Rental LLC, Runabout, LLC, Wizard Services, Inc. and Citigroup Global Markets Inc. for itself and on behalf of the several</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initial purchasers (Incorporated by reference to Exhibit 10.1 to the Company’s Current Report on Form 8-K dated November 18, 2010).</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10.55</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March 26, 2012, by and among Avis Budget Car Rental, LLC, Avis Budget Finance, Inc., Avis Budget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 Avis Budget Holdings, LLC, the subsidiary guarantors party thereto, and Barclays Capital Inc. for itself and on behalf of the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several initial purchasers (Incorporated by reference to Exhibit 10.5 to the Company’s Quarterly Report on Form 10-Q for the quarter ended</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March 31, 2012, dated May 9, 2012).</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10.56</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March 29, 2012, among Avis Budget Car Rental, LLC and Avis Budget Finance, Inc., the guarantors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parties thereto, and Barclays Capital Inc. for itself and on behalf of the several initial purchasers (Incorporated by reference to Exhibit 10.6 to</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Quarterly Report on Form 10-Q for the quarter ended March 31, 2012, dated May 9, 2012).</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10.57</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November 5, 2012, by and among Avis Budget Car Rental, LLC, Avis Budget Finance, Inc., Avis Budget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 Avis Budget Holdings, LLC, AB Car Rental Service, Inc., ARACS LLC, Avis Asia and Pacific, LLC, Avis Car Rental Group, LLC,</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Caribbean, Limited, Avis Enterprises, Inc., Avis Group Holdings, LLC, Avis International, Ltd., Avis Operations, LLC, Avis Rent A Car</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System, LLC, PF Claims Management, Ltd., PR Holdco, Inc., Wizard Co., Inc., BGI Leasing, Inc., Budget Rent A Car System, Inc., Budget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Rent A Car Licensor, LLC, Budget Truck Rental LLC, Runabout, LLC, Wizard Services, Inc. and Merill Lynch, Pierce, Fenner &amp; Smith,</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for itself and on behalf of the several initial purchasers (Incorporated by reference to Exhibit 10.1 to the Company’s Current</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November 6, 2012).</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10.58</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November 8, 2012, among Avis Budget Car Rental, LLC and Avis Budget Finance, Inc., the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guarantors parties thereto, Merrill Lynch, Pierce, Fenner &amp; Smith Incorporated, and the other initial purchasers parties thereto (Incorporated</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10.1 to the Company’s Current Report on Form 8-K dated November 13, 2012).</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10.59</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February 28, 2013, by and among Avis Budget Finance, plc, as issuer, Avis Budget Group, Inc.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certain of its subsidiaries as guarantors, and Citigroup Global Markets Limited, for itself and on behalf of the several initial purchasers</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 to the Company’s Current Report on Form 8-K dated March 5,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10.60</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March 19, 2013, by and among Avis Budget Car Rental, LLC and Avis Budget Finance, Inc. as issuers,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and certain of its subsidiaries as guarantors, and Barclays Capital Inc. for itself and on behalf of the several initial</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purchasers (Incorporated by reference to Exhibit 10.1 to the Company’s Current Report on Form 8-K dated March 25,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10.61</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as of April 3, 2013, among Avis Budget Car Rental, LLC and Avis Budget Finance, Inc., the guarantors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parties thereto, Barclays Capital Inc., and the other initial purchasers parties thereto (Incorporated by reference to Exhibit 10.1 to the</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April 8,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10.62</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November 20, 2013, by and among Avis Budget Car Rental, LLC and Avis Budget Finance, Inc. as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issuers, Avis Budget Group, Inc. and certain of its subsidiaries as guarantors, and Citigroup Global Markets, Inc. as the initial purchaser</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Trustee (Incorporated by reference to Exhibit 10.1 to the Company’s Current Report on Form 8-K dated November 22,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10.63</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November 25, 2013, among Avis Budget Car Rental, LLC and Avis Budget Finance, Inc., the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guarantors parties thereto and Citigroup Global Markets Inc. (Incorporated by reference to Exhibit 10.1 to the Company’s Current Report on</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December 2,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10.64</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of Resignation, Appointment And Acceptance, dated as of September 5, 2013, by and among Avis Budget Car Rental, LLC, Avis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Finance, Inc., The Bank of Nova Scotia Trust Company of New York, as the retiring trustee, and Deutsche Bank Trust Company</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Americas, as the successor trustee under the indentures described therein (Incorporated by reference to Exhibit 10.4 to the Company’s</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Report on Form 10-Q for the period ended September 30, 2013, dated November 1, 2013).</w:t>
            </w:r>
          </w:p>
        </w:tc>
      </w:tr>
      <w:tr>
        <w:trPr>
          <w:trHeight w:val="218"/>
        </w:trPr>
        <w:tc>
          <w:tcPr>
            <w:tcW w:w="1180" w:type="dxa"/>
            <w:vAlign w:val="bottom"/>
            <w:tcBorders>
              <w:left w:val="single" w:sz="8" w:color="auto"/>
              <w:right w:val="single" w:sz="8" w:color="auto"/>
            </w:tcBorders>
          </w:tcPr>
          <w:p>
            <w:pPr>
              <w:jc w:val="right"/>
              <w:ind w:right="639"/>
              <w:spacing w:after="0"/>
              <w:rPr>
                <w:sz w:val="20"/>
                <w:szCs w:val="20"/>
                <w:color w:val="auto"/>
              </w:rPr>
            </w:pPr>
            <w:r>
              <w:rPr>
                <w:rFonts w:ascii="Arial" w:cs="Arial" w:eastAsia="Arial" w:hAnsi="Arial"/>
                <w:sz w:val="16"/>
                <w:szCs w:val="16"/>
                <w:color w:val="auto"/>
              </w:rPr>
              <w:t>10.65</w:t>
            </w: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of Resignation, Appointment And Acceptance, dated as of September 5, 2013, by and among Avis Budget Finance, The Bank of</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Nova Scotia Trust Company of New York, as the retiring trustee, and Deutsche Bank Trust Company Americas, as the successor trustee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under the indenture dated as of March 7, 2013 (as amended and supplemented) (Incorporated by reference to Exhibit 10.5 to the Company’s</w:t>
            </w:r>
          </w:p>
        </w:tc>
      </w:tr>
      <w:tr>
        <w:trPr>
          <w:trHeight w:val="208"/>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Report on Form 10-Q for the period ended September 30, 2013, dated November 1, 2013).</w:t>
            </w:r>
          </w:p>
        </w:tc>
      </w:tr>
      <w:tr>
        <w:trPr>
          <w:trHeight w:val="459"/>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H-7</w:t>
            </w:r>
          </w:p>
        </w:tc>
      </w:tr>
    </w:tbl>
    <w:p>
      <w:pPr>
        <w:sectPr>
          <w:pgSz w:w="11900" w:h="16838" w:orient="portrait"/>
          <w:cols w:equalWidth="0" w:num="1">
            <w:col w:w="11440"/>
          </w:cols>
          <w:pgMar w:left="240" w:top="140" w:right="2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52743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52743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ind w:left="40"/>
              <w:spacing w:after="0"/>
              <w:rPr>
                <w:sz w:val="20"/>
                <w:szCs w:val="20"/>
                <w:color w:val="auto"/>
              </w:rPr>
            </w:pPr>
            <w:r>
              <w:rPr>
                <w:rFonts w:ascii="Arial" w:cs="Arial" w:eastAsia="Arial" w:hAnsi="Arial"/>
                <w:sz w:val="16"/>
                <w:szCs w:val="16"/>
                <w:color w:val="auto"/>
              </w:rPr>
              <w:t>10.66</w:t>
            </w:r>
          </w:p>
        </w:tc>
        <w:tc>
          <w:tcPr>
            <w:tcW w:w="10440" w:type="dxa"/>
            <w:vAlign w:val="bottom"/>
          </w:tcPr>
          <w:p>
            <w:pPr>
              <w:ind w:left="300"/>
              <w:spacing w:after="0"/>
              <w:rPr>
                <w:sz w:val="20"/>
                <w:szCs w:val="20"/>
                <w:color w:val="auto"/>
              </w:rPr>
            </w:pPr>
            <w:r>
              <w:rPr>
                <w:rFonts w:ascii="Arial" w:cs="Arial" w:eastAsia="Arial" w:hAnsi="Arial"/>
                <w:sz w:val="16"/>
                <w:szCs w:val="16"/>
                <w:color w:val="auto"/>
              </w:rPr>
              <w:t>Agreement of Resignation, Appointment And Acceptance, dated as of September 5, 2013, by and among Avis Budget Car Rental, LLC, Avis</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Budget Group, Inc., The Bank of Nova Scotia Trust Company of New York, as the retiring trustee, and Deutsche Bank Trust Company</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Americas, as the successor trustee under the indenture dated as of October 13, 2009 (as amended and supplemented) (Incorporated by</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reference to Exhibit 10.6 to the Company’s Quarterly Report on Form 10-Q for the period ended September 30, 2013, dated November 1,</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2013).</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10.67</w:t>
            </w:r>
          </w:p>
        </w:tc>
        <w:tc>
          <w:tcPr>
            <w:tcW w:w="10440" w:type="dxa"/>
            <w:vAlign w:val="bottom"/>
          </w:tcPr>
          <w:p>
            <w:pPr>
              <w:ind w:left="300"/>
              <w:spacing w:after="0"/>
              <w:rPr>
                <w:sz w:val="20"/>
                <w:szCs w:val="20"/>
                <w:color w:val="auto"/>
              </w:rPr>
            </w:pPr>
            <w:r>
              <w:rPr>
                <w:rFonts w:ascii="Arial" w:cs="Arial" w:eastAsia="Arial" w:hAnsi="Arial"/>
                <w:sz w:val="16"/>
                <w:szCs w:val="16"/>
                <w:color w:val="auto"/>
              </w:rPr>
              <w:t>Purchase Agreement, dated as of May 13, 2014, by and among Avis Budget Car Rental, LLC and Avis Budget Finance, Inc. as issuers, Avis</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Budget Group, Inc. and certain of its subsidiaries as guarantors, Morgan Stanley &amp; Co. LLC for itself and on behalf of the several initial</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purchasers (Incorporated by reference to Exhibit 10.1 to the Company’s Current Report on Form 8-K dated May 19, 2014).</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10.68</w:t>
            </w:r>
          </w:p>
        </w:tc>
        <w:tc>
          <w:tcPr>
            <w:tcW w:w="10440" w:type="dxa"/>
            <w:vAlign w:val="bottom"/>
          </w:tcPr>
          <w:p>
            <w:pPr>
              <w:ind w:left="300"/>
              <w:spacing w:after="0"/>
              <w:rPr>
                <w:sz w:val="20"/>
                <w:szCs w:val="20"/>
                <w:color w:val="auto"/>
              </w:rPr>
            </w:pPr>
            <w:r>
              <w:rPr>
                <w:rFonts w:ascii="Arial" w:cs="Arial" w:eastAsia="Arial" w:hAnsi="Arial"/>
                <w:sz w:val="16"/>
                <w:szCs w:val="16"/>
                <w:color w:val="auto"/>
              </w:rPr>
              <w:t>Purchase Agreement, dated as of November 6, 2014, by and among Avis Budget Car Rental, LLC and Avis Budget Finance, Inc. as issuers,</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Avis Budget Group, Inc. and certain of its subsidiaries as guarantors, and Credit Agricole Securities (USA) Inc. for itself and on behalf of the</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several initial purchasers (Incorporated by reference to Exhibit 10.73 to Avis Budget Car Rental, LLC and Avis Budget Finance, Inc.’s</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Registration Statement on Form S-4, Registration Number 333-201102-19, dated December 19, 2014).</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10.69</w:t>
            </w:r>
          </w:p>
        </w:tc>
        <w:tc>
          <w:tcPr>
            <w:tcW w:w="10440" w:type="dxa"/>
            <w:vAlign w:val="bottom"/>
          </w:tcPr>
          <w:p>
            <w:pPr>
              <w:ind w:left="300"/>
              <w:spacing w:after="0"/>
              <w:rPr>
                <w:sz w:val="20"/>
                <w:szCs w:val="20"/>
                <w:color w:val="auto"/>
              </w:rPr>
            </w:pPr>
            <w:r>
              <w:rPr>
                <w:rFonts w:ascii="Arial" w:cs="Arial" w:eastAsia="Arial" w:hAnsi="Arial"/>
                <w:sz w:val="16"/>
                <w:szCs w:val="16"/>
                <w:color w:val="auto"/>
              </w:rPr>
              <w:t>Registration Rights Agreement, dated November 14, 2013, among Avis Budget Car Rental, LLC and Avis Budget Finance, Inc., the</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guarantors parties thereto and Credit Agricole Securities (USA) Inc. for itself and on behalf of the several initial purchasers (Incorporated by</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reference to Exhibit 10.74 to Avis Budget Car Rental, LLC and Avis Budget Finance, Inc.’s Registration Statement on Form S-4, Registration</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Number 333-201102-19, dated December 19, 2014).</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10.70</w:t>
            </w:r>
          </w:p>
        </w:tc>
        <w:tc>
          <w:tcPr>
            <w:tcW w:w="10440" w:type="dxa"/>
            <w:vAlign w:val="bottom"/>
          </w:tcPr>
          <w:p>
            <w:pPr>
              <w:ind w:left="300"/>
              <w:spacing w:after="0"/>
              <w:rPr>
                <w:sz w:val="20"/>
                <w:szCs w:val="20"/>
                <w:color w:val="auto"/>
              </w:rPr>
            </w:pPr>
            <w:r>
              <w:rPr>
                <w:rFonts w:ascii="Arial" w:cs="Arial" w:eastAsia="Arial" w:hAnsi="Arial"/>
                <w:sz w:val="16"/>
                <w:szCs w:val="16"/>
                <w:color w:val="auto"/>
              </w:rPr>
              <w:t>Purchase Agreement, dated as of March 4, 2015, by and among Avis Budget Car Rental, LLC and Avis Budget Finance, Inc. as issuers,</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Avis Budget Group, Inc. and certain of its subsidiaries as guarantors and Merrill Lynch, Pierce, Fenner &amp; Smith Incorporated for itself and on</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behalf of the several initial purchasers (Incorporated by reference to Exhibit 10.1 to the Company’s Current Report on Form 8-K dated March</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10, 2015).</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10.71</w:t>
            </w:r>
          </w:p>
        </w:tc>
        <w:tc>
          <w:tcPr>
            <w:tcW w:w="10440" w:type="dxa"/>
            <w:vAlign w:val="bottom"/>
          </w:tcPr>
          <w:p>
            <w:pPr>
              <w:ind w:left="300"/>
              <w:spacing w:after="0"/>
              <w:rPr>
                <w:sz w:val="20"/>
                <w:szCs w:val="20"/>
                <w:color w:val="auto"/>
              </w:rPr>
            </w:pPr>
            <w:r>
              <w:rPr>
                <w:rFonts w:ascii="Arial" w:cs="Arial" w:eastAsia="Arial" w:hAnsi="Arial"/>
                <w:sz w:val="16"/>
                <w:szCs w:val="16"/>
                <w:color w:val="auto"/>
              </w:rPr>
              <w:t>Cooperation Agreement, dated as of January 25, 2016, by and among Avis Budget Group, Inc. and SRS Investment Management LLC</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(Incorporated by reference to Exhibit 10.1 to the Company’s Current Report on Form 8-K dated January 25, 2016).</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12</w:t>
            </w:r>
          </w:p>
        </w:tc>
        <w:tc>
          <w:tcPr>
            <w:tcW w:w="10440" w:type="dxa"/>
            <w:vAlign w:val="bottom"/>
          </w:tcPr>
          <w:p>
            <w:pPr>
              <w:ind w:left="300"/>
              <w:spacing w:after="0"/>
              <w:rPr>
                <w:sz w:val="20"/>
                <w:szCs w:val="20"/>
                <w:color w:val="auto"/>
              </w:rPr>
            </w:pPr>
            <w:r>
              <w:rPr>
                <w:rFonts w:ascii="Arial" w:cs="Arial" w:eastAsia="Arial" w:hAnsi="Arial"/>
                <w:sz w:val="16"/>
                <w:szCs w:val="16"/>
                <w:color w:val="auto"/>
              </w:rPr>
              <w:t>Statement Re: Computation of Ratio of Earnings to Fixed Charges.</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21</w:t>
            </w:r>
          </w:p>
        </w:tc>
        <w:tc>
          <w:tcPr>
            <w:tcW w:w="10440" w:type="dxa"/>
            <w:vAlign w:val="bottom"/>
          </w:tcPr>
          <w:p>
            <w:pPr>
              <w:ind w:left="300"/>
              <w:spacing w:after="0"/>
              <w:rPr>
                <w:sz w:val="20"/>
                <w:szCs w:val="20"/>
                <w:color w:val="auto"/>
              </w:rPr>
            </w:pPr>
            <w:r>
              <w:rPr>
                <w:rFonts w:ascii="Arial" w:cs="Arial" w:eastAsia="Arial" w:hAnsi="Arial"/>
                <w:sz w:val="16"/>
                <w:szCs w:val="16"/>
                <w:color w:val="auto"/>
              </w:rPr>
              <w:t>Subsidiaries of Registrant.</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23.1</w:t>
            </w:r>
          </w:p>
        </w:tc>
        <w:tc>
          <w:tcPr>
            <w:tcW w:w="10440" w:type="dxa"/>
            <w:vAlign w:val="bottom"/>
          </w:tcPr>
          <w:p>
            <w:pPr>
              <w:ind w:left="30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1"/>
        </w:trPr>
        <w:tc>
          <w:tcPr>
            <w:tcW w:w="1000" w:type="dxa"/>
            <w:vAlign w:val="bottom"/>
          </w:tcPr>
          <w:p>
            <w:pPr>
              <w:ind w:left="40"/>
              <w:spacing w:after="0"/>
              <w:rPr>
                <w:sz w:val="20"/>
                <w:szCs w:val="20"/>
                <w:color w:val="auto"/>
              </w:rPr>
            </w:pPr>
            <w:r>
              <w:rPr>
                <w:rFonts w:ascii="Arial" w:cs="Arial" w:eastAsia="Arial" w:hAnsi="Arial"/>
                <w:sz w:val="16"/>
                <w:szCs w:val="16"/>
                <w:color w:val="auto"/>
              </w:rPr>
              <w:t>31.1</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 of Chief Executive Officer pursuant to Rules 13(a)-14(a) and 15(d)-14(a) promulgated under the Securities Exchange Act of</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1934, as amended.</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31.2</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 of Chief Financial Officer pursuant to Rules 13(a)-14(a) and 15(d)-14(a) promulgated under the Securities Exchange Act of</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1934, as amended.</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32</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Certifications Pursuant to 18 U.S.C. Section 1350, as Adopted Pursuant to Section 906 of the Sarbanes-Oxley Act of 2002.</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Instance Document.</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101.SCH</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Calculation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4" w:lineRule="exact"/>
        <w:rPr>
          <w:sz w:val="20"/>
          <w:szCs w:val="20"/>
          <w:color w:val="auto"/>
        </w:rPr>
      </w:pPr>
    </w:p>
    <w:p>
      <w:pPr>
        <w:ind w:left="1080" w:hanging="1045"/>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59" w:lineRule="exact"/>
        <w:rPr>
          <w:sz w:val="20"/>
          <w:szCs w:val="20"/>
          <w:color w:val="auto"/>
        </w:rPr>
      </w:pPr>
    </w:p>
    <w:p>
      <w:pPr>
        <w:ind w:left="1080" w:hanging="1045"/>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59" w:lineRule="exact"/>
        <w:rPr>
          <w:rFonts w:ascii="Arial" w:cs="Arial" w:eastAsia="Arial" w:hAnsi="Arial"/>
          <w:sz w:val="16"/>
          <w:szCs w:val="16"/>
          <w:color w:val="auto"/>
        </w:rPr>
      </w:pPr>
    </w:p>
    <w:p>
      <w:pPr>
        <w:ind w:left="1080" w:right="400" w:hanging="1045"/>
        <w:spacing w:after="0" w:line="260"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33" w:lineRule="exact"/>
        <w:rPr>
          <w:rFonts w:ascii="Arial" w:cs="Arial" w:eastAsia="Arial" w:hAnsi="Arial"/>
          <w:sz w:val="16"/>
          <w:szCs w:val="16"/>
          <w:color w:val="auto"/>
        </w:rPr>
      </w:pPr>
    </w:p>
    <w:p>
      <w:pPr>
        <w:ind w:left="1080" w:hanging="1045"/>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59" w:lineRule="exact"/>
        <w:rPr>
          <w:rFonts w:ascii="Arial" w:cs="Arial" w:eastAsia="Arial" w:hAnsi="Arial"/>
          <w:sz w:val="16"/>
          <w:szCs w:val="16"/>
          <w:color w:val="auto"/>
        </w:rPr>
      </w:pPr>
    </w:p>
    <w:p>
      <w:pPr>
        <w:ind w:left="1080" w:hanging="1045"/>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Avis Group Holdings, Inc. is now known as Avis Group Holdings, LLC.</w:t>
      </w:r>
    </w:p>
    <w:p>
      <w:pPr>
        <w:spacing w:after="0" w:line="59" w:lineRule="exact"/>
        <w:rPr>
          <w:sz w:val="20"/>
          <w:szCs w:val="20"/>
          <w:color w:val="auto"/>
        </w:rPr>
      </w:pPr>
    </w:p>
    <w:p>
      <w:pPr>
        <w:ind w:left="1080" w:hanging="1045"/>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59" w:lineRule="exact"/>
        <w:rPr>
          <w:sz w:val="20"/>
          <w:szCs w:val="20"/>
          <w:color w:val="auto"/>
        </w:rPr>
      </w:pPr>
    </w:p>
    <w:p>
      <w:pPr>
        <w:ind w:left="1080" w:right="120" w:hanging="1045"/>
        <w:spacing w:after="0" w:line="260"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440"/>
          </w:cols>
          <w:pgMar w:left="240" w:top="140" w:right="21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January 28, 2016</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Mr. Mark Servodidio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President, International</w:t>
      </w:r>
    </w:p>
    <w:p>
      <w:pPr>
        <w:spacing w:after="0"/>
        <w:rPr>
          <w:sz w:val="20"/>
          <w:szCs w:val="20"/>
          <w:color w:val="auto"/>
        </w:rPr>
      </w:pPr>
      <w:r>
        <w:rPr>
          <w:rFonts w:ascii="Arial" w:cs="Arial" w:eastAsia="Arial" w:hAnsi="Arial"/>
          <w:sz w:val="20"/>
          <w:szCs w:val="20"/>
          <w:color w:val="auto"/>
        </w:rPr>
        <w:t>Avis Budget Group</w:t>
      </w:r>
    </w:p>
    <w:p>
      <w:pPr>
        <w:spacing w:after="0"/>
        <w:rPr>
          <w:sz w:val="20"/>
          <w:szCs w:val="20"/>
          <w:color w:val="auto"/>
        </w:rPr>
      </w:pPr>
      <w:r>
        <w:rPr>
          <w:rFonts w:ascii="Arial" w:cs="Arial" w:eastAsia="Arial" w:hAnsi="Arial"/>
          <w:sz w:val="20"/>
          <w:szCs w:val="20"/>
          <w:color w:val="auto"/>
        </w:rPr>
        <w:t>6 Sylvan Way</w:t>
      </w:r>
    </w:p>
    <w:p>
      <w:pPr>
        <w:spacing w:after="0"/>
        <w:rPr>
          <w:sz w:val="20"/>
          <w:szCs w:val="20"/>
          <w:color w:val="auto"/>
        </w:rPr>
      </w:pPr>
      <w:r>
        <w:rPr>
          <w:rFonts w:ascii="Arial" w:cs="Arial" w:eastAsia="Arial" w:hAnsi="Arial"/>
          <w:sz w:val="20"/>
          <w:szCs w:val="20"/>
          <w:color w:val="auto"/>
        </w:rPr>
        <w:t>Parsippany, NJ 07054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Mark:</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This letter is to confirm that if your employment with Avis Budget Car Rental, LLC (“ABCR” or the “Company”), a subsidiary of Avis Budget Group, Inc., is terminated by ABCR other than: (i) for “Cause” (as defined below); (ii) in connection with your disability which prevents you or is reasonably expected to prevent you from performing services for ABCR for a period of 12 months (your “disability”); or (iii) your death (such termination, a “Qualifying Termination”), you will receive (1) a lump-sum severance payment within 15 days following the Release Date (as defined below) equal to 200% of the sum of (x) your base salary and (y) your target bonus, (2) continued access to company car usage and financial planning for a period of 24 months following the date of your termination and (3) the Company will subsidize the total cost of COBRA coverage such that the contributions required of you for health plan participation during the 24-month period following your termination shall be substantially equal to the contributions required of active employed executives of ABG (collectively, the “Severance Benefits”). Any other programs and perquisites will be governed by their respective program documents. The provision of the Severance Benefits is subject to, and contingent upon, your executing within 21 days following your termination of employment and not revoking during the time specified therein a separation agreement with ABCR (the date on which the release is no longer revocable, the "Release Date"),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two years after your employment separation or for a period of time and within a geographic scope determined by ABCR to be reasonable to protect ABCR's business interests; and (iii) not solicit any ABCR employees, consultants, agents or customers during and for two years after your employment separation.</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in the event of a Qualifying Termination, your then outstanding unvested stock-based awards in Avis Budget Group, Inc. that would have vested in accordance with their original vesting schedule during the two (2)-year period following such termination of employment will become vested effective as of the date of such termination, subject to the satisfaction of the release execution requirement set forth in the preceding paragraph of this letter; provided, that, to the extent required to achieve deductibility under Section 162(m) of the Internal Revenue Code of awards that vest based on the achievement of specified objective performance goals, with respect to any awards that vest based on the achievement of specified objective performance goals during the two (2)-year period following such termination, such awards shall not vest as of the date of such termination, but instead, shall remain outstanding following such termination and become vested or be forfeited at such time(s) as provided in accordance with the terms and conditions of the applicable award agreement based on actual achievement of the performance goals applicable for purposes of vesting of such awards during the two (2)-year period following such termination.</w:t>
      </w:r>
    </w:p>
    <w:p>
      <w:pPr>
        <w:spacing w:after="0" w:line="185"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In addition, if you experience a termination of employment from ABCR due to your “disability” or death, your then outstanding unvested stock-based awards in Avis Budget Group, Inc. will become fully</w:t>
      </w:r>
    </w:p>
    <w:p>
      <w:pPr>
        <w:sectPr>
          <w:pgSz w:w="11900" w:h="16838" w:orient="portrait"/>
          <w:cols w:equalWidth="0" w:num="1">
            <w:col w:w="11420"/>
          </w:cols>
          <w:pgMar w:left="240" w:top="366" w:right="239" w:bottom="1440" w:gutter="0" w:footer="0" w:header="0"/>
        </w:sectPr>
      </w:pPr>
    </w:p>
    <w:bookmarkStart w:id="124" w:name="page125"/>
    <w:bookmarkEnd w:id="124"/>
    <w:p>
      <w:pPr>
        <w:ind w:right="700"/>
        <w:spacing w:after="0" w:line="260" w:lineRule="auto"/>
        <w:rPr>
          <w:sz w:val="20"/>
          <w:szCs w:val="20"/>
          <w:color w:val="auto"/>
        </w:rPr>
      </w:pPr>
      <w:r>
        <w:rPr>
          <w:rFonts w:ascii="Arial" w:cs="Arial" w:eastAsia="Arial" w:hAnsi="Arial"/>
          <w:sz w:val="20"/>
          <w:szCs w:val="20"/>
          <w:color w:val="auto"/>
        </w:rPr>
        <w:t>vested effective as of the date of such termination, subject to the satisfaction of the release execution requirement set forth in the fourth paragraph of this letter.</w:t>
      </w:r>
    </w:p>
    <w:p>
      <w:pPr>
        <w:spacing w:after="0" w:line="190"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"Cause" shall mean: (i) your willful failure to substantially perform your duties as an employee of the Company or any subsidiary, including your willful failure to provide services to Avis Budget Group, Inc., (other than any such failure resulting from your incapacity due to physical or mental illness); (ii) any act of fraud, misappropriation, dishonesty, embezzlement or similar conduct against Avis Budget Group, Inc., the Company or any subsidiary; or (iii) conviction of a felony or any crime involving moral turpitude (which conviction, due to the passage of time or otherwise, is not subject to further appeal).</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payments and benefits described in this letter are intended to comply with Section 409A of the Internal Revenue Code of 1986, as amended (“Section 409A”) and, accordingly, to the maximum extent permitted, the terms of this letter shall be interpreted and administered to be in compliance with Section 409A. Each amount to be paid or benefit to be provided in this letter shall be construed as a separate identified payment for purposes of Section 409A. Any payments described in this letter that are due within the "short term deferral period" as defined in Section 409A shall not be treated as deferred compensation unless applicable law requires otherwise.</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Notwithstanding any provision of this Agreement to the contrary, to the extent necessary to satisfy Section 105(h) of the Internal Revenue Code of 1986, as amended, the Company will be permitted to alter the manner in which the Severance Benefits described in clause (3) of the first paragraph of this letter are provided following your termination; provided that the after-tax cost of such benefits shall not be greater than the cost applicable to similarly situated executives of the Company who have not terminated employment.</w:t>
      </w:r>
    </w:p>
    <w:p>
      <w:pPr>
        <w:spacing w:after="0" w:line="19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Severance Benefits as set forth in this letter are in lieu of and supersede any other severance benefits otherwise payable to you under any other agreement or severance plan of ABCR or its affiliates.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You also agree to the following terms:</w:t>
      </w:r>
    </w:p>
    <w:p>
      <w:pPr>
        <w:spacing w:after="0" w:line="256" w:lineRule="exact"/>
        <w:rPr>
          <w:sz w:val="20"/>
          <w:szCs w:val="20"/>
          <w:color w:val="auto"/>
        </w:rPr>
      </w:pPr>
    </w:p>
    <w:p>
      <w:pPr>
        <w:ind w:left="980" w:right="660" w:hanging="324"/>
        <w:spacing w:after="0" w:line="363"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your employment with the Company you will not engage in any activity that competes with or adversely affects the Company, nor will you begin to organize or develop any competing entity (or assist anyone else in doing so).</w:t>
      </w:r>
    </w:p>
    <w:p>
      <w:pPr>
        <w:spacing w:after="0" w:line="143" w:lineRule="exact"/>
        <w:rPr>
          <w:rFonts w:ascii="Arial" w:cs="Arial" w:eastAsia="Arial" w:hAnsi="Arial"/>
          <w:sz w:val="18"/>
          <w:szCs w:val="18"/>
          <w:color w:val="auto"/>
        </w:rPr>
      </w:pPr>
    </w:p>
    <w:p>
      <w:pPr>
        <w:ind w:left="980" w:right="80" w:hanging="324"/>
        <w:spacing w:after="0" w:line="338"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will not disclose at any time (except for business purposes on behalf of the Company) any confidential or proprietary material of the Company. That material shall include, but is not limited to, the names and addresses of customers, customer contacts, contracts, bidding information, business strategies, pricing information, and the Company’s policies and procedures.</w:t>
      </w:r>
    </w:p>
    <w:p>
      <w:pPr>
        <w:spacing w:after="0" w:line="165" w:lineRule="exact"/>
        <w:rPr>
          <w:rFonts w:ascii="Arial" w:cs="Arial" w:eastAsia="Arial" w:hAnsi="Arial"/>
          <w:sz w:val="18"/>
          <w:szCs w:val="18"/>
          <w:color w:val="auto"/>
        </w:rPr>
      </w:pPr>
    </w:p>
    <w:p>
      <w:pPr>
        <w:ind w:left="980" w:right="820" w:hanging="324"/>
        <w:spacing w:after="0" w:line="331" w:lineRule="auto"/>
        <w:tabs>
          <w:tab w:leader="none" w:pos="9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All documents (paper or electronic) and other information related in any way to the Company shall be the property of the Company, and will be returned to the Company upon the end of your employment with the Company.</w:t>
      </w:r>
    </w:p>
    <w:p>
      <w:pPr>
        <w:spacing w:after="0" w:line="167" w:lineRule="exact"/>
        <w:rPr>
          <w:rFonts w:ascii="Arial" w:cs="Arial" w:eastAsia="Arial" w:hAnsi="Arial"/>
          <w:sz w:val="19"/>
          <w:szCs w:val="19"/>
          <w:color w:val="auto"/>
        </w:rPr>
      </w:pPr>
    </w:p>
    <w:p>
      <w:pPr>
        <w:ind w:left="980" w:hanging="324"/>
        <w:spacing w:after="0" w:line="292" w:lineRule="auto"/>
        <w:tabs>
          <w:tab w:leader="none" w:pos="9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For a period of 24 months following the termination of your employment with the Company (whether such termination is voluntary or involuntary), you will not become employed with a competitor of the Company, solicit business from any of the Company’s customers, or solicit</w:t>
      </w:r>
    </w:p>
    <w:p>
      <w:pPr>
        <w:sectPr>
          <w:pgSz w:w="11900" w:h="16838" w:orient="portrait"/>
          <w:cols w:equalWidth="0" w:num="1">
            <w:col w:w="11400"/>
          </w:cols>
          <w:pgMar w:left="240" w:top="366" w:right="259" w:bottom="1440" w:gutter="0" w:footer="0" w:header="0"/>
        </w:sectPr>
      </w:pPr>
    </w:p>
    <w:bookmarkStart w:id="125" w:name="page126"/>
    <w:bookmarkEnd w:id="125"/>
    <w:p>
      <w:pPr>
        <w:ind w:left="980" w:right="240"/>
        <w:spacing w:after="0" w:line="331" w:lineRule="auto"/>
        <w:rPr>
          <w:sz w:val="20"/>
          <w:szCs w:val="20"/>
          <w:color w:val="auto"/>
        </w:rPr>
      </w:pPr>
      <w:r>
        <w:rPr>
          <w:rFonts w:ascii="Arial" w:cs="Arial" w:eastAsia="Arial" w:hAnsi="Arial"/>
          <w:sz w:val="20"/>
          <w:szCs w:val="20"/>
          <w:color w:val="auto"/>
        </w:rPr>
        <w:t>business from an entity solicited by the Company at any time during the twelve months prior to your termination of employment with the Company.</w:t>
      </w:r>
    </w:p>
    <w:p>
      <w:pPr>
        <w:spacing w:after="0" w:line="176" w:lineRule="exact"/>
        <w:rPr>
          <w:sz w:val="20"/>
          <w:szCs w:val="20"/>
          <w:color w:val="auto"/>
        </w:rPr>
      </w:pPr>
    </w:p>
    <w:p>
      <w:pPr>
        <w:ind w:left="980" w:hanging="324"/>
        <w:spacing w:after="0" w:line="331" w:lineRule="auto"/>
        <w:tabs>
          <w:tab w:leader="none" w:pos="9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For a period of 24 months following the termination of your employment with the Company (whether such termination is voluntary or involuntary), you shall not solicit, aid or induce any employee of the Company to leave such employment.</w:t>
      </w:r>
    </w:p>
    <w:p>
      <w:pPr>
        <w:spacing w:after="0" w:line="167" w:lineRule="exact"/>
        <w:rPr>
          <w:rFonts w:ascii="Arial" w:cs="Arial" w:eastAsia="Arial" w:hAnsi="Arial"/>
          <w:sz w:val="19"/>
          <w:szCs w:val="19"/>
          <w:color w:val="auto"/>
        </w:rPr>
      </w:pPr>
    </w:p>
    <w:p>
      <w:pPr>
        <w:ind w:left="980" w:right="160" w:hanging="324"/>
        <w:spacing w:after="0" w:line="314" w:lineRule="auto"/>
        <w:tabs>
          <w:tab w:leader="none" w:pos="9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Should a court issue injunctive relief to enforce any of the terms of this Agreement, or if a court (or jury) determine that you breached any provision of this Agreement, you will reimburse the Company for all attorney’s fees and costs incurred in enforcing the terms of the Agreement, and you will also be liable for any other damages or relief permitted by law.</w:t>
      </w:r>
    </w:p>
    <w:p>
      <w:pPr>
        <w:spacing w:after="0" w:line="196"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You agree that any disputes over the above terms shall be governed by New Jersey law, shall be resolved in a New Jersey Court or in a federal Court located in New Jersey, and that the terms of this agreement may be enforced by the Company or its successors or assigns.</w:t>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Edward P. Linnen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28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Edward P. Linnen</w:t>
      </w:r>
    </w:p>
    <w:p>
      <w:pPr>
        <w:spacing w:after="0"/>
        <w:rPr>
          <w:sz w:val="20"/>
          <w:szCs w:val="20"/>
          <w:color w:val="auto"/>
        </w:rPr>
      </w:pPr>
      <w:r>
        <w:rPr>
          <w:rFonts w:ascii="Arial" w:cs="Arial" w:eastAsia="Arial" w:hAnsi="Arial"/>
          <w:sz w:val="20"/>
          <w:szCs w:val="20"/>
          <w:color w:val="auto"/>
        </w:rPr>
        <w:t>Executive Vice President &amp; Chief Human Resources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Mark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0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Mark Servodidio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2/17/2016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613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400"/>
          </w:cols>
          <w:pgMar w:left="240" w:top="406"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2573020" cy="488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573020" cy="488950"/>
                    </a:xfrm>
                    <a:prstGeom prst="rect">
                      <a:avLst/>
                    </a:prstGeom>
                    <a:noFill/>
                  </pic:spPr>
                </pic:pic>
              </a:graphicData>
            </a:graphic>
          </wp:anchor>
        </w:drawing>
        <w:t>Ned Linnen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February 12, 2015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Mr. Joseph Ferraro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Avis Budget Group</w:t>
      </w:r>
    </w:p>
    <w:p>
      <w:pPr>
        <w:spacing w:after="0"/>
        <w:rPr>
          <w:sz w:val="20"/>
          <w:szCs w:val="20"/>
          <w:color w:val="auto"/>
        </w:rPr>
      </w:pPr>
      <w:r>
        <w:rPr>
          <w:rFonts w:ascii="Arial" w:cs="Arial" w:eastAsia="Arial" w:hAnsi="Arial"/>
          <w:sz w:val="20"/>
          <w:szCs w:val="20"/>
          <w:color w:val="auto"/>
        </w:rPr>
        <w:t>6 Sylvan Way</w:t>
      </w:r>
    </w:p>
    <w:p>
      <w:pPr>
        <w:spacing w:after="0"/>
        <w:rPr>
          <w:sz w:val="20"/>
          <w:szCs w:val="20"/>
          <w:color w:val="auto"/>
        </w:rPr>
      </w:pPr>
      <w:r>
        <w:rPr>
          <w:rFonts w:ascii="Arial" w:cs="Arial" w:eastAsia="Arial" w:hAnsi="Arial"/>
          <w:sz w:val="20"/>
          <w:szCs w:val="20"/>
          <w:color w:val="auto"/>
        </w:rPr>
        <w:t>Parsippany, NJ 07054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We are pleased to confirm your new role with Avis Budget Car Rental, LLC, ("ABCR" or the "Company"), a subsidiary of Avis Budget Group, as President, North America. To comply with the requirements of Section 409A of the Internal Revenue Code and the regulations thereunder ("Section 409A"), the Company is hereby documenting the terms of our agreement.</w:t>
      </w:r>
    </w:p>
    <w:p>
      <w:pPr>
        <w:spacing w:after="0" w:line="200"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Your salary will continue to be paid on a bi-weekly basis at a rate of $19,230.76 per pay period, which equates to an annual salary of $500,000. You will be eligible to receive a target bonus equal to no less than 100% of your regular base salary during the performance period, subject to the Company achieving performance goals as described in the Management Incentive Plan for ABG Senior Executive Leadership and you remaining employed with the Company through the payment date. The bonus distribution is typically in the first quarter of the next year.</w:t>
      </w:r>
    </w:p>
    <w:p>
      <w:pPr>
        <w:spacing w:after="0" w:line="142"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The Compensation Committee approved and you have been awarded a 2015 Long Term Incentive (LTIP) award in the amount of $2,000,000 grant date value, which is comprised of a $1,000,000 promotion award and an annual award of $1,000,000. The award is split between time-based restricted stock units (50%) which vest 1/3 per year on the anniversary of the grant and performance-based restricted stock units (50%) which will vest on the third anniversary of the grant contingent upon Avis Budget Group performance metrics.</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200"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If, however, your employment with ABCR is terminated by ABCR other than: (i) "for cause" (as defined below); (ii) in connection with your disability which prevents you or is reasonably expected to prevent you from performing services for ABCR for a period of 12 months (your "disability"); or (iii) death, you will receive (1) a lump-sum severance payment within 15 days following the Release Date (as defined below) equal to 200% of the sum of your base salary plus your target incentive (bonus) and (2) perquisites to include continued access to company car usage, financial planning and health coverage (Company-subsidized COBRA) for a period of 24 months. For purposes of this agreement 'company subsidized COBRA' shall mean that the Company shall subsidize the total cost of COBRA coverage such that the contributions required of you for health plan participation during the 24 month period shall be substantially equal to the contributions required of active employed</w:t>
      </w:r>
    </w:p>
    <w:p>
      <w:pPr>
        <w:spacing w:after="0" w:line="5" w:lineRule="exact"/>
        <w:rPr>
          <w:sz w:val="20"/>
          <w:szCs w:val="20"/>
          <w:color w:val="auto"/>
        </w:rPr>
      </w:pPr>
    </w:p>
    <w:p>
      <w:pPr>
        <w:ind w:right="380"/>
        <w:spacing w:after="0" w:line="258" w:lineRule="auto"/>
        <w:rPr>
          <w:sz w:val="20"/>
          <w:szCs w:val="20"/>
          <w:color w:val="auto"/>
        </w:rPr>
      </w:pPr>
      <w:r>
        <w:rPr>
          <w:rFonts w:ascii="Arial" w:cs="Arial" w:eastAsia="Arial" w:hAnsi="Arial"/>
          <w:sz w:val="19"/>
          <w:szCs w:val="19"/>
          <w:color w:val="auto"/>
        </w:rPr>
        <w:t>executives of ABG. All other programs and perquisites would be governed by their respective plan documents; provided, however, that the provision of such severance pay is subject to, and contingent upon, your executing within forty-five days following your termination of employment and failing to revoke a separation agreement with ABCR (the date on which the release is no longer revocable, the "Release Date"), in such form determined by ABCR, which requires you, in part, to release all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380"/>
        <w:spacing w:after="0"/>
        <w:rPr>
          <w:sz w:val="20"/>
          <w:szCs w:val="20"/>
          <w:color w:val="auto"/>
        </w:rPr>
      </w:pPr>
      <w:r>
        <w:rPr>
          <w:rFonts w:ascii="Arial" w:cs="Arial" w:eastAsia="Arial" w:hAnsi="Arial"/>
          <w:sz w:val="14"/>
          <w:szCs w:val="14"/>
          <w:color w:val="828282"/>
        </w:rPr>
        <w:t>Avis Budget Group, Inc. 6 Sylvan Way Parsippany, New Jersey</w:t>
      </w:r>
    </w:p>
    <w:p>
      <w:pPr>
        <w:sectPr>
          <w:pgSz w:w="11900" w:h="16838" w:orient="portrait"/>
          <w:cols w:equalWidth="0" w:num="1">
            <w:col w:w="11400"/>
          </w:cols>
          <w:pgMar w:left="240" w:top="504" w:right="25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Mr. Joseph Ferraro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12, 2015</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351"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and purported claims against ABCR and its affiliates and which also requires you to agree to: (i) protect and not disclose all confidential and proprietary information of ABCR; (ii) not compete, directly or indirectly, against ABCR for a period of no longer than two years after your employment separation or for a period of time and within a geographic scope determined by ABCR to be reasonable to protect ABCR's business interests; and (iii) not solicit any ABCR employees, consultants, agents or customers during and for two years after your employment separation.</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if your employment with ABCR is terminated by ABCR other than "for cause," and other than as a result of your "disability", death or resignation, your then outstanding unvested stock-based awards in Avis Budget Group, Inc. that would have vested in accordance with their original vesting schedule by the two (2)-year anniversary of such termination of employment will become vested effective as of the date of such termination, subject to the satisfaction of the release execution requirement set forth in the preceding paragraph of this letter; provided that, to the extent required to achieve deductibility under Section 162(m) of the Internal Revenue Code of awards that vest based on the achievement of specified objective performance goals, with respect to any awards that vest based on the achievement of specified objective performance goals during the two (2)-year period following such termination, such awards shall not vest as of the date of such termination, but instead, shall remain outstanding following such termination and become vested or be forfeited at such time(s) as provided in accordance with the terms and conditions of the applicable award agreement based on actual achievement of the performance goals applicable for purposes of vesting of such awards during the two (2)-year period following such termination.</w:t>
      </w:r>
    </w:p>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addition, if you experience a termination of employment from ABCR due to your "disability" or death, your then outstanding unvested stock-based awards in Avis Budget Group, Inc. will become fully vested effective as of the date of such termination, subject to the satisfaction of the release execution requirement set forth in the fourth paragraph of this letter."</w:t>
      </w:r>
    </w:p>
    <w:p>
      <w:pPr>
        <w:spacing w:after="0" w:line="20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The payments and benefits described in this letter are intended to comply with Section 409A and, accordingly, to the maximum extent permitted, the terms of this letter shall be interpreted and administered to be in compliance with Section 409A of the Internal Revenue you are considered to have incurred a "separation from service" from ACBR within the meaning of Section 409A. Each amount to be paid or benefit to be provided in this letter shall be construed as a separate identified payment for purposes of Section 409A. Any payments described in this Agreement that are paid pursuant to a "separation pay plan" as described in Treas. Reg. 1.409A-1(b)(9)(iii) or that are due within the "short term deferral period" as defined in Section 409A shall not be treated as deferred compensation unless applicable law requires otherwise. Notwithstanding anything contained herein, to the extent required in order to avoid accelerated taxation and/or tax penalties under Section 409A amounts that would otherwise be payable and benefits that would otherwise be provided pursuant to this letter (or any other plan or agreement of the Company proving you with payments or benefits upon your separation from service) during the six-month period immediately following your separation from service shall instead be paid or provided on the first business day after the date that is six months following your separation date (or death, if earlier).</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Mr. Joseph Ferraro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12, 2015</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by-laws of the Company provide that officers will be indemnified for their authorized actions on behalf of our Company to the fullest extent permitted under applicable law.</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This severance pay as set forth in this letter is in lieu of and supersedes any other severance benefits otherwise payable to you under any other agreement or severance plan of ABCR or its affiliates.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Your employment with the Company is also contingent upon the following terms:</w:t>
      </w:r>
    </w:p>
    <w:p>
      <w:pPr>
        <w:spacing w:after="0" w:line="243" w:lineRule="exact"/>
        <w:rPr>
          <w:sz w:val="20"/>
          <w:szCs w:val="20"/>
          <w:color w:val="auto"/>
        </w:rPr>
      </w:pPr>
    </w:p>
    <w:p>
      <w:pPr>
        <w:ind w:left="660" w:right="140" w:hanging="328"/>
        <w:spacing w:after="0" w:line="265"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During your employment with the Company you will not engage in any activity that competes with or adversely affects the Company, nor will you begin to organize or develop any competing entity (or assist anyone else in doing).</w:t>
      </w:r>
    </w:p>
    <w:p>
      <w:pPr>
        <w:spacing w:after="0" w:line="209" w:lineRule="exact"/>
        <w:rPr>
          <w:rFonts w:ascii="Arial" w:cs="Arial" w:eastAsia="Arial" w:hAnsi="Arial"/>
          <w:sz w:val="22"/>
          <w:szCs w:val="22"/>
          <w:color w:val="auto"/>
        </w:rPr>
      </w:pPr>
    </w:p>
    <w:p>
      <w:pPr>
        <w:ind w:left="660" w:right="200" w:hanging="328"/>
        <w:spacing w:after="0" w:line="284" w:lineRule="auto"/>
        <w:tabs>
          <w:tab w:leader="none" w:pos="660" w:val="left"/>
        </w:tabs>
        <w:numPr>
          <w:ilvl w:val="0"/>
          <w:numId w:val="111"/>
        </w:numPr>
        <w:rPr>
          <w:rFonts w:ascii="Arial" w:cs="Arial" w:eastAsia="Arial" w:hAnsi="Arial"/>
          <w:sz w:val="21"/>
          <w:szCs w:val="21"/>
          <w:color w:val="auto"/>
        </w:rPr>
      </w:pPr>
      <w:r>
        <w:rPr>
          <w:rFonts w:ascii="Arial" w:cs="Arial" w:eastAsia="Arial" w:hAnsi="Arial"/>
          <w:sz w:val="19"/>
          <w:szCs w:val="19"/>
          <w:color w:val="auto"/>
        </w:rPr>
        <w:t>You will not disclose at any time (except for business purposes on behalf of the Company) any confidential or proprietary material of the Company. That material shall include, but is not limited to, the names and addresses of customers, customer contacts, contracts, bidding information, business strategies, pricing information, and the Company’s policies and procedures.</w:t>
      </w:r>
    </w:p>
    <w:p>
      <w:pPr>
        <w:spacing w:after="0" w:line="196" w:lineRule="exact"/>
        <w:rPr>
          <w:rFonts w:ascii="Arial" w:cs="Arial" w:eastAsia="Arial" w:hAnsi="Arial"/>
          <w:sz w:val="21"/>
          <w:szCs w:val="21"/>
          <w:color w:val="auto"/>
        </w:rPr>
      </w:pPr>
    </w:p>
    <w:p>
      <w:pPr>
        <w:ind w:left="660" w:hanging="328"/>
        <w:spacing w:after="0" w:line="265"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You agree that all documents (paper or electronic) and other information related in any way to the Company shall be the property of the Company, and will be returned to the Company upon the end of your employment with the Company.</w:t>
      </w:r>
    </w:p>
    <w:p>
      <w:pPr>
        <w:spacing w:after="0" w:line="209" w:lineRule="exact"/>
        <w:rPr>
          <w:rFonts w:ascii="Arial" w:cs="Arial" w:eastAsia="Arial" w:hAnsi="Arial"/>
          <w:sz w:val="22"/>
          <w:szCs w:val="22"/>
          <w:color w:val="auto"/>
        </w:rPr>
      </w:pPr>
    </w:p>
    <w:p>
      <w:pPr>
        <w:ind w:left="660" w:right="160" w:hanging="328"/>
        <w:spacing w:after="0" w:line="266"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You agree that for a period of two years following the end of your employment with the Company (whether such termination is voluntary or involuntary), you will not become employed with a competitor of the Company, solicit business from the Company’s customers, or solicit business from an entity that was being solicited by the Company during that last year that you were employed by the Company.</w:t>
      </w:r>
    </w:p>
    <w:p>
      <w:pPr>
        <w:spacing w:after="0" w:line="210" w:lineRule="exact"/>
        <w:rPr>
          <w:rFonts w:ascii="Arial" w:cs="Arial" w:eastAsia="Arial" w:hAnsi="Arial"/>
          <w:sz w:val="22"/>
          <w:szCs w:val="22"/>
          <w:color w:val="auto"/>
        </w:rPr>
      </w:pPr>
    </w:p>
    <w:p>
      <w:pPr>
        <w:jc w:val="both"/>
        <w:ind w:left="660" w:right="620" w:hanging="328"/>
        <w:spacing w:after="0" w:line="313" w:lineRule="auto"/>
        <w:tabs>
          <w:tab w:leader="none" w:pos="660" w:val="left"/>
        </w:tabs>
        <w:numPr>
          <w:ilvl w:val="0"/>
          <w:numId w:val="111"/>
        </w:numPr>
        <w:rPr>
          <w:rFonts w:ascii="Arial" w:cs="Arial" w:eastAsia="Arial" w:hAnsi="Arial"/>
          <w:sz w:val="19"/>
          <w:szCs w:val="19"/>
          <w:color w:val="auto"/>
        </w:rPr>
      </w:pPr>
      <w:r>
        <w:rPr>
          <w:rFonts w:ascii="Arial" w:cs="Arial" w:eastAsia="Arial" w:hAnsi="Arial"/>
          <w:sz w:val="18"/>
          <w:szCs w:val="18"/>
          <w:color w:val="auto"/>
        </w:rPr>
        <w:t>You agree that for a period of two years following the end of your employment with the Company (whether such termination is voluntary or involuntary), you shall not solicit or contact any employee of the Company to leave the Company, nor shall you do anything else (either directly or indirectly) to cause any employee of the Company to leave the Company.</w:t>
      </w:r>
    </w:p>
    <w:p>
      <w:pPr>
        <w:spacing w:after="0" w:line="174" w:lineRule="exact"/>
        <w:rPr>
          <w:rFonts w:ascii="Arial" w:cs="Arial" w:eastAsia="Arial" w:hAnsi="Arial"/>
          <w:sz w:val="19"/>
          <w:szCs w:val="19"/>
          <w:color w:val="auto"/>
        </w:rPr>
      </w:pPr>
    </w:p>
    <w:p>
      <w:pPr>
        <w:ind w:left="660" w:right="200" w:hanging="328"/>
        <w:spacing w:after="0" w:line="284" w:lineRule="auto"/>
        <w:tabs>
          <w:tab w:leader="none" w:pos="660" w:val="left"/>
        </w:tabs>
        <w:numPr>
          <w:ilvl w:val="0"/>
          <w:numId w:val="111"/>
        </w:numPr>
        <w:rPr>
          <w:rFonts w:ascii="Arial" w:cs="Arial" w:eastAsia="Arial" w:hAnsi="Arial"/>
          <w:sz w:val="21"/>
          <w:szCs w:val="21"/>
          <w:color w:val="auto"/>
        </w:rPr>
      </w:pPr>
      <w:r>
        <w:rPr>
          <w:rFonts w:ascii="Arial" w:cs="Arial" w:eastAsia="Arial" w:hAnsi="Arial"/>
          <w:sz w:val="19"/>
          <w:szCs w:val="19"/>
          <w:color w:val="auto"/>
        </w:rPr>
        <w:t>You agree that should a court issue injunctive relief to enforce any term of this Agreement, or if a court (or jury) determine that you breached any provision of this Agreement, you will reimburse the Company for all attorney’s fees and costs incurred in enforcing the terms of the Agreement, and you will also be liable for any other damages or relief permitted by law.</w:t>
      </w:r>
    </w:p>
    <w:p>
      <w:pPr>
        <w:spacing w:after="0" w:line="196" w:lineRule="exact"/>
        <w:rPr>
          <w:rFonts w:ascii="Arial" w:cs="Arial" w:eastAsia="Arial" w:hAnsi="Arial"/>
          <w:sz w:val="21"/>
          <w:szCs w:val="21"/>
          <w:color w:val="auto"/>
        </w:rPr>
      </w:pPr>
    </w:p>
    <w:p>
      <w:pPr>
        <w:jc w:val="both"/>
        <w:ind w:left="660" w:right="40" w:hanging="328"/>
        <w:spacing w:after="0" w:line="3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7"/>
          <w:szCs w:val="17"/>
          <w:color w:val="auto"/>
        </w:rPr>
        <w:t>You agree that any disputes over the above terms shall be governed by New Jersey law, shall be resolved in a New Jersey Court or in a federal Court located in New Jersey, and that the terms of this agreement may be enforced by the Company or its successors or assigns.</w:t>
      </w:r>
    </w:p>
    <w:p>
      <w:pPr>
        <w:sectPr>
          <w:pgSz w:w="11900" w:h="16838" w:orient="portrait"/>
          <w:cols w:equalWidth="0" w:num="1">
            <w:col w:w="11400"/>
          </w:cols>
          <w:pgMar w:left="240" w:top="121" w:right="25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Mr. Joseph Ferraro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12, 2015</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Ned Linnen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982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Ned Linnen</w:t>
      </w:r>
    </w:p>
    <w:p>
      <w:pPr>
        <w:spacing w:after="0"/>
        <w:rPr>
          <w:sz w:val="20"/>
          <w:szCs w:val="20"/>
          <w:color w:val="auto"/>
        </w:rPr>
      </w:pPr>
      <w:r>
        <w:rPr>
          <w:rFonts w:ascii="Arial" w:cs="Arial" w:eastAsia="Arial" w:hAnsi="Arial"/>
          <w:sz w:val="18"/>
          <w:szCs w:val="18"/>
          <w:color w:val="auto"/>
        </w:rPr>
        <w:t>Executive Vice President, Chief Human Resources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Joseph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191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91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Joseph Ferraro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2/12/2015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613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122" w:right="1440" w:bottom="1440" w:gutter="0" w:footer="0" w:header="0"/>
        </w:sectPr>
      </w:pPr>
    </w:p>
    <w:bookmarkStart w:id="130" w:name="page131"/>
    <w:bookmarkEnd w:id="130"/>
    <w:p>
      <w:pPr>
        <w:ind w:left="10405"/>
        <w:spacing w:after="0"/>
        <w:rPr>
          <w:sz w:val="20"/>
          <w:szCs w:val="20"/>
          <w:color w:val="auto"/>
        </w:rPr>
      </w:pPr>
      <w:r>
        <w:rPr>
          <w:rFonts w:ascii="Arial" w:cs="Arial" w:eastAsia="Arial" w:hAnsi="Arial"/>
          <w:sz w:val="18"/>
          <w:szCs w:val="18"/>
          <w:b w:val="1"/>
          <w:bCs w:val="1"/>
          <w:color w:val="auto"/>
        </w:rPr>
        <w:t>Exhibit 12</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Avis Budget Group, Inc.</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52" w:lineRule="exact"/>
        <w:rPr>
          <w:sz w:val="20"/>
          <w:szCs w:val="20"/>
          <w:color w:val="auto"/>
        </w:rPr>
      </w:pPr>
    </w:p>
    <w:tbl>
      <w:tblPr>
        <w:tblLayout w:type="fixed"/>
        <w:tblInd w:w="5"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5"/>
        </w:trPr>
        <w:tc>
          <w:tcPr>
            <w:tcW w:w="4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4720" w:type="dxa"/>
            <w:vAlign w:val="bottom"/>
          </w:tcPr>
          <w:p>
            <w:pPr>
              <w:spacing w:after="0"/>
              <w:rPr>
                <w:sz w:val="20"/>
                <w:szCs w:val="20"/>
                <w:color w:val="auto"/>
              </w:rPr>
            </w:pPr>
            <w:r>
              <w:rPr>
                <w:rFonts w:ascii="Arial" w:cs="Arial" w:eastAsia="Arial" w:hAnsi="Arial"/>
                <w:sz w:val="18"/>
                <w:szCs w:val="18"/>
                <w:color w:val="auto"/>
              </w:rPr>
              <w:t>Plus: Fixed charges</w:t>
            </w: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Earnings available to cover fixed charges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 xml:space="preserve"> :</w:t>
            </w: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Interest, including amortization of deferred financing costs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7"/>
        </w:trPr>
        <w:tc>
          <w:tcPr>
            <w:tcW w:w="4720" w:type="dxa"/>
            <w:vAlign w:val="bottom"/>
          </w:tcPr>
          <w:p>
            <w:pPr>
              <w:spacing w:after="0"/>
              <w:rPr>
                <w:sz w:val="20"/>
                <w:szCs w:val="20"/>
                <w:color w:val="auto"/>
              </w:rPr>
            </w:pPr>
            <w:r>
              <w:rPr>
                <w:rFonts w:ascii="Arial" w:cs="Arial" w:eastAsia="Arial" w:hAnsi="Arial"/>
                <w:sz w:val="18"/>
                <w:szCs w:val="18"/>
                <w:color w:val="auto"/>
              </w:rPr>
              <w:t>Interest portion of rental payment</w:t>
            </w: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Total fixed charges</w:t>
            </w:r>
          </w:p>
        </w:tc>
        <w:tc>
          <w:tcPr>
            <w:tcW w:w="156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1.61x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1.60x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1.13x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1.47x</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5" w:right="200" w:hanging="165"/>
        <w:spacing w:after="0" w:line="241" w:lineRule="auto"/>
        <w:tabs>
          <w:tab w:leader="none" w:pos="138" w:val="left"/>
        </w:tabs>
        <w:numPr>
          <w:ilvl w:val="0"/>
          <w:numId w:val="112"/>
        </w:numPr>
        <w:rPr>
          <w:rFonts w:ascii="Arial" w:cs="Arial" w:eastAsia="Arial" w:hAnsi="Arial"/>
          <w:sz w:val="16"/>
          <w:szCs w:val="16"/>
          <w:color w:val="auto"/>
          <w:vertAlign w:val="superscript"/>
        </w:rPr>
      </w:pPr>
      <w:r>
        <w:rPr>
          <w:rFonts w:ascii="Arial" w:cs="Arial" w:eastAsia="Arial" w:hAnsi="Arial"/>
          <w:sz w:val="13"/>
          <w:szCs w:val="13"/>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79" w:lineRule="exact"/>
        <w:rPr>
          <w:sz w:val="20"/>
          <w:szCs w:val="20"/>
          <w:color w:val="auto"/>
        </w:rPr>
      </w:pPr>
    </w:p>
    <w:tbl>
      <w:tblPr>
        <w:tblLayout w:type="fixed"/>
        <w:tblInd w:w="325"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All other</w:t>
            </w: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5"/>
          </w:cols>
          <w:pgMar w:left="275" w:top="53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554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b w:val="1"/>
                <w:bCs w:val="1"/>
                <w:color w:val="auto"/>
              </w:rPr>
              <w:t>Jurisdiction of Incorporation</w:t>
            </w:r>
          </w:p>
        </w:tc>
      </w:tr>
      <w:tr>
        <w:trPr>
          <w:trHeight w:val="224"/>
        </w:trPr>
        <w:tc>
          <w:tcPr>
            <w:tcW w:w="5000" w:type="dxa"/>
            <w:vAlign w:val="bottom"/>
          </w:tcPr>
          <w:p>
            <w:pPr>
              <w:ind w:left="20"/>
              <w:spacing w:after="0"/>
              <w:rPr>
                <w:sz w:val="20"/>
                <w:szCs w:val="20"/>
                <w:color w:val="auto"/>
              </w:rPr>
            </w:pPr>
            <w:r>
              <w:rPr>
                <w:rFonts w:ascii="Arial" w:cs="Arial" w:eastAsia="Arial" w:hAnsi="Arial"/>
                <w:sz w:val="16"/>
                <w:szCs w:val="16"/>
                <w:color w:val="auto"/>
              </w:rPr>
              <w:t>2233516 Ontario Inc.</w:t>
            </w:r>
          </w:p>
        </w:tc>
        <w:tc>
          <w:tcPr>
            <w:tcW w:w="5540" w:type="dxa"/>
            <w:vAlign w:val="bottom"/>
          </w:tcPr>
          <w:p>
            <w:pPr>
              <w:ind w:left="1360"/>
              <w:spacing w:after="0"/>
              <w:rPr>
                <w:sz w:val="20"/>
                <w:szCs w:val="20"/>
                <w:color w:val="auto"/>
              </w:rPr>
            </w:pPr>
            <w:r>
              <w:rPr>
                <w:rFonts w:ascii="Arial" w:cs="Arial" w:eastAsia="Arial" w:hAnsi="Arial"/>
                <w:sz w:val="16"/>
                <w:szCs w:val="16"/>
                <w:color w:val="auto"/>
              </w:rPr>
              <w:t>Canada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5540" w:type="dxa"/>
            <w:vAlign w:val="bottom"/>
          </w:tcPr>
          <w:p>
            <w:pPr>
              <w:ind w:left="1360"/>
              <w:spacing w:after="0"/>
              <w:rPr>
                <w:sz w:val="20"/>
                <w:szCs w:val="20"/>
                <w:color w:val="auto"/>
              </w:rPr>
            </w:pPr>
            <w:r>
              <w:rPr>
                <w:rFonts w:ascii="Arial" w:cs="Arial" w:eastAsia="Arial" w:hAnsi="Arial"/>
                <w:sz w:val="16"/>
                <w:szCs w:val="16"/>
                <w:color w:val="auto"/>
              </w:rPr>
              <w:t>Canada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Canada Holdings II Partnership</w:t>
            </w:r>
          </w:p>
        </w:tc>
        <w:tc>
          <w:tcPr>
            <w:tcW w:w="5540" w:type="dxa"/>
            <w:vAlign w:val="bottom"/>
          </w:tcPr>
          <w:p>
            <w:pPr>
              <w:ind w:left="1360"/>
              <w:spacing w:after="0"/>
              <w:rPr>
                <w:sz w:val="20"/>
                <w:szCs w:val="20"/>
                <w:color w:val="auto"/>
              </w:rPr>
            </w:pPr>
            <w:r>
              <w:rPr>
                <w:rFonts w:ascii="Arial" w:cs="Arial" w:eastAsia="Arial" w:hAnsi="Arial"/>
                <w:sz w:val="16"/>
                <w:szCs w:val="16"/>
                <w:color w:val="auto"/>
              </w:rPr>
              <w:t>Canada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5540" w:type="dxa"/>
            <w:vAlign w:val="bottom"/>
          </w:tcPr>
          <w:p>
            <w:pPr>
              <w:ind w:left="1360"/>
              <w:spacing w:after="0"/>
              <w:rPr>
                <w:sz w:val="20"/>
                <w:szCs w:val="20"/>
                <w:color w:val="auto"/>
              </w:rPr>
            </w:pPr>
            <w:r>
              <w:rPr>
                <w:rFonts w:ascii="Arial" w:cs="Arial" w:eastAsia="Arial" w:hAnsi="Arial"/>
                <w:sz w:val="16"/>
                <w:szCs w:val="16"/>
                <w:color w:val="auto"/>
              </w:rPr>
              <w:t>Canada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Car Rental Services Inc.</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Fleetco</w:t>
            </w:r>
          </w:p>
        </w:tc>
        <w:tc>
          <w:tcPr>
            <w:tcW w:w="5540" w:type="dxa"/>
            <w:vAlign w:val="bottom"/>
          </w:tcPr>
          <w:p>
            <w:pPr>
              <w:ind w:left="1360"/>
              <w:spacing w:after="0"/>
              <w:rPr>
                <w:sz w:val="20"/>
                <w:szCs w:val="20"/>
                <w:color w:val="auto"/>
              </w:rPr>
            </w:pPr>
            <w:r>
              <w:rPr>
                <w:rFonts w:ascii="Arial" w:cs="Arial" w:eastAsia="Arial" w:hAnsi="Arial"/>
                <w:sz w:val="16"/>
                <w:szCs w:val="16"/>
                <w:color w:val="auto"/>
              </w:rPr>
              <w:t>France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Funding Pty Ltd.</w:t>
            </w:r>
          </w:p>
        </w:tc>
        <w:tc>
          <w:tcPr>
            <w:tcW w:w="5540" w:type="dxa"/>
            <w:vAlign w:val="bottom"/>
          </w:tcPr>
          <w:p>
            <w:pPr>
              <w:ind w:left="1360"/>
              <w:spacing w:after="0"/>
              <w:rPr>
                <w:sz w:val="20"/>
                <w:szCs w:val="20"/>
                <w:color w:val="auto"/>
              </w:rPr>
            </w:pPr>
            <w:r>
              <w:rPr>
                <w:rFonts w:ascii="Arial" w:cs="Arial" w:eastAsia="Arial" w:hAnsi="Arial"/>
                <w:sz w:val="16"/>
                <w:szCs w:val="16"/>
                <w:color w:val="auto"/>
              </w:rPr>
              <w:t>Australia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Luxembourg Holdings, S.á r.l.</w:t>
            </w:r>
          </w:p>
        </w:tc>
        <w:tc>
          <w:tcPr>
            <w:tcW w:w="5540" w:type="dxa"/>
            <w:vAlign w:val="bottom"/>
          </w:tcPr>
          <w:p>
            <w:pPr>
              <w:ind w:left="1360"/>
              <w:spacing w:after="0"/>
              <w:rPr>
                <w:sz w:val="20"/>
                <w:szCs w:val="20"/>
                <w:color w:val="auto"/>
              </w:rPr>
            </w:pPr>
            <w:r>
              <w:rPr>
                <w:rFonts w:ascii="Arial" w:cs="Arial" w:eastAsia="Arial" w:hAnsi="Arial"/>
                <w:sz w:val="16"/>
                <w:szCs w:val="16"/>
                <w:color w:val="auto"/>
              </w:rPr>
              <w:t>Luxembourg</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Scotland Finance I, LP</w:t>
            </w:r>
          </w:p>
        </w:tc>
        <w:tc>
          <w:tcPr>
            <w:tcW w:w="5540" w:type="dxa"/>
            <w:vAlign w:val="bottom"/>
          </w:tcPr>
          <w:p>
            <w:pPr>
              <w:ind w:left="1360"/>
              <w:spacing w:after="0"/>
              <w:rPr>
                <w:sz w:val="20"/>
                <w:szCs w:val="20"/>
                <w:color w:val="auto"/>
              </w:rPr>
            </w:pPr>
            <w:r>
              <w:rPr>
                <w:rFonts w:ascii="Arial" w:cs="Arial" w:eastAsia="Arial" w:hAnsi="Arial"/>
                <w:sz w:val="16"/>
                <w:szCs w:val="16"/>
                <w:color w:val="auto"/>
              </w:rPr>
              <w:t>Scotland</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 Scotland Finance II, LP</w:t>
            </w:r>
          </w:p>
        </w:tc>
        <w:tc>
          <w:tcPr>
            <w:tcW w:w="5540" w:type="dxa"/>
            <w:vAlign w:val="bottom"/>
          </w:tcPr>
          <w:p>
            <w:pPr>
              <w:ind w:left="1360"/>
              <w:spacing w:after="0"/>
              <w:rPr>
                <w:sz w:val="20"/>
                <w:szCs w:val="20"/>
                <w:color w:val="auto"/>
              </w:rPr>
            </w:pPr>
            <w:r>
              <w:rPr>
                <w:rFonts w:ascii="Arial" w:cs="Arial" w:eastAsia="Arial" w:hAnsi="Arial"/>
                <w:sz w:val="16"/>
                <w:szCs w:val="16"/>
                <w:color w:val="auto"/>
              </w:rPr>
              <w:t>Scotland</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ABG Car Services Holdings, LLC</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5540" w:type="dxa"/>
            <w:vAlign w:val="bottom"/>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ABG Scandinavia Holdings AS</w:t>
            </w:r>
          </w:p>
        </w:tc>
        <w:tc>
          <w:tcPr>
            <w:tcW w:w="5540" w:type="dxa"/>
            <w:vAlign w:val="bottom"/>
          </w:tcPr>
          <w:p>
            <w:pPr>
              <w:ind w:left="1360"/>
              <w:spacing w:after="0"/>
              <w:rPr>
                <w:sz w:val="20"/>
                <w:szCs w:val="20"/>
                <w:color w:val="auto"/>
              </w:rPr>
            </w:pPr>
            <w:r>
              <w:rPr>
                <w:rFonts w:ascii="Arial" w:cs="Arial" w:eastAsia="Arial" w:hAnsi="Arial"/>
                <w:sz w:val="16"/>
                <w:szCs w:val="16"/>
                <w:color w:val="auto"/>
              </w:rPr>
              <w:t>Norway</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ACE Administracao e Participacao Ltda.</w:t>
            </w:r>
          </w:p>
        </w:tc>
        <w:tc>
          <w:tcPr>
            <w:tcW w:w="5540" w:type="dxa"/>
            <w:vAlign w:val="bottom"/>
          </w:tcPr>
          <w:p>
            <w:pPr>
              <w:ind w:left="1360"/>
              <w:spacing w:after="0"/>
              <w:rPr>
                <w:sz w:val="20"/>
                <w:szCs w:val="20"/>
                <w:color w:val="auto"/>
              </w:rPr>
            </w:pPr>
            <w:r>
              <w:rPr>
                <w:rFonts w:ascii="Arial" w:cs="Arial" w:eastAsia="Arial" w:hAnsi="Arial"/>
                <w:sz w:val="16"/>
                <w:szCs w:val="16"/>
                <w:color w:val="auto"/>
              </w:rPr>
              <w:t>Brazil</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ACE Rent A Car, Inc.</w:t>
            </w:r>
          </w:p>
        </w:tc>
        <w:tc>
          <w:tcPr>
            <w:tcW w:w="5540" w:type="dxa"/>
            <w:vAlign w:val="bottom"/>
          </w:tcPr>
          <w:p>
            <w:pPr>
              <w:ind w:left="1360"/>
              <w:spacing w:after="0"/>
              <w:rPr>
                <w:sz w:val="20"/>
                <w:szCs w:val="20"/>
                <w:color w:val="auto"/>
              </w:rPr>
            </w:pPr>
            <w:r>
              <w:rPr>
                <w:rFonts w:ascii="Arial" w:cs="Arial" w:eastAsia="Arial" w:hAnsi="Arial"/>
                <w:sz w:val="16"/>
                <w:szCs w:val="16"/>
                <w:color w:val="auto"/>
              </w:rPr>
              <w:t>Indiana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Advance Ross Corporation</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Advance Ross Intermediate Corporation</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Advance Ross Sub Company</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 Consolidation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England and Wales</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 Holdco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England and Wales</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Aegis Motor Insurance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Isle of Man</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AESOP Funding Corp.</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AESOP Leasing Corp.</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AESOP Leasing Corp. II</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AESOP Leasing LP</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Anji Car Rental &amp; Leasing Company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Apex Car Rentals</w:t>
            </w:r>
          </w:p>
        </w:tc>
        <w:tc>
          <w:tcPr>
            <w:tcW w:w="5540" w:type="dxa"/>
            <w:vAlign w:val="bottom"/>
          </w:tcPr>
          <w:p>
            <w:pPr>
              <w:ind w:left="1360"/>
              <w:spacing w:after="0"/>
              <w:rPr>
                <w:sz w:val="20"/>
                <w:szCs w:val="20"/>
                <w:color w:val="auto"/>
              </w:rPr>
            </w:pPr>
            <w:r>
              <w:rPr>
                <w:rFonts w:ascii="Arial" w:cs="Arial" w:eastAsia="Arial" w:hAnsi="Arial"/>
                <w:sz w:val="16"/>
                <w:szCs w:val="16"/>
                <w:color w:val="auto"/>
              </w:rPr>
              <w:t>New Zealand</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Apex Car Rentals Pty Ltd.</w:t>
            </w:r>
          </w:p>
        </w:tc>
        <w:tc>
          <w:tcPr>
            <w:tcW w:w="5540" w:type="dxa"/>
            <w:vAlign w:val="bottom"/>
          </w:tcPr>
          <w:p>
            <w:pPr>
              <w:ind w:left="1360"/>
              <w:spacing w:after="0"/>
              <w:rPr>
                <w:sz w:val="20"/>
                <w:szCs w:val="20"/>
                <w:color w:val="auto"/>
              </w:rPr>
            </w:pPr>
            <w:r>
              <w:rPr>
                <w:rFonts w:ascii="Arial" w:cs="Arial" w:eastAsia="Arial" w:hAnsi="Arial"/>
                <w:sz w:val="16"/>
                <w:szCs w:val="16"/>
                <w:color w:val="auto"/>
              </w:rPr>
              <w:t>Australia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ARAC Management Services Inc.</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ARACS LLC</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Arbitra S.A.</w:t>
            </w:r>
          </w:p>
        </w:tc>
        <w:tc>
          <w:tcPr>
            <w:tcW w:w="5540" w:type="dxa"/>
            <w:vAlign w:val="bottom"/>
          </w:tcPr>
          <w:p>
            <w:pPr>
              <w:ind w:left="1360"/>
              <w:spacing w:after="0"/>
              <w:rPr>
                <w:sz w:val="20"/>
                <w:szCs w:val="20"/>
                <w:color w:val="auto"/>
              </w:rPr>
            </w:pPr>
            <w:r>
              <w:rPr>
                <w:rFonts w:ascii="Arial" w:cs="Arial" w:eastAsia="Arial" w:hAnsi="Arial"/>
                <w:sz w:val="16"/>
                <w:szCs w:val="16"/>
                <w:color w:val="auto"/>
              </w:rPr>
              <w:t>Argentina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AU Holdco Pty Ltd.</w:t>
            </w:r>
          </w:p>
        </w:tc>
        <w:tc>
          <w:tcPr>
            <w:tcW w:w="5540" w:type="dxa"/>
            <w:vAlign w:val="bottom"/>
          </w:tcPr>
          <w:p>
            <w:pPr>
              <w:ind w:left="1360"/>
              <w:spacing w:after="0"/>
              <w:rPr>
                <w:sz w:val="20"/>
                <w:szCs w:val="20"/>
                <w:color w:val="auto"/>
              </w:rPr>
            </w:pPr>
            <w:r>
              <w:rPr>
                <w:rFonts w:ascii="Arial" w:cs="Arial" w:eastAsia="Arial" w:hAnsi="Arial"/>
                <w:sz w:val="16"/>
                <w:szCs w:val="16"/>
                <w:color w:val="auto"/>
              </w:rPr>
              <w:t>Australia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Auto Accident Consultants Pty.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Australia</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Auto-Hall S.A.</w:t>
            </w:r>
          </w:p>
        </w:tc>
        <w:tc>
          <w:tcPr>
            <w:tcW w:w="5540" w:type="dxa"/>
            <w:vAlign w:val="bottom"/>
          </w:tcPr>
          <w:p>
            <w:pPr>
              <w:ind w:left="1360"/>
              <w:spacing w:after="0"/>
              <w:rPr>
                <w:sz w:val="20"/>
                <w:szCs w:val="20"/>
                <w:color w:val="auto"/>
              </w:rPr>
            </w:pPr>
            <w:r>
              <w:rPr>
                <w:rFonts w:ascii="Arial" w:cs="Arial" w:eastAsia="Arial" w:hAnsi="Arial"/>
                <w:sz w:val="16"/>
                <w:szCs w:val="16"/>
                <w:color w:val="auto"/>
              </w:rPr>
              <w:t>Monaco</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Avis (US) Holdings BV</w:t>
            </w:r>
          </w:p>
        </w:tc>
        <w:tc>
          <w:tcPr>
            <w:tcW w:w="5540" w:type="dxa"/>
            <w:vAlign w:val="bottom"/>
          </w:tcPr>
          <w:p>
            <w:pPr>
              <w:ind w:left="1360"/>
              <w:spacing w:after="0"/>
              <w:rPr>
                <w:sz w:val="20"/>
                <w:szCs w:val="20"/>
                <w:color w:val="auto"/>
              </w:rPr>
            </w:pPr>
            <w:r>
              <w:rPr>
                <w:rFonts w:ascii="Arial" w:cs="Arial" w:eastAsia="Arial" w:hAnsi="Arial"/>
                <w:sz w:val="16"/>
                <w:szCs w:val="16"/>
                <w:color w:val="auto"/>
              </w:rPr>
              <w:t>The Netherlands</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Avis Africa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England and Wales</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Avis Alquile un Coche S.A.</w:t>
            </w:r>
          </w:p>
        </w:tc>
        <w:tc>
          <w:tcPr>
            <w:tcW w:w="5540" w:type="dxa"/>
            <w:vAlign w:val="bottom"/>
          </w:tcPr>
          <w:p>
            <w:pPr>
              <w:ind w:left="1360"/>
              <w:spacing w:after="0"/>
              <w:rPr>
                <w:sz w:val="20"/>
                <w:szCs w:val="20"/>
                <w:color w:val="auto"/>
              </w:rPr>
            </w:pPr>
            <w:r>
              <w:rPr>
                <w:rFonts w:ascii="Arial" w:cs="Arial" w:eastAsia="Arial" w:hAnsi="Arial"/>
                <w:sz w:val="16"/>
                <w:szCs w:val="16"/>
                <w:color w:val="auto"/>
              </w:rPr>
              <w:t>Spain</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Avis Asia and Pacific, LLC</w:t>
            </w:r>
          </w:p>
        </w:tc>
        <w:tc>
          <w:tcPr>
            <w:tcW w:w="5540" w:type="dxa"/>
            <w:vAlign w:val="bottom"/>
          </w:tcPr>
          <w:p>
            <w:pPr>
              <w:ind w:left="1360"/>
              <w:spacing w:after="0"/>
              <w:rPr>
                <w:sz w:val="20"/>
                <w:szCs w:val="20"/>
                <w:color w:val="auto"/>
              </w:rPr>
            </w:pPr>
            <w:r>
              <w:rPr>
                <w:rFonts w:ascii="Arial" w:cs="Arial" w:eastAsia="Arial" w:hAnsi="Arial"/>
                <w:sz w:val="16"/>
                <w:szCs w:val="16"/>
                <w:color w:val="auto"/>
              </w:rPr>
              <w:t>Delaware</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Avis Asia Limited</w:t>
            </w:r>
          </w:p>
        </w:tc>
        <w:tc>
          <w:tcPr>
            <w:tcW w:w="5540" w:type="dxa"/>
            <w:vAlign w:val="bottom"/>
          </w:tcPr>
          <w:p>
            <w:pPr>
              <w:ind w:left="1360"/>
              <w:spacing w:after="0"/>
              <w:rPr>
                <w:sz w:val="20"/>
                <w:szCs w:val="20"/>
                <w:color w:val="auto"/>
              </w:rPr>
            </w:pPr>
            <w:r>
              <w:rPr>
                <w:rFonts w:ascii="Arial" w:cs="Arial" w:eastAsia="Arial" w:hAnsi="Arial"/>
                <w:sz w:val="16"/>
                <w:szCs w:val="16"/>
                <w:color w:val="auto"/>
              </w:rPr>
              <w:t>England and Wales</w:t>
            </w:r>
          </w:p>
        </w:tc>
      </w:tr>
    </w:tbl>
    <w:p>
      <w:pPr>
        <w:sectPr>
          <w:pgSz w:w="11900" w:h="16838" w:orient="portrait"/>
          <w:cols w:equalWidth="0" w:num="1">
            <w:col w:w="10980"/>
          </w:cols>
          <w:pgMar w:left="680" w:top="585"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Avis Assistance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AG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Gesellschaft 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AvisBudget Group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Belgium SA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 Service GmbH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Autoverhuur B.V.</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Beteiligungsgesellschaft 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GmbH &amp; Co KG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Verwaltungs GmbH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Canada ULC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Contact Centers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de Puerto Rico,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EMEA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Europe International Reinsurance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plc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Contact Centres EMEA S.A.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Business Support Centre Kft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Holdings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Financing, S.á 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 Fleet Co S.A.P.A.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Services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Budget UK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Car Rental Group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Caribbean,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Commercial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Enterprises,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Group Holdings BV</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Overseas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Risk Management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Europe and Middle East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2)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3)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Financement Vehicles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Jersey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ectPr>
          <w:pgSz w:w="11900" w:h="16838" w:orient="portrait"/>
          <w:cols w:equalWidth="0" w:num="2">
            <w:col w:w="5620" w:space="720"/>
            <w:col w:w="3419"/>
          </w:cols>
          <w:pgMar w:left="700" w:top="546" w:right="1440"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Avis Financial Services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Group Holdings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Holdings,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India Investments Private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Holdings,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(No. 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Leasing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Leisure Services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Licence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S.à 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Lube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Services,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New York General Partnership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Operations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Pension Trustees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Portugal S.G.P.S., LDA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(Isle Of Man)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Sdn. Bhd.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System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 Service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Aviscar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Baker Car and Truck Rental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Barcelsure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Bell'Aria S.p.A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BGI Leasing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BRC Automoveis de Alugel Ltda.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Funding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International,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Australia Pty.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Licensor,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Operations Pty.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System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 Truck Rental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Budgetcar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Business Rent A Car GmbH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Camfox Pty.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CCRG Servicios De Automoveis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Arkansas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ectPr>
          <w:pgSz w:w="11900" w:h="16838" w:orient="portrait"/>
          <w:cols w:equalWidth="0" w:num="2">
            <w:col w:w="5620" w:space="720"/>
            <w:col w:w="3419"/>
          </w:cols>
          <w:pgMar w:left="700" w:top="546" w:right="1440"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CD Intellectual Property Holdings,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Centre Point Funding,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Centrus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Chaconne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Cilva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Dallas Automoveis e Accessories Ltda.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Dallas Holding S.A.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Dallas Rent A Car Ltda.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DRC Automoveis de Alugel Ltda.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Europe Leisure Holdings NV</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Garage St Martin 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Garep AG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HFS Truck Funding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Jupol-Car sp. z.o.o.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Asset Management SRL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Finanziaria de Partecipazioni SRL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SRL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Rent SPA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Tradefleet Development SRL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Maggiore Tradefleet Investments SRL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Manor National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Mercury Car Rentals Private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Milton Location de Voitures 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Minnesota Rent A Car,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Mobility,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Motorent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National Car Rentals (Private)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Payhot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Canada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System,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Payless Car Sales,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Payless Parking,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PF Claims Management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 Holdco,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Prolita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PV Holding Corp.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PVI Kraftfahrzeug Leasing GmbH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Quartx Fleet Management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RAC Norway 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RAC Group Denmark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Indiana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Tennessee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ectPr>
          <w:pgSz w:w="11900" w:h="16838" w:orient="portrait"/>
          <w:cols w:equalWidth="0" w:num="2">
            <w:col w:w="5620" w:space="720"/>
            <w:col w:w="3419"/>
          </w:cols>
          <w:pgMar w:left="700" w:top="547" w:right="1440"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Rent-A-Car Company, Incorporated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REZLink International,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Runabout,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SCA 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Servicios Avis S.A.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(NZ)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Sovial Sociedade de Viaturas de Aluguer LDA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Sovialma Sociedade de Viaturas de Aluguer da Madeira LDA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Strongdraw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Sweden Rent A Car AB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Team Fleet Financing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Texas Rent A Car,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Upperextra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Enterprises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W.T.H. Fleet Leasing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W.T.H.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Try Harder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Wizard Co.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Wizard Services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WTH Canada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WTH Car Rental, ULC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WTH Funding Limited Partnership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Yourway Rent A Car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Yourway Rent A Car Pty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(UK)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Australia Pty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Austria GmbH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Belgium SPRL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Canada,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Carsharing S.A.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Zicpar France SAS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Finance Company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Holdings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New York,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Securities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Zipcar Vehicle Financing, LLC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Zodiac Autovermietung AG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Zodiac Europe Finance Company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Zodiac Europe Investments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Zodiac Europe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Zodiac Italia S.p.A.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Virginia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Illinois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Virgin Islands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ectPr>
          <w:pgSz w:w="11900" w:h="16838" w:orient="portrait"/>
          <w:cols w:equalWidth="0" w:num="2">
            <w:col w:w="5620" w:space="720"/>
            <w:col w:w="3419"/>
          </w:cols>
          <w:pgMar w:left="700" w:top="547" w:right="1440" w:bottom="1440" w:gutter="0" w:footer="0" w:header="0"/>
        </w:sectPr>
      </w:pPr>
    </w:p>
    <w:bookmarkStart w:id="136" w:name="page137"/>
    <w:bookmarkEnd w:id="136"/>
    <w:p>
      <w:pPr>
        <w:spacing w:after="0"/>
        <w:tabs>
          <w:tab w:leader="none" w:pos="6320" w:val="left"/>
        </w:tabs>
        <w:rPr>
          <w:sz w:val="20"/>
          <w:szCs w:val="20"/>
          <w:color w:val="auto"/>
        </w:rPr>
      </w:pPr>
      <w:r>
        <w:rPr>
          <w:rFonts w:ascii="Arial" w:cs="Arial" w:eastAsia="Arial" w:hAnsi="Arial"/>
          <w:sz w:val="16"/>
          <w:szCs w:val="16"/>
          <w:color w:val="auto"/>
        </w:rPr>
        <w:t>Zodiac Rent a Car Limited</w:t>
      </w:r>
      <w:r>
        <w:rPr>
          <w:sz w:val="20"/>
          <w:szCs w:val="20"/>
          <w:color w:val="auto"/>
        </w:rPr>
        <w:tab/>
      </w:r>
      <w:r>
        <w:rPr>
          <w:rFonts w:ascii="Arial" w:cs="Arial" w:eastAsia="Arial" w:hAnsi="Arial"/>
          <w:sz w:val="16"/>
          <w:szCs w:val="16"/>
          <w:color w:val="auto"/>
        </w:rPr>
        <w:t>England and Wales</w:t>
      </w:r>
    </w:p>
    <w:p>
      <w:pPr>
        <w:sectPr>
          <w:pgSz w:w="11900" w:h="16838" w:orient="portrait"/>
          <w:cols w:equalWidth="0" w:num="1">
            <w:col w:w="9759"/>
          </w:cols>
          <w:pgMar w:left="700" w:top="547"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333-98933, 333-114744, 333-124925, 333-144143, 333-161418 and 333-197770 on Form S-8 of our reports dated February 24, 2016,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and subsidiaries for the year ended December 31, 2015.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57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15951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 and</w:t>
      </w:r>
    </w:p>
    <w:p>
      <w:pPr>
        <w:jc w:val="center"/>
        <w:ind w:right="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1300" w:right="100" w:hanging="320"/>
        <w:spacing w:after="0" w:line="250"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2016</w:t>
      </w:r>
    </w:p>
    <w:p>
      <w:pPr>
        <w:spacing w:after="0" w:line="3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5126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2015,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21"/>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40" w:right="200" w:hanging="321"/>
        <w:spacing w:after="0" w:line="262"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2"/>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lvl w:ilvl="1">
      <w:lvlJc w:val="left"/>
      <w:lvlText w:val="◦"/>
      <w:numFmt w:val="bullet"/>
      <w:start w:val="1"/>
    </w:lvl>
  </w:abstractNum>
  <w:abstractNum w:abstractNumId="6">
    <w:nsid w:val="10233C99"/>
    <w:multiLevelType w:val="hybridMultilevel"/>
    <w:lvl w:ilvl="0">
      <w:lvlJc w:val="left"/>
      <w:lvlText w:val="•"/>
      <w:numFmt w:val="bullet"/>
      <w:start w:val="1"/>
    </w:lvl>
    <w:lvl w:ilvl="1">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lvl w:ilvl="1">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Letter"/>
      <w:start w:val="2"/>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1)"/>
      <w:numFmt w:val="lowerLetter"/>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3"/>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1"/>
    </w:lvl>
  </w:abstractNum>
  <w:abstractNum w:abstractNumId="45">
    <w:nsid w:val="4962813B"/>
    <w:multiLevelType w:val="hybridMultilevel"/>
    <w:lvl w:ilvl="0">
      <w:lvlJc w:val="left"/>
      <w:lvlText w:val="(%1)"/>
      <w:numFmt w:val="lowerLetter"/>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decimal"/>
      <w:start w:val="26"/>
    </w:lvl>
  </w:abstractNum>
  <w:abstractNum w:abstractNumId="51">
    <w:nsid w:val="71EA1109"/>
    <w:multiLevelType w:val="hybridMultilevel"/>
    <w:lvl w:ilvl="0">
      <w:lvlJc w:val="left"/>
      <w:lvlText w:val="%1"/>
      <w:numFmt w:val="decimal"/>
      <w:start w:val="734"/>
    </w:lvl>
  </w:abstractNum>
  <w:abstractNum w:abstractNumId="52">
    <w:nsid w:val="100F59DC"/>
    <w:multiLevelType w:val="hybridMultilevel"/>
    <w:lvl w:ilvl="0">
      <w:lvlJc w:val="left"/>
      <w:lvlText w:val="%1"/>
      <w:numFmt w:val="decimal"/>
      <w:start w:val="288"/>
    </w:lvl>
  </w:abstractNum>
  <w:abstractNum w:abstractNumId="53">
    <w:nsid w:val="7FB7E0AA"/>
    <w:multiLevelType w:val="hybridMultilevel"/>
    <w:lvl w:ilvl="0">
      <w:lvlJc w:val="left"/>
      <w:lvlText w:val="(%1)"/>
      <w:numFmt w:val="decimal"/>
      <w:start w:val="147"/>
    </w:lvl>
  </w:abstractNum>
  <w:abstractNum w:abstractNumId="54">
    <w:nsid w:val="6EB5BD4"/>
    <w:multiLevelType w:val="hybridMultilevel"/>
    <w:lvl w:ilvl="0">
      <w:lvlJc w:val="left"/>
      <w:lvlText w:val="%1"/>
      <w:numFmt w:val="decimal"/>
      <w:start w:val="439"/>
    </w:lvl>
  </w:abstractNum>
  <w:abstractNum w:abstractNumId="55">
    <w:nsid w:val="6F6DD9AC"/>
    <w:multiLevelType w:val="hybridMultilevel"/>
    <w:lvl w:ilvl="0">
      <w:lvlJc w:val="left"/>
      <w:lvlText w:val="%1."/>
      <w:numFmt w:val="decimal"/>
      <w:start w:val="1"/>
    </w:lvl>
    <w:lvl w:ilvl="1">
      <w:lvlJc w:val="left"/>
      <w:lvlText w:val="•"/>
      <w:numFmt w:val="bullet"/>
      <w:start w:val="1"/>
    </w:lvl>
  </w:abstractNum>
  <w:abstractNum w:abstractNumId="56">
    <w:nsid w:val="94211F2"/>
    <w:multiLevelType w:val="hybridMultilevel"/>
    <w:lvl w:ilvl="0">
      <w:lvlJc w:val="left"/>
      <w:lvlText w:val="%1."/>
      <w:numFmt w:val="decimal"/>
      <w:start w:val="2"/>
    </w:lvl>
  </w:abstractNum>
  <w:abstractNum w:abstractNumId="57">
    <w:nsid w:val="885E1B"/>
    <w:multiLevelType w:val="hybridMultilevel"/>
    <w:lvl w:ilvl="0">
      <w:lvlJc w:val="left"/>
      <w:lvlText w:val="%1."/>
      <w:numFmt w:val="decimal"/>
      <w:start w:val="3"/>
    </w:lvl>
  </w:abstractNum>
  <w:abstractNum w:abstractNumId="58">
    <w:nsid w:val="76272110"/>
    <w:multiLevelType w:val="hybridMultilevel"/>
    <w:lvl w:ilvl="0">
      <w:lvlJc w:val="left"/>
      <w:lvlText w:val="%1"/>
      <w:numFmt w:val="decimal"/>
      <w:start w:val="1"/>
    </w:lvl>
    <w:lvl w:ilvl="1">
      <w:lvlJc w:val="left"/>
      <w:lvlText w:val="(%2)"/>
      <w:numFmt w:val="lowerLetter"/>
      <w:start w:val="1"/>
    </w:lvl>
  </w:abstractNum>
  <w:abstractNum w:abstractNumId="59">
    <w:nsid w:val="4C04A8AF"/>
    <w:multiLevelType w:val="hybridMultilevel"/>
    <w:lvl w:ilvl="0">
      <w:lvlJc w:val="left"/>
      <w:lvlText w:val="%1."/>
      <w:numFmt w:val="decimal"/>
      <w:start w:val="4"/>
    </w:lvl>
    <w:lvl w:ilvl="1">
      <w:lvlJc w:val="left"/>
      <w:lvlText w:val="%2"/>
      <w:numFmt w:val="lowerLetter"/>
      <w:start w:val="1"/>
    </w:lvl>
  </w:abstractNum>
  <w:abstractNum w:abstractNumId="60">
    <w:nsid w:val="1716703B"/>
    <w:multiLevelType w:val="hybridMultilevel"/>
    <w:lvl w:ilvl="0">
      <w:lvlJc w:val="left"/>
      <w:lvlText w:val="%1."/>
      <w:numFmt w:val="decimal"/>
      <w:start w:val="5"/>
    </w:lvl>
  </w:abstractNum>
  <w:abstractNum w:abstractNumId="61">
    <w:nsid w:val="14E17E33"/>
    <w:multiLevelType w:val="hybridMultilevel"/>
    <w:lvl w:ilvl="0">
      <w:lvlJc w:val="left"/>
      <w:lvlText w:val="%1."/>
      <w:numFmt w:val="decimal"/>
      <w:start w:val="6"/>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decimal"/>
      <w:start w:val="7"/>
    </w:lvl>
  </w:abstractNum>
  <w:abstractNum w:abstractNumId="64">
    <w:nsid w:val="68EBC550"/>
    <w:multiLevelType w:val="hybridMultilevel"/>
    <w:lvl w:ilvl="0">
      <w:lvlJc w:val="left"/>
      <w:lvlText w:val="%1."/>
      <w:numFmt w:val="decimal"/>
      <w:start w:val="8"/>
    </w:lvl>
  </w:abstractNum>
  <w:abstractNum w:abstractNumId="65">
    <w:nsid w:val="2DF6D648"/>
    <w:multiLevelType w:val="hybridMultilevel"/>
    <w:lvl w:ilvl="0">
      <w:lvlJc w:val="left"/>
      <w:lvlText w:val="(%1)"/>
      <w:numFmt w:val="lowerLetter"/>
      <w:start w:val="1"/>
    </w:lvl>
  </w:abstractNum>
  <w:abstractNum w:abstractNumId="66">
    <w:nsid w:val="46B7D447"/>
    <w:multiLevelType w:val="hybridMultilevel"/>
    <w:lvl w:ilvl="0">
      <w:lvlJc w:val="left"/>
      <w:lvlText w:val="(%1)"/>
      <w:numFmt w:val="lowerLetter"/>
      <w:start w:val="1"/>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decimal"/>
      <w:start w:val="1"/>
    </w:lvl>
    <w:lvl w:ilvl="1">
      <w:lvlJc w:val="left"/>
      <w:lvlText w:val="(%2)"/>
      <w:numFmt w:val="lowerLetter"/>
      <w:start w:val="1"/>
    </w:lvl>
  </w:abstractNum>
  <w:abstractNum w:abstractNumId="69">
    <w:nsid w:val="57FC4FBB"/>
    <w:multiLevelType w:val="hybridMultilevel"/>
    <w:lvl w:ilvl="0">
      <w:lvlJc w:val="left"/>
      <w:lvlText w:val="%1."/>
      <w:numFmt w:val="decimal"/>
      <w:start w:val="9"/>
    </w:lvl>
    <w:lvl w:ilvl="1">
      <w:lvlJc w:val="left"/>
      <w:lvlText w:val="%2"/>
      <w:numFmt w:val="lowerLetter"/>
      <w:start w:val="1"/>
    </w:lvl>
  </w:abstractNum>
  <w:abstractNum w:abstractNumId="70">
    <w:nsid w:val="CC1016F"/>
    <w:multiLevelType w:val="hybridMultilevel"/>
    <w:lvl w:ilvl="0">
      <w:lvlJc w:val="left"/>
      <w:lvlText w:val="%1."/>
      <w:numFmt w:val="decimal"/>
      <w:start w:val="10"/>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decimal"/>
      <w:start w:val="13"/>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1"/>
    </w:lvl>
  </w:abstractNum>
  <w:abstractNum w:abstractNumId="77">
    <w:nsid w:val="5FB8370B"/>
    <w:multiLevelType w:val="hybridMultilevel"/>
    <w:lvl w:ilvl="0">
      <w:lvlJc w:val="left"/>
      <w:lvlText w:val="%1."/>
      <w:numFmt w:val="decimal"/>
      <w:start w:val="14"/>
    </w:lvl>
  </w:abstractNum>
  <w:abstractNum w:abstractNumId="78">
    <w:nsid w:val="50801EE1"/>
    <w:multiLevelType w:val="hybridMultilevel"/>
    <w:lvl w:ilvl="0">
      <w:lvlJc w:val="left"/>
      <w:lvlText w:val="%1."/>
      <w:numFmt w:val="decimal"/>
      <w:start w:val="15"/>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decimal"/>
      <w:start w:val="16"/>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3"/>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decimal"/>
      <w:start w:val="17"/>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decimal"/>
      <w:start w:val="158"/>
    </w:lvl>
  </w:abstractNum>
  <w:abstractNum w:abstractNumId="87">
    <w:nsid w:val="73A1821B"/>
    <w:multiLevelType w:val="hybridMultilevel"/>
    <w:lvl w:ilvl="0">
      <w:lvlJc w:val="left"/>
      <w:lvlText w:val="%1."/>
      <w:numFmt w:val="decimal"/>
      <w:start w:val="18"/>
    </w:lvl>
  </w:abstractNum>
  <w:abstractNum w:abstractNumId="88">
    <w:nsid w:val="7DE67713"/>
    <w:multiLevelType w:val="hybridMultilevel"/>
    <w:lvl w:ilvl="0">
      <w:lvlJc w:val="left"/>
      <w:lvlText w:val="(%1)"/>
      <w:numFmt w:val="lowerRoman"/>
      <w:start w:val="3"/>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decimal"/>
      <w:start w:val="1"/>
    </w:lvl>
    <w:lvl w:ilvl="1">
      <w:lvlJc w:val="left"/>
      <w:lvlText w:val="(%2)"/>
      <w:numFmt w:val="lowerLetter"/>
      <w:start w:val="1"/>
    </w:lvl>
  </w:abstractNum>
  <w:abstractNum w:abstractNumId="93">
    <w:nsid w:val="71C91298"/>
    <w:multiLevelType w:val="hybridMultilevel"/>
    <w:lvl w:ilvl="0">
      <w:lvlJc w:val="left"/>
      <w:lvlText w:val="%1."/>
      <w:numFmt w:val="decimal"/>
      <w:start w:val="19"/>
    </w:lvl>
    <w:lvl w:ilvl="1">
      <w:lvlJc w:val="left"/>
      <w:lvlText w:val="%2"/>
      <w:numFmt w:val="lowerLetter"/>
      <w:start w:val="1"/>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decimal"/>
      <w:start w:val="20"/>
    </w:lvl>
  </w:abstractNum>
  <w:abstractNum w:abstractNumId="98">
    <w:nsid w:val="1D545C4D"/>
    <w:multiLevelType w:val="hybridMultilevel"/>
    <w:lvl w:ilvl="0">
      <w:lvlJc w:val="left"/>
      <w:lvlText w:val="%1."/>
      <w:numFmt w:val="decimal"/>
      <w:start w:val="21"/>
    </w:lvl>
  </w:abstractNum>
  <w:abstractNum w:abstractNumId="99">
    <w:nsid w:val="59ADEA3D"/>
    <w:multiLevelType w:val="hybridMultilevel"/>
    <w:lvl w:ilvl="0">
      <w:lvlJc w:val="left"/>
      <w:lvlText w:val="%1."/>
      <w:numFmt w:val="decimal"/>
      <w:start w:val="22"/>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5"/>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2019-12-29T12:53:44Z</dcterms:created>
  <dcterms:modified xsi:type="dcterms:W3CDTF">2019-12-29T12:53:44Z</dcterms:modified>
</cp:coreProperties>
</file>