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6252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25221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6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Pentwater Capital Management LP</w:t>
              </w:r>
            </w:hyperlink>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AVIS BUDGET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CAR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Borders>
              <w:bottom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860" w:type="dxa"/>
            <w:vAlign w:val="bottom"/>
            <w:tcBorders>
              <w:bottom w:val="single" w:sz="8" w:color="0000EE"/>
            </w:tcBorders>
            <w:gridSpan w:val="3"/>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860" w:type="dxa"/>
            <w:vAlign w:val="bottom"/>
            <w:gridSpan w:val="3"/>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4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02/25/2026</w:t>
            </w:r>
          </w:p>
        </w:tc>
        <w:tc>
          <w:tcPr>
            <w:tcW w:w="12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1001 10TH AVENUE SOUTH</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1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NAPLES</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34102</w:t>
            </w:r>
          </w:p>
        </w:tc>
      </w:tr>
      <w:tr>
        <w:trPr>
          <w:trHeight w:val="146"/>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3"/>
                <w:szCs w:val="13"/>
                <w:color w:val="auto"/>
              </w:rPr>
            </w:pPr>
          </w:p>
        </w:tc>
        <w:tc>
          <w:tcPr>
            <w:tcW w:w="19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jc w:val="center"/>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4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02/26/2026</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X</w:t>
            </w:r>
          </w:p>
        </w:tc>
        <w:tc>
          <w:tcPr>
            <w:tcW w:w="140" w:type="dxa"/>
            <w:vAlign w:val="bottom"/>
          </w:tcPr>
          <w:p>
            <w:pPr>
              <w:spacing w:after="0"/>
              <w:rPr>
                <w:sz w:val="21"/>
                <w:szCs w:val="21"/>
                <w:color w:val="auto"/>
              </w:rPr>
            </w:pP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w:t>
            </w:r>
          </w:p>
        </w:tc>
        <w:tc>
          <w:tcPr>
            <w:tcW w:w="60" w:type="dxa"/>
            <w:vAlign w:val="bottom"/>
          </w:tcPr>
          <w:p>
            <w:pPr>
              <w:spacing w:after="0"/>
              <w:rPr>
                <w:sz w:val="21"/>
                <w:szCs w:val="2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4,072,500</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1440" w:type="dxa"/>
            <w:vAlign w:val="bottom"/>
            <w:tcBorders>
              <w:bottom w:val="single" w:sz="8" w:color="2C2C2C"/>
            </w:tcBorders>
            <w:gridSpan w:val="2"/>
            <w:vMerge w:val="continue"/>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3"/>
          </w:tcPr>
          <w:p>
            <w:pPr>
              <w:jc w:val="center"/>
              <w:ind w:right="10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20" w:type="dxa"/>
            <w:vAlign w:val="bottom"/>
            <w:gridSpan w:val="11"/>
          </w:tcPr>
          <w:p>
            <w:pPr>
              <w:jc w:val="center"/>
              <w:ind w:right="26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6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02/25/2026</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w w:val="82"/>
              </w:rPr>
              <w:t>P</w:t>
            </w:r>
          </w:p>
        </w:tc>
        <w:tc>
          <w:tcPr>
            <w:tcW w:w="460" w:type="dxa"/>
            <w:vAlign w:val="bottom"/>
            <w:vMerge w:val="restart"/>
          </w:tcPr>
          <w:p>
            <w:pPr>
              <w:jc w:val="right"/>
              <w:ind w:right="62"/>
              <w:spacing w:after="0"/>
              <w:rPr>
                <w:sz w:val="20"/>
                <w:szCs w:val="20"/>
                <w:color w:val="auto"/>
              </w:rPr>
            </w:pPr>
            <w:r>
              <w:rPr>
                <w:rFonts w:ascii="Times New Roman" w:cs="Times New Roman" w:eastAsia="Times New Roman" w:hAnsi="Times New Roman"/>
                <w:sz w:val="13"/>
                <w:szCs w:val="13"/>
                <w:color w:val="0000FF"/>
              </w:rPr>
              <w:t>350</w:t>
            </w:r>
          </w:p>
        </w:tc>
        <w:tc>
          <w:tcPr>
            <w:tcW w:w="460" w:type="dxa"/>
            <w:vAlign w:val="bottom"/>
          </w:tcPr>
          <w:p>
            <w:pPr>
              <w:spacing w:after="0"/>
              <w:rPr>
                <w:sz w:val="14"/>
                <w:szCs w:val="14"/>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09/18/2026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35,000</w:t>
            </w:r>
          </w:p>
        </w:tc>
        <w:tc>
          <w:tcPr>
            <w:tcW w:w="60" w:type="dxa"/>
            <w:vAlign w:val="bottom"/>
          </w:tcPr>
          <w:p>
            <w:pPr>
              <w:spacing w:after="0"/>
              <w:rPr>
                <w:sz w:val="14"/>
                <w:szCs w:val="14"/>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20.5682</w:t>
            </w:r>
          </w:p>
        </w:tc>
        <w:tc>
          <w:tcPr>
            <w:tcW w:w="56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350</w:t>
            </w:r>
          </w:p>
        </w:tc>
        <w:tc>
          <w:tcPr>
            <w:tcW w:w="320" w:type="dxa"/>
            <w:vAlign w:val="bottom"/>
          </w:tcPr>
          <w:p>
            <w:pPr>
              <w:spacing w:after="0"/>
              <w:rPr>
                <w:sz w:val="14"/>
                <w:szCs w:val="14"/>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14"/>
                <w:szCs w:val="14"/>
                <w:color w:val="auto"/>
              </w:rPr>
            </w:pPr>
          </w:p>
        </w:tc>
        <w:tc>
          <w:tcPr>
            <w:tcW w:w="740" w:type="dxa"/>
            <w:vAlign w:val="bottom"/>
            <w:tcBorders>
              <w:right w:val="single" w:sz="8" w:color="2C2C2C"/>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ind w:left="160"/>
              <w:spacing w:after="0" w:line="11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right w:val="single" w:sz="8" w:color="2C2C2C"/>
            </w:tcBorders>
            <w:gridSpan w:val="3"/>
          </w:tcPr>
          <w:p>
            <w:pPr>
              <w:ind w:left="60"/>
              <w:spacing w:after="0" w:line="114" w:lineRule="exact"/>
              <w:rPr>
                <w:sz w:val="20"/>
                <w:szCs w:val="20"/>
                <w:color w:val="auto"/>
              </w:rPr>
            </w:pPr>
            <w:r>
              <w:rPr>
                <w:rFonts w:ascii="Times New Roman" w:cs="Times New Roman" w:eastAsia="Times New Roman" w:hAnsi="Times New Roman"/>
                <w:sz w:val="9"/>
                <w:szCs w:val="9"/>
                <w:color w:val="0000FF"/>
              </w:rPr>
              <w:t>footnote</w:t>
            </w:r>
            <w:r>
              <w:rPr>
                <w:rFonts w:ascii="Times New Roman" w:cs="Times New Roman" w:eastAsia="Times New Roman" w:hAnsi="Times New Roman"/>
                <w:sz w:val="13"/>
                <w:szCs w:val="13"/>
                <w:color w:val="008000"/>
                <w:vertAlign w:val="superscript"/>
              </w:rPr>
              <w:t>(1)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Put 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35,000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02/25/2026</w:t>
            </w: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w w:val="82"/>
              </w:rPr>
              <w:t>S</w:t>
            </w:r>
          </w:p>
        </w:tc>
        <w:tc>
          <w:tcPr>
            <w:tcW w:w="460" w:type="dxa"/>
            <w:vAlign w:val="bottom"/>
          </w:tcPr>
          <w:p>
            <w:pPr>
              <w:spacing w:after="0"/>
              <w:rPr>
                <w:sz w:val="4"/>
                <w:szCs w:val="4"/>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350</w:t>
            </w:r>
          </w:p>
        </w:tc>
        <w:tc>
          <w:tcPr>
            <w:tcW w:w="760" w:type="dxa"/>
            <w:vAlign w:val="bottom"/>
            <w:gridSpan w:val="2"/>
            <w:vMerge w:val="continue"/>
          </w:tcPr>
          <w:p>
            <w:pPr>
              <w:spacing w:after="0"/>
              <w:rPr>
                <w:sz w:val="4"/>
                <w:szCs w:val="4"/>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09/18/2026</w:t>
            </w:r>
          </w:p>
        </w:tc>
        <w:tc>
          <w:tcPr>
            <w:tcW w:w="6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10.7082</w:t>
            </w:r>
          </w:p>
        </w:tc>
        <w:tc>
          <w:tcPr>
            <w:tcW w:w="56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350</w:t>
            </w:r>
          </w:p>
        </w:tc>
        <w:tc>
          <w:tcPr>
            <w:tcW w:w="320" w:type="dxa"/>
            <w:vAlign w:val="bottom"/>
          </w:tcPr>
          <w:p>
            <w:pPr>
              <w:spacing w:after="0"/>
              <w:rPr>
                <w:sz w:val="4"/>
                <w:szCs w:val="4"/>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3"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to buy)</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Put 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02/26/2026</w:t>
            </w: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X</w:t>
            </w:r>
          </w:p>
        </w:tc>
        <w:tc>
          <w:tcPr>
            <w:tcW w:w="460" w:type="dxa"/>
            <w:vAlign w:val="bottom"/>
          </w:tcPr>
          <w:p>
            <w:pPr>
              <w:spacing w:after="0"/>
              <w:rPr>
                <w:sz w:val="4"/>
                <w:szCs w:val="4"/>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60" w:type="dxa"/>
            <w:vAlign w:val="bottom"/>
            <w:gridSpan w:val="2"/>
            <w:vMerge w:val="continue"/>
          </w:tcPr>
          <w:p>
            <w:pPr>
              <w:spacing w:after="0"/>
              <w:rPr>
                <w:sz w:val="4"/>
                <w:szCs w:val="4"/>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03/20/2026</w:t>
            </w:r>
          </w:p>
        </w:tc>
        <w:tc>
          <w:tcPr>
            <w:tcW w:w="6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1</w:t>
            </w:r>
          </w:p>
        </w:tc>
        <w:tc>
          <w:tcPr>
            <w:tcW w:w="320" w:type="dxa"/>
            <w:vAlign w:val="bottom"/>
          </w:tcPr>
          <w:p>
            <w:pPr>
              <w:spacing w:after="0"/>
              <w:rPr>
                <w:sz w:val="4"/>
                <w:szCs w:val="4"/>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3"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to buy)</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02/27/2026</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w w:val="82"/>
              </w:rPr>
              <w:t>P</w:t>
            </w:r>
          </w:p>
        </w:tc>
        <w:tc>
          <w:tcPr>
            <w:tcW w:w="460" w:type="dxa"/>
            <w:vAlign w:val="bottom"/>
            <w:vMerge w:val="restart"/>
          </w:tcPr>
          <w:p>
            <w:pPr>
              <w:jc w:val="right"/>
              <w:ind w:right="2"/>
              <w:spacing w:after="0"/>
              <w:rPr>
                <w:sz w:val="20"/>
                <w:szCs w:val="20"/>
                <w:color w:val="auto"/>
              </w:rPr>
            </w:pPr>
            <w:r>
              <w:rPr>
                <w:rFonts w:ascii="Times New Roman" w:cs="Times New Roman" w:eastAsia="Times New Roman" w:hAnsi="Times New Roman"/>
                <w:sz w:val="13"/>
                <w:szCs w:val="13"/>
                <w:color w:val="0000FF"/>
              </w:rPr>
              <w:t>1,200</w:t>
            </w:r>
          </w:p>
        </w:tc>
        <w:tc>
          <w:tcPr>
            <w:tcW w:w="460" w:type="dxa"/>
            <w:vAlign w:val="bottom"/>
          </w:tcPr>
          <w:p>
            <w:pPr>
              <w:spacing w:after="0"/>
              <w:rPr>
                <w:sz w:val="14"/>
                <w:szCs w:val="14"/>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09/18/2026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120,000</w:t>
            </w:r>
          </w:p>
        </w:tc>
        <w:tc>
          <w:tcPr>
            <w:tcW w:w="60" w:type="dxa"/>
            <w:vAlign w:val="bottom"/>
          </w:tcPr>
          <w:p>
            <w:pPr>
              <w:spacing w:after="0"/>
              <w:rPr>
                <w:sz w:val="14"/>
                <w:szCs w:val="14"/>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22.2233</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1,550</w:t>
            </w: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14"/>
                <w:szCs w:val="14"/>
                <w:color w:val="auto"/>
              </w:rPr>
            </w:pPr>
          </w:p>
        </w:tc>
        <w:tc>
          <w:tcPr>
            <w:tcW w:w="740" w:type="dxa"/>
            <w:vAlign w:val="bottom"/>
            <w:tcBorders>
              <w:right w:val="single" w:sz="8" w:color="2C2C2C"/>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ind w:left="160"/>
              <w:spacing w:after="0" w:line="11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right w:val="single" w:sz="8" w:color="2C2C2C"/>
            </w:tcBorders>
            <w:gridSpan w:val="3"/>
          </w:tcPr>
          <w:p>
            <w:pPr>
              <w:ind w:left="60"/>
              <w:spacing w:after="0" w:line="114" w:lineRule="exact"/>
              <w:rPr>
                <w:sz w:val="20"/>
                <w:szCs w:val="20"/>
                <w:color w:val="auto"/>
              </w:rPr>
            </w:pPr>
            <w:r>
              <w:rPr>
                <w:rFonts w:ascii="Times New Roman" w:cs="Times New Roman" w:eastAsia="Times New Roman" w:hAnsi="Times New Roman"/>
                <w:sz w:val="9"/>
                <w:szCs w:val="9"/>
                <w:color w:val="0000FF"/>
              </w:rPr>
              <w:t>footnote</w:t>
            </w:r>
            <w:r>
              <w:rPr>
                <w:rFonts w:ascii="Times New Roman" w:cs="Times New Roman" w:eastAsia="Times New Roman" w:hAnsi="Times New Roman"/>
                <w:sz w:val="13"/>
                <w:szCs w:val="13"/>
                <w:color w:val="008000"/>
                <w:vertAlign w:val="superscript"/>
              </w:rPr>
              <w:t>(1)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Put 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120,000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02/27/2026</w:t>
            </w: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w w:val="82"/>
              </w:rPr>
              <w:t>S</w:t>
            </w:r>
          </w:p>
        </w:tc>
        <w:tc>
          <w:tcPr>
            <w:tcW w:w="460" w:type="dxa"/>
            <w:vAlign w:val="bottom"/>
          </w:tcPr>
          <w:p>
            <w:pPr>
              <w:spacing w:after="0"/>
              <w:rPr>
                <w:sz w:val="4"/>
                <w:szCs w:val="4"/>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1,200</w:t>
            </w:r>
          </w:p>
        </w:tc>
        <w:tc>
          <w:tcPr>
            <w:tcW w:w="760" w:type="dxa"/>
            <w:vAlign w:val="bottom"/>
            <w:gridSpan w:val="2"/>
            <w:vMerge w:val="continue"/>
          </w:tcPr>
          <w:p>
            <w:pPr>
              <w:spacing w:after="0"/>
              <w:rPr>
                <w:sz w:val="4"/>
                <w:szCs w:val="4"/>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09/18/2026</w:t>
            </w:r>
          </w:p>
        </w:tc>
        <w:tc>
          <w:tcPr>
            <w:tcW w:w="6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10.146</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1,550</w:t>
            </w: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3"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to buy)</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-3307080</wp:posOffset>
            </wp:positionV>
            <wp:extent cx="28575" cy="3312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3127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580"/>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by Pentwater Capital Management LP ("PCM") and Matthew Halbower ("Mr. Halbower") (collectively, the "Reporting Persons") with respect to securities held by certain funds (the "Pentwater Funds") to which PCM serves as investment adviser. Mr. Halbower is the sole shareholder of MCH PWCM Holdings Inc., the general partner of PCM. Each of the foregoing disclaims beneficial ownership in the securities reported on this Form 4 except to the extent of its or his pecuniary interest, if any, therein, and this report shall not be deemed to be an admission that such Reporting Person is the beneficial owner of such securities for purposes of Section 16 or for any other purpose.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at any time.</w:t>
      </w:r>
    </w:p>
    <w:p>
      <w:pPr>
        <w:spacing w:after="0" w:line="6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Pentwater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874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Management LP, By: /s/ MCH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280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PWCM Holdings Inc., General</w:t>
      </w:r>
      <w:r>
        <w:rPr>
          <w:sz w:val="20"/>
          <w:szCs w:val="20"/>
          <w:color w:val="auto"/>
        </w:rPr>
        <w:tab/>
      </w:r>
      <w:r>
        <w:rPr>
          <w:rFonts w:ascii="Times New Roman" w:cs="Times New Roman" w:eastAsia="Times New Roman" w:hAnsi="Times New Roman"/>
          <w:sz w:val="16"/>
          <w:szCs w:val="16"/>
          <w:color w:val="0000FF"/>
        </w:rPr>
        <w:t>02/27/2026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Partner, By: Matthew Halbower,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365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0064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Matthew Halbower</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02/27/2026</w:t>
            </w: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425851" TargetMode="External"/><Relationship Id="rId14" Type="http://schemas.openxmlformats.org/officeDocument/2006/relationships/hyperlink" Target="http://www.sec.gov/cgi-bin/browse-edgar?action=getcompany&amp;CIK=0000723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2026-02-27T20:33:22Z</dcterms:created>
  <dcterms:modified xsi:type="dcterms:W3CDTF">2026-02-27T20:33:22Z</dcterms:modified>
</cp:coreProperties>
</file>