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(Commission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379 Interpace Parkway</w:t>
            </w:r>
          </w:p>
        </w:tc>
        <w:tc>
          <w:tcPr>
            <w:tcW w:w="2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2400" w:type="dxa"/>
            <w:vAlign w:val="bottom"/>
          </w:tcPr>
          <w:p>
            <w:pPr>
              <w:spacing w:after="0"/>
              <w:rPr>
                <w:sz w:val="20"/>
                <w:szCs w:val="20"/>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(973) 496-4700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On June 29, 2026 (the “Closing Date”), Avis Budget Group, Inc. (the “Company”) and its subsidiaries, Avis Budget Holdings, LLC and Avis Budget Car Rental, LLC, as the Borrower (collectively, the “Avis Parties”), entered into the Eleventh Amendment (the “Eleventh Amendment”) to the Sixth Amended and Restated Credit Agreement with JPMorgan Chase Bank, N.A., as Administrative Agent and the other lenders party thereto (as amended, restated or otherwise modified prior to the Eleventh Amendment, the “Sixth A&amp;R Credit Agreement”, and the Sixth A&amp;R Credit Agreement as amended by the Eleventh Amendment, the “Amended Sixth A&amp;R Credit Agreement”). On the Closing Date, pursuant to the Eleventh Amendment, the Borrower (i) refinanced the existing $2 billion revolving loan facility under the Sixth A&amp;R Credit Agreement with a new $2 billion revolving loan facility (the “2031 Revolving Facility”), which will mature on June 29, 2031 (subject to a springing maturity of 90 days prior to the maturity date of certain long-term indebtedness of the Borrower and its subsidiaries if, on such date, the aggregate principal amount of such indebtedness exceeds $300 million) and (ii) established a new $200 million revolving loan facility (the “2028 Revolving Facility”), which will mature on June 29, 2028 (subject to a springing maturity</w:t>
      </w:r>
    </w:p>
    <w:p>
      <w:pPr>
        <w:spacing w:after="0" w:line="5" w:lineRule="exact"/>
        <w:rPr>
          <w:sz w:val="20"/>
          <w:szCs w:val="20"/>
          <w:color w:val="auto"/>
        </w:rPr>
      </w:pPr>
    </w:p>
    <w:p>
      <w:pPr>
        <w:ind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that is 91 days prior to the maturity date of certain long-term indebtedness of the Borrower and its subsidiaries if, on such date, the aggregate principal amount of such indebtedness exceeds $300 million and (y) on the date that is 10 business days after any Group Member (as defined in the Amended Sixth A&amp;R Credit Agreement) receives cash proceeds from any legal settlement in excess of $500 million). The foregoing summary of the Eleventh Amendment is qualified by reference to the terms of the Eleventh Amendment, which is attached hereto as Exhibit 10.1 and is incorporated by reference herein.</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described above under Item 1.01 of this report is incorporated into this Item 2.03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97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Eleventh Amendment, dated as of June 29, 2026, to the Sixth Amended and Restated Credit Agreement, dated as of July 9, 2021,</w:t>
            </w: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among Avis Budget Holdings, LLC, Avis Budget Car Rental, LLC, as borrower, Avis Budget Group, Inc., the subsidiary borrowers</w:t>
            </w: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7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from time to time party thereto, the lenders from time to time party thereto, JPMorgan Chase Bank, N.A., as Administrative Agent, and</w:t>
            </w: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the other parties thereto.</w:t>
            </w:r>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r>
      <w:tr>
        <w:trPr>
          <w:trHeight w:val="45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Chief</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ind w:left="100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ELEVENTH AMENDMENT</w:t>
      </w:r>
    </w:p>
    <w:p>
      <w:pPr>
        <w:spacing w:after="0" w:line="225"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ELEVENTH AMENDMENT, dated as of June 29,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AVIS BUDGET HOLDINGS, LLC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AVIS BUDGET CAR RENTAL,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(which constitute the Required Lenders and each Revolving Lender) and JPMORGAN CHASE BANK, N.A.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JPMorgan, BofA Securities, Inc., Credit Agricole Corporate and Investment Bank, The Bank of Nova Scotia, BNP Paribas, Morgan Stanley Senior Funding, Inc., Royal Bank of Canada, Societe Generale, Truist Bank, Wells Fargo Securities, LLC, Mizuho Bank, Ltd. and MUFG Bank, Ltd. are acting as joint lead arrangers and joint bookrunners in connection with this Amendment and the Revolving Facilities (as defined below) (in such capacities, collectively, the “</w:t>
      </w:r>
      <w:r>
        <w:rPr>
          <w:rFonts w:ascii="Times New Roman" w:cs="Times New Roman" w:eastAsia="Times New Roman" w:hAnsi="Times New Roman"/>
          <w:sz w:val="18"/>
          <w:szCs w:val="18"/>
          <w:u w:val="single" w:color="auto"/>
          <w:color w:val="auto"/>
        </w:rPr>
        <w:t>Joint 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WHEREAS, reference is hereby made to the Sixth Amended and Restated Credit Agreement dated as of July 9, 2021 (as heretofore amended, supplemented or otherwise modified from time to time,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and as further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others, Holdings, the Borrower, Avis Budget Group, Inc. (“</w:t>
      </w:r>
      <w:r>
        <w:rPr>
          <w:rFonts w:ascii="Times New Roman" w:cs="Times New Roman" w:eastAsia="Times New Roman" w:hAnsi="Times New Roman"/>
          <w:sz w:val="18"/>
          <w:szCs w:val="18"/>
          <w:u w:val="single" w:color="auto"/>
          <w:color w:val="auto"/>
        </w:rPr>
        <w:t>ABG</w:t>
      </w:r>
      <w:r>
        <w:rPr>
          <w:rFonts w:ascii="Times New Roman" w:cs="Times New Roman" w:eastAsia="Times New Roman" w:hAnsi="Times New Roman"/>
          <w:sz w:val="18"/>
          <w:szCs w:val="18"/>
          <w:color w:val="auto"/>
        </w:rPr>
        <w:t>”), the subsidiary borrowers from time to time parties thereto, the several lenders from time to time parties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Borrower has requested that the Revolving Commitments outstanding under and as defined in the Existing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Existing Revolving Commitments</w:t>
      </w:r>
      <w:r>
        <w:rPr>
          <w:rFonts w:ascii="Times New Roman" w:cs="Times New Roman" w:eastAsia="Times New Roman" w:hAnsi="Times New Roman"/>
          <w:sz w:val="18"/>
          <w:szCs w:val="18"/>
          <w:color w:val="auto"/>
        </w:rPr>
        <w:t>”) and the Revolving Loans outstanding under and as defined in the Existing Credit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Loans</w:t>
      </w:r>
      <w:r>
        <w:rPr>
          <w:rFonts w:ascii="Times New Roman" w:cs="Times New Roman" w:eastAsia="Times New Roman" w:hAnsi="Times New Roman"/>
          <w:sz w:val="18"/>
          <w:szCs w:val="18"/>
          <w:color w:val="auto"/>
        </w:rPr>
        <w:t>”) be refinanced with a new revolving facility (the “</w:t>
      </w:r>
      <w:r>
        <w:rPr>
          <w:rFonts w:ascii="Times New Roman" w:cs="Times New Roman" w:eastAsia="Times New Roman" w:hAnsi="Times New Roman"/>
          <w:sz w:val="18"/>
          <w:szCs w:val="18"/>
          <w:u w:val="single" w:color="auto"/>
          <w:color w:val="auto"/>
        </w:rPr>
        <w:t>2031 Revolving Facility</w:t>
      </w:r>
      <w:r>
        <w:rPr>
          <w:rFonts w:ascii="Times New Roman" w:cs="Times New Roman" w:eastAsia="Times New Roman" w:hAnsi="Times New Roman"/>
          <w:sz w:val="18"/>
          <w:szCs w:val="18"/>
          <w:color w:val="auto"/>
        </w:rPr>
        <w:t>”) constituting a Refinancing Revolving Facility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obtaining 2031 Revolving Commitments (as defined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of this Amendment) and having the Existing Revolving Commitments be replaced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2031 Revolving Commitments under the 2031 Revolving Facility as provided herein;</w:t>
      </w:r>
    </w:p>
    <w:p>
      <w:pPr>
        <w:spacing w:after="0" w:line="20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WHEREAS, the Borrower has requested an additional new revolving facility (the “</w:t>
      </w:r>
      <w:r>
        <w:rPr>
          <w:rFonts w:ascii="Times New Roman" w:cs="Times New Roman" w:eastAsia="Times New Roman" w:hAnsi="Times New Roman"/>
          <w:sz w:val="18"/>
          <w:szCs w:val="18"/>
          <w:u w:val="single" w:color="auto"/>
          <w:color w:val="auto"/>
        </w:rPr>
        <w:t>2028 Revolving Facility</w:t>
      </w:r>
      <w:r>
        <w:rPr>
          <w:rFonts w:ascii="Times New Roman" w:cs="Times New Roman" w:eastAsia="Times New Roman" w:hAnsi="Times New Roman"/>
          <w:sz w:val="18"/>
          <w:szCs w:val="18"/>
          <w:color w:val="auto"/>
        </w:rPr>
        <w:t>” and, together with the 2031 Revolving Facility, the “</w:t>
      </w:r>
      <w:r>
        <w:rPr>
          <w:rFonts w:ascii="Times New Roman" w:cs="Times New Roman" w:eastAsia="Times New Roman" w:hAnsi="Times New Roman"/>
          <w:sz w:val="18"/>
          <w:szCs w:val="18"/>
          <w:u w:val="single" w:color="auto"/>
          <w:color w:val="auto"/>
        </w:rPr>
        <w:t>Revolving Facilities</w:t>
      </w:r>
      <w:r>
        <w:rPr>
          <w:rFonts w:ascii="Times New Roman" w:cs="Times New Roman" w:eastAsia="Times New Roman" w:hAnsi="Times New Roman"/>
          <w:sz w:val="18"/>
          <w:szCs w:val="18"/>
          <w:color w:val="auto"/>
        </w:rPr>
        <w:t xml:space="preserve">”) by obtaining 2028 Revolving Commitments (as defined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of this Amendment);</w:t>
      </w:r>
    </w:p>
    <w:p>
      <w:pPr>
        <w:spacing w:after="0" w:line="162" w:lineRule="exact"/>
        <w:rPr>
          <w:sz w:val="20"/>
          <w:szCs w:val="20"/>
          <w:color w:val="auto"/>
        </w:rPr>
      </w:pPr>
    </w:p>
    <w:p>
      <w:pPr>
        <w:ind w:right="5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each financial institution set forth under the heading “Lender”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(each such financial institution, a “</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Revolving Lenders</w:t>
      </w:r>
      <w:r>
        <w:rPr>
          <w:rFonts w:ascii="Times New Roman" w:cs="Times New Roman" w:eastAsia="Times New Roman" w:hAnsi="Times New Roman"/>
          <w:sz w:val="18"/>
          <w:szCs w:val="18"/>
          <w:color w:val="auto"/>
        </w:rPr>
        <w:t>”) agrees, on the terms and conditions set forth herein and in the Credit Agreement, to provide 2031 Revolving Commitments and 2028 Revolving Commitments to the Borrower on the Eleventh Amendment Effective Date;</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WHEREAS, the Borrower, the Administrative Agent and the Revolving Lenders party hereto have agreed, upon the terms and subject to the conditions set forth herein, to give effect to the Revolving Facilities and consent to amend the Existing Credit Agreement as set forth herein; and</w:t>
      </w:r>
    </w:p>
    <w:p>
      <w:pPr>
        <w:spacing w:after="0" w:line="162"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10.1 of the Existing Credit Agreement, the Borrower has requested to amend certain other provisions of the Existing Credit Agreement, and the Administrative Agent and the Required Lenders have agreed, upon the terms and subject to the conditions set forth herein, to amend those certain provisions of the Existing Credit Agreement as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contained herein,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SECTION 1. Defined Terms. Unless otherwise defined herein, capitalized terms are used herein as defined in the Credit Agreement as amended hereby.</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right="240" w:firstLine="657"/>
        <w:spacing w:after="0" w:line="312" w:lineRule="auto"/>
        <w:tabs>
          <w:tab w:leader="none" w:pos="21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Existing Credit Agreement is hereby amended in accordance with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(i) by deleting each term thereof which is lined out and (ii) by inserting each term thereof which is double underlined, in each case in the place where such term appears therein.</w:t>
      </w:r>
    </w:p>
    <w:p>
      <w:pPr>
        <w:spacing w:after="0" w:line="139" w:lineRule="exact"/>
        <w:rPr>
          <w:rFonts w:ascii="Times New Roman" w:cs="Times New Roman" w:eastAsia="Times New Roman" w:hAnsi="Times New Roman"/>
          <w:sz w:val="17"/>
          <w:szCs w:val="17"/>
          <w:color w:val="auto"/>
        </w:rPr>
      </w:pPr>
    </w:p>
    <w:p>
      <w:pPr>
        <w:ind w:left="2200" w:hanging="883"/>
        <w:spacing w:after="0"/>
        <w:tabs>
          <w:tab w:leader="none" w:pos="2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1.1A to the Existing Credit Agreement is hereby amended in its entirety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660" w:right="160" w:firstLine="657"/>
        <w:spacing w:after="0" w:line="266" w:lineRule="auto"/>
        <w:tabs>
          <w:tab w:leader="none" w:pos="21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Third Amended and Restated Guarantee and Collateral Agreement is hereby amended in accordance with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 by deleting each term thereof which is lined out and (ii) by inserting each term thereof which is double underlined, in each case in the place where such term appears therein.</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282" w:lineRule="auto"/>
        <w:tabs>
          <w:tab w:leader="none" w:pos="22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amendment of the Existing Credit Agreement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subject to the satisfaction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Amendment.</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Revolving Facilities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right="320" w:firstLine="644"/>
        <w:spacing w:after="0" w:line="256" w:lineRule="auto"/>
        <w:tabs>
          <w:tab w:leader="none" w:pos="22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by its execution of a signature page to this Amendment, agrees to (i) provide a commitment in respect of the 2031 Revolving Facility to the Borrower in an amount equal to the amount set forth under the heading “2031 Revolving Commitment” opposite such Revolving Lender’s name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(such commitment, its “</w:t>
      </w:r>
      <w:r>
        <w:rPr>
          <w:rFonts w:ascii="Times New Roman" w:cs="Times New Roman" w:eastAsia="Times New Roman" w:hAnsi="Times New Roman"/>
          <w:sz w:val="18"/>
          <w:szCs w:val="18"/>
          <w:u w:val="single" w:color="auto"/>
          <w:color w:val="auto"/>
        </w:rPr>
        <w:t>2031 Revolving Commitment</w:t>
      </w:r>
      <w:r>
        <w:rPr>
          <w:rFonts w:ascii="Times New Roman" w:cs="Times New Roman" w:eastAsia="Times New Roman" w:hAnsi="Times New Roman"/>
          <w:sz w:val="18"/>
          <w:szCs w:val="18"/>
          <w:color w:val="auto"/>
        </w:rPr>
        <w:t xml:space="preserve">”) and (ii) to provide a commitment in respect of the 2028 Revolving Facility to the Borrower in an amount equal to the amount set forth under the heading “2028 Revolving Commitment” opposite such Revolving Lender’s name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(such commitment, its “</w:t>
      </w:r>
      <w:r>
        <w:rPr>
          <w:rFonts w:ascii="Times New Roman" w:cs="Times New Roman" w:eastAsia="Times New Roman" w:hAnsi="Times New Roman"/>
          <w:sz w:val="18"/>
          <w:szCs w:val="18"/>
          <w:u w:val="single" w:color="auto"/>
          <w:color w:val="auto"/>
        </w:rPr>
        <w:t>2028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60" w:firstLine="644"/>
        <w:spacing w:after="0" w:line="253" w:lineRule="auto"/>
        <w:tabs>
          <w:tab w:leader="none" w:pos="22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Eleventh Amendment Effective Date, each party hereto agrees that, for all purposes of the Credit Agreement and the other Loan Documents, (i) each Revolving Lender shall be a “Revolving Lender” and a “Lender” under the Credit Agreement, and each Revolving Lender shall be a party to the Credit Agreement and shall have the rights and obligations of a Lender under the Credit Agreement, (ii) each Revolving Commitment shall be a “Revolving Commitment” and a “Commitment” for all purposes under the Credit Agreement and the other Loan Documents and (iii) each reference in the Credit Agreement to “Revolving Commitments” and “Revolving Lenders” shall be deemed a reference to the Revolving Commitments and the Revolving Lenders, respectively, contemplated hereby, except as the context may otherwise require. Notwithstanding the foregoing, the provisions of the Credit Agreement with respect to indemnification, reimbursement of costs and expenses, increased costs and break funding payments shall continue in full force and effect with respect to, and for the benefit of, each Revolving Lender (as defined in the Existing Credit Agreement) (the “</w:t>
      </w:r>
      <w:r>
        <w:rPr>
          <w:rFonts w:ascii="Times New Roman" w:cs="Times New Roman" w:eastAsia="Times New Roman" w:hAnsi="Times New Roman"/>
          <w:sz w:val="18"/>
          <w:szCs w:val="18"/>
          <w:u w:val="single" w:color="auto"/>
          <w:color w:val="auto"/>
        </w:rPr>
        <w:t>Existing Revolving Lenders</w:t>
      </w:r>
      <w:r>
        <w:rPr>
          <w:rFonts w:ascii="Times New Roman" w:cs="Times New Roman" w:eastAsia="Times New Roman" w:hAnsi="Times New Roman"/>
          <w:sz w:val="18"/>
          <w:szCs w:val="18"/>
          <w:color w:val="auto"/>
        </w:rPr>
        <w:t>”) in respect of such Existing Revolving Lender’s Existing Revolving Commitments and Existing Revolving Loans to the same extent expressly set forth therein.</w:t>
      </w:r>
    </w:p>
    <w:p>
      <w:pPr>
        <w:spacing w:after="0" w:line="19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On and as of the date hereof, the Borrower hereby (i) confirms, reaffirms and restates that each of the representations and warranties set forth in Section 4 of the Credit Agreement are, after giving effect to this Amendment, true and correct in all material respects except to the extent that such representations and warranties expressly relate solely to a specific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(in which case such representations and warranties are true and correct in all material respects as of such earlier date), and except for any representation and warranty that is qualified as to “materiality,” “Material Adverse Effect,” or similar language, in which case the Borrower hereby confirms, reaffirms and restates that such representations and warranties are true and correct in all respects and (ii) represents and warrants that no Default or Event of Default shall have occurred and is continuing as of the Eleventh Amendment Effective Date or would immediately result from this Amendment.</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Amendment is subject to the satisfaction of each of the following conditions (the date on which such conditions are satisfied, the “</w:t>
      </w:r>
      <w:r>
        <w:rPr>
          <w:rFonts w:ascii="Times New Roman" w:cs="Times New Roman" w:eastAsia="Times New Roman" w:hAnsi="Times New Roman"/>
          <w:sz w:val="18"/>
          <w:szCs w:val="18"/>
          <w:u w:val="single" w:color="auto"/>
          <w:color w:val="auto"/>
        </w:rPr>
        <w:t>Eleventh 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4"/>
        <w:spacing w:after="0" w:line="312" w:lineRule="auto"/>
        <w:tabs>
          <w:tab w:leader="none" w:pos="22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a counterpart of this Amendment, executed and delivered by a duly authorized officer of Holdings, the Borrower, the Administrative Agent and each Revolving Lender (which shall also constitute the Required Lenders).</w:t>
      </w:r>
    </w:p>
    <w:p>
      <w:pPr>
        <w:spacing w:after="0" w:line="139" w:lineRule="exact"/>
        <w:rPr>
          <w:rFonts w:ascii="Times New Roman" w:cs="Times New Roman" w:eastAsia="Times New Roman" w:hAnsi="Times New Roman"/>
          <w:sz w:val="17"/>
          <w:szCs w:val="17"/>
          <w:color w:val="auto"/>
        </w:rPr>
      </w:pPr>
    </w:p>
    <w:p>
      <w:pPr>
        <w:ind w:left="660" w:firstLine="644"/>
        <w:spacing w:after="0" w:line="266" w:lineRule="auto"/>
        <w:tabs>
          <w:tab w:leader="none" w:pos="22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(i) a Guarantee and Collateral Acknowledgement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executed and delivered by each Loan Party (other than ABG) and (ii) a Guarantee Acknowledgement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executed and delivered by ABG.</w:t>
      </w:r>
    </w:p>
    <w:p>
      <w:pPr>
        <w:spacing w:after="0" w:line="175" w:lineRule="exact"/>
        <w:rPr>
          <w:rFonts w:ascii="Times New Roman" w:cs="Times New Roman" w:eastAsia="Times New Roman" w:hAnsi="Times New Roman"/>
          <w:sz w:val="18"/>
          <w:szCs w:val="18"/>
          <w:color w:val="auto"/>
        </w:rPr>
      </w:pPr>
    </w:p>
    <w:p>
      <w:pPr>
        <w:ind w:left="660" w:firstLine="644"/>
        <w:spacing w:after="0" w:line="273" w:lineRule="auto"/>
        <w:tabs>
          <w:tab w:leader="none" w:pos="22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The Borrower shall have delivered all documentation and information as is reasonably requested in writing by any Revolving Lenders at least three days prior to the anticipated Eleventh Amendment Effective Date required by U.S. regulatory authorities under applicable “know your customer” and anti-money laundering rules and regulations, including without limitation the PATRIOT Act and (y) to the extent the Borrower qualifies as a “legal entity customer” under 31 C.F.R. § 1010.230 (the “</w:t>
      </w:r>
      <w:r>
        <w:rPr>
          <w:rFonts w:ascii="Times New Roman" w:cs="Times New Roman" w:eastAsia="Times New Roman" w:hAnsi="Times New Roman"/>
          <w:sz w:val="17"/>
          <w:szCs w:val="17"/>
          <w:u w:val="single" w:color="auto"/>
          <w:color w:val="auto"/>
        </w:rPr>
        <w:t>Beneficial Ownership Regulation</w:t>
      </w:r>
      <w:r>
        <w:rPr>
          <w:rFonts w:ascii="Times New Roman" w:cs="Times New Roman" w:eastAsia="Times New Roman" w:hAnsi="Times New Roman"/>
          <w:sz w:val="17"/>
          <w:szCs w:val="17"/>
          <w:color w:val="auto"/>
        </w:rPr>
        <w:t>”), at least five days prior to the Eleventh Amendment Effective Date, any Revolving Lender that has requested, in a written notice to the Borrower at least ten days prior to the Eleventh Amendment Effective Date, a certification regarding beneficial ownership or control as required by the Beneficial Ownership Regulation (a “</w:t>
      </w:r>
      <w:r>
        <w:rPr>
          <w:rFonts w:ascii="Times New Roman" w:cs="Times New Roman" w:eastAsia="Times New Roman" w:hAnsi="Times New Roman"/>
          <w:sz w:val="17"/>
          <w:szCs w:val="17"/>
          <w:u w:val="single" w:color="auto"/>
          <w:color w:val="auto"/>
        </w:rPr>
        <w:t>Beneficial Ownership Certification</w:t>
      </w:r>
      <w:r>
        <w:rPr>
          <w:rFonts w:ascii="Times New Roman" w:cs="Times New Roman" w:eastAsia="Times New Roman" w:hAnsi="Times New Roman"/>
          <w:sz w:val="17"/>
          <w:szCs w:val="17"/>
          <w:color w:val="auto"/>
        </w:rPr>
        <w:t>”) in relation to the Borrower shall have received such Beneficial Ownership Certification.</w:t>
      </w:r>
    </w:p>
    <w:p>
      <w:pPr>
        <w:spacing w:after="0" w:line="171" w:lineRule="exact"/>
        <w:rPr>
          <w:rFonts w:ascii="Times New Roman" w:cs="Times New Roman" w:eastAsia="Times New Roman" w:hAnsi="Times New Roman"/>
          <w:sz w:val="17"/>
          <w:szCs w:val="17"/>
          <w:color w:val="auto"/>
        </w:rPr>
      </w:pPr>
    </w:p>
    <w:p>
      <w:pPr>
        <w:ind w:left="660" w:right="40" w:firstLine="644"/>
        <w:spacing w:after="0" w:line="261" w:lineRule="auto"/>
        <w:tabs>
          <w:tab w:leader="none" w:pos="22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fees required to be paid to the Administrative Agent, the Lead Arrangers and the Revolving Lenders in connection herewith, accrued reasonable and documented out-of-pocket costs and expenses (including, to the extent invoiced in advance, reasonable legal fees and out-of-pocket expenses of one firm of counsel) and other compensation due and payable to the Administrative Agent, the Lead Arrangers and the Revolving Lenders on or prior to the Eleventh Amendment Effective Date.</w:t>
      </w:r>
    </w:p>
    <w:p>
      <w:pPr>
        <w:spacing w:after="0" w:line="179" w:lineRule="exact"/>
        <w:rPr>
          <w:rFonts w:ascii="Times New Roman" w:cs="Times New Roman" w:eastAsia="Times New Roman" w:hAnsi="Times New Roman"/>
          <w:sz w:val="18"/>
          <w:szCs w:val="18"/>
          <w:color w:val="auto"/>
        </w:rPr>
      </w:pPr>
    </w:p>
    <w:p>
      <w:pPr>
        <w:ind w:left="660" w:right="120" w:firstLine="644"/>
        <w:spacing w:after="0" w:line="266" w:lineRule="auto"/>
        <w:tabs>
          <w:tab w:leader="none" w:pos="22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(i) a certificate of each Loan Party, dated the Eleventh Amendment Effective Date,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Credit Agreement, with appropriate insertions and attachments and (ii) a good standing certificate for each Loan Party from its jurisdiction of organization.</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2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an executed legal opinion of Kirkland &amp; Ellis LLP, counsel to the Borrower and its subsidiaries, substantially in the form of Exhibit E to the Credit Agreement, addressed to the Administrative Agent and the Revolving Lenders as of the Eleventh Amendment Effective Date.</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22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solvency certificate in form and substance reasonably satisfactory to it from a Responsible Officer of the Borrower that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document the solvency of the Borrower and its Subsidiaries after giving effect to the 2028 Revolving Facility and the 2031 Revolving Facility and the application of the proceeds thereof.</w:t>
      </w:r>
    </w:p>
    <w:p>
      <w:pPr>
        <w:spacing w:after="0" w:line="162" w:lineRule="exact"/>
        <w:rPr>
          <w:sz w:val="20"/>
          <w:szCs w:val="20"/>
          <w:color w:val="auto"/>
        </w:rPr>
      </w:pPr>
    </w:p>
    <w:p>
      <w:pPr>
        <w:ind w:right="20" w:firstLine="644"/>
        <w:spacing w:after="0" w:line="282" w:lineRule="auto"/>
        <w:tabs>
          <w:tab w:leader="none" w:pos="15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immediately result from the 2028 Revolving Facility and the 2031 Revolving Facility requested to be made or from the application of the proceeds therefrom.</w:t>
      </w:r>
    </w:p>
    <w:p>
      <w:pPr>
        <w:spacing w:after="0" w:line="161" w:lineRule="exact"/>
        <w:rPr>
          <w:rFonts w:ascii="Times New Roman" w:cs="Times New Roman" w:eastAsia="Times New Roman" w:hAnsi="Times New Roman"/>
          <w:sz w:val="18"/>
          <w:szCs w:val="18"/>
          <w:color w:val="auto"/>
        </w:rPr>
      </w:pPr>
    </w:p>
    <w:p>
      <w:pPr>
        <w:ind w:firstLine="644"/>
        <w:spacing w:after="0" w:line="258" w:lineRule="auto"/>
        <w:tabs>
          <w:tab w:leader="none" w:pos="15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set forth in Section 4 of the Credit Agreement (as amended by this Amendment) shall be true and correct in all material respects (and in all respects if any such representation and warranty is qualified by materiality) on and as of the Eleventh Amendment Effective Date as if made on such date, except to the extent that such representations and warranties expressly relate solely to a specific earlier date (in which case such representations and warranties are true and correct in all material respects as of such earlier date and in all respects if any such representation and warranty is qualified by materiality).</w:t>
      </w:r>
    </w:p>
    <w:p>
      <w:pPr>
        <w:spacing w:after="0" w:line="183" w:lineRule="exact"/>
        <w:rPr>
          <w:rFonts w:ascii="Times New Roman" w:cs="Times New Roman" w:eastAsia="Times New Roman" w:hAnsi="Times New Roman"/>
          <w:sz w:val="18"/>
          <w:szCs w:val="18"/>
          <w:color w:val="auto"/>
        </w:rPr>
      </w:pPr>
    </w:p>
    <w:p>
      <w:pPr>
        <w:ind w:right="800" w:firstLine="644"/>
        <w:spacing w:after="0" w:line="282" w:lineRule="auto"/>
        <w:tabs>
          <w:tab w:leader="none" w:pos="15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from a Responsible Officer of the Borrower stating the Borrower’s compliance with the conditions set forth in clauses (h) and (i) above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40" w:firstLine="644"/>
        <w:spacing w:after="0" w:line="266" w:lineRule="auto"/>
        <w:tabs>
          <w:tab w:leader="none" w:pos="15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prepaid all Existing Revolving Loans outstanding under the Existing Credit Agreement (and all accrued and unpaid interest thereon) and all accrued and unpaid commitment fees and letter of credit fees under the Existing Credit Agreement, accrued to (but not including) the Eleventh Amendment Effective Date.</w:t>
      </w:r>
    </w:p>
    <w:p>
      <w:pPr>
        <w:spacing w:after="0" w:line="175" w:lineRule="exact"/>
        <w:rPr>
          <w:rFonts w:ascii="Times New Roman" w:cs="Times New Roman" w:eastAsia="Times New Roman" w:hAnsi="Times New Roman"/>
          <w:sz w:val="18"/>
          <w:szCs w:val="18"/>
          <w:color w:val="auto"/>
        </w:rPr>
      </w:pPr>
    </w:p>
    <w:p>
      <w:pPr>
        <w:ind w:right="220" w:firstLine="644"/>
        <w:spacing w:after="0" w:line="258" w:lineRule="auto"/>
        <w:tabs>
          <w:tab w:leader="none" w:pos="15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completed “Life-of-Loan” Federal Emergency Management Agency standard flood hazard determination with respect to each improved Mortgaged Property (together with a notice about special flood hazard area status and flood disaster assistance duly executed by the applicable Loan Party relating thereto) and, with respect to any Mortgaged Property on which any improvement is located in a special flood hazard area, evidence of flood insurance as and to the extent required under the Credit Agreement.</w:t>
      </w:r>
    </w:p>
    <w:p>
      <w:pPr>
        <w:spacing w:after="0" w:line="18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Continuing Effect; No Other Amendments or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4" w:lineRule="auto"/>
        <w:tabs>
          <w:tab w:leader="none" w:pos="11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Eleventh Amendment Effective Date,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 as amended hereby.</w:t>
      </w:r>
    </w:p>
    <w:p>
      <w:pPr>
        <w:spacing w:after="0" w:line="191" w:lineRule="exact"/>
        <w:rPr>
          <w:rFonts w:ascii="Times New Roman" w:cs="Times New Roman" w:eastAsia="Times New Roman" w:hAnsi="Times New Roman"/>
          <w:sz w:val="18"/>
          <w:szCs w:val="18"/>
          <w:color w:val="auto"/>
        </w:rPr>
      </w:pPr>
    </w:p>
    <w:p>
      <w:pPr>
        <w:ind w:right="180" w:firstLine="644"/>
        <w:spacing w:after="0" w:line="261" w:lineRule="auto"/>
        <w:tabs>
          <w:tab w:leader="none" w:pos="11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331470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7" w:name="page8"/>
    <w:bookmarkEnd w:id="7"/>
    <w:p>
      <w:pPr>
        <w:ind w:left="660" w:right="180"/>
        <w:spacing w:after="0" w:line="261" w:lineRule="auto"/>
        <w:rPr>
          <w:sz w:val="20"/>
          <w:szCs w:val="20"/>
          <w:color w:val="auto"/>
        </w:rPr>
      </w:pPr>
      <w:r>
        <w:rPr>
          <w:rFonts w:ascii="Times New Roman" w:cs="Times New Roman" w:eastAsia="Times New Roman" w:hAnsi="Times New Roman"/>
          <w:sz w:val="18"/>
          <w:szCs w:val="18"/>
          <w:color w:val="auto"/>
        </w:rPr>
        <w:t>Agreement or any other Loan Document. The obligations outstanding under or of the Credit Agreement and instruments securing the same shall remain in full force and effect, except to any extent expressly modified hereby. Nothing implied in this Amendment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spacing w:after="0" w:line="180" w:lineRule="exact"/>
        <w:rPr>
          <w:sz w:val="20"/>
          <w:szCs w:val="20"/>
          <w:color w:val="auto"/>
        </w:rPr>
      </w:pPr>
    </w:p>
    <w:p>
      <w:pPr>
        <w:ind w:left="1820" w:hanging="516"/>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other parties hereto acknowledge and agree that this Amendment shall constitute a Loan Document.</w:t>
      </w:r>
    </w:p>
    <w:p>
      <w:pPr>
        <w:spacing w:after="0" w:line="22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agrees to pay and reimburse the Administrative Agent for all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one firm of counsel to the Administrative Agent in accordance with the terms in the Credit Agreement.</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by the parties hereto (including by facsimile and electronic (e.g. “.pdf”, or “.tif”) transmission), each of which counterparts when so executed shall be an original, but all the counterparts shall together constitute one and the same instrument. The words “execution,” “signed,” “signature,” “delivery,” and words of like import in or relating to this Amendment 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As used herein, “Electronic Signature” means an electronic sound, symbol, or process attached to, or associated with, a contract or other record and adopted by a Person with the intent to sign, authenticate or accept such contract or record.</w:t>
      </w:r>
    </w:p>
    <w:p>
      <w:pPr>
        <w:spacing w:after="0" w:line="19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right="520" w:firstLine="644"/>
        <w:spacing w:after="0" w:line="312" w:lineRule="auto"/>
        <w:tabs>
          <w:tab w:leader="none" w:pos="22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AND THE RIGHTS AND OBLIGATIONS OF THE PARTIES HEREUNDER SHALL BE GOVERNED BY, AND CONSTRUED AND INTERPRETED IN ACCORDANCE WITH, THE LAW OF THE STATE OF NEW YORK.</w:t>
      </w:r>
    </w:p>
    <w:p>
      <w:pPr>
        <w:spacing w:after="0" w:line="135" w:lineRule="exact"/>
        <w:rPr>
          <w:rFonts w:ascii="Times New Roman" w:cs="Times New Roman" w:eastAsia="Times New Roman" w:hAnsi="Times New Roman"/>
          <w:sz w:val="17"/>
          <w:szCs w:val="17"/>
          <w:color w:val="auto"/>
        </w:rPr>
      </w:pPr>
    </w:p>
    <w:p>
      <w:pPr>
        <w:ind w:left="660" w:right="1100" w:firstLine="644"/>
        <w:spacing w:after="0" w:line="286" w:lineRule="auto"/>
        <w:tabs>
          <w:tab w:leader="none" w:pos="220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HERETO HEREBY AGREES AS SET FORTH IN SECTION 10.17 OF THE CREDIT AGREEMENT AS IF SUCH SECTION WAS SET FORTH IN FULL HEREIN.</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POST-CLOSING</w:t>
      </w:r>
      <w:r>
        <w:rPr>
          <w:rFonts w:ascii="Times New Roman" w:cs="Times New Roman" w:eastAsia="Times New Roman" w:hAnsi="Times New Roman"/>
          <w:sz w:val="18"/>
          <w:szCs w:val="18"/>
          <w:color w:val="auto"/>
        </w:rPr>
        <w:t>. Within one hundred and twenty (120) days of the Eleventh Amendment Effective Date (or such later date as may be agreed to by the Administrative Agent in its reasonable discretion), the Borrower shall, or shall cause the applicable Loan Party to, deliver the following with respect to each Mortgaged Property:</w:t>
      </w:r>
    </w:p>
    <w:p>
      <w:pPr>
        <w:spacing w:after="0" w:line="176" w:lineRule="exact"/>
        <w:rPr>
          <w:sz w:val="20"/>
          <w:szCs w:val="20"/>
          <w:color w:val="auto"/>
        </w:rPr>
      </w:pPr>
    </w:p>
    <w:p>
      <w:pPr>
        <w:ind w:left="660" w:right="40" w:firstLine="644"/>
        <w:spacing w:after="0" w:line="266" w:lineRule="auto"/>
        <w:tabs>
          <w:tab w:leader="none" w:pos="22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or e-mail confirmation from local counsel in the jurisdiction in which the Mortgaged Property is located substantially to the effect that: (i) the recording of the existing Mortgage (and any related fixture filing) is the only filing or recording necessary to give constructive notice to third parties of the lien created by such Mortgage as security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Obligations, including the obligations evidenced by this Amendment, and (ii) no other documents, instruments, filings, recordings, re-recordings, re-filings or other actions, including, without limitation, the payment of any mortgage recording taxes or similar taxes are necessary or appropriate under applicable law in order to maintain the continued enforceability, validity or priority of the lien created by such Mortgage as security for the Obligations, including the obligations evidenced by this Amendment, unless any such mortgage recording taxes are payable in connection with the transactions contemplated by this Amendment; or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640" w:right="60" w:firstLine="652"/>
        <w:spacing w:after="0" w:line="266" w:lineRule="auto"/>
        <w:tabs>
          <w:tab w:leader="none" w:pos="21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each Mortgage (each, a “</w:t>
      </w:r>
      <w:r>
        <w:rPr>
          <w:rFonts w:ascii="Times New Roman" w:cs="Times New Roman" w:eastAsia="Times New Roman" w:hAnsi="Times New Roman"/>
          <w:sz w:val="18"/>
          <w:szCs w:val="18"/>
          <w:u w:val="single" w:color="auto"/>
          <w:color w:val="auto"/>
        </w:rPr>
        <w:t>Mortgage Amendment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Mortgage Amendments</w:t>
      </w:r>
      <w:r>
        <w:rPr>
          <w:rFonts w:ascii="Times New Roman" w:cs="Times New Roman" w:eastAsia="Times New Roman" w:hAnsi="Times New Roman"/>
          <w:sz w:val="18"/>
          <w:szCs w:val="18"/>
          <w:color w:val="auto"/>
        </w:rPr>
        <w:t>”) duly executed and acknowledged by the applicable Loan Party, and in form for recording in the applicable recording office in each case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640" w:right="260" w:firstLine="652"/>
        <w:spacing w:after="0" w:line="282" w:lineRule="auto"/>
        <w:tabs>
          <w:tab w:leader="none" w:pos="21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legal opinions from counsel to the Borrower as to the enforceability of each Mortgage Amendment, and otherwise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ind w:left="640" w:right="20" w:firstLine="652"/>
        <w:spacing w:after="0" w:line="258" w:lineRule="auto"/>
        <w:tabs>
          <w:tab w:leader="none" w:pos="21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amended Mortgage a date-down endorsement to each existing title insurance policy insuring the Lien of each Mortgage (each a “Title Endorsement,” collectively, the “Title Endorsements”) (x) insuring that such Mortgage, as amended by such Mortgage Amendment, is a valid and enforceable lien on such Mortgaged Property in favor of the Administrative Agent for the benefit of the Secured Par-ties free and clear of all Liens except Permitted Liens and (y) otherwise in form and sub-stance reasonably satisfactory to the Administrative Agent;</w:t>
      </w:r>
    </w:p>
    <w:p>
      <w:pPr>
        <w:spacing w:after="0" w:line="183" w:lineRule="exact"/>
        <w:rPr>
          <w:rFonts w:ascii="Times New Roman" w:cs="Times New Roman" w:eastAsia="Times New Roman" w:hAnsi="Times New Roman"/>
          <w:sz w:val="18"/>
          <w:szCs w:val="18"/>
          <w:color w:val="auto"/>
        </w:rPr>
      </w:pPr>
    </w:p>
    <w:p>
      <w:pPr>
        <w:jc w:val="both"/>
        <w:ind w:left="640" w:right="240" w:firstLine="652"/>
        <w:spacing w:after="0" w:line="266" w:lineRule="auto"/>
        <w:tabs>
          <w:tab w:leader="none" w:pos="21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acceptable to the Administrative Agent of payment by Borrower of all premiums, search and examination charges, escrow charges and related charges, mortgage recording taxes, fees, charges, costs and expenses required for the recording of the Mortgage Amendments and issuance of the Title Endorsements; and</w:t>
      </w:r>
    </w:p>
    <w:p>
      <w:pPr>
        <w:spacing w:after="0" w:line="175" w:lineRule="exact"/>
        <w:rPr>
          <w:rFonts w:ascii="Times New Roman" w:cs="Times New Roman" w:eastAsia="Times New Roman" w:hAnsi="Times New Roman"/>
          <w:sz w:val="18"/>
          <w:szCs w:val="18"/>
          <w:color w:val="auto"/>
        </w:rPr>
      </w:pPr>
    </w:p>
    <w:p>
      <w:pPr>
        <w:ind w:left="640" w:right="180" w:firstLine="652"/>
        <w:spacing w:after="0" w:line="282" w:lineRule="auto"/>
        <w:tabs>
          <w:tab w:leader="none" w:pos="2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affidavits, certificates, information (including financial data) and instruments of indemnification (including a so-called “gap” indemnification) as shall be required to induce the title insurer to issue the Title Endorsements.</w:t>
      </w:r>
    </w:p>
    <w:p>
      <w:pPr>
        <w:spacing w:after="0" w:line="16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497205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9" w:name="page10"/>
    <w:bookmarkEnd w:id="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duly executed and delivered by their proper and duly authorized officers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T. Calabria</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T. Calabria</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Treasurer</w:t>
            </w:r>
          </w:p>
        </w:tc>
      </w:tr>
      <w:tr>
        <w:trPr>
          <w:trHeight w:val="432"/>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AVIS BUDGET CAR RENTAL, LLC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T. Calabria</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T. Calabria</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580" w:right="111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as a Revolving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Kellas</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P. Kellas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Bank of America, N.A., as a Revolving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Hill</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Eric Hill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8"/>
          <w:szCs w:val="18"/>
          <w:b w:val="1"/>
          <w:bCs w:val="1"/>
          <w:color w:val="auto"/>
        </w:rPr>
        <w:t>CREDIT AGRICOLE CORPORATE AND</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INVESTMENT BANK</w:t>
      </w:r>
      <w:r>
        <w:rPr>
          <w:rFonts w:ascii="Times New Roman" w:cs="Times New Roman" w:eastAsia="Times New Roman" w:hAnsi="Times New Roman"/>
          <w:sz w:val="18"/>
          <w:szCs w:val="18"/>
          <w:color w:val="auto"/>
        </w:rPr>
        <w:t>, as a Revolving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Arens</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Paul Arens</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Gordon Yip</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Gordon Yip</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color w:val="auto"/>
        </w:rPr>
        <w:t>The Bank of Nova Scotia, as a Revolving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Frans Braniotis</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Frans Braniotis</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US Head of Corporate Banking, Managing</w:t>
            </w:r>
          </w:p>
        </w:tc>
      </w:tr>
      <w:tr>
        <w:trPr>
          <w:trHeight w:val="234"/>
        </w:trPr>
        <w:tc>
          <w:tcPr>
            <w:tcW w:w="56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4" w:name="page15"/>
    <w:bookmarkEnd w:id="14"/>
    <w:p>
      <w:pPr>
        <w:jc w:val="right"/>
        <w:ind w:right="1859"/>
        <w:spacing w:after="0"/>
        <w:rPr>
          <w:sz w:val="20"/>
          <w:szCs w:val="20"/>
          <w:color w:val="auto"/>
        </w:rPr>
      </w:pPr>
      <w:r>
        <w:rPr>
          <w:rFonts w:ascii="Times New Roman" w:cs="Times New Roman" w:eastAsia="Times New Roman" w:hAnsi="Times New Roman"/>
          <w:sz w:val="18"/>
          <w:szCs w:val="18"/>
          <w:color w:val="auto"/>
        </w:rPr>
        <w:t>BNP Paribas,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James Goodall</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Louis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Louis Moran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7"/>
          <w:szCs w:val="17"/>
          <w:color w:val="auto"/>
        </w:rPr>
        <w:t>MORGAN STANLEY SENIOR FUNDING, INC., as 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Revolving 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Breanna Duroche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Breanna Duroche</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6" w:name="page17"/>
    <w:bookmarkEnd w:id="16"/>
    <w:p>
      <w:pPr>
        <w:jc w:val="right"/>
        <w:ind w:right="1159"/>
        <w:spacing w:after="0"/>
        <w:rPr>
          <w:sz w:val="20"/>
          <w:szCs w:val="20"/>
          <w:color w:val="auto"/>
        </w:rPr>
      </w:pPr>
      <w:r>
        <w:rPr>
          <w:rFonts w:ascii="Times New Roman" w:cs="Times New Roman" w:eastAsia="Times New Roman" w:hAnsi="Times New Roman"/>
          <w:sz w:val="18"/>
          <w:szCs w:val="18"/>
          <w:color w:val="auto"/>
        </w:rPr>
        <w:t>Royal Bank of Canada,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Umbs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Scott Umbs</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7" w:name="page18"/>
    <w:bookmarkEnd w:id="17"/>
    <w:p>
      <w:pPr>
        <w:jc w:val="right"/>
        <w:ind w:right="1059"/>
        <w:spacing w:after="0"/>
        <w:rPr>
          <w:sz w:val="20"/>
          <w:szCs w:val="20"/>
          <w:color w:val="auto"/>
        </w:rPr>
      </w:pPr>
      <w:r>
        <w:rPr>
          <w:rFonts w:ascii="Times New Roman" w:cs="Times New Roman" w:eastAsia="Times New Roman" w:hAnsi="Times New Roman"/>
          <w:sz w:val="18"/>
          <w:szCs w:val="18"/>
          <w:color w:val="auto"/>
        </w:rPr>
        <w:t>SOCIETE GENERALE,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Kimberly Metzger</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color w:val="auto"/>
        </w:rPr>
        <w:t>TRUIST BANK, as a Revolving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Curran</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Steve Curran</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9" w:name="page20"/>
    <w:bookmarkEnd w:id="19"/>
    <w:p>
      <w:pPr>
        <w:jc w:val="right"/>
        <w:ind w:right="559"/>
        <w:spacing w:after="0"/>
        <w:rPr>
          <w:sz w:val="20"/>
          <w:szCs w:val="20"/>
          <w:color w:val="auto"/>
        </w:rPr>
      </w:pPr>
      <w:r>
        <w:rPr>
          <w:rFonts w:ascii="Times New Roman" w:cs="Times New Roman" w:eastAsia="Times New Roman" w:hAnsi="Times New Roman"/>
          <w:sz w:val="18"/>
          <w:szCs w:val="18"/>
          <w:color w:val="auto"/>
        </w:rPr>
        <w:t>WELLS FARGO BANK, N.A.,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Milbourn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Matthew Milbourn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0" w:name="page21"/>
    <w:bookmarkEnd w:id="20"/>
    <w:p>
      <w:pPr>
        <w:jc w:val="right"/>
        <w:ind w:right="1039"/>
        <w:spacing w:after="0"/>
        <w:rPr>
          <w:sz w:val="20"/>
          <w:szCs w:val="20"/>
          <w:color w:val="auto"/>
        </w:rPr>
      </w:pPr>
      <w:r>
        <w:rPr>
          <w:rFonts w:ascii="Times New Roman" w:cs="Times New Roman" w:eastAsia="Times New Roman" w:hAnsi="Times New Roman"/>
          <w:sz w:val="18"/>
          <w:szCs w:val="18"/>
          <w:color w:val="auto"/>
        </w:rPr>
        <w:t>MIZUHO BANK, LTD.,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1" w:name="page22"/>
    <w:bookmarkEnd w:id="21"/>
    <w:p>
      <w:pPr>
        <w:jc w:val="right"/>
        <w:ind w:right="1459"/>
        <w:spacing w:after="0"/>
        <w:rPr>
          <w:sz w:val="20"/>
          <w:szCs w:val="20"/>
          <w:color w:val="auto"/>
        </w:rPr>
      </w:pPr>
      <w:r>
        <w:rPr>
          <w:rFonts w:ascii="Times New Roman" w:cs="Times New Roman" w:eastAsia="Times New Roman" w:hAnsi="Times New Roman"/>
          <w:sz w:val="18"/>
          <w:szCs w:val="18"/>
          <w:color w:val="auto"/>
        </w:rPr>
        <w:t>MUFG Bank, Ltd.,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Lorcan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Lorcan McGrath</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2" w:name="page23"/>
    <w:bookmarkEnd w:id="22"/>
    <w:p>
      <w:pPr>
        <w:jc w:val="right"/>
        <w:ind w:right="1499"/>
        <w:spacing w:after="0"/>
        <w:rPr>
          <w:sz w:val="20"/>
          <w:szCs w:val="20"/>
          <w:color w:val="auto"/>
        </w:rPr>
      </w:pPr>
      <w:r>
        <w:rPr>
          <w:rFonts w:ascii="Times New Roman" w:cs="Times New Roman" w:eastAsia="Times New Roman" w:hAnsi="Times New Roman"/>
          <w:sz w:val="18"/>
          <w:szCs w:val="18"/>
          <w:color w:val="auto"/>
        </w:rPr>
        <w:t>Bank of Montreal,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Hasenauer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Thomas Hasenauer</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3" w:name="page24"/>
    <w:bookmarkEnd w:id="23"/>
    <w:p>
      <w:pPr>
        <w:jc w:val="right"/>
        <w:ind w:right="199"/>
        <w:spacing w:after="0"/>
        <w:rPr>
          <w:sz w:val="20"/>
          <w:szCs w:val="20"/>
          <w:color w:val="auto"/>
        </w:rPr>
      </w:pPr>
      <w:r>
        <w:rPr>
          <w:rFonts w:ascii="Times New Roman" w:cs="Times New Roman" w:eastAsia="Times New Roman" w:hAnsi="Times New Roman"/>
          <w:sz w:val="18"/>
          <w:szCs w:val="18"/>
          <w:color w:val="auto"/>
        </w:rPr>
        <w:t>Lloyds Bank Corporate Markets plc,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Tina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Tina Wong</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Catherine Lim</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8"/>
          <w:szCs w:val="18"/>
          <w:color w:val="auto"/>
        </w:rPr>
        <w:t>UniCredit Bank GmbH, New York Branch, as a Revolving</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Douglas Riahi</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Douglas Riahi</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Laura Shelmerdine</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Laura Shelmerdine</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5" w:name="page26"/>
    <w:bookmarkEnd w:id="25"/>
    <w:p>
      <w:pPr>
        <w:jc w:val="right"/>
        <w:ind w:right="999"/>
        <w:spacing w:after="0"/>
        <w:rPr>
          <w:sz w:val="20"/>
          <w:szCs w:val="20"/>
          <w:color w:val="auto"/>
        </w:rPr>
      </w:pPr>
      <w:r>
        <w:rPr>
          <w:rFonts w:ascii="Times New Roman" w:cs="Times New Roman" w:eastAsia="Times New Roman" w:hAnsi="Times New Roman"/>
          <w:sz w:val="18"/>
          <w:szCs w:val="18"/>
          <w:color w:val="auto"/>
        </w:rPr>
        <w:t>CITIZENS BANK, N.A.,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Zhen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Zhen Ma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7"/>
          <w:szCs w:val="17"/>
          <w:color w:val="auto"/>
        </w:rPr>
        <w:t>U.S. BANK NATIONAL ASSOCIATION, as a Revolving</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Nora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Nora Golden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7" w:name="page28"/>
    <w:bookmarkEnd w:id="27"/>
    <w:p>
      <w:pPr>
        <w:jc w:val="right"/>
        <w:ind w:right="519"/>
        <w:spacing w:after="0"/>
        <w:rPr>
          <w:sz w:val="20"/>
          <w:szCs w:val="20"/>
          <w:color w:val="auto"/>
        </w:rPr>
      </w:pPr>
      <w:r>
        <w:rPr>
          <w:rFonts w:ascii="Times New Roman" w:cs="Times New Roman" w:eastAsia="Times New Roman" w:hAnsi="Times New Roman"/>
          <w:sz w:val="18"/>
          <w:szCs w:val="18"/>
          <w:color w:val="auto"/>
        </w:rPr>
        <w:t>National Westminster Bank Plc, as a Revolving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Tina Khakharia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Tina Khakharia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8"/>
          <w:szCs w:val="18"/>
          <w:color w:val="auto"/>
        </w:rPr>
        <w:t>Regions Bank, as a Revolving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Griffin Higginbotham</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Griffin Higginbotham</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Eleventh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230505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Attached hereto</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AMENDED AND RESTATED CREDIT AGREEMENT</w:t>
      </w:r>
      <w:r>
        <w:rPr>
          <w:rFonts w:ascii="Times New Roman" w:cs="Times New Roman" w:eastAsia="Times New Roman" w:hAnsi="Times New Roman"/>
          <w:sz w:val="29"/>
          <w:szCs w:val="29"/>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9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as Borrower,</w:t>
      </w:r>
    </w:p>
    <w:p>
      <w:pPr>
        <w:spacing w:after="0" w:line="15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1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15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BOFA SECURITIES, INC</w:t>
      </w:r>
      <w:r>
        <w:rPr>
          <w:rFonts w:ascii="Times New Roman" w:cs="Times New Roman" w:eastAsia="Times New Roman" w:hAnsi="Times New Roman"/>
          <w:sz w:val="18"/>
          <w:szCs w:val="18"/>
          <w:b w:val="1"/>
          <w:bCs w:val="1"/>
          <w:u w:val="single" w:color="auto"/>
          <w:color w:val="0000FF"/>
        </w:rPr>
        <w:t>BOFA SECURITIES, INC</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BARCLAYS BANK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8000"/>
          <w:strike w:val="1"/>
        </w:rPr>
        <w:t>SOCIETE GENERALE,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8000"/>
          <w:strike w:val="1"/>
        </w:rPr>
        <w:t>BNP PARIBAS,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8000"/>
          <w:strike w:val="1"/>
        </w:rPr>
        <w:t>ROYAL BANK OF CANADA,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8000"/>
        </w:rPr>
        <w:t>BNP PARIBAS,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8000"/>
        </w:rPr>
        <w:t>ROYAL BANK OF CANADA,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8000"/>
        </w:rPr>
        <w:t>SOCIETE GENERALE,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TRUIST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TRUIST</w:t>
      </w:r>
      <w:r>
        <w:rPr>
          <w:rFonts w:ascii="Times New Roman" w:cs="Times New Roman" w:eastAsia="Times New Roman" w:hAnsi="Times New Roman"/>
          <w:sz w:val="18"/>
          <w:szCs w:val="18"/>
          <w:b w:val="1"/>
          <w:bCs w:val="1"/>
          <w:u w:val="single" w:color="auto"/>
          <w:color w:val="0000FF"/>
        </w:rPr>
        <w:t>MIZUHO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WELLS FARGO</w:t>
      </w:r>
      <w:r>
        <w:rPr>
          <w:rFonts w:ascii="Times New Roman" w:cs="Times New Roman" w:eastAsia="Times New Roman" w:hAnsi="Times New Roman"/>
          <w:sz w:val="18"/>
          <w:szCs w:val="18"/>
          <w:b w:val="1"/>
          <w:bCs w:val="1"/>
          <w:u w:val="single" w:color="auto"/>
          <w:color w:val="0000FF"/>
        </w:rPr>
        <w:t>MUFG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NATIONAL ASSOCIATION</w:t>
      </w:r>
      <w:r>
        <w:rPr>
          <w:rFonts w:ascii="Times New Roman" w:cs="Times New Roman" w:eastAsia="Times New Roman" w:hAnsi="Times New Roman"/>
          <w:sz w:val="18"/>
          <w:szCs w:val="18"/>
          <w:b w:val="1"/>
          <w:bCs w:val="1"/>
          <w:u w:val="single" w:color="auto"/>
          <w:color w:val="0000FF"/>
        </w:rPr>
        <w:t>LTD.</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Joint Lead Arrangers and Joint Bookrunners in respect of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SOCIÉTÉ GÉNÉRALE,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42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80" w:firstLine="8"/>
        <w:spacing w:after="0" w:line="219"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amended by the First Amendment, dated as of March 16, 2022, the Second Amendment, dated as of March 24, 2022, the Third Amendment, dated as of July 28, 2022, the Fourth Amendment, dated as of February 6, 2023, the Fifth Amendment, dated as of April 21, 2023, the Sixth Amendment, dated as of December 8, 2023, the Seventh Amendment, dated as of December 27, 2023, the Eighth Amendment, dated as of May 29, 2024, the Ninth Amendment, dated as of February 6, 2025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FF"/>
          <w:highlight w:val="lightGray"/>
        </w:rPr>
        <w:t>,</w:t>
      </w:r>
      <w:r>
        <w:rPr>
          <w:rFonts w:ascii="Times New Roman" w:cs="Times New Roman" w:eastAsia="Times New Roman" w:hAnsi="Times New Roman"/>
          <w:sz w:val="18"/>
          <w:szCs w:val="18"/>
          <w:color w:val="auto"/>
        </w:rPr>
        <w:t xml:space="preserve"> the Tenth Amendment, dated as of July 16, 2025 </w:t>
      </w:r>
      <w:r>
        <w:rPr>
          <w:rFonts w:ascii="Times New Roman" w:cs="Times New Roman" w:eastAsia="Times New Roman" w:hAnsi="Times New Roman"/>
          <w:sz w:val="18"/>
          <w:szCs w:val="18"/>
          <w:u w:val="single" w:color="auto"/>
          <w:color w:val="0000FF"/>
          <w:highlight w:val="lightGray"/>
        </w:rPr>
        <w:t>and the Eleventh Amendment, dated as of June 29, 2026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Joint Lead Arrangers and Joint Bookrunners in respect of the Tranche B Term Facility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Joint Lead Arranger and Joint Bookrunner in respect of the Tranche C Term Facility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Joint Lead Arranger and Joint Bookrunner in respect of the Tranche A Term Facility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b w:val="1"/>
          <w:bCs w:val="1"/>
          <w:u w:val="single" w:color="auto"/>
          <w:color w:val="0000FF"/>
        </w:rPr>
        <w:t>BOFA SECURITIES, INC</w:t>
      </w:r>
      <w:r>
        <w:rPr>
          <w:rFonts w:ascii="Times New Roman" w:cs="Times New Roman" w:eastAsia="Times New Roman" w:hAnsi="Times New Roman"/>
          <w:sz w:val="18"/>
          <w:szCs w:val="18"/>
          <w:color w:val="000000"/>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AGRICOLE CORPORATE AND INVESTMENT BANK,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BARCLAYS BANK PLC,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000"/>
          <w:strike w:val="1"/>
        </w:rPr>
        <w:t>SOCIETE GENERALE,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000"/>
          <w:strike w:val="1"/>
        </w:rPr>
        <w:t>BNP PARIBAS,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000"/>
          <w:strike w:val="1"/>
        </w:rPr>
        <w:t>ROYAL BANK OF CANADA,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8000"/>
        </w:rPr>
        <w:t>BNP PARIBAS,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8000"/>
        </w:rPr>
        <w:t>ROYAL BANK OF CANADA,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8000"/>
        </w:rPr>
        <w:t>SOCIETE GENERALE,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TRUIST BANK,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WELLS FARGO SECURITIES,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TRUIST</w:t>
      </w:r>
      <w:r>
        <w:rPr>
          <w:rFonts w:ascii="Times New Roman" w:cs="Times New Roman" w:eastAsia="Times New Roman" w:hAnsi="Times New Roman"/>
          <w:sz w:val="18"/>
          <w:szCs w:val="18"/>
          <w:b w:val="1"/>
          <w:bCs w:val="1"/>
          <w:u w:val="single" w:color="auto"/>
          <w:color w:val="0000FF"/>
        </w:rPr>
        <w:t>MIZUHO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LTD.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WELLS FARGO</w:t>
      </w:r>
      <w:r>
        <w:rPr>
          <w:rFonts w:ascii="Times New Roman" w:cs="Times New Roman" w:eastAsia="Times New Roman" w:hAnsi="Times New Roman"/>
          <w:sz w:val="18"/>
          <w:szCs w:val="18"/>
          <w:b w:val="1"/>
          <w:bCs w:val="1"/>
          <w:u w:val="single" w:color="auto"/>
          <w:color w:val="0000FF"/>
        </w:rPr>
        <w:t>MUFG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NATIONAL ASSOCIATION</w:t>
      </w:r>
      <w:r>
        <w:rPr>
          <w:rFonts w:ascii="Times New Roman" w:cs="Times New Roman" w:eastAsia="Times New Roman" w:hAnsi="Times New Roman"/>
          <w:sz w:val="18"/>
          <w:szCs w:val="18"/>
          <w:b w:val="1"/>
          <w:bCs w:val="1"/>
          <w:u w:val="single" w:color="auto"/>
          <w:color w:val="0000FF"/>
        </w:rPr>
        <w:t>LTD.</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Co-Syndication Agents in respect of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BANK OF MONTREAL,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LLOYDS BANK CORPORATE MARKETS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UNICREDIT BANK GMBH, NEW YORK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MUFG BANK</w:t>
      </w:r>
      <w:r>
        <w:rPr>
          <w:rFonts w:ascii="Times New Roman" w:cs="Times New Roman" w:eastAsia="Times New Roman" w:hAnsi="Times New Roman"/>
          <w:sz w:val="18"/>
          <w:szCs w:val="18"/>
          <w:b w:val="1"/>
          <w:bCs w:val="1"/>
          <w:u w:val="single" w:color="auto"/>
          <w:color w:val="0000FF"/>
        </w:rPr>
        <w:t>CITIZENS BANK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LTD</w:t>
      </w:r>
      <w:r>
        <w:rPr>
          <w:rFonts w:ascii="Times New Roman" w:cs="Times New Roman" w:eastAsia="Times New Roman" w:hAnsi="Times New Roman"/>
          <w:sz w:val="18"/>
          <w:szCs w:val="18"/>
          <w:b w:val="1"/>
          <w:bCs w:val="1"/>
          <w:u w:val="single" w:color="auto"/>
          <w:color w:val="0000FF"/>
        </w:rPr>
        <w:t>N.A</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UNICREDIT BANK GMBH, NEW YORK BRANCH,</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BANK OF MONTREAL</w:t>
      </w:r>
      <w:r>
        <w:rPr>
          <w:rFonts w:ascii="Times New Roman" w:cs="Times New Roman" w:eastAsia="Times New Roman" w:hAnsi="Times New Roman"/>
          <w:sz w:val="18"/>
          <w:szCs w:val="18"/>
          <w:b w:val="1"/>
          <w:bCs w:val="1"/>
          <w:u w:val="single" w:color="auto"/>
          <w:color w:val="0000FF"/>
        </w:rPr>
        <w:t>U.S. BANK NATIONAL ASSOCIATION</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000"/>
          <w:strike w:val="1"/>
        </w:rPr>
        <w:t>MIZUHO BANK, LTD.</w:t>
      </w:r>
      <w:r>
        <w:rPr>
          <w:rFonts w:ascii="Times New Roman" w:cs="Times New Roman" w:eastAsia="Times New Roman" w:hAnsi="Times New Roman"/>
          <w:sz w:val="18"/>
          <w:szCs w:val="18"/>
          <w:color w:val="FF0000"/>
          <w:strike w:val="1"/>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8000"/>
          <w:strike w:val="1"/>
        </w:rPr>
        <w:t>LLOYDS BANK CORPORATE MARKETS PLC,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as Co-Documentation Agents in respect of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362585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180" w:type="dxa"/>
            <w:vAlign w:val="bottom"/>
            <w:gridSpan w:val="3"/>
          </w:tcPr>
          <w:p>
            <w:pPr>
              <w:ind w:left="3360"/>
              <w:spacing w:after="0"/>
              <w:rPr>
                <w:sz w:val="20"/>
                <w:szCs w:val="20"/>
                <w:color w:val="auto"/>
              </w:rPr>
            </w:pPr>
            <w:r>
              <w:rPr>
                <w:rFonts w:ascii="Times New Roman" w:cs="Times New Roman" w:eastAsia="Times New Roman" w:hAnsi="Times New Roman"/>
                <w:sz w:val="18"/>
                <w:szCs w:val="18"/>
                <w:color w:val="auto"/>
              </w:rPr>
              <w:t>TABLE OF CONTENTS</w:t>
            </w: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72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SECTION 1.</w:t>
            </w:r>
          </w:p>
        </w:tc>
        <w:tc>
          <w:tcPr>
            <w:tcW w:w="7180" w:type="dxa"/>
            <w:vAlign w:val="bottom"/>
            <w:gridSpan w:val="3"/>
            <w:shd w:val="clear" w:color="auto" w:fill="C6F4F9"/>
          </w:tcPr>
          <w:p>
            <w:pPr>
              <w:ind w:left="340"/>
              <w:spacing w:after="0"/>
              <w:rPr>
                <w:sz w:val="20"/>
                <w:szCs w:val="20"/>
                <w:color w:val="auto"/>
              </w:rPr>
            </w:pPr>
            <w:r>
              <w:rPr>
                <w:rFonts w:ascii="Times New Roman" w:cs="Times New Roman" w:eastAsia="Times New Roman" w:hAnsi="Times New Roman"/>
                <w:sz w:val="18"/>
                <w:szCs w:val="18"/>
                <w:color w:val="auto"/>
              </w:rPr>
              <w:t>DEFINITIONS</w:t>
            </w:r>
          </w:p>
        </w:tc>
        <w:tc>
          <w:tcPr>
            <w:tcW w:w="270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6F4F9"/>
          </w:tcPr>
          <w:p>
            <w:pPr>
              <w:ind w:left="720"/>
              <w:spacing w:after="0"/>
              <w:rPr>
                <w:sz w:val="20"/>
                <w:szCs w:val="20"/>
                <w:color w:val="auto"/>
              </w:rPr>
            </w:pPr>
            <w:r>
              <w:rPr>
                <w:rFonts w:ascii="Times New Roman" w:cs="Times New Roman" w:eastAsia="Times New Roman" w:hAnsi="Times New Roman"/>
                <w:sz w:val="18"/>
                <w:szCs w:val="18"/>
                <w:color w:val="auto"/>
              </w:rPr>
              <w:t>1.1</w:t>
            </w:r>
          </w:p>
        </w:tc>
        <w:tc>
          <w:tcPr>
            <w:tcW w:w="7180" w:type="dxa"/>
            <w:vAlign w:val="bottom"/>
            <w:gridSpan w:val="3"/>
            <w:shd w:val="clear" w:color="auto" w:fill="C6F4F9"/>
          </w:tcPr>
          <w:p>
            <w:pPr>
              <w:ind w:left="340"/>
              <w:spacing w:after="0"/>
              <w:rPr>
                <w:sz w:val="20"/>
                <w:szCs w:val="20"/>
                <w:color w:val="auto"/>
              </w:rPr>
            </w:pPr>
            <w:r>
              <w:rPr>
                <w:rFonts w:ascii="Times New Roman" w:cs="Times New Roman" w:eastAsia="Times New Roman" w:hAnsi="Times New Roman"/>
                <w:sz w:val="18"/>
                <w:szCs w:val="18"/>
                <w:color w:val="auto"/>
              </w:rPr>
              <w:t>Defined Terms</w:t>
            </w:r>
          </w:p>
        </w:tc>
        <w:tc>
          <w:tcPr>
            <w:tcW w:w="270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718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 Definitional Provisions</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54</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1.3</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Interest Rates; Benchmark Notification</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55</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1.4</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Letter of Credit Amounts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56</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1.5</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Limited Condition Acquisitions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56</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Divisions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1.7</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Exchange Rates; Currency Equivalents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57</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60" w:type="dxa"/>
            <w:vAlign w:val="bottom"/>
            <w:tcBorders>
              <w:bottom w:val="single" w:sz="8" w:color="C6F4F9"/>
            </w:tcBorders>
            <w:shd w:val="clear" w:color="auto" w:fill="C6F4F9"/>
          </w:tcPr>
          <w:p>
            <w:pPr>
              <w:spacing w:after="0" w:line="176" w:lineRule="exact"/>
              <w:rPr>
                <w:sz w:val="20"/>
                <w:szCs w:val="20"/>
                <w:color w:val="auto"/>
              </w:rPr>
            </w:pPr>
            <w:r>
              <w:rPr>
                <w:rFonts w:ascii="Times New Roman" w:cs="Times New Roman" w:eastAsia="Times New Roman" w:hAnsi="Times New Roman"/>
                <w:sz w:val="18"/>
                <w:szCs w:val="18"/>
                <w:color w:val="auto"/>
              </w:rPr>
              <w:t>SECTION 2.</w:t>
            </w:r>
          </w:p>
        </w:tc>
        <w:tc>
          <w:tcPr>
            <w:tcW w:w="7180" w:type="dxa"/>
            <w:vAlign w:val="bottom"/>
            <w:tcBorders>
              <w:bottom w:val="single" w:sz="8" w:color="C6F4F9"/>
            </w:tcBorders>
            <w:gridSpan w:val="3"/>
            <w:shd w:val="clear" w:color="auto" w:fill="C6F4F9"/>
          </w:tcPr>
          <w:p>
            <w:pPr>
              <w:ind w:left="340"/>
              <w:spacing w:after="0" w:line="176" w:lineRule="exact"/>
              <w:rPr>
                <w:sz w:val="20"/>
                <w:szCs w:val="20"/>
                <w:color w:val="auto"/>
              </w:rPr>
            </w:pPr>
            <w:r>
              <w:rPr>
                <w:rFonts w:ascii="Times New Roman" w:cs="Times New Roman" w:eastAsia="Times New Roman" w:hAnsi="Times New Roman"/>
                <w:sz w:val="18"/>
                <w:szCs w:val="18"/>
                <w:color w:val="auto"/>
              </w:rPr>
              <w:t>AMOUNT AND TERMS OF COMMITMENTS</w:t>
            </w:r>
          </w:p>
        </w:tc>
        <w:tc>
          <w:tcPr>
            <w:tcW w:w="2520" w:type="dxa"/>
            <w:vAlign w:val="bottom"/>
            <w:tcBorders>
              <w:bottom w:val="single" w:sz="8" w:color="C6F4F9"/>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57</w:t>
            </w:r>
          </w:p>
        </w:tc>
        <w:tc>
          <w:tcPr>
            <w:tcW w:w="180" w:type="dxa"/>
            <w:vAlign w:val="bottom"/>
            <w:tcBorders>
              <w:bottom w:val="single" w:sz="8" w:color="0000FF"/>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C6F4F9"/>
            </w:tcBorders>
            <w:shd w:val="clear" w:color="auto" w:fill="C6F4F9"/>
          </w:tcPr>
          <w:p>
            <w:pPr>
              <w:ind w:left="7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7180" w:type="dxa"/>
            <w:vAlign w:val="bottom"/>
            <w:tcBorders>
              <w:bottom w:val="single" w:sz="8" w:color="C6F4F9"/>
            </w:tcBorders>
            <w:gridSpan w:val="3"/>
            <w:shd w:val="clear" w:color="auto" w:fill="C6F4F9"/>
          </w:tcPr>
          <w:p>
            <w:pPr>
              <w:ind w:left="340"/>
              <w:spacing w:after="0" w:line="176" w:lineRule="exact"/>
              <w:rPr>
                <w:sz w:val="20"/>
                <w:szCs w:val="20"/>
                <w:color w:val="auto"/>
              </w:rPr>
            </w:pPr>
            <w:r>
              <w:rPr>
                <w:rFonts w:ascii="Times New Roman" w:cs="Times New Roman" w:eastAsia="Times New Roman" w:hAnsi="Times New Roman"/>
                <w:sz w:val="18"/>
                <w:szCs w:val="18"/>
                <w:color w:val="auto"/>
              </w:rPr>
              <w:t>Term Commitments</w:t>
            </w:r>
          </w:p>
        </w:tc>
        <w:tc>
          <w:tcPr>
            <w:tcW w:w="2520" w:type="dxa"/>
            <w:vAlign w:val="bottom"/>
            <w:tcBorders>
              <w:bottom w:val="single" w:sz="8" w:color="C6F4F9"/>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57</w:t>
            </w:r>
          </w:p>
        </w:tc>
        <w:tc>
          <w:tcPr>
            <w:tcW w:w="180" w:type="dxa"/>
            <w:vAlign w:val="bottom"/>
            <w:tcBorders>
              <w:bottom w:val="single" w:sz="8" w:color="0000FF"/>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2.2</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Procedure for Term Loan Borrowing</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2.3</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Repayment of Term Loans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59</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2.4</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Revolving Commitments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59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2.5</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Procedure for Revolving Loan Borrowing</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60</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2.6</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Swingline Commitment</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61</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2.7</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Procedure for Swingline Borrowing; Refunding of Swingline Loans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61</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2.8</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Commitment Fees, etc</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2.9</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Termination or Reduction of Revolving Commitments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63</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2.10</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Optional Prepayments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2.11</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Mandatory Prepayments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64</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2.12</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Conversion and Continuation Options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2.13</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Limitations on Term Benchmark Borrowings and RFR Borrowings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66</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2.14</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Interest Rates and Payment Dates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66</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2.15</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Computation of Interest and Fees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67</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2.16</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Alternate Rate of Interest</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67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2.17</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Pro Rata Treatment and Payments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71</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2.18</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Requirements of Law</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2.19</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Taxes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73</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2.20</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Indemnity</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76</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2.21</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Change of Lending Office</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76</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2.22</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Replacement of Lenders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2.23</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Incremental Facilities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77</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2.24</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Prepayments Required Due to Currency Fluctuation</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2.25</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80</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2.26</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Extension of the Facilities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2.27</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Restatement Date Transactions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2.28</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Ancillary Letter of Credit Facilities</w:t>
            </w:r>
            <w:r>
              <w:rPr>
                <w:rFonts w:ascii="Times New Roman" w:cs="Times New Roman" w:eastAsia="Times New Roman" w:hAnsi="Times New Roman"/>
                <w:sz w:val="18"/>
                <w:szCs w:val="18"/>
                <w:color w:val="FF0000"/>
                <w:strike w:val="1"/>
              </w:rPr>
              <w:t>.</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shd w:val="clear" w:color="auto" w:fill="C6F4F9"/>
          </w:tcPr>
          <w:p>
            <w:pPr>
              <w:spacing w:after="0"/>
              <w:rPr>
                <w:sz w:val="17"/>
                <w:szCs w:val="17"/>
                <w:color w:val="auto"/>
              </w:rPr>
            </w:pPr>
          </w:p>
        </w:tc>
        <w:tc>
          <w:tcPr>
            <w:tcW w:w="3360" w:type="dxa"/>
            <w:vAlign w:val="bottom"/>
            <w:shd w:val="clear" w:color="auto" w:fill="C6F4F9"/>
          </w:tcPr>
          <w:p>
            <w:pPr>
              <w:spacing w:after="0"/>
              <w:rPr>
                <w:sz w:val="17"/>
                <w:szCs w:val="17"/>
                <w:color w:val="auto"/>
              </w:rPr>
            </w:pPr>
          </w:p>
        </w:tc>
        <w:tc>
          <w:tcPr>
            <w:tcW w:w="1820" w:type="dxa"/>
            <w:vAlign w:val="bottom"/>
            <w:shd w:val="clear" w:color="auto" w:fill="C6F4F9"/>
          </w:tcPr>
          <w:p>
            <w:pPr>
              <w:spacing w:after="0"/>
              <w:rPr>
                <w:sz w:val="17"/>
                <w:szCs w:val="17"/>
                <w:color w:val="auto"/>
              </w:rPr>
            </w:pPr>
          </w:p>
        </w:tc>
        <w:tc>
          <w:tcPr>
            <w:tcW w:w="2000" w:type="dxa"/>
            <w:vAlign w:val="bottom"/>
            <w:shd w:val="clear" w:color="auto" w:fill="C6F4F9"/>
          </w:tcPr>
          <w:p>
            <w:pPr>
              <w:spacing w:after="0"/>
              <w:rPr>
                <w:sz w:val="17"/>
                <w:szCs w:val="17"/>
                <w:color w:val="auto"/>
              </w:rPr>
            </w:pPr>
          </w:p>
        </w:tc>
        <w:tc>
          <w:tcPr>
            <w:tcW w:w="252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3.</w:t>
            </w:r>
          </w:p>
        </w:tc>
        <w:tc>
          <w:tcPr>
            <w:tcW w:w="718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LETTERS OF CREDIT</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86</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shd w:val="clear" w:color="auto" w:fill="C6F4F9"/>
          </w:tcPr>
          <w:p>
            <w:pPr>
              <w:spacing w:after="0"/>
              <w:rPr>
                <w:sz w:val="17"/>
                <w:szCs w:val="17"/>
                <w:color w:val="auto"/>
              </w:rPr>
            </w:pPr>
          </w:p>
        </w:tc>
        <w:tc>
          <w:tcPr>
            <w:tcW w:w="3360" w:type="dxa"/>
            <w:vAlign w:val="bottom"/>
            <w:shd w:val="clear" w:color="auto" w:fill="C6F4F9"/>
          </w:tcPr>
          <w:p>
            <w:pPr>
              <w:spacing w:after="0"/>
              <w:rPr>
                <w:sz w:val="17"/>
                <w:szCs w:val="17"/>
                <w:color w:val="auto"/>
              </w:rPr>
            </w:pPr>
          </w:p>
        </w:tc>
        <w:tc>
          <w:tcPr>
            <w:tcW w:w="1820" w:type="dxa"/>
            <w:vAlign w:val="bottom"/>
            <w:shd w:val="clear" w:color="auto" w:fill="C6F4F9"/>
          </w:tcPr>
          <w:p>
            <w:pPr>
              <w:spacing w:after="0"/>
              <w:rPr>
                <w:sz w:val="17"/>
                <w:szCs w:val="17"/>
                <w:color w:val="auto"/>
              </w:rPr>
            </w:pPr>
          </w:p>
        </w:tc>
        <w:tc>
          <w:tcPr>
            <w:tcW w:w="2000" w:type="dxa"/>
            <w:vAlign w:val="bottom"/>
            <w:shd w:val="clear" w:color="auto" w:fill="C6F4F9"/>
          </w:tcPr>
          <w:p>
            <w:pPr>
              <w:spacing w:after="0"/>
              <w:rPr>
                <w:sz w:val="17"/>
                <w:szCs w:val="17"/>
                <w:color w:val="auto"/>
              </w:rPr>
            </w:pPr>
          </w:p>
        </w:tc>
        <w:tc>
          <w:tcPr>
            <w:tcW w:w="252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718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L/C Commitment</w:t>
            </w:r>
          </w:p>
        </w:tc>
        <w:tc>
          <w:tcPr>
            <w:tcW w:w="2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86</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Procedure for Issuance of Letter of Credit</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60" w:type="dxa"/>
            <w:vAlign w:val="bottom"/>
          </w:tcPr>
          <w:p>
            <w:pPr>
              <w:ind w:left="720"/>
              <w:spacing w:after="0" w:line="156" w:lineRule="exact"/>
              <w:rPr>
                <w:sz w:val="20"/>
                <w:szCs w:val="20"/>
                <w:color w:val="auto"/>
              </w:rPr>
            </w:pPr>
            <w:r>
              <w:rPr>
                <w:rFonts w:ascii="Times New Roman" w:cs="Times New Roman" w:eastAsia="Times New Roman" w:hAnsi="Times New Roman"/>
                <w:sz w:val="18"/>
                <w:szCs w:val="18"/>
                <w:color w:val="auto"/>
              </w:rPr>
              <w:t>3.3</w:t>
            </w:r>
          </w:p>
        </w:tc>
        <w:tc>
          <w:tcPr>
            <w:tcW w:w="718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Fees and Other Charges</w:t>
            </w:r>
          </w:p>
        </w:tc>
        <w:tc>
          <w:tcPr>
            <w:tcW w:w="2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3.4</w:t>
            </w:r>
          </w:p>
        </w:tc>
        <w:tc>
          <w:tcPr>
            <w:tcW w:w="718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L/C Participations</w:t>
            </w:r>
          </w:p>
        </w:tc>
        <w:tc>
          <w:tcPr>
            <w:tcW w:w="252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7"/>
        </w:trPr>
        <w:tc>
          <w:tcPr>
            <w:tcW w:w="1040" w:type="dxa"/>
            <w:vAlign w:val="bottom"/>
            <w:tcBorders>
              <w:bottom w:val="single" w:sz="8" w:color="C6F4F9"/>
            </w:tcBorders>
            <w:gridSpan w:val="2"/>
            <w:shd w:val="clear" w:color="auto" w:fill="C6F4F9"/>
          </w:tcPr>
          <w:p>
            <w:pPr>
              <w:ind w:left="72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C6F4F9"/>
            </w:tcBorders>
            <w:shd w:val="clear" w:color="auto" w:fill="C6F4F9"/>
          </w:tcPr>
          <w:p>
            <w:pPr>
              <w:spacing w:after="0"/>
              <w:rPr>
                <w:sz w:val="21"/>
                <w:szCs w:val="21"/>
                <w:color w:val="auto"/>
              </w:rPr>
            </w:pPr>
          </w:p>
        </w:tc>
        <w:tc>
          <w:tcPr>
            <w:tcW w:w="6860" w:type="dxa"/>
            <w:vAlign w:val="bottom"/>
            <w:tcBorders>
              <w:bottom w:val="single" w:sz="8" w:color="C6F4F9"/>
            </w:tcBorders>
            <w:gridSpan w:val="3"/>
            <w:shd w:val="clear" w:color="auto" w:fill="C6F4F9"/>
          </w:tcPr>
          <w:p>
            <w:pPr>
              <w:ind w:left="340"/>
              <w:spacing w:after="0"/>
              <w:rPr>
                <w:sz w:val="20"/>
                <w:szCs w:val="20"/>
                <w:color w:val="auto"/>
              </w:rPr>
            </w:pPr>
            <w:r>
              <w:rPr>
                <w:rFonts w:ascii="Times New Roman" w:cs="Times New Roman" w:eastAsia="Times New Roman" w:hAnsi="Times New Roman"/>
                <w:sz w:val="18"/>
                <w:szCs w:val="18"/>
                <w:color w:val="auto"/>
              </w:rPr>
              <w:t>Reimbursement Obligation of the Borrower</w:t>
            </w:r>
          </w:p>
        </w:tc>
        <w:tc>
          <w:tcPr>
            <w:tcW w:w="2840" w:type="dxa"/>
            <w:vAlign w:val="bottom"/>
            <w:tcBorders>
              <w:bottom w:val="single" w:sz="8" w:color="C6F4F9"/>
            </w:tcBorders>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shd w:val="clear" w:color="auto" w:fill="C6F4F9"/>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93</w:t>
            </w:r>
          </w:p>
        </w:tc>
        <w:tc>
          <w:tcPr>
            <w:tcW w:w="20" w:type="dxa"/>
            <w:vAlign w:val="bottom"/>
          </w:tcPr>
          <w:p>
            <w:pPr>
              <w:spacing w:after="0"/>
              <w:rPr>
                <w:sz w:val="21"/>
                <w:szCs w:val="2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Obligations Absolute</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93</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Letter of Credit Payments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Applications</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Existing Letters of Credit</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tcPr>
          <w:p>
            <w:pPr>
              <w:spacing w:after="0"/>
              <w:rPr>
                <w:sz w:val="17"/>
                <w:szCs w:val="17"/>
                <w:color w:val="auto"/>
              </w:rPr>
            </w:pPr>
          </w:p>
        </w:tc>
      </w:tr>
      <w:tr>
        <w:trPr>
          <w:trHeight w:val="156"/>
        </w:trPr>
        <w:tc>
          <w:tcPr>
            <w:tcW w:w="136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3.10</w:t>
            </w: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Letters of Credit Issued for Account of Subsidiaries</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4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5320" w:type="dxa"/>
            <w:vAlign w:val="bottom"/>
            <w:shd w:val="clear" w:color="auto" w:fill="C6F4F9"/>
          </w:tcPr>
          <w:p>
            <w:pPr>
              <w:spacing w:after="0"/>
              <w:rPr>
                <w:sz w:val="17"/>
                <w:szCs w:val="17"/>
                <w:color w:val="auto"/>
              </w:rPr>
            </w:pPr>
          </w:p>
        </w:tc>
        <w:tc>
          <w:tcPr>
            <w:tcW w:w="276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1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4.</w:t>
            </w:r>
          </w:p>
        </w:tc>
        <w:tc>
          <w:tcPr>
            <w:tcW w:w="6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REPRESENTATIONS AND WARRANTIES</w:t>
            </w:r>
          </w:p>
        </w:tc>
        <w:tc>
          <w:tcPr>
            <w:tcW w:w="2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2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4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5320" w:type="dxa"/>
            <w:vAlign w:val="bottom"/>
            <w:shd w:val="clear" w:color="auto" w:fill="C6F4F9"/>
          </w:tcPr>
          <w:p>
            <w:pPr>
              <w:spacing w:after="0"/>
              <w:rPr>
                <w:sz w:val="17"/>
                <w:szCs w:val="17"/>
                <w:color w:val="auto"/>
              </w:rPr>
            </w:pPr>
          </w:p>
        </w:tc>
        <w:tc>
          <w:tcPr>
            <w:tcW w:w="276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040" w:type="dxa"/>
            <w:vAlign w:val="bottom"/>
            <w:gridSpan w:val="2"/>
          </w:tcPr>
          <w:p>
            <w:pPr>
              <w:ind w:left="72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5"/>
                <w:szCs w:val="15"/>
                <w:color w:val="auto"/>
              </w:rPr>
            </w:pPr>
          </w:p>
        </w:tc>
        <w:tc>
          <w:tcPr>
            <w:tcW w:w="6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Financial Condition</w:t>
            </w:r>
          </w:p>
        </w:tc>
        <w:tc>
          <w:tcPr>
            <w:tcW w:w="2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2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No Change</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Existence; Compliance with Law</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95</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No Legal Bar</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Litigation</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No Default</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Ownership of Property; Liens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Intellectual Property</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96</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4.10</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Taxes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20" w:type="dxa"/>
            <w:vAlign w:val="bottom"/>
          </w:tcPr>
          <w:p>
            <w:pPr>
              <w:spacing w:after="0"/>
              <w:rPr>
                <w:sz w:val="17"/>
                <w:szCs w:val="17"/>
                <w:color w:val="auto"/>
              </w:rPr>
            </w:pPr>
          </w:p>
        </w:tc>
      </w:tr>
      <w:tr>
        <w:trPr>
          <w:trHeight w:val="156"/>
        </w:trPr>
        <w:tc>
          <w:tcPr>
            <w:tcW w:w="136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4.11</w:t>
            </w: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Federal Regulations</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4.12</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ERISA</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20" w:type="dxa"/>
            <w:vAlign w:val="bottom"/>
          </w:tcPr>
          <w:p>
            <w:pPr>
              <w:spacing w:after="0"/>
              <w:rPr>
                <w:sz w:val="17"/>
                <w:szCs w:val="17"/>
                <w:color w:val="auto"/>
              </w:rPr>
            </w:pPr>
          </w:p>
        </w:tc>
      </w:tr>
      <w:tr>
        <w:trPr>
          <w:trHeight w:val="156"/>
        </w:trPr>
        <w:tc>
          <w:tcPr>
            <w:tcW w:w="136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4.13</w:t>
            </w: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Investment Company Act; Other Regulations</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97</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4.14</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Subsidiaries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20" w:type="dxa"/>
            <w:vAlign w:val="bottom"/>
          </w:tcPr>
          <w:p>
            <w:pPr>
              <w:spacing w:after="0"/>
              <w:rPr>
                <w:sz w:val="17"/>
                <w:szCs w:val="17"/>
                <w:color w:val="auto"/>
              </w:rPr>
            </w:pPr>
          </w:p>
        </w:tc>
      </w:tr>
      <w:tr>
        <w:trPr>
          <w:trHeight w:val="156"/>
        </w:trPr>
        <w:tc>
          <w:tcPr>
            <w:tcW w:w="136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4.15</w:t>
            </w: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4.16</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Accuracy of Information, etc</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94</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20" w:type="dxa"/>
            <w:vAlign w:val="bottom"/>
          </w:tcPr>
          <w:p>
            <w:pPr>
              <w:spacing w:after="0"/>
              <w:rPr>
                <w:sz w:val="17"/>
                <w:szCs w:val="17"/>
                <w:color w:val="auto"/>
              </w:rPr>
            </w:pPr>
          </w:p>
        </w:tc>
      </w:tr>
      <w:tr>
        <w:trPr>
          <w:trHeight w:val="156"/>
        </w:trPr>
        <w:tc>
          <w:tcPr>
            <w:tcW w:w="136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4.17</w:t>
            </w: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Security Documents</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98</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4.18</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Anti-Corruption Laws and Sanctions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7"/>
                <w:szCs w:val="17"/>
                <w:color w:val="auto"/>
              </w:rPr>
            </w:pPr>
          </w:p>
        </w:tc>
      </w:tr>
      <w:tr>
        <w:trPr>
          <w:trHeight w:val="156"/>
        </w:trPr>
        <w:tc>
          <w:tcPr>
            <w:tcW w:w="136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4.19</w:t>
            </w: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Flood Insurance</w:t>
            </w:r>
          </w:p>
        </w:tc>
        <w:tc>
          <w:tcPr>
            <w:tcW w:w="28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4.20</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Affected Financial Institutions</w:t>
            </w:r>
          </w:p>
        </w:tc>
        <w:tc>
          <w:tcPr>
            <w:tcW w:w="2840" w:type="dxa"/>
            <w:vAlign w:val="bottom"/>
            <w:tcBorders>
              <w:bottom w:val="single" w:sz="8" w:color="C6F4F9"/>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7"/>
                <w:szCs w:val="17"/>
                <w:color w:val="auto"/>
              </w:rPr>
            </w:pPr>
          </w:p>
        </w:tc>
      </w:tr>
      <w:tr>
        <w:trPr>
          <w:trHeight w:val="197"/>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360" w:type="dxa"/>
            <w:vAlign w:val="bottom"/>
            <w:tcBorders>
              <w:bottom w:val="single" w:sz="8" w:color="C6F4F9"/>
            </w:tcBorders>
            <w:gridSpan w:val="3"/>
            <w:shd w:val="clear" w:color="auto" w:fill="C6F4F9"/>
          </w:tcPr>
          <w:p>
            <w:pPr>
              <w:spacing w:after="0" w:line="176" w:lineRule="exact"/>
              <w:rPr>
                <w:sz w:val="20"/>
                <w:szCs w:val="20"/>
                <w:color w:val="auto"/>
              </w:rPr>
            </w:pPr>
            <w:r>
              <w:rPr>
                <w:rFonts w:ascii="Times New Roman" w:cs="Times New Roman" w:eastAsia="Times New Roman" w:hAnsi="Times New Roman"/>
                <w:sz w:val="18"/>
                <w:szCs w:val="18"/>
                <w:color w:val="auto"/>
              </w:rPr>
              <w:t>SECTION 5.</w:t>
            </w:r>
          </w:p>
        </w:tc>
        <w:tc>
          <w:tcPr>
            <w:tcW w:w="6860" w:type="dxa"/>
            <w:vAlign w:val="bottom"/>
            <w:tcBorders>
              <w:bottom w:val="single" w:sz="8" w:color="C6F4F9"/>
            </w:tcBorders>
            <w:gridSpan w:val="3"/>
            <w:shd w:val="clear" w:color="auto" w:fill="C6F4F9"/>
          </w:tcPr>
          <w:p>
            <w:pPr>
              <w:ind w:left="340"/>
              <w:spacing w:after="0" w:line="176" w:lineRule="exact"/>
              <w:rPr>
                <w:sz w:val="20"/>
                <w:szCs w:val="20"/>
                <w:color w:val="auto"/>
              </w:rPr>
            </w:pPr>
            <w:r>
              <w:rPr>
                <w:rFonts w:ascii="Times New Roman" w:cs="Times New Roman" w:eastAsia="Times New Roman" w:hAnsi="Times New Roman"/>
                <w:sz w:val="18"/>
                <w:szCs w:val="18"/>
                <w:color w:val="auto"/>
              </w:rPr>
              <w:t>CONDITIONS PRECEDENT</w:t>
            </w:r>
          </w:p>
        </w:tc>
        <w:tc>
          <w:tcPr>
            <w:tcW w:w="2840" w:type="dxa"/>
            <w:vAlign w:val="bottom"/>
            <w:tcBorders>
              <w:bottom w:val="single" w:sz="8" w:color="C6F4F9"/>
            </w:tcBorders>
            <w:gridSpan w:val="2"/>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8"/>
                <w:szCs w:val="18"/>
                <w:color w:val="auto"/>
              </w:rPr>
            </w:pPr>
          </w:p>
        </w:tc>
      </w:tr>
      <w:tr>
        <w:trPr>
          <w:trHeight w:val="197"/>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040" w:type="dxa"/>
            <w:vAlign w:val="bottom"/>
            <w:tcBorders>
              <w:bottom w:val="single" w:sz="8" w:color="C6F4F9"/>
            </w:tcBorders>
            <w:gridSpan w:val="2"/>
            <w:shd w:val="clear" w:color="auto" w:fill="C6F4F9"/>
          </w:tcPr>
          <w:p>
            <w:pPr>
              <w:ind w:left="720"/>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C6F4F9"/>
            </w:tcBorders>
            <w:shd w:val="clear" w:color="auto" w:fill="C6F4F9"/>
          </w:tcPr>
          <w:p>
            <w:pPr>
              <w:spacing w:after="0"/>
              <w:rPr>
                <w:sz w:val="18"/>
                <w:szCs w:val="18"/>
                <w:color w:val="auto"/>
              </w:rPr>
            </w:pPr>
          </w:p>
        </w:tc>
        <w:tc>
          <w:tcPr>
            <w:tcW w:w="6860" w:type="dxa"/>
            <w:vAlign w:val="bottom"/>
            <w:tcBorders>
              <w:bottom w:val="single" w:sz="8" w:color="C6F4F9"/>
            </w:tcBorders>
            <w:gridSpan w:val="3"/>
            <w:shd w:val="clear" w:color="auto" w:fill="C6F4F9"/>
          </w:tcPr>
          <w:p>
            <w:pPr>
              <w:ind w:left="340"/>
              <w:spacing w:after="0" w:line="176" w:lineRule="exact"/>
              <w:rPr>
                <w:sz w:val="20"/>
                <w:szCs w:val="20"/>
                <w:color w:val="auto"/>
              </w:rPr>
            </w:pPr>
            <w:r>
              <w:rPr>
                <w:rFonts w:ascii="Times New Roman" w:cs="Times New Roman" w:eastAsia="Times New Roman" w:hAnsi="Times New Roman"/>
                <w:sz w:val="18"/>
                <w:szCs w:val="18"/>
                <w:color w:val="auto"/>
              </w:rPr>
              <w:t>Amendment and Restatement Effective Date</w:t>
            </w:r>
          </w:p>
        </w:tc>
        <w:tc>
          <w:tcPr>
            <w:tcW w:w="2840" w:type="dxa"/>
            <w:vAlign w:val="bottom"/>
            <w:tcBorders>
              <w:bottom w:val="single" w:sz="8" w:color="C6F4F9"/>
            </w:tcBorders>
            <w:gridSpan w:val="2"/>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99</w:t>
            </w:r>
          </w:p>
        </w:tc>
        <w:tc>
          <w:tcPr>
            <w:tcW w:w="20" w:type="dxa"/>
            <w:vAlign w:val="bottom"/>
          </w:tcPr>
          <w:p>
            <w:pPr>
              <w:spacing w:after="0"/>
              <w:rPr>
                <w:sz w:val="18"/>
                <w:szCs w:val="18"/>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Conditions to Each Extension of Credit</w:t>
            </w:r>
          </w:p>
        </w:tc>
        <w:tc>
          <w:tcPr>
            <w:tcW w:w="27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101</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4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5320" w:type="dxa"/>
            <w:vAlign w:val="bottom"/>
            <w:shd w:val="clear" w:color="auto" w:fill="C6F4F9"/>
          </w:tcPr>
          <w:p>
            <w:pPr>
              <w:spacing w:after="0"/>
              <w:rPr>
                <w:sz w:val="17"/>
                <w:szCs w:val="17"/>
                <w:color w:val="auto"/>
              </w:rPr>
            </w:pPr>
          </w:p>
        </w:tc>
        <w:tc>
          <w:tcPr>
            <w:tcW w:w="276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6.</w:t>
            </w:r>
          </w:p>
        </w:tc>
        <w:tc>
          <w:tcPr>
            <w:tcW w:w="6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AFFIRMATIVE COVENANTS</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102</w:t>
            </w:r>
          </w:p>
        </w:tc>
        <w:tc>
          <w:tcPr>
            <w:tcW w:w="2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4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5320" w:type="dxa"/>
            <w:vAlign w:val="bottom"/>
            <w:shd w:val="clear" w:color="auto" w:fill="C6F4F9"/>
          </w:tcPr>
          <w:p>
            <w:pPr>
              <w:spacing w:after="0"/>
              <w:rPr>
                <w:sz w:val="17"/>
                <w:szCs w:val="17"/>
                <w:color w:val="auto"/>
              </w:rPr>
            </w:pPr>
          </w:p>
        </w:tc>
        <w:tc>
          <w:tcPr>
            <w:tcW w:w="276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1040" w:type="dxa"/>
            <w:vAlign w:val="bottom"/>
            <w:gridSpan w:val="2"/>
          </w:tcPr>
          <w:p>
            <w:pPr>
              <w:ind w:left="720"/>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5"/>
                <w:szCs w:val="15"/>
                <w:color w:val="auto"/>
              </w:rPr>
            </w:pPr>
          </w:p>
        </w:tc>
        <w:tc>
          <w:tcPr>
            <w:tcW w:w="686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Financial Statements</w:t>
            </w:r>
          </w:p>
        </w:tc>
        <w:tc>
          <w:tcPr>
            <w:tcW w:w="2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102</w:t>
            </w:r>
          </w:p>
        </w:tc>
        <w:tc>
          <w:tcPr>
            <w:tcW w:w="2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Certificates; Other Information</w:t>
            </w:r>
          </w:p>
        </w:tc>
        <w:tc>
          <w:tcPr>
            <w:tcW w:w="276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260" w:type="dxa"/>
            <w:vAlign w:val="bottom"/>
            <w:tcBorders>
              <w:bottom w:val="single" w:sz="8" w:color="0000FF"/>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103</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Payment of Obligations</w:t>
            </w:r>
          </w:p>
        </w:tc>
        <w:tc>
          <w:tcPr>
            <w:tcW w:w="27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Maintenance of Existence; Compliance</w:t>
            </w:r>
          </w:p>
        </w:tc>
        <w:tc>
          <w:tcPr>
            <w:tcW w:w="276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Maintenance of Property; Insurance</w:t>
            </w:r>
          </w:p>
        </w:tc>
        <w:tc>
          <w:tcPr>
            <w:tcW w:w="27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76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104</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Notices</w:t>
            </w:r>
          </w:p>
        </w:tc>
        <w:tc>
          <w:tcPr>
            <w:tcW w:w="27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6.8</w:t>
            </w:r>
          </w:p>
        </w:tc>
        <w:tc>
          <w:tcPr>
            <w:tcW w:w="320" w:type="dxa"/>
            <w:vAlign w:val="bottom"/>
            <w:tcBorders>
              <w:bottom w:val="single" w:sz="8" w:color="C6F4F9"/>
            </w:tcBorders>
            <w:shd w:val="clear" w:color="auto" w:fill="C6F4F9"/>
          </w:tcPr>
          <w:p>
            <w:pPr>
              <w:spacing w:after="0"/>
              <w:rPr>
                <w:sz w:val="17"/>
                <w:szCs w:val="17"/>
                <w:color w:val="auto"/>
              </w:rPr>
            </w:pP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Environmental Laws</w:t>
            </w:r>
          </w:p>
        </w:tc>
        <w:tc>
          <w:tcPr>
            <w:tcW w:w="276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color w:val="auto"/>
              </w:rPr>
              <w:t>Additional Collateral etc</w:t>
            </w:r>
          </w:p>
        </w:tc>
        <w:tc>
          <w:tcPr>
            <w:tcW w:w="27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106</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6.10</w:t>
            </w:r>
          </w:p>
        </w:tc>
        <w:tc>
          <w:tcPr>
            <w:tcW w:w="6860" w:type="dxa"/>
            <w:vAlign w:val="bottom"/>
            <w:tcBorders>
              <w:bottom w:val="single" w:sz="8" w:color="C6F4F9"/>
            </w:tcBorders>
            <w:gridSpan w:val="3"/>
            <w:shd w:val="clear" w:color="auto" w:fill="C6F4F9"/>
          </w:tcPr>
          <w:p>
            <w:pPr>
              <w:ind w:left="340"/>
              <w:spacing w:after="0" w:line="156" w:lineRule="exact"/>
              <w:rPr>
                <w:sz w:val="20"/>
                <w:szCs w:val="20"/>
                <w:color w:val="auto"/>
              </w:rPr>
            </w:pPr>
            <w:r>
              <w:rPr>
                <w:rFonts w:ascii="Times New Roman" w:cs="Times New Roman" w:eastAsia="Times New Roman" w:hAnsi="Times New Roman"/>
                <w:sz w:val="18"/>
                <w:szCs w:val="18"/>
                <w:color w:val="auto"/>
              </w:rPr>
              <w:t>Post-Closing Obligations</w:t>
            </w:r>
          </w:p>
        </w:tc>
        <w:tc>
          <w:tcPr>
            <w:tcW w:w="276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103</w:t>
            </w:r>
          </w:p>
        </w:tc>
        <w:tc>
          <w:tcPr>
            <w:tcW w:w="260" w:type="dxa"/>
            <w:vAlign w:val="bottom"/>
            <w:tcBorders>
              <w:bottom w:val="single" w:sz="8" w:color="0000FF"/>
            </w:tcBorders>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107</w:t>
            </w:r>
          </w:p>
        </w:tc>
        <w:tc>
          <w:tcPr>
            <w:tcW w:w="20" w:type="dxa"/>
            <w:vAlign w:val="bottom"/>
          </w:tcPr>
          <w:p>
            <w:pPr>
              <w:spacing w:after="0"/>
              <w:rPr>
                <w:sz w:val="17"/>
                <w:szCs w:val="17"/>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6.</w:t>
            </w:r>
            <w:r>
              <w:rPr>
                <w:rFonts w:ascii="Times New Roman" w:cs="Times New Roman" w:eastAsia="Times New Roman" w:hAnsi="Times New Roman"/>
                <w:sz w:val="18"/>
                <w:szCs w:val="18"/>
                <w:b w:val="1"/>
                <w:bCs w:val="1"/>
                <w:u w:val="single" w:color="auto"/>
                <w:color w:val="0000FF"/>
                <w:w w:val="95"/>
              </w:rPr>
              <w:t>11</w:t>
            </w:r>
          </w:p>
        </w:tc>
        <w:tc>
          <w:tcPr>
            <w:tcW w:w="320" w:type="dxa"/>
            <w:vAlign w:val="bottom"/>
          </w:tcPr>
          <w:p>
            <w:pPr>
              <w:spacing w:after="0"/>
              <w:rPr>
                <w:sz w:val="13"/>
                <w:szCs w:val="13"/>
                <w:color w:val="auto"/>
              </w:rPr>
            </w:pPr>
          </w:p>
        </w:tc>
        <w:tc>
          <w:tcPr>
            <w:tcW w:w="6860" w:type="dxa"/>
            <w:vAlign w:val="bottom"/>
            <w:gridSpan w:val="3"/>
          </w:tcPr>
          <w:p>
            <w:pPr>
              <w:ind w:left="340"/>
              <w:spacing w:after="0" w:line="156" w:lineRule="exact"/>
              <w:rPr>
                <w:sz w:val="20"/>
                <w:szCs w:val="20"/>
                <w:color w:val="auto"/>
              </w:rPr>
            </w:pPr>
            <w:r>
              <w:rPr>
                <w:rFonts w:ascii="Times New Roman" w:cs="Times New Roman" w:eastAsia="Times New Roman" w:hAnsi="Times New Roman"/>
                <w:sz w:val="18"/>
                <w:szCs w:val="18"/>
                <w:b w:val="1"/>
                <w:bCs w:val="1"/>
                <w:color w:val="0000FF"/>
              </w:rPr>
              <w:t>Use of Proceeds</w:t>
            </w:r>
          </w:p>
        </w:tc>
        <w:tc>
          <w:tcPr>
            <w:tcW w:w="302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rPr>
              <w:t>108</w:t>
            </w:r>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0000FF"/>
              <w:bottom w:val="single" w:sz="8" w:color="0000FF"/>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7"/>
        </w:trPr>
        <w:tc>
          <w:tcPr>
            <w:tcW w:w="1420" w:type="dxa"/>
            <w:vAlign w:val="bottom"/>
            <w:tcBorders>
              <w:bottom w:val="single" w:sz="8" w:color="C6F4F9"/>
            </w:tcBorders>
            <w:gridSpan w:val="3"/>
            <w:shd w:val="clear" w:color="auto" w:fill="C6F4F9"/>
          </w:tcPr>
          <w:p>
            <w:pPr>
              <w:spacing w:after="0"/>
              <w:rPr>
                <w:sz w:val="20"/>
                <w:szCs w:val="20"/>
                <w:color w:val="auto"/>
              </w:rPr>
            </w:pPr>
            <w:r>
              <w:rPr>
                <w:rFonts w:ascii="Times New Roman" w:cs="Times New Roman" w:eastAsia="Times New Roman" w:hAnsi="Times New Roman"/>
                <w:sz w:val="18"/>
                <w:szCs w:val="18"/>
                <w:color w:val="auto"/>
              </w:rPr>
              <w:t>SECTION 7.</w:t>
            </w:r>
          </w:p>
        </w:tc>
        <w:tc>
          <w:tcPr>
            <w:tcW w:w="7220" w:type="dxa"/>
            <w:vAlign w:val="bottom"/>
            <w:tcBorders>
              <w:bottom w:val="single" w:sz="8" w:color="C6F4F9"/>
            </w:tcBorders>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NEGATIVE COVENANTS</w:t>
            </w:r>
          </w:p>
        </w:tc>
        <w:tc>
          <w:tcPr>
            <w:tcW w:w="2340" w:type="dxa"/>
            <w:vAlign w:val="bottom"/>
            <w:tcBorders>
              <w:bottom w:val="single" w:sz="8" w:color="C6F4F9"/>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FF0000"/>
                <w:strike w:val="1"/>
              </w:rPr>
              <w:t>103</w:t>
            </w:r>
          </w:p>
        </w:tc>
        <w:tc>
          <w:tcPr>
            <w:tcW w:w="260" w:type="dxa"/>
            <w:vAlign w:val="bottom"/>
            <w:tcBorders>
              <w:bottom w:val="single" w:sz="8" w:color="0000FF"/>
            </w:tcBorders>
            <w:shd w:val="clear" w:color="auto" w:fill="C6F4F9"/>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C6F4F9"/>
            </w:tcBorders>
            <w:gridSpan w:val="2"/>
            <w:shd w:val="clear" w:color="auto" w:fill="C6F4F9"/>
          </w:tcPr>
          <w:p>
            <w:pPr>
              <w:ind w:left="720"/>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380" w:type="dxa"/>
            <w:vAlign w:val="bottom"/>
            <w:tcBorders>
              <w:bottom w:val="single" w:sz="8" w:color="C6F4F9"/>
            </w:tcBorders>
            <w:shd w:val="clear" w:color="auto" w:fill="C6F4F9"/>
          </w:tcPr>
          <w:p>
            <w:pPr>
              <w:spacing w:after="0"/>
              <w:rPr>
                <w:sz w:val="18"/>
                <w:szCs w:val="18"/>
                <w:color w:val="auto"/>
              </w:rPr>
            </w:pPr>
          </w:p>
        </w:tc>
        <w:tc>
          <w:tcPr>
            <w:tcW w:w="7220" w:type="dxa"/>
            <w:vAlign w:val="bottom"/>
            <w:tcBorders>
              <w:bottom w:val="single" w:sz="8" w:color="C6F4F9"/>
            </w:tcBorders>
            <w:gridSpan w:val="3"/>
            <w:shd w:val="clear" w:color="auto" w:fill="C6F4F9"/>
          </w:tcPr>
          <w:p>
            <w:pPr>
              <w:ind w:left="280"/>
              <w:spacing w:after="0" w:line="176" w:lineRule="exact"/>
              <w:rPr>
                <w:sz w:val="20"/>
                <w:szCs w:val="20"/>
                <w:color w:val="auto"/>
              </w:rPr>
            </w:pPr>
            <w:r>
              <w:rPr>
                <w:rFonts w:ascii="Times New Roman" w:cs="Times New Roman" w:eastAsia="Times New Roman" w:hAnsi="Times New Roman"/>
                <w:sz w:val="18"/>
                <w:szCs w:val="18"/>
                <w:color w:val="auto"/>
              </w:rPr>
              <w:t>Financial Condition Covenant</w:t>
            </w:r>
          </w:p>
        </w:tc>
        <w:tc>
          <w:tcPr>
            <w:tcW w:w="2340" w:type="dxa"/>
            <w:vAlign w:val="bottom"/>
            <w:tcBorders>
              <w:bottom w:val="single" w:sz="8" w:color="C6F4F9"/>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103</w:t>
            </w:r>
          </w:p>
        </w:tc>
        <w:tc>
          <w:tcPr>
            <w:tcW w:w="260" w:type="dxa"/>
            <w:vAlign w:val="bottom"/>
            <w:tcBorders>
              <w:bottom w:val="single" w:sz="8" w:color="0000FF"/>
            </w:tcBorders>
            <w:shd w:val="clear" w:color="auto" w:fill="C6F4F9"/>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7.2</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Indebtedness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103</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7.3</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Liens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107</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Fundamental Changes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110</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7.5</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Disposition of Property</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111</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Restricted Payments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113</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7.7</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114</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Optional Payments and Modifications of Certain Agreements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116</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7.9</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118</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7.10</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Sales and Leasebacks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118</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w w:val="95"/>
              </w:rPr>
              <w:t>7.11</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Changes in Fiscal Periods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118</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7.12</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Clauses Restricting Subsidiary Distributions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118</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7.13</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Lines of Business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119</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7.14</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Business Activities of Holdings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119</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8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2120" w:type="dxa"/>
            <w:vAlign w:val="bottom"/>
            <w:tcBorders>
              <w:right w:val="single" w:sz="8" w:color="C6F4F9"/>
            </w:tcBorders>
            <w:shd w:val="clear" w:color="auto" w:fill="C6F4F9"/>
          </w:tcPr>
          <w:p>
            <w:pPr>
              <w:spacing w:after="0"/>
              <w:rPr>
                <w:sz w:val="17"/>
                <w:szCs w:val="17"/>
                <w:color w:val="auto"/>
              </w:rPr>
            </w:pPr>
          </w:p>
        </w:tc>
        <w:tc>
          <w:tcPr>
            <w:tcW w:w="4820" w:type="dxa"/>
            <w:vAlign w:val="bottom"/>
            <w:shd w:val="clear" w:color="auto" w:fill="C6F4F9"/>
          </w:tcPr>
          <w:p>
            <w:pPr>
              <w:spacing w:after="0"/>
              <w:rPr>
                <w:sz w:val="17"/>
                <w:szCs w:val="17"/>
                <w:color w:val="auto"/>
              </w:rPr>
            </w:pPr>
          </w:p>
        </w:tc>
        <w:tc>
          <w:tcPr>
            <w:tcW w:w="234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8.</w:t>
            </w:r>
          </w:p>
        </w:tc>
        <w:tc>
          <w:tcPr>
            <w:tcW w:w="7220" w:type="dxa"/>
            <w:vAlign w:val="bottom"/>
            <w:gridSpan w:val="3"/>
          </w:tcPr>
          <w:p>
            <w:pPr>
              <w:ind w:left="280"/>
              <w:spacing w:after="0" w:line="176" w:lineRule="exact"/>
              <w:rPr>
                <w:sz w:val="20"/>
                <w:szCs w:val="20"/>
                <w:color w:val="auto"/>
              </w:rPr>
            </w:pPr>
            <w:r>
              <w:rPr>
                <w:rFonts w:ascii="Times New Roman" w:cs="Times New Roman" w:eastAsia="Times New Roman" w:hAnsi="Times New Roman"/>
                <w:sz w:val="18"/>
                <w:szCs w:val="18"/>
                <w:color w:val="auto"/>
              </w:rPr>
              <w:t>EVENTS OF DEFAULT</w:t>
            </w:r>
          </w:p>
        </w:tc>
        <w:tc>
          <w:tcPr>
            <w:tcW w:w="2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119</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8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2120" w:type="dxa"/>
            <w:vAlign w:val="bottom"/>
            <w:tcBorders>
              <w:right w:val="single" w:sz="8" w:color="C6F4F9"/>
            </w:tcBorders>
            <w:shd w:val="clear" w:color="auto" w:fill="C6F4F9"/>
          </w:tcPr>
          <w:p>
            <w:pPr>
              <w:spacing w:after="0"/>
              <w:rPr>
                <w:sz w:val="17"/>
                <w:szCs w:val="17"/>
                <w:color w:val="auto"/>
              </w:rPr>
            </w:pPr>
          </w:p>
        </w:tc>
        <w:tc>
          <w:tcPr>
            <w:tcW w:w="4820" w:type="dxa"/>
            <w:vAlign w:val="bottom"/>
            <w:shd w:val="clear" w:color="auto" w:fill="C6F4F9"/>
          </w:tcPr>
          <w:p>
            <w:pPr>
              <w:spacing w:after="0"/>
              <w:rPr>
                <w:sz w:val="17"/>
                <w:szCs w:val="17"/>
                <w:color w:val="auto"/>
              </w:rPr>
            </w:pPr>
          </w:p>
        </w:tc>
        <w:tc>
          <w:tcPr>
            <w:tcW w:w="234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9.</w:t>
            </w:r>
          </w:p>
        </w:tc>
        <w:tc>
          <w:tcPr>
            <w:tcW w:w="7220" w:type="dxa"/>
            <w:vAlign w:val="bottom"/>
            <w:gridSpan w:val="3"/>
          </w:tcPr>
          <w:p>
            <w:pPr>
              <w:ind w:left="280"/>
              <w:spacing w:after="0" w:line="176" w:lineRule="exact"/>
              <w:rPr>
                <w:sz w:val="20"/>
                <w:szCs w:val="20"/>
                <w:color w:val="auto"/>
              </w:rPr>
            </w:pPr>
            <w:r>
              <w:rPr>
                <w:rFonts w:ascii="Times New Roman" w:cs="Times New Roman" w:eastAsia="Times New Roman" w:hAnsi="Times New Roman"/>
                <w:sz w:val="18"/>
                <w:szCs w:val="18"/>
                <w:color w:val="auto"/>
              </w:rPr>
              <w:t>THE AGENTS</w:t>
            </w:r>
          </w:p>
        </w:tc>
        <w:tc>
          <w:tcPr>
            <w:tcW w:w="2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122</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8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2120" w:type="dxa"/>
            <w:vAlign w:val="bottom"/>
            <w:tcBorders>
              <w:right w:val="single" w:sz="8" w:color="C6F4F9"/>
            </w:tcBorders>
            <w:shd w:val="clear" w:color="auto" w:fill="C6F4F9"/>
          </w:tcPr>
          <w:p>
            <w:pPr>
              <w:spacing w:after="0"/>
              <w:rPr>
                <w:sz w:val="17"/>
                <w:szCs w:val="17"/>
                <w:color w:val="auto"/>
              </w:rPr>
            </w:pPr>
          </w:p>
        </w:tc>
        <w:tc>
          <w:tcPr>
            <w:tcW w:w="4820" w:type="dxa"/>
            <w:vAlign w:val="bottom"/>
            <w:shd w:val="clear" w:color="auto" w:fill="C6F4F9"/>
          </w:tcPr>
          <w:p>
            <w:pPr>
              <w:spacing w:after="0"/>
              <w:rPr>
                <w:sz w:val="17"/>
                <w:szCs w:val="17"/>
                <w:color w:val="auto"/>
              </w:rPr>
            </w:pPr>
          </w:p>
        </w:tc>
        <w:tc>
          <w:tcPr>
            <w:tcW w:w="234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0" w:type="dxa"/>
            <w:vAlign w:val="bottom"/>
            <w:gridSpan w:val="2"/>
          </w:tcPr>
          <w:p>
            <w:pPr>
              <w:ind w:left="720"/>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5"/>
                <w:szCs w:val="15"/>
                <w:color w:val="auto"/>
              </w:rPr>
            </w:pPr>
          </w:p>
        </w:tc>
        <w:tc>
          <w:tcPr>
            <w:tcW w:w="7220" w:type="dxa"/>
            <w:vAlign w:val="bottom"/>
            <w:gridSpan w:val="3"/>
          </w:tcPr>
          <w:p>
            <w:pPr>
              <w:ind w:left="280"/>
              <w:spacing w:after="0" w:line="176" w:lineRule="exact"/>
              <w:rPr>
                <w:sz w:val="20"/>
                <w:szCs w:val="20"/>
                <w:color w:val="auto"/>
              </w:rPr>
            </w:pPr>
            <w:r>
              <w:rPr>
                <w:rFonts w:ascii="Times New Roman" w:cs="Times New Roman" w:eastAsia="Times New Roman" w:hAnsi="Times New Roman"/>
                <w:sz w:val="18"/>
                <w:szCs w:val="18"/>
                <w:color w:val="auto"/>
              </w:rPr>
              <w:t>Appointment</w:t>
            </w:r>
          </w:p>
        </w:tc>
        <w:tc>
          <w:tcPr>
            <w:tcW w:w="2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122</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9.2</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Delegation of Duties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122</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Exculpatory Provisions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122</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9.4</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Reliance by Administrative Agent</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Notice of Default</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9.6</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Non-Reliance on Agents and Other Lenders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9.7</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Indemnification</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6F4F9"/>
            </w:tcBorders>
            <w:gridSpan w:val="2"/>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9.8</w:t>
            </w:r>
          </w:p>
        </w:tc>
        <w:tc>
          <w:tcPr>
            <w:tcW w:w="380" w:type="dxa"/>
            <w:vAlign w:val="bottom"/>
            <w:tcBorders>
              <w:bottom w:val="single" w:sz="8" w:color="C6F4F9"/>
            </w:tcBorders>
            <w:shd w:val="clear" w:color="auto" w:fill="C6F4F9"/>
          </w:tcPr>
          <w:p>
            <w:pPr>
              <w:spacing w:after="0"/>
              <w:rPr>
                <w:sz w:val="17"/>
                <w:szCs w:val="17"/>
                <w:color w:val="auto"/>
              </w:rPr>
            </w:pP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Acknowledgement of Lenders and Issuing Lenders</w:t>
            </w:r>
            <w:r>
              <w:rPr>
                <w:rFonts w:ascii="Times New Roman" w:cs="Times New Roman" w:eastAsia="Times New Roman" w:hAnsi="Times New Roman"/>
                <w:sz w:val="18"/>
                <w:szCs w:val="18"/>
                <w:color w:val="FF0000"/>
                <w:strike w:val="1"/>
              </w:rPr>
              <w:t>.</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Agent in Its Individual Capacity</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9.10</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40" w:type="dxa"/>
            <w:vAlign w:val="bottom"/>
            <w:gridSpan w:val="2"/>
          </w:tcPr>
          <w:p>
            <w:pPr>
              <w:ind w:left="720"/>
              <w:spacing w:after="0" w:line="156" w:lineRule="exact"/>
              <w:rPr>
                <w:sz w:val="20"/>
                <w:szCs w:val="20"/>
                <w:color w:val="auto"/>
              </w:rPr>
            </w:pPr>
            <w:r>
              <w:rPr>
                <w:rFonts w:ascii="Times New Roman" w:cs="Times New Roman" w:eastAsia="Times New Roman" w:hAnsi="Times New Roman"/>
                <w:sz w:val="18"/>
                <w:szCs w:val="18"/>
                <w:color w:val="auto"/>
                <w:w w:val="95"/>
              </w:rPr>
              <w:t>9.11</w:t>
            </w:r>
          </w:p>
        </w:tc>
        <w:tc>
          <w:tcPr>
            <w:tcW w:w="380" w:type="dxa"/>
            <w:vAlign w:val="bottom"/>
          </w:tcPr>
          <w:p>
            <w:pPr>
              <w:spacing w:after="0"/>
              <w:rPr>
                <w:sz w:val="13"/>
                <w:szCs w:val="13"/>
                <w:color w:val="auto"/>
              </w:rPr>
            </w:pP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Co-Documentation Agents and Co-Syndication Agents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126</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9.12</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Certain ERISA Matters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126</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9.13</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Intercreditor Agreements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shd w:val="clear" w:color="auto" w:fill="C6F4F9"/>
          </w:tcPr>
          <w:p>
            <w:pPr>
              <w:spacing w:after="0"/>
              <w:rPr>
                <w:sz w:val="15"/>
                <w:szCs w:val="15"/>
                <w:color w:val="auto"/>
              </w:rPr>
            </w:pPr>
          </w:p>
        </w:tc>
        <w:tc>
          <w:tcPr>
            <w:tcW w:w="700" w:type="dxa"/>
            <w:vAlign w:val="bottom"/>
            <w:gridSpan w:val="2"/>
            <w:shd w:val="clear" w:color="auto" w:fill="C6F4F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9.</w:t>
            </w:r>
            <w:r>
              <w:rPr>
                <w:rFonts w:ascii="Times New Roman" w:cs="Times New Roman" w:eastAsia="Times New Roman" w:hAnsi="Times New Roman"/>
                <w:sz w:val="18"/>
                <w:szCs w:val="18"/>
                <w:b w:val="1"/>
                <w:bCs w:val="1"/>
                <w:u w:val="single" w:color="auto"/>
                <w:color w:val="0000FF"/>
              </w:rPr>
              <w:t>14</w:t>
            </w:r>
          </w:p>
        </w:tc>
        <w:tc>
          <w:tcPr>
            <w:tcW w:w="7220" w:type="dxa"/>
            <w:vAlign w:val="bottom"/>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0000FF"/>
              </w:rPr>
              <w:t>Posting of Communications</w:t>
            </w:r>
          </w:p>
        </w:tc>
        <w:tc>
          <w:tcPr>
            <w:tcW w:w="2600" w:type="dxa"/>
            <w:vAlign w:val="bottom"/>
            <w:gridSpan w:val="2"/>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6F4F9"/>
            </w:tcBorders>
            <w:shd w:val="clear" w:color="auto" w:fill="C6F4F9"/>
          </w:tcPr>
          <w:p>
            <w:pPr>
              <w:spacing w:after="0" w:line="20" w:lineRule="exact"/>
              <w:rPr>
                <w:sz w:val="1"/>
                <w:szCs w:val="1"/>
                <w:color w:val="auto"/>
              </w:rPr>
            </w:pPr>
          </w:p>
        </w:tc>
        <w:tc>
          <w:tcPr>
            <w:tcW w:w="32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C6F4F9"/>
            </w:tcBorders>
            <w:shd w:val="clear" w:color="auto" w:fill="C6F4F9"/>
          </w:tcPr>
          <w:p>
            <w:pPr>
              <w:spacing w:after="0" w:line="20" w:lineRule="exact"/>
              <w:rPr>
                <w:sz w:val="1"/>
                <w:szCs w:val="1"/>
                <w:color w:val="auto"/>
              </w:rPr>
            </w:pPr>
          </w:p>
        </w:tc>
        <w:tc>
          <w:tcPr>
            <w:tcW w:w="280" w:type="dxa"/>
            <w:vAlign w:val="bottom"/>
            <w:tcBorders>
              <w:top w:val="single" w:sz="8" w:color="C6F4F9"/>
            </w:tcBorders>
            <w:shd w:val="clear" w:color="auto" w:fill="C6F4F9"/>
          </w:tcPr>
          <w:p>
            <w:pPr>
              <w:spacing w:after="0" w:line="20" w:lineRule="exact"/>
              <w:rPr>
                <w:sz w:val="1"/>
                <w:szCs w:val="1"/>
                <w:color w:val="auto"/>
              </w:rPr>
            </w:pPr>
          </w:p>
        </w:tc>
        <w:tc>
          <w:tcPr>
            <w:tcW w:w="21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820" w:type="dxa"/>
            <w:vAlign w:val="bottom"/>
            <w:tcBorders>
              <w:top w:val="single" w:sz="8" w:color="C6F4F9"/>
            </w:tcBorders>
            <w:shd w:val="clear" w:color="auto" w:fill="C6F4F9"/>
          </w:tcPr>
          <w:p>
            <w:pPr>
              <w:spacing w:after="0" w:line="20" w:lineRule="exact"/>
              <w:rPr>
                <w:sz w:val="1"/>
                <w:szCs w:val="1"/>
                <w:color w:val="auto"/>
              </w:rPr>
            </w:pPr>
          </w:p>
        </w:tc>
        <w:tc>
          <w:tcPr>
            <w:tcW w:w="2340" w:type="dxa"/>
            <w:vAlign w:val="bottom"/>
            <w:tcBorders>
              <w:top w:val="single" w:sz="8" w:color="C6F4F9"/>
            </w:tcBorders>
            <w:shd w:val="clear" w:color="auto" w:fill="C6F4F9"/>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 w:type="dxa"/>
            <w:vAlign w:val="bottom"/>
          </w:tcPr>
          <w:p>
            <w:pPr>
              <w:spacing w:after="0"/>
              <w:rPr>
                <w:sz w:val="13"/>
                <w:szCs w:val="13"/>
                <w:color w:val="auto"/>
              </w:rPr>
            </w:pPr>
          </w:p>
        </w:tc>
        <w:tc>
          <w:tcPr>
            <w:tcW w:w="7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9.</w:t>
            </w:r>
            <w:r>
              <w:rPr>
                <w:rFonts w:ascii="Times New Roman" w:cs="Times New Roman" w:eastAsia="Times New Roman" w:hAnsi="Times New Roman"/>
                <w:sz w:val="18"/>
                <w:szCs w:val="18"/>
                <w:b w:val="1"/>
                <w:bCs w:val="1"/>
                <w:u w:val="single" w:color="auto"/>
                <w:color w:val="0000FF"/>
              </w:rPr>
              <w:t>15</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0000FF"/>
              </w:rPr>
              <w:t>Borrower Communications</w:t>
            </w:r>
          </w:p>
        </w:tc>
        <w:tc>
          <w:tcPr>
            <w:tcW w:w="26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rPr>
              <w:t>135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top w:val="single" w:sz="8" w:color="0000FF"/>
              <w:bottom w:val="single" w:sz="8" w:color="0000FF"/>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8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2120" w:type="dxa"/>
            <w:vAlign w:val="bottom"/>
            <w:tcBorders>
              <w:right w:val="single" w:sz="8" w:color="C6F4F9"/>
            </w:tcBorders>
            <w:shd w:val="clear" w:color="auto" w:fill="C6F4F9"/>
          </w:tcPr>
          <w:p>
            <w:pPr>
              <w:spacing w:after="0"/>
              <w:rPr>
                <w:sz w:val="17"/>
                <w:szCs w:val="17"/>
                <w:color w:val="auto"/>
              </w:rPr>
            </w:pPr>
          </w:p>
        </w:tc>
        <w:tc>
          <w:tcPr>
            <w:tcW w:w="4820" w:type="dxa"/>
            <w:vAlign w:val="bottom"/>
            <w:shd w:val="clear" w:color="auto" w:fill="C6F4F9"/>
          </w:tcPr>
          <w:p>
            <w:pPr>
              <w:spacing w:after="0"/>
              <w:rPr>
                <w:sz w:val="17"/>
                <w:szCs w:val="17"/>
                <w:color w:val="auto"/>
              </w:rPr>
            </w:pPr>
          </w:p>
        </w:tc>
        <w:tc>
          <w:tcPr>
            <w:tcW w:w="234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SECTION 10.</w:t>
            </w:r>
          </w:p>
        </w:tc>
        <w:tc>
          <w:tcPr>
            <w:tcW w:w="7220" w:type="dxa"/>
            <w:vAlign w:val="bottom"/>
            <w:gridSpan w:val="3"/>
          </w:tcPr>
          <w:p>
            <w:pPr>
              <w:ind w:left="280"/>
              <w:spacing w:after="0" w:line="176" w:lineRule="exact"/>
              <w:rPr>
                <w:sz w:val="20"/>
                <w:szCs w:val="20"/>
                <w:color w:val="auto"/>
              </w:rPr>
            </w:pPr>
            <w:r>
              <w:rPr>
                <w:rFonts w:ascii="Times New Roman" w:cs="Times New Roman" w:eastAsia="Times New Roman" w:hAnsi="Times New Roman"/>
                <w:sz w:val="18"/>
                <w:szCs w:val="18"/>
                <w:color w:val="auto"/>
              </w:rPr>
              <w:t>MISCELLANEOUS</w:t>
            </w:r>
          </w:p>
        </w:tc>
        <w:tc>
          <w:tcPr>
            <w:tcW w:w="2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38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2120" w:type="dxa"/>
            <w:vAlign w:val="bottom"/>
            <w:tcBorders>
              <w:right w:val="single" w:sz="8" w:color="C6F4F9"/>
            </w:tcBorders>
            <w:shd w:val="clear" w:color="auto" w:fill="C6F4F9"/>
          </w:tcPr>
          <w:p>
            <w:pPr>
              <w:spacing w:after="0"/>
              <w:rPr>
                <w:sz w:val="17"/>
                <w:szCs w:val="17"/>
                <w:color w:val="auto"/>
              </w:rPr>
            </w:pPr>
          </w:p>
        </w:tc>
        <w:tc>
          <w:tcPr>
            <w:tcW w:w="4820" w:type="dxa"/>
            <w:vAlign w:val="bottom"/>
            <w:shd w:val="clear" w:color="auto" w:fill="C6F4F9"/>
          </w:tcPr>
          <w:p>
            <w:pPr>
              <w:spacing w:after="0"/>
              <w:rPr>
                <w:sz w:val="17"/>
                <w:szCs w:val="17"/>
                <w:color w:val="auto"/>
              </w:rPr>
            </w:pPr>
          </w:p>
        </w:tc>
        <w:tc>
          <w:tcPr>
            <w:tcW w:w="234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20" w:type="dxa"/>
            <w:vAlign w:val="bottom"/>
            <w:gridSpan w:val="3"/>
          </w:tcPr>
          <w:p>
            <w:pPr>
              <w:ind w:left="7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7220" w:type="dxa"/>
            <w:vAlign w:val="bottom"/>
            <w:gridSpan w:val="3"/>
          </w:tcPr>
          <w:p>
            <w:pPr>
              <w:ind w:left="280"/>
              <w:spacing w:after="0" w:line="176" w:lineRule="exact"/>
              <w:rPr>
                <w:sz w:val="20"/>
                <w:szCs w:val="20"/>
                <w:color w:val="auto"/>
              </w:rPr>
            </w:pPr>
            <w:r>
              <w:rPr>
                <w:rFonts w:ascii="Times New Roman" w:cs="Times New Roman" w:eastAsia="Times New Roman" w:hAnsi="Times New Roman"/>
                <w:sz w:val="18"/>
                <w:szCs w:val="18"/>
                <w:color w:val="auto"/>
              </w:rPr>
              <w:t>Amendments and Waivers</w:t>
            </w:r>
          </w:p>
        </w:tc>
        <w:tc>
          <w:tcPr>
            <w:tcW w:w="2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10.2</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Notices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130</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No Waiver; Cumulative Remedies</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131</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10.4</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131</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Payment of Expenses and Taxes; Indemnity; Limitation of Liability</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131</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10.6</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132</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10.7</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Adjustments; Set-off</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136</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10.8</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136</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10.9</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color w:val="auto"/>
              </w:rPr>
              <w:t>Severability</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137</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10.10</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Integration</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137</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20" w:type="dxa"/>
            <w:vAlign w:val="bottom"/>
            <w:gridSpan w:val="3"/>
          </w:tcPr>
          <w:p>
            <w:pPr>
              <w:ind w:left="720"/>
              <w:spacing w:after="0" w:line="156" w:lineRule="exact"/>
              <w:rPr>
                <w:sz w:val="20"/>
                <w:szCs w:val="20"/>
                <w:color w:val="auto"/>
              </w:rPr>
            </w:pPr>
            <w:r>
              <w:rPr>
                <w:rFonts w:ascii="Times New Roman" w:cs="Times New Roman" w:eastAsia="Times New Roman" w:hAnsi="Times New Roman"/>
                <w:sz w:val="18"/>
                <w:szCs w:val="18"/>
                <w:color w:val="auto"/>
              </w:rPr>
              <w:t>10.11</w:t>
            </w:r>
          </w:p>
        </w:tc>
        <w:tc>
          <w:tcPr>
            <w:tcW w:w="7220" w:type="dxa"/>
            <w:vAlign w:val="bottom"/>
            <w:gridSpan w:val="3"/>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auto"/>
              </w:rPr>
              <w:t>GOVERNING LAW</w:t>
            </w:r>
          </w:p>
        </w:tc>
        <w:tc>
          <w:tcPr>
            <w:tcW w:w="23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137</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C6F4F9"/>
            </w:tcBorders>
            <w:gridSpan w:val="3"/>
            <w:shd w:val="clear" w:color="auto" w:fill="C6F4F9"/>
          </w:tcPr>
          <w:p>
            <w:pPr>
              <w:ind w:left="720"/>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7220" w:type="dxa"/>
            <w:vAlign w:val="bottom"/>
            <w:tcBorders>
              <w:bottom w:val="single" w:sz="8" w:color="C6F4F9"/>
            </w:tcBorders>
            <w:gridSpan w:val="3"/>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Submission To Jurisdiction; Waivers</w:t>
            </w:r>
          </w:p>
        </w:tc>
        <w:tc>
          <w:tcPr>
            <w:tcW w:w="234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137</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7"/>
        </w:trPr>
        <w:tc>
          <w:tcPr>
            <w:tcW w:w="1420" w:type="dxa"/>
            <w:vAlign w:val="bottom"/>
            <w:tcBorders>
              <w:bottom w:val="single" w:sz="8" w:color="C6F4F9"/>
            </w:tcBorders>
            <w:shd w:val="clear" w:color="auto" w:fill="C6F4F9"/>
          </w:tcPr>
          <w:p>
            <w:pPr>
              <w:jc w:val="right"/>
              <w:ind w:right="190"/>
              <w:spacing w:after="0"/>
              <w:rPr>
                <w:sz w:val="20"/>
                <w:szCs w:val="20"/>
                <w:color w:val="auto"/>
              </w:rPr>
            </w:pPr>
            <w:r>
              <w:rPr>
                <w:rFonts w:ascii="Times New Roman" w:cs="Times New Roman" w:eastAsia="Times New Roman" w:hAnsi="Times New Roman"/>
                <w:sz w:val="18"/>
                <w:szCs w:val="18"/>
                <w:color w:val="auto"/>
              </w:rPr>
              <w:t>10.13</w:t>
            </w:r>
          </w:p>
        </w:tc>
        <w:tc>
          <w:tcPr>
            <w:tcW w:w="9280" w:type="dxa"/>
            <w:vAlign w:val="bottom"/>
            <w:tcBorders>
              <w:bottom w:val="single" w:sz="8" w:color="C6F4F9"/>
            </w:tcBorders>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Judgment</w:t>
            </w:r>
          </w:p>
        </w:tc>
        <w:tc>
          <w:tcPr>
            <w:tcW w:w="280" w:type="dxa"/>
            <w:vAlign w:val="bottom"/>
            <w:tcBorders>
              <w:bottom w:val="single" w:sz="8" w:color="C6F4F9"/>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137</w:t>
            </w:r>
          </w:p>
        </w:tc>
        <w:tc>
          <w:tcPr>
            <w:tcW w:w="260" w:type="dxa"/>
            <w:vAlign w:val="bottom"/>
            <w:tcBorders>
              <w:bottom w:val="single" w:sz="8" w:color="0000FF"/>
            </w:tcBorders>
            <w:shd w:val="clear" w:color="auto" w:fill="C6F4F9"/>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147</w:t>
            </w:r>
          </w:p>
        </w:tc>
      </w:tr>
      <w:tr>
        <w:trPr>
          <w:trHeight w:val="156"/>
        </w:trPr>
        <w:tc>
          <w:tcPr>
            <w:tcW w:w="142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10.14</w:t>
            </w:r>
          </w:p>
        </w:tc>
        <w:tc>
          <w:tcPr>
            <w:tcW w:w="928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Acknowledgements</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147</w:t>
            </w:r>
          </w:p>
        </w:tc>
      </w:tr>
      <w:tr>
        <w:trPr>
          <w:trHeight w:val="20"/>
        </w:trPr>
        <w:tc>
          <w:tcPr>
            <w:tcW w:w="14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420" w:type="dxa"/>
            <w:vAlign w:val="bottom"/>
            <w:tcBorders>
              <w:bottom w:val="single" w:sz="8" w:color="C6F4F9"/>
            </w:tcBorders>
            <w:shd w:val="clear" w:color="auto" w:fill="C6F4F9"/>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9280" w:type="dxa"/>
            <w:vAlign w:val="bottom"/>
            <w:tcBorders>
              <w:bottom w:val="single" w:sz="8" w:color="C6F4F9"/>
            </w:tcBorders>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Releases of Guarantees and Liens</w:t>
            </w:r>
          </w:p>
        </w:tc>
        <w:tc>
          <w:tcPr>
            <w:tcW w:w="28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148</w:t>
            </w:r>
          </w:p>
        </w:tc>
      </w:tr>
      <w:tr>
        <w:trPr>
          <w:trHeight w:val="156"/>
        </w:trPr>
        <w:tc>
          <w:tcPr>
            <w:tcW w:w="142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10.16</w:t>
            </w:r>
          </w:p>
        </w:tc>
        <w:tc>
          <w:tcPr>
            <w:tcW w:w="928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148</w:t>
            </w:r>
          </w:p>
        </w:tc>
      </w:tr>
      <w:tr>
        <w:trPr>
          <w:trHeight w:val="20"/>
        </w:trPr>
        <w:tc>
          <w:tcPr>
            <w:tcW w:w="14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420" w:type="dxa"/>
            <w:vAlign w:val="bottom"/>
            <w:tcBorders>
              <w:bottom w:val="single" w:sz="8" w:color="C6F4F9"/>
            </w:tcBorders>
            <w:shd w:val="clear" w:color="auto" w:fill="C6F4F9"/>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10.17</w:t>
            </w:r>
          </w:p>
        </w:tc>
        <w:tc>
          <w:tcPr>
            <w:tcW w:w="9280" w:type="dxa"/>
            <w:vAlign w:val="bottom"/>
            <w:tcBorders>
              <w:bottom w:val="single" w:sz="8" w:color="C6F4F9"/>
            </w:tcBorders>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auto"/>
              </w:rPr>
              <w:t>WAIVERS OF JURY TRIAL</w:t>
            </w:r>
          </w:p>
        </w:tc>
        <w:tc>
          <w:tcPr>
            <w:tcW w:w="28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149</w:t>
            </w:r>
          </w:p>
        </w:tc>
      </w:tr>
      <w:tr>
        <w:trPr>
          <w:trHeight w:val="156"/>
        </w:trPr>
        <w:tc>
          <w:tcPr>
            <w:tcW w:w="142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10.18</w:t>
            </w:r>
          </w:p>
        </w:tc>
        <w:tc>
          <w:tcPr>
            <w:tcW w:w="928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149</w:t>
            </w:r>
          </w:p>
        </w:tc>
      </w:tr>
      <w:tr>
        <w:trPr>
          <w:trHeight w:val="20"/>
        </w:trPr>
        <w:tc>
          <w:tcPr>
            <w:tcW w:w="14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420" w:type="dxa"/>
            <w:vAlign w:val="bottom"/>
            <w:tcBorders>
              <w:bottom w:val="single" w:sz="8" w:color="C6F4F9"/>
            </w:tcBorders>
            <w:shd w:val="clear" w:color="auto" w:fill="C6F4F9"/>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10.19</w:t>
            </w:r>
          </w:p>
        </w:tc>
        <w:tc>
          <w:tcPr>
            <w:tcW w:w="9280" w:type="dxa"/>
            <w:vAlign w:val="bottom"/>
            <w:tcBorders>
              <w:bottom w:val="single" w:sz="8" w:color="C6F4F9"/>
            </w:tcBorders>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150</w:t>
            </w:r>
          </w:p>
        </w:tc>
      </w:tr>
      <w:tr>
        <w:trPr>
          <w:trHeight w:val="156"/>
        </w:trPr>
        <w:tc>
          <w:tcPr>
            <w:tcW w:w="142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10.20</w:t>
            </w:r>
          </w:p>
        </w:tc>
        <w:tc>
          <w:tcPr>
            <w:tcW w:w="928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Effect of Amendment and Restatement</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150</w:t>
            </w:r>
          </w:p>
        </w:tc>
      </w:tr>
      <w:tr>
        <w:trPr>
          <w:trHeight w:val="20"/>
        </w:trPr>
        <w:tc>
          <w:tcPr>
            <w:tcW w:w="14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420" w:type="dxa"/>
            <w:vAlign w:val="bottom"/>
            <w:tcBorders>
              <w:bottom w:val="single" w:sz="8" w:color="C6F4F9"/>
            </w:tcBorders>
            <w:shd w:val="clear" w:color="auto" w:fill="C6F4F9"/>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10.21</w:t>
            </w:r>
          </w:p>
        </w:tc>
        <w:tc>
          <w:tcPr>
            <w:tcW w:w="9280" w:type="dxa"/>
            <w:vAlign w:val="bottom"/>
            <w:tcBorders>
              <w:bottom w:val="single" w:sz="8" w:color="C6F4F9"/>
            </w:tcBorders>
            <w:shd w:val="clear" w:color="auto" w:fill="C6F4F9"/>
          </w:tcPr>
          <w:p>
            <w:pPr>
              <w:ind w:left="280"/>
              <w:spacing w:after="0" w:line="156" w:lineRule="exact"/>
              <w:rPr>
                <w:sz w:val="20"/>
                <w:szCs w:val="20"/>
                <w:color w:val="auto"/>
              </w:rPr>
            </w:pPr>
            <w:r>
              <w:rPr>
                <w:rFonts w:ascii="Times New Roman" w:cs="Times New Roman" w:eastAsia="Times New Roman" w:hAnsi="Times New Roman"/>
                <w:sz w:val="18"/>
                <w:szCs w:val="18"/>
                <w:color w:val="auto"/>
              </w:rPr>
              <w:t>Several Obligations</w:t>
            </w:r>
          </w:p>
        </w:tc>
        <w:tc>
          <w:tcPr>
            <w:tcW w:w="280" w:type="dxa"/>
            <w:vAlign w:val="bottom"/>
            <w:tcBorders>
              <w:bottom w:val="single" w:sz="8" w:color="C6F4F9"/>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shd w:val="clear" w:color="auto" w:fill="C6F4F9"/>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150</w:t>
            </w:r>
          </w:p>
        </w:tc>
      </w:tr>
      <w:tr>
        <w:trPr>
          <w:trHeight w:val="156"/>
        </w:trPr>
        <w:tc>
          <w:tcPr>
            <w:tcW w:w="1420" w:type="dxa"/>
            <w:vAlign w:val="bottom"/>
          </w:tcPr>
          <w:p>
            <w:pPr>
              <w:jc w:val="right"/>
              <w:ind w:right="190"/>
              <w:spacing w:after="0" w:line="156" w:lineRule="exact"/>
              <w:rPr>
                <w:sz w:val="20"/>
                <w:szCs w:val="20"/>
                <w:color w:val="auto"/>
              </w:rPr>
            </w:pPr>
            <w:r>
              <w:rPr>
                <w:rFonts w:ascii="Times New Roman" w:cs="Times New Roman" w:eastAsia="Times New Roman" w:hAnsi="Times New Roman"/>
                <w:sz w:val="18"/>
                <w:szCs w:val="18"/>
                <w:color w:val="auto"/>
              </w:rPr>
              <w:t>10.22</w:t>
            </w:r>
          </w:p>
        </w:tc>
        <w:tc>
          <w:tcPr>
            <w:tcW w:w="928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151</w:t>
            </w:r>
          </w:p>
        </w:tc>
      </w:tr>
      <w:tr>
        <w:trPr>
          <w:trHeight w:val="20"/>
        </w:trPr>
        <w:tc>
          <w:tcPr>
            <w:tcW w:w="14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3340" w:type="dxa"/>
            <w:vAlign w:val="bottom"/>
          </w:tcPr>
          <w:p>
            <w:pPr>
              <w:spacing w:after="0"/>
              <w:rPr>
                <w:sz w:val="17"/>
                <w:szCs w:val="17"/>
                <w:color w:val="auto"/>
              </w:rPr>
            </w:pPr>
          </w:p>
        </w:tc>
      </w:tr>
      <w:tr>
        <w:trPr>
          <w:trHeight w:val="434"/>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1.1A</w:t>
            </w:r>
          </w:p>
        </w:tc>
        <w:tc>
          <w:tcPr>
            <w:tcW w:w="80" w:type="dxa"/>
            <w:vAlign w:val="bottom"/>
          </w:tcPr>
          <w:p>
            <w:pPr>
              <w:spacing w:after="0"/>
              <w:rPr>
                <w:sz w:val="24"/>
                <w:szCs w:val="2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1.1B</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1.1C</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1.1D</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Separation Agreement</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Sharing Agreement</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1.1F</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Mortgaged Properties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1.1G</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Coverage Ratio</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Consents, Authorizations, Filings and Notices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 Matters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UCC Filing Jurisdictions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Obligations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7.2(f)</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7.3(g)</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7.5(h)</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7.7(k)</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Permitted Transactions</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Agreements</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hanging="113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7" w:lineRule="exact"/>
        <w:rPr>
          <w:sz w:val="20"/>
          <w:szCs w:val="20"/>
          <w:color w:val="auto"/>
        </w:rPr>
      </w:pPr>
    </w:p>
    <w:p>
      <w:pPr>
        <w:ind w:left="1140" w:hanging="1132"/>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ind w:left="1140" w:hanging="113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ind w:left="1140" w:hanging="113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Legal Opinion of Kirkland &amp; Ellis LLP</w:t>
      </w:r>
    </w:p>
    <w:p>
      <w:pPr>
        <w:spacing w:after="0" w:line="9" w:lineRule="exact"/>
        <w:rPr>
          <w:sz w:val="20"/>
          <w:szCs w:val="20"/>
          <w:color w:val="auto"/>
        </w:rPr>
      </w:pPr>
    </w:p>
    <w:p>
      <w:pPr>
        <w:ind w:left="1140" w:hanging="11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Exemption Certificate</w:t>
      </w:r>
    </w:p>
    <w:p>
      <w:pPr>
        <w:spacing w:after="0" w:line="9" w:lineRule="exact"/>
        <w:rPr>
          <w:sz w:val="20"/>
          <w:szCs w:val="20"/>
          <w:color w:val="auto"/>
        </w:rPr>
      </w:pPr>
    </w:p>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Joinder</w:t>
      </w:r>
    </w:p>
    <w:p>
      <w:pPr>
        <w:spacing w:after="0" w:line="9" w:lineRule="exact"/>
        <w:rPr>
          <w:sz w:val="20"/>
          <w:szCs w:val="20"/>
          <w:color w:val="auto"/>
        </w:rPr>
      </w:pPr>
    </w:p>
    <w:p>
      <w:pPr>
        <w:ind w:left="1140" w:hanging="113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 and Collateral Agreement</w:t>
      </w:r>
    </w:p>
    <w:p>
      <w:pPr>
        <w:spacing w:after="0" w:line="9" w:lineRule="exact"/>
        <w:rPr>
          <w:sz w:val="20"/>
          <w:szCs w:val="20"/>
          <w:color w:val="auto"/>
        </w:rPr>
      </w:pPr>
    </w:p>
    <w:p>
      <w:pPr>
        <w:ind w:left="1140" w:hanging="113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 Acknowledgement</w:t>
      </w:r>
    </w:p>
    <w:p>
      <w:pPr>
        <w:spacing w:after="0" w:line="200" w:lineRule="exact"/>
        <w:rPr>
          <w:sz w:val="20"/>
          <w:szCs w:val="20"/>
          <w:color w:val="auto"/>
        </w:rPr>
      </w:pPr>
    </w:p>
    <w:p>
      <w:pPr>
        <w:spacing w:after="0" w:line="33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37" w:name="page38"/>
    <w:bookmarkEnd w:id="37"/>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SIXTH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9, 2021, among AVIS BUDGET HOLDINGS,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AVIS BUDGET CAR RENTAL,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AVIS BUDGET GROUP, INC., a Delaware corporation, the Subsidiary Borrowers (as defined herein) from time to time parties hereto, the several banks and other financial institutions or entities from time to time parties 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JPMORGAN CHASE BANK, N.A., as administrative agent.</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WHEREAS, the Borrower and Holdings are parties to the Fifth Amended and Restated Credit Agreement, dated as of February 13, 2018 (the “</w:t>
      </w:r>
      <w:r>
        <w:rPr>
          <w:rFonts w:ascii="Times New Roman" w:cs="Times New Roman" w:eastAsia="Times New Roman" w:hAnsi="Times New Roman"/>
          <w:sz w:val="18"/>
          <w:szCs w:val="18"/>
          <w:u w:val="single" w:color="auto"/>
          <w:color w:val="auto"/>
        </w:rPr>
        <w:t>Fifth Amended and Restated Credit Agreement</w:t>
      </w:r>
      <w:r>
        <w:rPr>
          <w:rFonts w:ascii="Times New Roman" w:cs="Times New Roman" w:eastAsia="Times New Roman" w:hAnsi="Times New Roman"/>
          <w:sz w:val="18"/>
          <w:szCs w:val="18"/>
          <w:color w:val="auto"/>
        </w:rPr>
        <w:t>;” as amended and in effect immediately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with several banks and other financial institutions or entities parties as lenders and agents thereto and JPMorgan Chase Bank, N.A., as administrative agent;</w:t>
      </w:r>
    </w:p>
    <w:p>
      <w:pPr>
        <w:spacing w:after="0" w:line="172"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b w:val="1"/>
          <w:bCs w:val="1"/>
          <w:u w:val="single" w:color="auto"/>
          <w:color w:val="0000FF"/>
        </w:rPr>
        <w:t>on the Restatement Effective Date,</w:t>
      </w:r>
      <w:r>
        <w:rPr>
          <w:rFonts w:ascii="Times New Roman" w:cs="Times New Roman" w:eastAsia="Times New Roman" w:hAnsi="Times New Roman"/>
          <w:sz w:val="18"/>
          <w:szCs w:val="18"/>
          <w:color w:val="auto"/>
        </w:rPr>
        <w:t xml:space="preserve"> the Borrower </w:t>
      </w:r>
      <w:r>
        <w:rPr>
          <w:rFonts w:ascii="Times New Roman" w:cs="Times New Roman" w:eastAsia="Times New Roman" w:hAnsi="Times New Roman"/>
          <w:sz w:val="18"/>
          <w:szCs w:val="18"/>
          <w:color w:val="FF0000"/>
          <w:strike w:val="1"/>
        </w:rPr>
        <w:t>has</w:t>
      </w:r>
      <w:r>
        <w:rPr>
          <w:rFonts w:ascii="Times New Roman" w:cs="Times New Roman" w:eastAsia="Times New Roman" w:hAnsi="Times New Roman"/>
          <w:sz w:val="18"/>
          <w:szCs w:val="18"/>
          <w:color w:val="auto"/>
        </w:rPr>
        <w:t xml:space="preserve"> requested that a revolving facility in the aggregate principal amount of $1,950,000,000 be made available to the Borrower to replace the Revolving Facility (as defined in the Existing Credit Agreement), and the Revolving Lenders (as defined </w:t>
      </w:r>
      <w:r>
        <w:rPr>
          <w:rFonts w:ascii="Times New Roman" w:cs="Times New Roman" w:eastAsia="Times New Roman" w:hAnsi="Times New Roman"/>
          <w:sz w:val="18"/>
          <w:szCs w:val="18"/>
          <w:color w:val="FF0000"/>
          <w:strike w:val="1"/>
        </w:rPr>
        <w:t>below</w:t>
      </w:r>
      <w:r>
        <w:rPr>
          <w:rFonts w:ascii="Times New Roman" w:cs="Times New Roman" w:eastAsia="Times New Roman" w:hAnsi="Times New Roman"/>
          <w:sz w:val="18"/>
          <w:szCs w:val="18"/>
          <w:b w:val="1"/>
          <w:bCs w:val="1"/>
          <w:u w:val="single" w:color="auto"/>
          <w:color w:val="0000FF"/>
        </w:rPr>
        <w:t>in this Agreement on the Restatement Effective Date</w:t>
      </w:r>
      <w:r>
        <w:rPr>
          <w:rFonts w:ascii="Times New Roman" w:cs="Times New Roman" w:eastAsia="Times New Roman" w:hAnsi="Times New Roman"/>
          <w:sz w:val="18"/>
          <w:szCs w:val="18"/>
          <w:color w:val="auto"/>
        </w:rPr>
        <w:t xml:space="preserve">), which also </w:t>
      </w:r>
      <w:r>
        <w:rPr>
          <w:rFonts w:ascii="Times New Roman" w:cs="Times New Roman" w:eastAsia="Times New Roman" w:hAnsi="Times New Roman"/>
          <w:sz w:val="18"/>
          <w:szCs w:val="18"/>
          <w:color w:val="FF0000"/>
          <w:strike w:val="1"/>
        </w:rPr>
        <w:t>constitute</w:t>
      </w:r>
      <w:r>
        <w:rPr>
          <w:rFonts w:ascii="Times New Roman" w:cs="Times New Roman" w:eastAsia="Times New Roman" w:hAnsi="Times New Roman"/>
          <w:sz w:val="18"/>
          <w:szCs w:val="18"/>
          <w:b w:val="1"/>
          <w:bCs w:val="1"/>
          <w:u w:val="single" w:color="auto"/>
          <w:color w:val="0000FF"/>
        </w:rPr>
        <w:t>constituted</w:t>
      </w:r>
      <w:r>
        <w:rPr>
          <w:rFonts w:ascii="Times New Roman" w:cs="Times New Roman" w:eastAsia="Times New Roman" w:hAnsi="Times New Roman"/>
          <w:sz w:val="18"/>
          <w:szCs w:val="18"/>
          <w:color w:val="auto"/>
        </w:rPr>
        <w:t xml:space="preserve"> the Required Lenders, </w:t>
      </w:r>
      <w:r>
        <w:rPr>
          <w:rFonts w:ascii="Times New Roman" w:cs="Times New Roman" w:eastAsia="Times New Roman" w:hAnsi="Times New Roman"/>
          <w:sz w:val="18"/>
          <w:szCs w:val="18"/>
          <w:color w:val="FF0000"/>
          <w:strike w:val="1"/>
        </w:rPr>
        <w:t>have</w:t>
      </w:r>
      <w:r>
        <w:rPr>
          <w:rFonts w:ascii="Times New Roman" w:cs="Times New Roman" w:eastAsia="Times New Roman" w:hAnsi="Times New Roman"/>
          <w:sz w:val="18"/>
          <w:szCs w:val="18"/>
          <w:color w:val="auto"/>
        </w:rPr>
        <w:t xml:space="preserve"> agreed, upon the terms and subject to the conditions set forth herein, to provide the Revolving Facility (as defined </w:t>
      </w:r>
      <w:r>
        <w:rPr>
          <w:rFonts w:ascii="Times New Roman" w:cs="Times New Roman" w:eastAsia="Times New Roman" w:hAnsi="Times New Roman"/>
          <w:sz w:val="18"/>
          <w:szCs w:val="18"/>
          <w:color w:val="FF0000"/>
          <w:strike w:val="1"/>
        </w:rPr>
        <w:t>below</w:t>
      </w:r>
      <w:r>
        <w:rPr>
          <w:rFonts w:ascii="Times New Roman" w:cs="Times New Roman" w:eastAsia="Times New Roman" w:hAnsi="Times New Roman"/>
          <w:sz w:val="18"/>
          <w:szCs w:val="18"/>
          <w:b w:val="1"/>
          <w:bCs w:val="1"/>
          <w:u w:val="single" w:color="auto"/>
          <w:color w:val="0000FF"/>
        </w:rPr>
        <w:t>in this Agreement on the Restatement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Effective Date</w:t>
      </w:r>
      <w:r>
        <w:rPr>
          <w:rFonts w:ascii="Times New Roman" w:cs="Times New Roman" w:eastAsia="Times New Roman" w:hAnsi="Times New Roman"/>
          <w:sz w:val="18"/>
          <w:szCs w:val="18"/>
          <w:color w:val="000000"/>
        </w:rPr>
        <w:t>), and the Existing Credit Agreement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will be</w:t>
      </w:r>
      <w:r>
        <w:rPr>
          <w:rFonts w:ascii="Times New Roman" w:cs="Times New Roman" w:eastAsia="Times New Roman" w:hAnsi="Times New Roman"/>
          <w:sz w:val="18"/>
          <w:szCs w:val="18"/>
          <w:b w:val="1"/>
          <w:bCs w:val="1"/>
          <w:u w:val="single" w:color="auto"/>
          <w:color w:val="0000FF"/>
        </w:rPr>
        <w:t>was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amended as set forth herein to effect the Revolving Facility (as defined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below</w:t>
      </w:r>
      <w:r>
        <w:rPr>
          <w:rFonts w:ascii="Times New Roman" w:cs="Times New Roman" w:eastAsia="Times New Roman" w:hAnsi="Times New Roman"/>
          <w:sz w:val="18"/>
          <w:szCs w:val="18"/>
          <w:b w:val="1"/>
          <w:bCs w:val="1"/>
          <w:u w:val="single" w:color="auto"/>
          <w:color w:val="0000FF"/>
        </w:rPr>
        <w:t>in this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Agreement on the Restatement Effective Date</w:t>
      </w:r>
      <w:r>
        <w:rPr>
          <w:rFonts w:ascii="Times New Roman" w:cs="Times New Roman" w:eastAsia="Times New Roman" w:hAnsi="Times New Roman"/>
          <w:sz w:val="18"/>
          <w:szCs w:val="18"/>
          <w:color w:val="000000"/>
        </w:rPr>
        <w:t>);</w:t>
      </w:r>
    </w:p>
    <w:p>
      <w:pPr>
        <w:spacing w:after="0" w:line="18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WHEREAS, the signatories hereto have agreed to further amend the Existing Credit Agreement in certain respects and to restate the Existing Credit Agreement as so amended as provided in this Agreement (and, in that connection, certain lenders not currently party to the Existing Credit Agreement shall become a party as lenders hereunder), effective upon the satisfaction of certain conditions precedent set forth in Section 5.1.</w:t>
      </w:r>
    </w:p>
    <w:p>
      <w:pPr>
        <w:spacing w:after="0" w:line="176"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NOW, THEREFORE, the signatories hereto agree that on the Restatement Effective Date (as defined below) the Existing Credit Agreement shall be amended and restated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7"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1.1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terms listed in this Section 1.1 shall have the respective meanings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“2028 Available Revolving Commitment”: </w:t>
      </w:r>
      <w:r>
        <w:rPr>
          <w:rFonts w:ascii="Times New Roman" w:cs="Times New Roman" w:eastAsia="Times New Roman" w:hAnsi="Times New Roman"/>
          <w:sz w:val="18"/>
          <w:szCs w:val="18"/>
          <w:b w:val="1"/>
          <w:bCs w:val="1"/>
          <w:u w:val="single" w:color="auto"/>
          <w:color w:val="008000"/>
        </w:rPr>
        <w:t>as to any</w:t>
      </w:r>
      <w:r>
        <w:rPr>
          <w:rFonts w:ascii="Times New Roman" w:cs="Times New Roman" w:eastAsia="Times New Roman" w:hAnsi="Times New Roman"/>
          <w:sz w:val="18"/>
          <w:szCs w:val="18"/>
          <w:b w:val="1"/>
          <w:bCs w:val="1"/>
          <w:u w:val="single" w:color="auto"/>
          <w:color w:val="0000FF"/>
        </w:rPr>
        <w:t xml:space="preserve"> 2028 </w:t>
      </w:r>
      <w:r>
        <w:rPr>
          <w:rFonts w:ascii="Times New Roman" w:cs="Times New Roman" w:eastAsia="Times New Roman" w:hAnsi="Times New Roman"/>
          <w:sz w:val="18"/>
          <w:szCs w:val="18"/>
          <w:b w:val="1"/>
          <w:bCs w:val="1"/>
          <w:u w:val="single" w:color="auto"/>
          <w:color w:val="008000"/>
        </w:rPr>
        <w:t>Revolving Lender at any time, an amount equal to the excess, if any,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8000"/>
        </w:rPr>
        <w:t xml:space="preserve">(a) such Lender’s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Commitment then in effect over (b) such Lender’s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Extensions of Credit then outstanding</w:t>
      </w:r>
      <w:r>
        <w:rPr>
          <w:rFonts w:ascii="Times New Roman" w:cs="Times New Roman" w:eastAsia="Times New Roman" w:hAnsi="Times New Roman"/>
          <w:sz w:val="18"/>
          <w:szCs w:val="18"/>
          <w:b w:val="1"/>
          <w:bCs w:val="1"/>
          <w:u w:val="single" w:color="auto"/>
          <w:color w:val="0000FF"/>
        </w:rPr>
        <w:t>.</w:t>
      </w:r>
    </w:p>
    <w:p>
      <w:pPr>
        <w:spacing w:after="0" w:line="203"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“2028 Revolving Commitment”: as to any 2028 Revolving Lender, the obligation of such 2028 Revolving Lender, if any, to make 2028 Revolving Loans and participate in Letters of Credit in an aggregate principal and/or face amount not to exceed the amount set forth under the heading “2028 Revolving Commitment</w:t>
      </w:r>
      <w:r>
        <w:rPr>
          <w:rFonts w:ascii="Times New Roman" w:cs="Times New Roman" w:eastAsia="Times New Roman" w:hAnsi="Times New Roman"/>
          <w:sz w:val="18"/>
          <w:szCs w:val="18"/>
          <w:b w:val="1"/>
          <w:bCs w:val="1"/>
          <w:u w:val="single" w:color="auto"/>
          <w:color w:val="008000"/>
        </w:rPr>
        <w:t>” opposite such Lender’s name on Schedule 1.1A (as amended, supplemented or otherwise modified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from time to time) or in the Assignment and Assumption pursuant to which such Lender became a party hereto, as the same may be changed from time to time pursuant to the terms hereof.</w:t>
      </w:r>
    </w:p>
    <w:p>
      <w:pPr>
        <w:spacing w:after="0" w:line="179" w:lineRule="exact"/>
        <w:rPr>
          <w:sz w:val="20"/>
          <w:szCs w:val="20"/>
          <w:color w:val="auto"/>
        </w:rPr>
      </w:pPr>
    </w:p>
    <w:p>
      <w:pPr>
        <w:ind w:right="52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Commitment Period”: the </w:t>
      </w:r>
      <w:r>
        <w:rPr>
          <w:rFonts w:ascii="Times New Roman" w:cs="Times New Roman" w:eastAsia="Times New Roman" w:hAnsi="Times New Roman"/>
          <w:sz w:val="18"/>
          <w:szCs w:val="18"/>
          <w:b w:val="1"/>
          <w:bCs w:val="1"/>
          <w:u w:val="single" w:color="auto"/>
          <w:color w:val="008000"/>
        </w:rPr>
        <w:t>period from and including the</w:t>
      </w:r>
      <w:r>
        <w:rPr>
          <w:rFonts w:ascii="Times New Roman" w:cs="Times New Roman" w:eastAsia="Times New Roman" w:hAnsi="Times New Roman"/>
          <w:sz w:val="18"/>
          <w:szCs w:val="18"/>
          <w:b w:val="1"/>
          <w:bCs w:val="1"/>
          <w:u w:val="single" w:color="auto"/>
          <w:color w:val="0000FF"/>
        </w:rPr>
        <w:t xml:space="preserve"> Eleventh Amendment </w:t>
      </w:r>
      <w:r>
        <w:rPr>
          <w:rFonts w:ascii="Times New Roman" w:cs="Times New Roman" w:eastAsia="Times New Roman" w:hAnsi="Times New Roman"/>
          <w:sz w:val="18"/>
          <w:szCs w:val="18"/>
          <w:b w:val="1"/>
          <w:bCs w:val="1"/>
          <w:u w:val="single" w:color="auto"/>
          <w:color w:val="008000"/>
        </w:rPr>
        <w:t>Effective Date to the</w:t>
      </w:r>
      <w:r>
        <w:rPr>
          <w:rFonts w:ascii="Times New Roman" w:cs="Times New Roman" w:eastAsia="Times New Roman" w:hAnsi="Times New Roman"/>
          <w:sz w:val="18"/>
          <w:szCs w:val="18"/>
          <w:b w:val="1"/>
          <w:bCs w:val="1"/>
          <w:u w:val="single" w:color="auto"/>
          <w:color w:val="0000FF"/>
        </w:rPr>
        <w:t xml:space="preserve"> 2028 Revolving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8" w:name="page39"/>
    <w:bookmarkEnd w:id="38"/>
    <w:p>
      <w:pPr>
        <w:ind w:right="480"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Extensions of Credit”: </w:t>
      </w:r>
      <w:r>
        <w:rPr>
          <w:rFonts w:ascii="Times New Roman" w:cs="Times New Roman" w:eastAsia="Times New Roman" w:hAnsi="Times New Roman"/>
          <w:sz w:val="18"/>
          <w:szCs w:val="18"/>
          <w:b w:val="1"/>
          <w:bCs w:val="1"/>
          <w:u w:val="single" w:color="auto"/>
          <w:color w:val="008000"/>
        </w:rPr>
        <w:t>as to any</w:t>
      </w:r>
      <w:r>
        <w:rPr>
          <w:rFonts w:ascii="Times New Roman" w:cs="Times New Roman" w:eastAsia="Times New Roman" w:hAnsi="Times New Roman"/>
          <w:sz w:val="18"/>
          <w:szCs w:val="18"/>
          <w:b w:val="1"/>
          <w:bCs w:val="1"/>
          <w:u w:val="single" w:color="auto"/>
          <w:color w:val="0000FF"/>
        </w:rPr>
        <w:t xml:space="preserve"> 2028 </w:t>
      </w:r>
      <w:r>
        <w:rPr>
          <w:rFonts w:ascii="Times New Roman" w:cs="Times New Roman" w:eastAsia="Times New Roman" w:hAnsi="Times New Roman"/>
          <w:sz w:val="18"/>
          <w:szCs w:val="18"/>
          <w:b w:val="1"/>
          <w:bCs w:val="1"/>
          <w:u w:val="single" w:color="auto"/>
          <w:color w:val="008000"/>
        </w:rPr>
        <w:t>Revolving Lender at any time, an amount equal to the sum of (a) the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 xml:space="preserve">Dollar Equivalent of the aggregate principal amount of all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Loans held by such Lender then outstanding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b w:val="1"/>
          <w:bCs w:val="1"/>
          <w:u w:val="single" w:color="auto"/>
          <w:color w:val="008000"/>
        </w:rPr>
        <w:t xml:space="preserve"> (b) the Dollar Equivalent of such Lender’s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Percentage of the L/C Obligations </w:t>
      </w:r>
      <w:r>
        <w:rPr>
          <w:rFonts w:ascii="Times New Roman" w:cs="Times New Roman" w:eastAsia="Times New Roman" w:hAnsi="Times New Roman"/>
          <w:sz w:val="18"/>
          <w:szCs w:val="18"/>
          <w:b w:val="1"/>
          <w:bCs w:val="1"/>
          <w:u w:val="single" w:color="auto"/>
          <w:color w:val="0000FF"/>
        </w:rPr>
        <w:t>under the 2028 Revolving Facility then outstanding.</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Facility”: the 2028 </w:t>
      </w:r>
      <w:r>
        <w:rPr>
          <w:rFonts w:ascii="Times New Roman" w:cs="Times New Roman" w:eastAsia="Times New Roman" w:hAnsi="Times New Roman"/>
          <w:sz w:val="18"/>
          <w:szCs w:val="18"/>
          <w:b w:val="1"/>
          <w:bCs w:val="1"/>
          <w:u w:val="single" w:color="auto"/>
          <w:color w:val="008000"/>
        </w:rPr>
        <w:t>Revolving Commitments and the extensions of credit made thereunder</w:t>
      </w:r>
      <w:r>
        <w:rPr>
          <w:rFonts w:ascii="Times New Roman" w:cs="Times New Roman" w:eastAsia="Times New Roman" w:hAnsi="Times New Roman"/>
          <w:sz w:val="18"/>
          <w:szCs w:val="18"/>
          <w:b w:val="1"/>
          <w:bCs w:val="1"/>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Lender”: </w:t>
      </w:r>
      <w:r>
        <w:rPr>
          <w:rFonts w:ascii="Times New Roman" w:cs="Times New Roman" w:eastAsia="Times New Roman" w:hAnsi="Times New Roman"/>
          <w:sz w:val="18"/>
          <w:szCs w:val="18"/>
          <w:b w:val="1"/>
          <w:bCs w:val="1"/>
          <w:u w:val="single" w:color="auto"/>
          <w:color w:val="008000"/>
        </w:rPr>
        <w:t>each Lender that has a</w:t>
      </w:r>
      <w:r>
        <w:rPr>
          <w:rFonts w:ascii="Times New Roman" w:cs="Times New Roman" w:eastAsia="Times New Roman" w:hAnsi="Times New Roman"/>
          <w:sz w:val="18"/>
          <w:szCs w:val="18"/>
          <w:b w:val="1"/>
          <w:bCs w:val="1"/>
          <w:u w:val="single" w:color="auto"/>
          <w:color w:val="0000FF"/>
        </w:rPr>
        <w:t xml:space="preserve"> 2028 </w:t>
      </w:r>
      <w:r>
        <w:rPr>
          <w:rFonts w:ascii="Times New Roman" w:cs="Times New Roman" w:eastAsia="Times New Roman" w:hAnsi="Times New Roman"/>
          <w:sz w:val="18"/>
          <w:szCs w:val="18"/>
          <w:b w:val="1"/>
          <w:bCs w:val="1"/>
          <w:u w:val="single" w:color="auto"/>
          <w:color w:val="008000"/>
        </w:rPr>
        <w:t>Revolving Commitment or that holds</w:t>
      </w:r>
      <w:r>
        <w:rPr>
          <w:rFonts w:ascii="Times New Roman" w:cs="Times New Roman" w:eastAsia="Times New Roman" w:hAnsi="Times New Roman"/>
          <w:sz w:val="18"/>
          <w:szCs w:val="18"/>
          <w:b w:val="1"/>
          <w:bCs w:val="1"/>
          <w:u w:val="single" w:color="auto"/>
          <w:color w:val="0000FF"/>
        </w:rPr>
        <w:t xml:space="preserve"> 2028 Revolving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Loans”: </w:t>
      </w:r>
      <w:r>
        <w:rPr>
          <w:rFonts w:ascii="Times New Roman" w:cs="Times New Roman" w:eastAsia="Times New Roman" w:hAnsi="Times New Roman"/>
          <w:sz w:val="18"/>
          <w:szCs w:val="18"/>
          <w:b w:val="1"/>
          <w:bCs w:val="1"/>
          <w:u w:val="single" w:color="auto"/>
          <w:color w:val="008000"/>
        </w:rPr>
        <w:t>as defined in Section 2.4(a)</w:t>
      </w:r>
      <w:r>
        <w:rPr>
          <w:rFonts w:ascii="Times New Roman" w:cs="Times New Roman" w:eastAsia="Times New Roman" w:hAnsi="Times New Roman"/>
          <w:sz w:val="18"/>
          <w:szCs w:val="18"/>
          <w:b w:val="1"/>
          <w:bCs w:val="1"/>
          <w:u w:val="single" w:color="auto"/>
          <w:color w:val="0000FF"/>
        </w:rPr>
        <w:t>.</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Percentage”: </w:t>
      </w:r>
      <w:r>
        <w:rPr>
          <w:rFonts w:ascii="Times New Roman" w:cs="Times New Roman" w:eastAsia="Times New Roman" w:hAnsi="Times New Roman"/>
          <w:sz w:val="18"/>
          <w:szCs w:val="18"/>
          <w:b w:val="1"/>
          <w:bCs w:val="1"/>
          <w:u w:val="single" w:color="auto"/>
          <w:color w:val="008000"/>
        </w:rPr>
        <w:t>as to any</w:t>
      </w:r>
      <w:r>
        <w:rPr>
          <w:rFonts w:ascii="Times New Roman" w:cs="Times New Roman" w:eastAsia="Times New Roman" w:hAnsi="Times New Roman"/>
          <w:sz w:val="18"/>
          <w:szCs w:val="18"/>
          <w:b w:val="1"/>
          <w:bCs w:val="1"/>
          <w:u w:val="single" w:color="auto"/>
          <w:color w:val="0000FF"/>
        </w:rPr>
        <w:t xml:space="preserve"> 2028 </w:t>
      </w:r>
      <w:r>
        <w:rPr>
          <w:rFonts w:ascii="Times New Roman" w:cs="Times New Roman" w:eastAsia="Times New Roman" w:hAnsi="Times New Roman"/>
          <w:sz w:val="18"/>
          <w:szCs w:val="18"/>
          <w:b w:val="1"/>
          <w:bCs w:val="1"/>
          <w:u w:val="single" w:color="auto"/>
          <w:color w:val="008000"/>
        </w:rPr>
        <w:t>Revolving Lender at any time, the percentage which such Lender’s</w:t>
      </w:r>
      <w:r>
        <w:rPr>
          <w:rFonts w:ascii="Times New Roman" w:cs="Times New Roman" w:eastAsia="Times New Roman" w:hAnsi="Times New Roman"/>
          <w:sz w:val="18"/>
          <w:szCs w:val="18"/>
          <w:b w:val="1"/>
          <w:bCs w:val="1"/>
          <w:u w:val="single" w:color="auto"/>
          <w:color w:val="0000FF"/>
        </w:rPr>
        <w:t xml:space="preserve"> 2028 </w:t>
      </w:r>
      <w:r>
        <w:rPr>
          <w:rFonts w:ascii="Times New Roman" w:cs="Times New Roman" w:eastAsia="Times New Roman" w:hAnsi="Times New Roman"/>
          <w:sz w:val="18"/>
          <w:szCs w:val="18"/>
          <w:b w:val="1"/>
          <w:bCs w:val="1"/>
          <w:u w:val="single" w:color="auto"/>
          <w:color w:val="008000"/>
        </w:rPr>
        <w:t>Revolving</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 xml:space="preserve">Commitment then constitutes of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Total Revolving Commitments or, at any time after the </w:t>
      </w:r>
      <w:r>
        <w:rPr>
          <w:rFonts w:ascii="Times New Roman" w:cs="Times New Roman" w:eastAsia="Times New Roman" w:hAnsi="Times New Roman"/>
          <w:sz w:val="18"/>
          <w:szCs w:val="18"/>
          <w:b w:val="1"/>
          <w:bCs w:val="1"/>
          <w:u w:val="single" w:color="auto"/>
          <w:color w:val="0000FF"/>
        </w:rPr>
        <w:t>2028 Revolving</w:t>
      </w:r>
      <w:r>
        <w:rPr>
          <w:rFonts w:ascii="Times New Roman" w:cs="Times New Roman" w:eastAsia="Times New Roman" w:hAnsi="Times New Roman"/>
          <w:sz w:val="18"/>
          <w:szCs w:val="18"/>
          <w:b w:val="1"/>
          <w:bCs w:val="1"/>
          <w:u w:val="single" w:color="auto"/>
          <w:color w:val="008000"/>
        </w:rPr>
        <w:t xml:space="preserve"> Commitments shall have expired or terminated, the percentage which the aggregate principal amount of such Lender’s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Loans then outstanding constitutes of the aggregate principal amount of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Loans then outstanding, provided, that, in the event that the </w:t>
      </w:r>
      <w:r>
        <w:rPr>
          <w:rFonts w:ascii="Times New Roman" w:cs="Times New Roman" w:eastAsia="Times New Roman" w:hAnsi="Times New Roman"/>
          <w:sz w:val="18"/>
          <w:szCs w:val="18"/>
          <w:b w:val="1"/>
          <w:bCs w:val="1"/>
          <w:u w:val="single" w:color="auto"/>
          <w:color w:val="0000FF"/>
        </w:rPr>
        <w:t>2028 Revolving</w:t>
      </w:r>
      <w:r>
        <w:rPr>
          <w:rFonts w:ascii="Times New Roman" w:cs="Times New Roman" w:eastAsia="Times New Roman" w:hAnsi="Times New Roman"/>
          <w:sz w:val="18"/>
          <w:szCs w:val="18"/>
          <w:b w:val="1"/>
          <w:bCs w:val="1"/>
          <w:u w:val="single" w:color="auto"/>
          <w:color w:val="008000"/>
        </w:rPr>
        <w:t xml:space="preserve"> Loans are paid in full prior to the reduction to zero of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Total Revolving Extensions of Credit,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Percentages shall be determined in a manner designed to ensure that the other outstanding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Extensions of Credit shall be held by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b w:val="1"/>
          <w:bCs w:val="1"/>
          <w:u w:val="single" w:color="auto"/>
          <w:color w:val="008000"/>
        </w:rPr>
        <w:t xml:space="preserve"> Revolving Lenders on a comparable basis.</w:t>
      </w:r>
    </w:p>
    <w:p>
      <w:pPr>
        <w:spacing w:after="0" w:line="183" w:lineRule="exact"/>
        <w:rPr>
          <w:sz w:val="20"/>
          <w:szCs w:val="20"/>
          <w:color w:val="auto"/>
        </w:rPr>
      </w:pPr>
    </w:p>
    <w:p>
      <w:pPr>
        <w:ind w:right="120" w:firstLine="129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“2028 Revolving Termination Date”: the earliest of (i) June 29, 2028, (ii) if more than $300,000,000 in the aggregate of any Term Loans or Senior Unsecured Notes remain outstanding on the date that is 91 days </w:t>
      </w:r>
      <w:r>
        <w:rPr>
          <w:rFonts w:ascii="Times New Roman" w:cs="Times New Roman" w:eastAsia="Times New Roman" w:hAnsi="Times New Roman"/>
          <w:sz w:val="18"/>
          <w:szCs w:val="18"/>
          <w:b w:val="1"/>
          <w:bCs w:val="1"/>
          <w:u w:val="single" w:color="auto"/>
          <w:color w:val="008000"/>
        </w:rPr>
        <w:t>prior to the</w:t>
      </w:r>
      <w:r>
        <w:rPr>
          <w:rFonts w:ascii="Times New Roman" w:cs="Times New Roman" w:eastAsia="Times New Roman" w:hAnsi="Times New Roman"/>
          <w:sz w:val="18"/>
          <w:szCs w:val="18"/>
          <w:b w:val="1"/>
          <w:bCs w:val="1"/>
          <w:u w:val="single" w:color="auto"/>
          <w:color w:val="0000FF"/>
        </w:rPr>
        <w:t xml:space="preserve"> date of the respective maturity date of the Term Loans or Senior Unsecured Notes, the date that is 91 days prior to the maturity date of the Term Loans or Senior Unsecured Notes, and (iii) the date that is ten (10) Business Days after any Group Member receives cash proceeds from any legal settlement in excess of $500,000,000, as applicable, or, in each case, if such date is not a Business Day, the immediately preceding Business Day.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“2028 Total Revolving Commitments”: at any time, the aggregate amount of the 2028 Revolving Commitments then in effect.</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“2028 Total Revolving Extensions of Credit”: at any time, the aggregate amount of the 2028 Revolving Extensions of Credit of the 2028 Revolving Lenders outstanding at such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“2031 Available Revolving Commitment”: as to any 2031 Revolving Lender at any time, an amount equal to the excess, if any, of</w:t>
      </w:r>
    </w:p>
    <w:p>
      <w:pPr>
        <w:spacing w:after="0" w:line="31" w:lineRule="exact"/>
        <w:rPr>
          <w:sz w:val="20"/>
          <w:szCs w:val="20"/>
          <w:color w:val="auto"/>
        </w:rPr>
      </w:pPr>
    </w:p>
    <w:p>
      <w:pPr>
        <w:ind w:right="60" w:firstLine="8"/>
        <w:spacing w:after="0" w:line="255" w:lineRule="auto"/>
        <w:tabs>
          <w:tab w:leader="none" w:pos="255" w:val="left"/>
        </w:tabs>
        <w:numPr>
          <w:ilvl w:val="0"/>
          <w:numId w:val="2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such Lender’s 2031 Revolving Commitment then in effect over (b) such Lender’s 2031 Revolving Extensions of Credit then outstanding</w:t>
      </w:r>
      <w:r>
        <w:rPr>
          <w:rFonts w:ascii="Times New Roman" w:cs="Times New Roman" w:eastAsia="Times New Roman" w:hAnsi="Times New Roman"/>
          <w:sz w:val="18"/>
          <w:szCs w:val="18"/>
          <w:b w:val="1"/>
          <w:bCs w:val="1"/>
          <w:u w:val="single" w:color="auto"/>
          <w:color w:val="008000"/>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 xml:space="preserve">provided, that in calculating any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b w:val="1"/>
          <w:bCs w:val="1"/>
          <w:u w:val="single" w:color="auto"/>
          <w:color w:val="008000"/>
        </w:rPr>
        <w:t xml:space="preserve"> Revolving Extensions of Credit for the purpose of determining such Lender’s </w:t>
      </w:r>
      <w:r>
        <w:rPr>
          <w:rFonts w:ascii="Times New Roman" w:cs="Times New Roman" w:eastAsia="Times New Roman" w:hAnsi="Times New Roman"/>
          <w:sz w:val="18"/>
          <w:szCs w:val="18"/>
          <w:b w:val="1"/>
          <w:bCs w:val="1"/>
          <w:u w:val="single" w:color="auto"/>
          <w:color w:val="0000FF"/>
        </w:rPr>
        <w:t>Available Revolving</w:t>
      </w:r>
      <w:r>
        <w:rPr>
          <w:rFonts w:ascii="Times New Roman" w:cs="Times New Roman" w:eastAsia="Times New Roman" w:hAnsi="Times New Roman"/>
          <w:sz w:val="18"/>
          <w:szCs w:val="18"/>
          <w:b w:val="1"/>
          <w:bCs w:val="1"/>
          <w:u w:val="single" w:color="auto"/>
          <w:color w:val="008000"/>
        </w:rPr>
        <w:t xml:space="preserve"> </w:t>
      </w:r>
      <w:r>
        <w:rPr>
          <w:rFonts w:ascii="Times New Roman" w:cs="Times New Roman" w:eastAsia="Times New Roman" w:hAnsi="Times New Roman"/>
          <w:sz w:val="18"/>
          <w:szCs w:val="18"/>
          <w:b w:val="1"/>
          <w:bCs w:val="1"/>
          <w:u w:val="single" w:color="auto"/>
          <w:color w:val="0000FF"/>
        </w:rPr>
        <w:t xml:space="preserve">Commitment </w:t>
      </w:r>
      <w:r>
        <w:rPr>
          <w:rFonts w:ascii="Times New Roman" w:cs="Times New Roman" w:eastAsia="Times New Roman" w:hAnsi="Times New Roman"/>
          <w:sz w:val="18"/>
          <w:szCs w:val="18"/>
          <w:b w:val="1"/>
          <w:bCs w:val="1"/>
          <w:u w:val="single" w:color="auto"/>
          <w:color w:val="008000"/>
        </w:rPr>
        <w:t>pursuant to Section 2.8(</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b w:val="1"/>
          <w:bCs w:val="1"/>
          <w:u w:val="single" w:color="auto"/>
          <w:color w:val="008000"/>
        </w:rPr>
        <w:t>), the Swingline Exposure shall be deemed to be zero</w:t>
      </w:r>
      <w:r>
        <w:rPr>
          <w:rFonts w:ascii="Times New Roman" w:cs="Times New Roman" w:eastAsia="Times New Roman" w:hAnsi="Times New Roman"/>
          <w:sz w:val="18"/>
          <w:szCs w:val="18"/>
          <w:b w:val="1"/>
          <w:bCs w:val="1"/>
          <w:u w:val="single" w:color="auto"/>
          <w:color w:val="0000FF"/>
        </w:rPr>
        <w:t>.</w:t>
      </w:r>
    </w:p>
    <w:p>
      <w:pPr>
        <w:spacing w:after="0" w:line="182" w:lineRule="exact"/>
        <w:rPr>
          <w:sz w:val="20"/>
          <w:szCs w:val="20"/>
          <w:color w:val="auto"/>
        </w:rPr>
      </w:pPr>
    </w:p>
    <w:p>
      <w:pPr>
        <w:ind w:right="18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“2031 Revolving Commitment”: </w:t>
      </w:r>
      <w:r>
        <w:rPr>
          <w:rFonts w:ascii="Times New Roman" w:cs="Times New Roman" w:eastAsia="Times New Roman" w:hAnsi="Times New Roman"/>
          <w:sz w:val="18"/>
          <w:szCs w:val="18"/>
          <w:b w:val="1"/>
          <w:bCs w:val="1"/>
          <w:u w:val="single" w:color="auto"/>
          <w:color w:val="008000"/>
        </w:rPr>
        <w:t>as to any Lender, the obligation of such Lender, if any, to make</w:t>
      </w:r>
      <w:r>
        <w:rPr>
          <w:rFonts w:ascii="Times New Roman" w:cs="Times New Roman" w:eastAsia="Times New Roman" w:hAnsi="Times New Roman"/>
          <w:sz w:val="18"/>
          <w:szCs w:val="18"/>
          <w:b w:val="1"/>
          <w:bCs w:val="1"/>
          <w:u w:val="single" w:color="auto"/>
          <w:color w:val="0000FF"/>
        </w:rPr>
        <w:t xml:space="preserve"> 2031 </w:t>
      </w:r>
      <w:r>
        <w:rPr>
          <w:rFonts w:ascii="Times New Roman" w:cs="Times New Roman" w:eastAsia="Times New Roman" w:hAnsi="Times New Roman"/>
          <w:sz w:val="18"/>
          <w:szCs w:val="18"/>
          <w:b w:val="1"/>
          <w:bCs w:val="1"/>
          <w:u w:val="single" w:color="auto"/>
          <w:color w:val="008000"/>
        </w:rPr>
        <w:t>Revolving Loans and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participate in Swingline Loans and Letters of Credit in an aggregate principal and/or face amount not to exceed the amount set forth under the heading “</w:t>
      </w:r>
      <w:r>
        <w:rPr>
          <w:rFonts w:ascii="Times New Roman" w:cs="Times New Roman" w:eastAsia="Times New Roman" w:hAnsi="Times New Roman"/>
          <w:sz w:val="18"/>
          <w:szCs w:val="18"/>
          <w:b w:val="1"/>
          <w:bCs w:val="1"/>
          <w:u w:val="single" w:color="auto"/>
          <w:color w:val="0000FF"/>
        </w:rPr>
        <w:t>2031 Revolving Commitment” opposite such Lender’s name on Schedule 1.1A (as amended, supplemented or otherwise modified from</w:t>
      </w:r>
      <w:r>
        <w:rPr>
          <w:rFonts w:ascii="Times New Roman" w:cs="Times New Roman" w:eastAsia="Times New Roman" w:hAnsi="Times New Roman"/>
          <w:sz w:val="18"/>
          <w:szCs w:val="18"/>
          <w:b w:val="1"/>
          <w:bCs w:val="1"/>
          <w:u w:val="single" w:color="auto"/>
          <w:color w:val="008000"/>
        </w:rPr>
        <w:t xml:space="preserve"> </w:t>
      </w:r>
      <w:r>
        <w:rPr>
          <w:rFonts w:ascii="Times New Roman" w:cs="Times New Roman" w:eastAsia="Times New Roman" w:hAnsi="Times New Roman"/>
          <w:sz w:val="18"/>
          <w:szCs w:val="18"/>
          <w:b w:val="1"/>
          <w:bCs w:val="1"/>
          <w:u w:val="single" w:color="auto"/>
          <w:color w:val="0000FF"/>
        </w:rPr>
        <w:t>time to time) or in the Assignment and Assumption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pursuant to which such Lender became a party hereto, as the same may be changed from time to time pursuant to the terms hereof.</w:t>
      </w:r>
    </w:p>
    <w:p>
      <w:pPr>
        <w:spacing w:after="0" w:line="225"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“2031 Revolving Commitment Period”: the period from and including the Eleventh Amendment Effective Date to the 2031 Revolving Termination Date.</w:t>
      </w:r>
    </w:p>
    <w:p>
      <w:pPr>
        <w:spacing w:after="0" w:line="15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“2031 Revolving Extensions of Credit”: as to any 2031 Revolving Lender at any time, an amount equal to the sum of (a) the Dollar Equivalent of the aggregate principal amount of all 2031 Revolving Loans held by such Lender then outstanding, (b) the Dollar Equivalent of such Lender’s 2031 Revolving Percentage of the L/C Obligations under the 2031 Revolving Facility </w:t>
      </w:r>
      <w:r>
        <w:rPr>
          <w:rFonts w:ascii="Times New Roman" w:cs="Times New Roman" w:eastAsia="Times New Roman" w:hAnsi="Times New Roman"/>
          <w:sz w:val="18"/>
          <w:szCs w:val="18"/>
          <w:b w:val="1"/>
          <w:bCs w:val="1"/>
          <w:u w:val="single" w:color="auto"/>
          <w:color w:val="008000"/>
        </w:rPr>
        <w:t>then outstanding and (c) such Lender’s</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Swingline Exposure.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“2031 Revolving Facility”: the 2031 Revolving Commitments and the extensions of credit made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“2031 Revolving Lender”: each Lender that has a 2031 Revolving Commitment or that holds 2031 Revolving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“2031 Revolving Loans”</w:t>
      </w:r>
      <w:r>
        <w:rPr>
          <w:rFonts w:ascii="Times New Roman" w:cs="Times New Roman" w:eastAsia="Times New Roman" w:hAnsi="Times New Roman"/>
          <w:sz w:val="18"/>
          <w:szCs w:val="18"/>
          <w:b w:val="1"/>
          <w:bCs w:val="1"/>
          <w:u w:val="single" w:color="auto"/>
          <w:color w:val="008000"/>
        </w:rPr>
        <w:t>: as defined in</w:t>
      </w:r>
      <w:r>
        <w:rPr>
          <w:rFonts w:ascii="Times New Roman" w:cs="Times New Roman" w:eastAsia="Times New Roman" w:hAnsi="Times New Roman"/>
          <w:sz w:val="18"/>
          <w:szCs w:val="18"/>
          <w:b w:val="1"/>
          <w:bCs w:val="1"/>
          <w:u w:val="single" w:color="auto"/>
          <w:color w:val="0000FF"/>
        </w:rPr>
        <w:t xml:space="preserve"> Section 2.4(b).</w:t>
      </w:r>
    </w:p>
    <w:p>
      <w:pPr>
        <w:spacing w:after="0" w:line="225"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“2031 Revolving Percentage”: as to any 2031 Revolving Lender at any time, the percentage which such Lender’s 2031 Revolving Commitment then constitutes of the 2031 Total Revolving Commitments or, at any time after the 2031 Revolving Commitments shall have expired or terminated, the percentage which the aggregate principal amount of such Lender’s 2031 Revolving Loans then outstanding constitutes of the aggregate principal amount of the 2031 Revolving Loans then outstanding, provided, that, in the event that the 2031 Revolving Loans are paid in full prior to the reduction to zero of the 2031 Total Revolving Extensions of Credit, the 2031 Revolving Percentages shall be determined in a manner designed to ensure that the other outstanding 2031 Revolving Extensions of Credit shall be held by the 2031 Revolving Lenders on a comparable basis.</w:t>
      </w:r>
    </w:p>
    <w:p>
      <w:pPr>
        <w:spacing w:after="0" w:line="183"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“2031 Revolving Termination Date”: </w:t>
      </w:r>
      <w:r>
        <w:rPr>
          <w:rFonts w:ascii="Times New Roman" w:cs="Times New Roman" w:eastAsia="Times New Roman" w:hAnsi="Times New Roman"/>
          <w:sz w:val="18"/>
          <w:szCs w:val="18"/>
          <w:b w:val="1"/>
          <w:bCs w:val="1"/>
          <w:u w:val="single" w:color="auto"/>
          <w:color w:val="008000"/>
        </w:rPr>
        <w:t>the earlier of (i)</w:t>
      </w:r>
      <w:r>
        <w:rPr>
          <w:rFonts w:ascii="Times New Roman" w:cs="Times New Roman" w:eastAsia="Times New Roman" w:hAnsi="Times New Roman"/>
          <w:sz w:val="18"/>
          <w:szCs w:val="18"/>
          <w:b w:val="1"/>
          <w:bCs w:val="1"/>
          <w:u w:val="single" w:color="auto"/>
          <w:color w:val="0000FF"/>
        </w:rPr>
        <w:t xml:space="preserve"> June 29, 2031 </w:t>
      </w:r>
      <w:r>
        <w:rPr>
          <w:rFonts w:ascii="Times New Roman" w:cs="Times New Roman" w:eastAsia="Times New Roman" w:hAnsi="Times New Roman"/>
          <w:sz w:val="18"/>
          <w:szCs w:val="18"/>
          <w:b w:val="1"/>
          <w:bCs w:val="1"/>
          <w:u w:val="single" w:color="auto"/>
          <w:color w:val="008000"/>
        </w:rPr>
        <w:t>and (ii) if more than $300,000,000 in the aggregate of any</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u w:val="single" w:color="auto"/>
          <w:color w:val="008000"/>
        </w:rPr>
        <w:t>Term Loans or Senior Unsecured Notes remain outstanding on the date that is 91 days prior to the date of the respective maturity date of the Term Loans or Senior Unsecured Notes, the date that is 91 days prior to the maturity date of the Term Loans or Senior Unsecured Notes, as applicable, or, in each case, if such date is not a Business Day, the immediately preceding Business Day.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“2031 Total Revolving Commitments”: at any time, the aggregate amount of the 2031 Revolving Commitments then in effect.</w:t>
      </w:r>
    </w:p>
    <w:p>
      <w:pPr>
        <w:spacing w:after="0" w:line="225"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“2031 Total Revolving Extensions of Credit”: at any time, the aggregate amount of the 2031 Revolving Extensions of Credit of the 2031 Revolving Lenders outstanding at such time.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ABG</w:t>
      </w:r>
      <w:r>
        <w:rPr>
          <w:rFonts w:ascii="Times New Roman" w:cs="Times New Roman" w:eastAsia="Times New Roman" w:hAnsi="Times New Roman"/>
          <w:sz w:val="18"/>
          <w:szCs w:val="18"/>
          <w:color w:val="auto"/>
        </w:rPr>
        <w:t>”: Avis Budget Group, Inc., a Delaware corporation.</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for any day, a rate per annum (rounded upwards, if necessary, to the next 1/16 of 1%) equal to the greatest of (a) the Prime Rate in effect on such day, (b)(i) the NYFRB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½ of 1% and (c)(i) the Adjusted Term SOFR Rate for a one month Interest Period as published two U.S. Government Securities Business Days prior to such day (or if such day is not a Business Day, the immediately preceding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t xml:space="preserve">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(x) the ABR applicable to any Tranche B Term Loan shall, in any event, be at all times no less than 1.00%, (y) the ABR applicable to any Tranche C Term Loan shall, in any event, be at all times no less than 1.50% and (z) the ABR applicable to the Tranche A Term Loans shall, in any event, be at all times no less than 1.00%. Any change in the ABR due to a change in the Prime Rate, the NYFRB Rate or the Adjusted Term SOFR Rate shall be effective as of the opening of business on the effective day of such change in the Prime Rate, the NYFRB Rate or the Adjusted Term SOFR Rate, respectively. If the ABR is being used as an alternate rate of interest pursuant to Section 2.16 (for the avoidance of doubt, only until the Benchmark Replacement has been determined pursuant to ‎Section 2.16(b)), then the ABR shall be the greater of clauses (a) and (b) above and shall be determined without reference to clause (c) above. For the avoidance of doubt, if the ABR shall be less than zero, such rate shall be deemed to be zero for purposes of this Agreement.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Loans the rate of interest applicable to which is based upon the ABR.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as defined in Section 1.2(b).</w:t>
      </w:r>
    </w:p>
    <w:p>
      <w:pPr>
        <w:spacing w:after="0" w:line="225" w:lineRule="exact"/>
        <w:rPr>
          <w:sz w:val="20"/>
          <w:szCs w:val="20"/>
          <w:color w:val="auto"/>
        </w:rPr>
      </w:pPr>
    </w:p>
    <w:p>
      <w:pPr>
        <w:ind w:right="20" w:firstLine="12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Daily Simple RFR</w:t>
      </w:r>
      <w:r>
        <w:rPr>
          <w:rFonts w:ascii="Times New Roman" w:cs="Times New Roman" w:eastAsia="Times New Roman" w:hAnsi="Times New Roman"/>
          <w:sz w:val="17"/>
          <w:szCs w:val="17"/>
          <w:color w:val="auto"/>
        </w:rPr>
        <w:t>”: with respect to any (x) RFR Borrowing denominated in Dollars, an interest rate per annum equal to (a) the Daily Simple RFR for Dollars, plus (b)(i) in connection with the Tranche C Term Loans and Tranche A Term Loans, 0.10%</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00FF"/>
        </w:rPr>
        <w:t>and</w:t>
      </w:r>
      <w:r>
        <w:rPr>
          <w:rFonts w:ascii="Times New Roman" w:cs="Times New Roman" w:eastAsia="Times New Roman" w:hAnsi="Times New Roman"/>
          <w:sz w:val="17"/>
          <w:szCs w:val="17"/>
          <w:color w:val="auto"/>
        </w:rPr>
        <w:t xml:space="preserve"> (ii) in connection with the Tranche B Term Loans</w:t>
      </w:r>
      <w:r>
        <w:rPr>
          <w:rFonts w:ascii="Times New Roman" w:cs="Times New Roman" w:eastAsia="Times New Roman" w:hAnsi="Times New Roman"/>
          <w:sz w:val="17"/>
          <w:szCs w:val="17"/>
          <w:color w:val="FF0000"/>
          <w:strike w:val="1"/>
        </w:rPr>
        <w:t>, 0.00% and (iii) in connection with the Revolving Loans, 0.11448% and (y</w:t>
      </w:r>
      <w:r>
        <w:rPr>
          <w:rFonts w:ascii="Times New Roman" w:cs="Times New Roman" w:eastAsia="Times New Roman" w:hAnsi="Times New Roman"/>
          <w:sz w:val="17"/>
          <w:szCs w:val="17"/>
          <w:color w:val="008000"/>
          <w:strike w:val="1"/>
        </w:rPr>
        <w:t>) with respect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any RFR Borrowing denominated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 xml:space="preserve">Canadian Dollars, an interest rate per annum equal to (a) the Daily Simple RFR for Canadian Dollars, plus (b) 0.29547 </w:t>
      </w:r>
      <w:r>
        <w:rPr>
          <w:rFonts w:ascii="Times New Roman" w:cs="Times New Roman" w:eastAsia="Times New Roman" w:hAnsi="Times New Roman"/>
          <w:sz w:val="17"/>
          <w:szCs w:val="17"/>
          <w:b w:val="1"/>
          <w:bCs w:val="1"/>
          <w:u w:val="single" w:color="auto"/>
          <w:color w:val="0000FF"/>
          <w:strike w:val="1"/>
        </w:rPr>
        <w:t>and the Revolving Facilities,</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0000FF"/>
        </w:rPr>
        <w:t>0.00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if the Adjusted Daily Simple RFR as so determined would be less than the Floor, such rate shall be deemed to be equal to the Floor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for the purposes of this Agreement.</w:t>
      </w:r>
    </w:p>
    <w:p>
      <w:pPr>
        <w:spacing w:after="0" w:line="181"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with respect to any Term Benchmark Borrowing denominated in Euros for any Interest Period, an interest rate per annum equal to (a) the EURIBOR Rate for such Interest Period multiplied by (b) the Statutory Reserve Rate.</w:t>
      </w:r>
    </w:p>
    <w:p>
      <w:pPr>
        <w:spacing w:after="0" w:line="162"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CORRA Rate</w:t>
      </w:r>
      <w:r>
        <w:rPr>
          <w:rFonts w:ascii="Times New Roman" w:cs="Times New Roman" w:eastAsia="Times New Roman" w:hAnsi="Times New Roman"/>
          <w:sz w:val="18"/>
          <w:szCs w:val="18"/>
          <w:color w:val="auto"/>
        </w:rPr>
        <w:t xml:space="preserve">”: for the purposes of any calculation, the rate per annum equal to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Term CORRA for such calculation </w:t>
      </w:r>
      <w:r>
        <w:rPr>
          <w:rFonts w:ascii="Times New Roman" w:cs="Times New Roman" w:eastAsia="Times New Roman" w:hAnsi="Times New Roman"/>
          <w:sz w:val="18"/>
          <w:szCs w:val="18"/>
          <w:color w:val="FF0000"/>
          <w:strike w:val="1"/>
        </w:rPr>
        <w:t>plus (b) 0.29547% for a one month interest period or 0.32138% for a three month interest period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if Adjusted Term CORRA Rate as so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determined would be less than the Floor, such rate shall be deemed to be equal to the Floor for the purposes of this Agreement.</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with respect to any Term Benchmark Borrowing denominated in Dollars for any Interest Period, an interest rate per annum equal to (a) the Term SOFR Rate for such Interest Period, plus (b)(i) in connection with the Tranche C Term Loans and Tranche A Term Loans, 0.10%, (ii) in connection with the Tranche B Term Loans</w:t>
      </w:r>
      <w:r>
        <w:rPr>
          <w:rFonts w:ascii="Times New Roman" w:cs="Times New Roman" w:eastAsia="Times New Roman" w:hAnsi="Times New Roman"/>
          <w:sz w:val="18"/>
          <w:szCs w:val="18"/>
          <w:color w:val="FF0000"/>
          <w:strike w:val="1"/>
        </w:rPr>
        <w:t>, 0.00% and (iii) in connection with the Revolving Loans, for an Interest Period of (1)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month, 0.11448%, (2) three months, 0.26161% and (3) six months, 0.42826%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and Revolving Facilities, 0.00%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if the Adjusted 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Rate as so determined would be less than the Floor, such rate shall be deemed to be equal to the Floor for the purposes of this Agreement.</w:t>
      </w:r>
    </w:p>
    <w:p>
      <w:pPr>
        <w:spacing w:after="0" w:line="183"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AESOP Base Indenture</w:t>
      </w:r>
      <w:r>
        <w:rPr>
          <w:rFonts w:ascii="Times New Roman" w:cs="Times New Roman" w:eastAsia="Times New Roman" w:hAnsi="Times New Roman"/>
          <w:sz w:val="18"/>
          <w:szCs w:val="18"/>
          <w:color w:val="auto"/>
        </w:rPr>
        <w:t>”: the Second Amended and Restated Base Indenture, dated as of June 3, 2004, between the AESOP Issuer and the AESOP Trustee, as amended, modified or supplemented from time to time.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1" w:name="page42"/>
    <w:bookmarkEnd w:id="41"/>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AESOP Financing Program</w:t>
      </w:r>
      <w:r>
        <w:rPr>
          <w:rFonts w:ascii="Times New Roman" w:cs="Times New Roman" w:eastAsia="Times New Roman" w:hAnsi="Times New Roman"/>
          <w:sz w:val="18"/>
          <w:szCs w:val="18"/>
          <w:color w:val="auto"/>
        </w:rPr>
        <w:t>”: the transactions contemplated by the AESOP Base Indenture, as it may be from time to time further amended, supplemented or modified, and the instruments and agreements referenced therein and otherwise executed in connection therewith, and any successor program.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AESOP Indebtedness</w:t>
      </w:r>
      <w:r>
        <w:rPr>
          <w:rFonts w:ascii="Times New Roman" w:cs="Times New Roman" w:eastAsia="Times New Roman" w:hAnsi="Times New Roman"/>
          <w:sz w:val="18"/>
          <w:szCs w:val="18"/>
          <w:color w:val="auto"/>
        </w:rPr>
        <w:t>”: any Indebtedness incurred pursuant to the AESOP Financing Program.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AESOP Issuer</w:t>
      </w:r>
      <w:r>
        <w:rPr>
          <w:rFonts w:ascii="Times New Roman" w:cs="Times New Roman" w:eastAsia="Times New Roman" w:hAnsi="Times New Roman"/>
          <w:sz w:val="18"/>
          <w:szCs w:val="18"/>
          <w:color w:val="auto"/>
        </w:rPr>
        <w:t>”: Avis Budget Rental Car Funding (AESOP) LLC.</w:t>
      </w:r>
    </w:p>
    <w:p>
      <w:pPr>
        <w:spacing w:after="0" w:line="225"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AESOP Trustee</w:t>
      </w:r>
      <w:r>
        <w:rPr>
          <w:rFonts w:ascii="Times New Roman" w:cs="Times New Roman" w:eastAsia="Times New Roman" w:hAnsi="Times New Roman"/>
          <w:sz w:val="18"/>
          <w:szCs w:val="18"/>
          <w:color w:val="auto"/>
        </w:rPr>
        <w:t>”: The Bank of New York Mellon Trust Company, N.A., in its capacity as Trustee under the AESOP Base Indenture, together with its successors and assigns in such capacity.</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JPMorgan Chase Bank, together with its affiliates, as the arranger of the Commitments and as the administrative agent for the Lenders under this Agreement and the other Loan Documents, together with any of its successors.</w:t>
      </w:r>
    </w:p>
    <w:p>
      <w:pPr>
        <w:spacing w:after="0" w:line="158" w:lineRule="exact"/>
        <w:rPr>
          <w:sz w:val="20"/>
          <w:szCs w:val="20"/>
          <w:color w:val="auto"/>
        </w:rPr>
      </w:pPr>
    </w:p>
    <w:p>
      <w:pPr>
        <w:ind w:right="64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“Administrative Questionnaire”: an Administrative Questionnaire in a form supplied by the Administrative Agent to the Borrower or any Lender, as the context requires.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Foreign Vehicle Indebtedness</w:t>
      </w:r>
      <w:r>
        <w:rPr>
          <w:rFonts w:ascii="Times New Roman" w:cs="Times New Roman" w:eastAsia="Times New Roman" w:hAnsi="Times New Roman"/>
          <w:sz w:val="18"/>
          <w:szCs w:val="18"/>
          <w:color w:val="auto"/>
        </w:rPr>
        <w:t>”: as defined in the definition of “Consolidated Total Debt.”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as to any Person, any other Person which, directly or indirectly, is in control of, is controlled by, or is under common control with, such Person. For purposes of this definition, a Person shall be deemed to be “controlled by” another if such latter Person possesses, directly or indirectly, power either to (i) vote 10% or more of the securities having ordinary voting power for the election of directors of such controlled Person or (ii) direct or cause the direction of the management and policies of such controlled Person whether by contract or otherwise.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as defined in Section 10.5.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collective reference to the Co-Syndication Agents, the Co-Documentation Agents and the Administrative Agent.</w:t>
      </w:r>
    </w:p>
    <w:p>
      <w:pPr>
        <w:spacing w:after="0" w:line="225" w:lineRule="exact"/>
        <w:rPr>
          <w:sz w:val="20"/>
          <w:szCs w:val="20"/>
          <w:color w:val="auto"/>
        </w:rPr>
      </w:pPr>
    </w:p>
    <w:p>
      <w:pPr>
        <w:ind w:right="3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w:t>
      </w:r>
      <w:r>
        <w:rPr>
          <w:rFonts w:ascii="Times New Roman" w:cs="Times New Roman" w:eastAsia="Times New Roman" w:hAnsi="Times New Roman"/>
          <w:sz w:val="18"/>
          <w:szCs w:val="18"/>
          <w:color w:val="auto"/>
        </w:rPr>
        <w:t>”: with respect to any Lender at any time, an amount equal to the sum of (i) the aggregate then unpaid principal amount of such Lender’s Tranche B Term Loans, (ii) the aggregate then unpaid principal amount of such Lender’s Tranche C Term Loans, (iii) the aggregate then unpaid principal amount of such Lender’s Tranche A Term Loans and (iv) the amount of such Lender’s Revolving Commitment then in effect or, if the Revolving Commitments have been terminated, the amount of such Lender’s Revolving Extensions of Credit then outstanding.</w:t>
      </w:r>
    </w:p>
    <w:p>
      <w:pPr>
        <w:spacing w:after="0" w:line="180"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with respect to any Lender at any time, the ratio (expressed as a percentage) of such Lender’s Aggregate Exposure at such time to the Aggregate Exposure of all Lenders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Dollars and each Optional Currency.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Letter of Credit Facility</w:t>
      </w:r>
      <w:r>
        <w:rPr>
          <w:rFonts w:ascii="Times New Roman" w:cs="Times New Roman" w:eastAsia="Times New Roman" w:hAnsi="Times New Roman"/>
          <w:sz w:val="18"/>
          <w:szCs w:val="18"/>
          <w:color w:val="auto"/>
        </w:rPr>
        <w:t xml:space="preserve">” means any letter of credit facility made available in accordance with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Letter of Credit Facility Commitment</w:t>
      </w:r>
      <w:r>
        <w:rPr>
          <w:rFonts w:ascii="Times New Roman" w:cs="Times New Roman" w:eastAsia="Times New Roman" w:hAnsi="Times New Roman"/>
          <w:sz w:val="18"/>
          <w:szCs w:val="18"/>
          <w:color w:val="auto"/>
        </w:rPr>
        <w:t xml:space="preserve">” means, with respect to any Ancillary Issuing Lender and Ancillary Letter of Credit Facility, the maximum amount that such Ancillary Letter of Credit Issuing Lender has agreed to make available from time to time prior to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Termination Date under such Ancillary Letter of Credit Facility pursuant to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by such Ancillary Letter of Credit Facility Issuing Lender.</w:t>
      </w:r>
    </w:p>
    <w:p>
      <w:pPr>
        <w:spacing w:after="0" w:line="180" w:lineRule="exact"/>
        <w:rPr>
          <w:sz w:val="20"/>
          <w:szCs w:val="20"/>
          <w:color w:val="auto"/>
        </w:rPr>
      </w:pPr>
    </w:p>
    <w:p>
      <w:pPr>
        <w:ind w:right="5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Letter of Credit Facility Document</w:t>
      </w:r>
      <w:r>
        <w:rPr>
          <w:rFonts w:ascii="Times New Roman" w:cs="Times New Roman" w:eastAsia="Times New Roman" w:hAnsi="Times New Roman"/>
          <w:sz w:val="18"/>
          <w:szCs w:val="18"/>
          <w:color w:val="auto"/>
        </w:rPr>
        <w:t>” means, with respect to any Ancillary Letter of Credit Facility, each document or instrument between any Borrower and the applicable Ancillary Letter of Credit Issuing Lender thereunder governing such Ancillary Letter of Credit Facility.</w:t>
      </w:r>
    </w:p>
    <w:p>
      <w:pPr>
        <w:spacing w:after="0" w:line="176"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Letter of Credit Facility Exposure</w:t>
      </w:r>
      <w:r>
        <w:rPr>
          <w:rFonts w:ascii="Times New Roman" w:cs="Times New Roman" w:eastAsia="Times New Roman" w:hAnsi="Times New Roman"/>
          <w:sz w:val="18"/>
          <w:szCs w:val="18"/>
          <w:color w:val="auto"/>
        </w:rPr>
        <w:t>” shall mean, at any time, with respect to any Ancillary Letter of Credit Issuing Lender and any Ancillary Letter of Credit Facility then in effect, the Dollar Equivalent of the face amount of each letter of credit under such Ancillary Letter of Credit Facility.</w:t>
      </w:r>
    </w:p>
    <w:p>
      <w:pPr>
        <w:spacing w:after="0" w:line="172" w:lineRule="exact"/>
        <w:rPr>
          <w:sz w:val="20"/>
          <w:szCs w:val="20"/>
          <w:color w:val="auto"/>
        </w:rPr>
      </w:pPr>
    </w:p>
    <w:p>
      <w:pPr>
        <w:ind w:firstLine="1296"/>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Ancillary Letter of Credit Issuing Lender</w:t>
      </w:r>
      <w:r>
        <w:rPr>
          <w:rFonts w:ascii="Times New Roman" w:cs="Times New Roman" w:eastAsia="Times New Roman" w:hAnsi="Times New Roman"/>
          <w:sz w:val="17"/>
          <w:szCs w:val="17"/>
          <w:color w:val="auto"/>
        </w:rPr>
        <w:t xml:space="preserve">” shall mean, with respect to any Ancillary Letter of Credit Facility, the </w:t>
      </w:r>
      <w:r>
        <w:rPr>
          <w:rFonts w:ascii="Times New Roman" w:cs="Times New Roman" w:eastAsia="Times New Roman" w:hAnsi="Times New Roman"/>
          <w:sz w:val="17"/>
          <w:szCs w:val="17"/>
          <w:b w:val="1"/>
          <w:bCs w:val="1"/>
          <w:u w:val="single" w:color="auto"/>
          <w:color w:val="0000FF"/>
        </w:rPr>
        <w:t>2031</w:t>
      </w:r>
      <w:r>
        <w:rPr>
          <w:rFonts w:ascii="Times New Roman" w:cs="Times New Roman" w:eastAsia="Times New Roman" w:hAnsi="Times New Roman"/>
          <w:sz w:val="17"/>
          <w:szCs w:val="17"/>
          <w:color w:val="auto"/>
        </w:rPr>
        <w:t xml:space="preserve"> Revolving Lender (or an Affiliate of such </w:t>
      </w:r>
      <w:r>
        <w:rPr>
          <w:rFonts w:ascii="Times New Roman" w:cs="Times New Roman" w:eastAsia="Times New Roman" w:hAnsi="Times New Roman"/>
          <w:sz w:val="17"/>
          <w:szCs w:val="17"/>
          <w:b w:val="1"/>
          <w:bCs w:val="1"/>
          <w:u w:val="single" w:color="auto"/>
          <w:color w:val="0000FF"/>
        </w:rPr>
        <w:t>2031</w:t>
      </w:r>
      <w:r>
        <w:rPr>
          <w:rFonts w:ascii="Times New Roman" w:cs="Times New Roman" w:eastAsia="Times New Roman" w:hAnsi="Times New Roman"/>
          <w:sz w:val="17"/>
          <w:szCs w:val="17"/>
          <w:color w:val="auto"/>
        </w:rPr>
        <w:t xml:space="preserve"> Revolving Lender) or the lender that was a </w:t>
      </w:r>
      <w:r>
        <w:rPr>
          <w:rFonts w:ascii="Times New Roman" w:cs="Times New Roman" w:eastAsia="Times New Roman" w:hAnsi="Times New Roman"/>
          <w:sz w:val="17"/>
          <w:szCs w:val="17"/>
          <w:b w:val="1"/>
          <w:bCs w:val="1"/>
          <w:u w:val="single" w:color="auto"/>
          <w:color w:val="0000FF"/>
        </w:rPr>
        <w:t>2031</w:t>
      </w:r>
      <w:r>
        <w:rPr>
          <w:rFonts w:ascii="Times New Roman" w:cs="Times New Roman" w:eastAsia="Times New Roman" w:hAnsi="Times New Roman"/>
          <w:sz w:val="17"/>
          <w:szCs w:val="17"/>
          <w:color w:val="auto"/>
        </w:rPr>
        <w:t xml:space="preserve"> Revolving Lender or an Affiliate of a </w:t>
      </w:r>
      <w:r>
        <w:rPr>
          <w:rFonts w:ascii="Times New Roman" w:cs="Times New Roman" w:eastAsia="Times New Roman" w:hAnsi="Times New Roman"/>
          <w:sz w:val="17"/>
          <w:szCs w:val="17"/>
          <w:b w:val="1"/>
          <w:bCs w:val="1"/>
          <w:u w:val="single" w:color="auto"/>
          <w:color w:val="0000FF"/>
        </w:rPr>
        <w:t>2031</w:t>
      </w:r>
      <w:r>
        <w:rPr>
          <w:rFonts w:ascii="Times New Roman" w:cs="Times New Roman" w:eastAsia="Times New Roman" w:hAnsi="Times New Roman"/>
          <w:sz w:val="17"/>
          <w:szCs w:val="17"/>
          <w:color w:val="auto"/>
        </w:rPr>
        <w:t xml:space="preserve"> Revolving Lender at the time such Ancillary Letter of Credit Facility was entered into that, in each case, has made such Ancillary Letter of Credit Facility available under </w:t>
      </w:r>
      <w:r>
        <w:rPr>
          <w:rFonts w:ascii="Times New Roman" w:cs="Times New Roman" w:eastAsia="Times New Roman" w:hAnsi="Times New Roman"/>
          <w:sz w:val="17"/>
          <w:szCs w:val="17"/>
          <w:u w:val="single" w:color="auto"/>
          <w:color w:val="auto"/>
        </w:rPr>
        <w:t>Section 2.28</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its Affiliates from time to time concerning or relating to bribery or corruption.</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(a) with respect to the Tranche B Term Loans, (x) 1.50% in the case of ABR Loans and (y) 2.50% in the case of Adjusted Term SOFR Loans, (b) with respect to Revolving Loans, a rate determined in accordance with the Pricing Grid, (c) with respect to the Tranche C Term Loans, (x) 2.00% in the case of ABR Loans and (y) 3.00% in the case of Adjusted Term SOFR Loans and (d) with respect to the Tranche A Term Loans, a rate determined in accordance with the Pricing Grid.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“Applicable Parties”: as defined in Section 9.14(c).</w:t>
      </w:r>
    </w:p>
    <w:p>
      <w:pPr>
        <w:spacing w:after="0" w:line="229"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with respect to any Borrowings and payments in any Optional Currency, the local time in the place of settlement for such Optional Currency as may be determined by the Administrative Agent or the Issuing Lender, as the case may be, to be necessary for timely settlement on the relevant date in accordance with normal banking procedures in the place of payment.</w:t>
      </w:r>
    </w:p>
    <w:p>
      <w:pPr>
        <w:spacing w:after="0" w:line="176"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with respect to an Issuing Lender, an application, in such form as such Issuing Lender may specify from time to time, requesting such Issuing Lender to open or amend a Letter of Credit.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“Approved Borrower Portal”: as defined in Section 9.15(a).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0000FF"/>
        </w:rPr>
        <w:t>“Approved Electronic Platform”: as defined in Section‎ 9.14(a).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30518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11430</wp:posOffset>
            </wp:positionV>
            <wp:extent cx="30518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as defined in Section 10.6(b).</w:t>
      </w:r>
    </w:p>
    <w:p>
      <w:pPr>
        <w:spacing w:after="0" w:line="225"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any Disposition of property or series of related Dispositions of property (excluding any such Disposition permitted by clause (a), (b), (c), (d), (e), (j), (k), (l), (m) or (o) of Section 7.5) that yields gross proceeds to any Loan Party (other than ABG) (valued at the initial principal amount thereof in the case of non-cash proceeds consisting of notes or other debt securities and valued at fair market value in the case of other non-cash proceeds) in excess of $25,000,000.</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as defined in Section 10.6(b).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an Assignment and Assumption, substantially in the form of Exhibit D.</w:t>
      </w:r>
    </w:p>
    <w:p>
      <w:pPr>
        <w:spacing w:after="0" w:line="225" w:lineRule="exact"/>
        <w:rPr>
          <w:sz w:val="20"/>
          <w:szCs w:val="20"/>
          <w:color w:val="auto"/>
        </w:rPr>
      </w:pPr>
    </w:p>
    <w:p>
      <w:pPr>
        <w:ind w:right="20" w:firstLine="129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AUD Screen Rate</w:t>
      </w:r>
      <w:r>
        <w:rPr>
          <w:rFonts w:ascii="Times New Roman" w:cs="Times New Roman" w:eastAsia="Times New Roman" w:hAnsi="Times New Roman"/>
          <w:sz w:val="17"/>
          <w:szCs w:val="17"/>
          <w:color w:val="auto"/>
        </w:rPr>
        <w:t>”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first day of such Interest Period. If the AUD Screen Rate shall be less than zero, the AUD Screen Rate shall be deemed to be zero for purposes of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lawful money of Australia.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Securitization Entity</w:t>
      </w:r>
      <w:r>
        <w:rPr>
          <w:rFonts w:ascii="Times New Roman" w:cs="Times New Roman" w:eastAsia="Times New Roman" w:hAnsi="Times New Roman"/>
          <w:sz w:val="18"/>
          <w:szCs w:val="18"/>
          <w:color w:val="auto"/>
        </w:rPr>
        <w:t>”: any special purpose entity formed for the purpose of engaging in vehicle financing in Australia.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as defined in Section 3.1(a).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on any date of determination:</w:t>
      </w:r>
    </w:p>
    <w:p>
      <w:pPr>
        <w:spacing w:after="0" w:line="225" w:lineRule="exact"/>
        <w:rPr>
          <w:sz w:val="20"/>
          <w:szCs w:val="20"/>
          <w:color w:val="auto"/>
        </w:rPr>
      </w:pPr>
    </w:p>
    <w:p>
      <w:pPr>
        <w:ind w:left="1960" w:hanging="656"/>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$750,000,000;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960" w:hanging="656"/>
        <w:spacing w:after="0" w:line="312" w:lineRule="auto"/>
        <w:tabs>
          <w:tab w:leader="none" w:pos="1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50% of the Consolidated Net Income determined on a cumulative basis since the fiscal quarter commencing on or about January 1, 2018 for each fiscal quarter of the Borrower for which financial statements have been delivered pursuant to Section 6.1; </w:t>
      </w:r>
      <w:r>
        <w:rPr>
          <w:rFonts w:ascii="Times New Roman" w:cs="Times New Roman" w:eastAsia="Times New Roman" w:hAnsi="Times New Roman"/>
          <w:sz w:val="17"/>
          <w:szCs w:val="17"/>
          <w:u w:val="single" w:color="auto"/>
          <w:color w:val="auto"/>
        </w:rPr>
        <w:t>plus</w:t>
      </w:r>
    </w:p>
    <w:p>
      <w:pPr>
        <w:spacing w:after="0" w:line="139" w:lineRule="exact"/>
        <w:rPr>
          <w:rFonts w:ascii="Times New Roman" w:cs="Times New Roman" w:eastAsia="Times New Roman" w:hAnsi="Times New Roman"/>
          <w:sz w:val="17"/>
          <w:szCs w:val="17"/>
          <w:color w:val="auto"/>
        </w:rPr>
      </w:pPr>
    </w:p>
    <w:p>
      <w:pPr>
        <w:ind w:left="1960" w:right="560" w:hanging="656"/>
        <w:spacing w:after="0" w:line="282" w:lineRule="auto"/>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the Net Cash Proceeds of any issuance or sale of Capital Stock by, or capital contribution to, the Borrower after the Restatement Effective Date and prior to the date of determination;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1960" w:right="260" w:hanging="656"/>
        <w:spacing w:after="0" w:line="289" w:lineRule="auto"/>
        <w:tabs>
          <w:tab w:leader="none" w:pos="1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amount of the Net Cash Proceeds received by the Borrower or any of its Subsidiaries as a return (whether by dividend, interest, distributions, returns of capital, repayments or otherwise) on any Investment to the extent such Investment was made using the Available Amount after the Restatement Effective Date and prior to the date of determination, </w:t>
      </w:r>
      <w:r>
        <w:rPr>
          <w:rFonts w:ascii="Times New Roman" w:cs="Times New Roman" w:eastAsia="Times New Roman" w:hAnsi="Times New Roman"/>
          <w:sz w:val="17"/>
          <w:szCs w:val="17"/>
          <w:u w:val="single" w:color="auto"/>
          <w:color w:val="auto"/>
        </w:rPr>
        <w:t>minus</w:t>
      </w:r>
    </w:p>
    <w:p>
      <w:pPr>
        <w:spacing w:after="0" w:line="157" w:lineRule="exact"/>
        <w:rPr>
          <w:rFonts w:ascii="Times New Roman" w:cs="Times New Roman" w:eastAsia="Times New Roman" w:hAnsi="Times New Roman"/>
          <w:sz w:val="17"/>
          <w:szCs w:val="17"/>
          <w:color w:val="auto"/>
        </w:rPr>
      </w:pPr>
    </w:p>
    <w:p>
      <w:pPr>
        <w:ind w:left="1960" w:right="660" w:hanging="656"/>
        <w:spacing w:after="0" w:line="282" w:lineRule="auto"/>
        <w:tabs>
          <w:tab w:leader="none" w:pos="1960" w:val="left"/>
        </w:tabs>
        <w:numPr>
          <w:ilvl w:val="0"/>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sum of the amount of Available Amounts used to (x) make Restricted Payments pursuant to Section 7.6(h), (y) fund Investments pursuant to Section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4" w:name="page45"/>
    <w:bookmarkEnd w:id="44"/>
    <w:p>
      <w:pPr>
        <w:ind w:left="1960"/>
        <w:spacing w:after="0" w:line="266" w:lineRule="auto"/>
        <w:rPr>
          <w:sz w:val="20"/>
          <w:szCs w:val="20"/>
          <w:color w:val="auto"/>
        </w:rPr>
      </w:pPr>
      <w:r>
        <w:rPr>
          <w:rFonts w:ascii="Times New Roman" w:cs="Times New Roman" w:eastAsia="Times New Roman" w:hAnsi="Times New Roman"/>
          <w:sz w:val="18"/>
          <w:szCs w:val="18"/>
          <w:color w:val="auto"/>
        </w:rPr>
        <w:t>7.7(t), (z) make voluntary or optional payments, prepayments, repurchases or redemptions of or optionally or voluntarily defease or segregate funds with respect to certain Indebtedness pursuant to Section 7.8(a)(v), in each case, after the Restatement Effective Date and prior to the date of determination;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the following shall be excluded from the calculation of Consolidated Net Income: (i) (x) the amount of debt extinguishment costs and transaction costs in connection with any Specified Transaction, (y) the amount of separation, integration, restructuring and severance cash items incurred within twelve months of the date of the consummation of any Specified Transaction in connection with such Specified Transaction in an aggregate amount not to exceed $30,000,000 and (z) any non-cash impairment charges associated with, or any other write-offs of, intangibles (including goodwill) and (ii) the income of any Subsidiary of the Borrower to the extent that the declaration or payment of dividends or similar distributions by that Subsidiary of the income is not at the time permitted by operation of the terms of its charter, or any agreement, instrument, judgment, decree, order, statute, rule or governmental regulation applicable to that Subsidiary.</w:t>
      </w:r>
    </w:p>
    <w:p>
      <w:pPr>
        <w:spacing w:after="0" w:line="18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as to any Revolving Lender at any time, an amount equal to the excess, if any, of (a) such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 xml:space="preserve">Revolving Commitment then in effect </w:t>
      </w:r>
      <w:r>
        <w:rPr>
          <w:rFonts w:ascii="Times New Roman" w:cs="Times New Roman" w:eastAsia="Times New Roman" w:hAnsi="Times New Roman"/>
          <w:sz w:val="18"/>
          <w:szCs w:val="18"/>
          <w:u w:val="single" w:color="auto"/>
          <w:color w:val="008000"/>
          <w:strike w:val="1"/>
        </w:rPr>
        <w:t>over</w:t>
      </w:r>
      <w:r>
        <w:rPr>
          <w:rFonts w:ascii="Times New Roman" w:cs="Times New Roman" w:eastAsia="Times New Roman" w:hAnsi="Times New Roman"/>
          <w:sz w:val="18"/>
          <w:szCs w:val="18"/>
          <w:color w:val="008000"/>
          <w:strike w:val="1"/>
        </w:rPr>
        <w:t xml:space="preserve"> (b) such Lender’s Revolving Extensions of Credit then outstanding; </w:t>
      </w:r>
      <w:r>
        <w:rPr>
          <w:rFonts w:ascii="Times New Roman" w:cs="Times New Roman" w:eastAsia="Times New Roman" w:hAnsi="Times New Roman"/>
          <w:sz w:val="18"/>
          <w:szCs w:val="18"/>
          <w:u w:val="single" w:color="auto"/>
          <w:color w:val="008000"/>
          <w:strike w:val="1"/>
        </w:rPr>
        <w:t>provided</w:t>
      </w:r>
      <w:r>
        <w:rPr>
          <w:rFonts w:ascii="Times New Roman" w:cs="Times New Roman" w:eastAsia="Times New Roman" w:hAnsi="Times New Roman"/>
          <w:sz w:val="18"/>
          <w:szCs w:val="18"/>
          <w:color w:val="008000"/>
          <w:strike w:val="1"/>
        </w:rPr>
        <w:t>, that in calculating any Lender’s Revolving Extensions of Credit for the purpose of determining such Lender’s</w:t>
      </w:r>
      <w:r>
        <w:rPr>
          <w:rFonts w:ascii="Times New Roman" w:cs="Times New Roman" w:eastAsia="Times New Roman" w:hAnsi="Times New Roman"/>
          <w:sz w:val="18"/>
          <w:szCs w:val="18"/>
          <w:b w:val="1"/>
          <w:bCs w:val="1"/>
          <w:u w:val="single" w:color="auto"/>
          <w:color w:val="0000FF"/>
          <w:strike w:val="1"/>
        </w:rPr>
        <w:t>the 2028</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000000"/>
          <w:strike w:val="1"/>
        </w:rPr>
        <w:t>Available Revolving Commitment</w:t>
      </w:r>
      <w:r>
        <w:rPr>
          <w:rFonts w:ascii="Times New Roman" w:cs="Times New Roman" w:eastAsia="Times New Roman" w:hAnsi="Times New Roman"/>
          <w:sz w:val="18"/>
          <w:szCs w:val="18"/>
          <w:color w:val="008000"/>
          <w:strike w:val="1"/>
        </w:rPr>
        <w:t xml:space="preserve"> pursuant to Section 2.8(</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008000"/>
          <w:strike w:val="1"/>
        </w:rPr>
        <w:t>), the Swingline Exposure shall be deemed to be zero</w:t>
      </w:r>
      <w:r>
        <w:rPr>
          <w:rFonts w:ascii="Times New Roman" w:cs="Times New Roman" w:eastAsia="Times New Roman" w:hAnsi="Times New Roman"/>
          <w:sz w:val="18"/>
          <w:szCs w:val="18"/>
          <w:b w:val="1"/>
          <w:bCs w:val="1"/>
          <w:u w:val="single" w:color="auto"/>
          <w:color w:val="0000FF"/>
          <w:strike w:val="1"/>
        </w:rPr>
        <w:t>or the 2031 Available Revolving Commitment, as the context may require</w:t>
      </w:r>
      <w:r>
        <w:rPr>
          <w:rFonts w:ascii="Times New Roman" w:cs="Times New Roman" w:eastAsia="Times New Roman" w:hAnsi="Times New Roman"/>
          <w:sz w:val="18"/>
          <w:szCs w:val="18"/>
          <w:color w:val="000000"/>
          <w:strike w:val="1"/>
        </w:rPr>
        <w:t>.</w:t>
      </w:r>
    </w:p>
    <w:p>
      <w:pPr>
        <w:spacing w:after="0" w:line="180"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2.16.</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Avis Budget Finance</w:t>
      </w:r>
      <w:r>
        <w:rPr>
          <w:rFonts w:ascii="Times New Roman" w:cs="Times New Roman" w:eastAsia="Times New Roman" w:hAnsi="Times New Roman"/>
          <w:sz w:val="18"/>
          <w:szCs w:val="18"/>
          <w:color w:val="auto"/>
        </w:rPr>
        <w:t>”: Avis Budget Finance, Inc., a Delaware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Avis Europe</w:t>
      </w:r>
      <w:r>
        <w:rPr>
          <w:rFonts w:ascii="Times New Roman" w:cs="Times New Roman" w:eastAsia="Times New Roman" w:hAnsi="Times New Roman"/>
          <w:sz w:val="18"/>
          <w:szCs w:val="18"/>
          <w:color w:val="auto"/>
        </w:rPr>
        <w:t>”: Avis Europe plc, a public limited company incorporated under the laws of England and Wales.</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Avis Europe Acquisition</w:t>
      </w:r>
      <w:r>
        <w:rPr>
          <w:rFonts w:ascii="Times New Roman" w:cs="Times New Roman" w:eastAsia="Times New Roman" w:hAnsi="Times New Roman"/>
          <w:sz w:val="18"/>
          <w:szCs w:val="18"/>
          <w:color w:val="auto"/>
        </w:rPr>
        <w:t>”: (i) the acquisition by the Borrower or any of its Subsidiaries of all of the issued and to be issued shares of Avis Europe pursuant to a court sanctioned scheme of arrangement between Avis Europe and its shareholders under Part 26 of the Companies Act 2006 and the related reduction of capital (if any) under section 649 of the Companies Act 2006 or (ii) the acquisition by the Borrower or any of its subsidiaries of at least 75% of the issued and to be issued shares of Avis Europe by way of a contractual takeover offer within the meaning of section 974 of the Companies Act 2006 made by the Borrower or any of its subsidiaries to effect the acquisition and satisfaction of all other conditions precedent for such takeover offer to be declared unconditional in all respects.</w:t>
      </w:r>
    </w:p>
    <w:p>
      <w:pPr>
        <w:spacing w:after="0" w:line="187"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initially, with respect to any (i) RFR Loan in any Agreed Currency, the applicable Relevant Rate for such Agreed Currency or (ii) Term Benchmark Loan, the Relevant Rate for such Agreed Currency; provided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or clause ‎(c) of ‎Section 2.16.</w:t>
      </w:r>
    </w:p>
    <w:p>
      <w:pPr>
        <w:spacing w:after="0" w:line="183"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for any Available Tenor, the first alternative set forth in the order below that can be determined by the Administrative Agent for the applicable Benchmark Replacement Date; provided that, in the case of any Loan denominated in an Optional Currency (other than any Loan denominated in Canadian Dollars), “Benchmark Replacement” shall mean the alternative set forth in (2) below:</w:t>
      </w:r>
    </w:p>
    <w:p>
      <w:pPr>
        <w:spacing w:after="0" w:line="176" w:lineRule="exact"/>
        <w:rPr>
          <w:sz w:val="20"/>
          <w:szCs w:val="20"/>
          <w:color w:val="auto"/>
        </w:rPr>
      </w:pPr>
    </w:p>
    <w:p>
      <w:pPr>
        <w:ind w:right="200" w:firstLine="1304"/>
        <w:spacing w:after="0" w:line="282" w:lineRule="auto"/>
        <w:tabs>
          <w:tab w:leader="none" w:pos="18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Dollars, the Adjusted Daily Simple RFR and/or in the case of any Loan denominated in Canadian Dollars, the Adjusted Daily Simple RFR for Canadian Dollars;</w:t>
      </w:r>
    </w:p>
    <w:p>
      <w:pPr>
        <w:spacing w:after="0" w:line="161" w:lineRule="exact"/>
        <w:rPr>
          <w:rFonts w:ascii="Times New Roman" w:cs="Times New Roman" w:eastAsia="Times New Roman" w:hAnsi="Times New Roman"/>
          <w:sz w:val="18"/>
          <w:szCs w:val="18"/>
          <w:color w:val="auto"/>
        </w:rPr>
      </w:pPr>
    </w:p>
    <w:p>
      <w:pPr>
        <w:ind w:right="120" w:firstLine="1304"/>
        <w:spacing w:after="0" w:line="256" w:lineRule="auto"/>
        <w:tabs>
          <w:tab w:leader="none" w:pos="18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(or, with respect to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denominated in the applicable Agreed Currency) at such time in the United States and (b) the related Benchmark Replacement Adjustment;</w:t>
      </w:r>
    </w:p>
    <w:p>
      <w:pPr>
        <w:spacing w:after="0" w:line="185"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anything to the contrary in the Agreement or in any other Loan Document, upon the occurrence of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CORRA Reelection Event, and the delivery of a Term CORRA Notice, on the applicable Benchmark Replacement Date, the “Benchmark Replacement” shall revert to and shall be deemed to be the Adjusted Term CORRA Rate.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6" w:name="page47"/>
    <w:bookmarkEnd w:id="46"/>
    <w:p>
      <w:pPr>
        <w:ind w:right="780" w:firstLine="1296"/>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xml:space="preserve">”: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(or, with respect to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denominated in the applicable Agreed Currency) at such time.</w:t>
      </w:r>
    </w:p>
    <w:p>
      <w:pPr>
        <w:spacing w:after="0" w:line="188"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with respect to any Benchmark Replacement or any Term Benchmark Loans, any technical, administrative or operational changes (including changes to the definition of “Alternate Base Rate,” the definition of “Business Day” (and, with respect to any Term Benchmark Loans, the definition of “U.S. Government Securities Business Day” and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(with the consent of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(or, with respect to the Tranche C Term Facility, such Benchmark) exists, in such other manner of administration as the Administrative Agent and the Borrower decide is reasonably necessary in connection with the administration of this Agreement and the other Loan Documents); provided that, notwithstanding anything herein to the contrary, no “Benchmark Replacement Conforming Changes” shall result in any material effect on the timing or amount of payments or borrowings.</w:t>
      </w:r>
    </w:p>
    <w:p>
      <w:pPr>
        <w:spacing w:after="0" w:line="190"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with respect to any Benchmark, the earliest to occur of the following events with respect to such then-current Benchmark:</w:t>
      </w:r>
    </w:p>
    <w:p>
      <w:pPr>
        <w:spacing w:after="0" w:line="162" w:lineRule="exact"/>
        <w:rPr>
          <w:sz w:val="20"/>
          <w:szCs w:val="20"/>
          <w:color w:val="auto"/>
        </w:rPr>
      </w:pPr>
    </w:p>
    <w:p>
      <w:pPr>
        <w:ind w:right="80" w:firstLine="1304"/>
        <w:spacing w:after="0" w:line="266" w:lineRule="auto"/>
        <w:tabs>
          <w:tab w:leader="none" w:pos="18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5" w:lineRule="exact"/>
        <w:rPr>
          <w:rFonts w:ascii="Times New Roman" w:cs="Times New Roman" w:eastAsia="Times New Roman" w:hAnsi="Times New Roman"/>
          <w:sz w:val="18"/>
          <w:szCs w:val="18"/>
          <w:color w:val="auto"/>
        </w:rPr>
      </w:pPr>
    </w:p>
    <w:p>
      <w:pPr>
        <w:jc w:val="both"/>
        <w:ind w:right="100" w:firstLine="1304"/>
        <w:spacing w:after="0" w:line="261" w:lineRule="auto"/>
        <w:tabs>
          <w:tab w:leader="none" w:pos="18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if any Available Tenor of such Benchmark (or such component thereof) continues to be provided on such date; or</w:t>
      </w:r>
    </w:p>
    <w:p>
      <w:pPr>
        <w:spacing w:after="0" w:line="225" w:lineRule="exact"/>
        <w:rPr>
          <w:sz w:val="20"/>
          <w:szCs w:val="20"/>
          <w:color w:val="auto"/>
        </w:rPr>
      </w:pPr>
    </w:p>
    <w:p>
      <w:pPr>
        <w:ind w:right="200" w:firstLine="1304"/>
        <w:spacing w:after="0" w:line="282" w:lineRule="auto"/>
        <w:tabs>
          <w:tab w:leader="none" w:pos="18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 CORRA Reelection Event, the date that is thirty (30) days after the date a Term CORRA Notice (if any) is provided to the Lenders and the Borrower pursuant to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with respect to any Benchmark, the occurrence of one or more of the following events with respect to such then-current Benchmark:</w:t>
      </w:r>
    </w:p>
    <w:p>
      <w:pPr>
        <w:spacing w:after="0" w:line="162" w:lineRule="exact"/>
        <w:rPr>
          <w:sz w:val="20"/>
          <w:szCs w:val="20"/>
          <w:color w:val="auto"/>
        </w:rPr>
      </w:pPr>
    </w:p>
    <w:p>
      <w:pPr>
        <w:ind w:right="60" w:firstLine="1304"/>
        <w:spacing w:after="0" w:line="261"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right="20" w:firstLine="1304"/>
        <w:spacing w:after="0" w:line="254"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ind w:right="140" w:firstLine="1304"/>
        <w:spacing w:after="0" w:line="266"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8" w:name="page49"/>
    <w:bookmarkEnd w:id="48"/>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2.16.</w:t>
      </w:r>
    </w:p>
    <w:p>
      <w:pPr>
        <w:spacing w:after="0" w:line="162"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as defined in Section 10.7(a).</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BKBM Screen Rate</w:t>
      </w:r>
      <w:r>
        <w:rPr>
          <w:rFonts w:ascii="Times New Roman" w:cs="Times New Roman" w:eastAsia="Times New Roman" w:hAnsi="Times New Roman"/>
          <w:sz w:val="18"/>
          <w:szCs w:val="18"/>
          <w:color w:val="auto"/>
        </w:rPr>
        <w:t>” means, with respect to any Interest Period, the rate per annum determined by the Administrative Agent which is equal to the average bank bill reference rate as administered by the New Zealand Financial Markets Association (or any other person that takes over the administration of such rate) for bills of exchange with a tenor equal in length to such Interest Period as displayed on page BKBM of the Reuters screen (or, in the event such rate does not appear on such page, on any successor or substitute page on such screen that displays such rate, or on the appropriate page of such other information service that publishes such rate, or on the appropriate page of such other information service that publishes such rate as shall be selected by the Administrative Agent from time to time in its reasonable discretion) at or about 11:00 a.m. (Wellington, New Zealand time) on the first day of such Interest Period. If the BKBM Screen Rate shall be less than zero, the BKBM Screen Rate shall be deemed to be zero for purposes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as defined in the preamble hereto.</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“Borrower Communications”: as defined in Section 9.15(c).</w:t>
      </w:r>
    </w:p>
    <w:p>
      <w:pPr>
        <w:spacing w:after="0" w:line="229"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Loans of the same Type and Agreed Currency, made, converted or continued on the same date and, in the case of Term Benchmark Loans, as to which a single Interest Period is in effect.</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any Business Day specified by the Borrower or any Subsidiary Borrower as a date on which the Borrower or such Subsidiary Borrower requests the relevant Lenders to make Loans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as defined in Section 6.2(c).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 Truck Division</w:t>
      </w:r>
      <w:r>
        <w:rPr>
          <w:rFonts w:ascii="Times New Roman" w:cs="Times New Roman" w:eastAsia="Times New Roman" w:hAnsi="Times New Roman"/>
          <w:sz w:val="18"/>
          <w:szCs w:val="18"/>
          <w:color w:val="auto"/>
        </w:rPr>
        <w:t>”: the truck rental business of Budget Rent A Car System, Inc. and its Subsidiaries.</w:t>
      </w:r>
    </w:p>
    <w:p>
      <w:pPr>
        <w:spacing w:after="0" w:line="225" w:lineRule="exact"/>
        <w:rPr>
          <w:sz w:val="20"/>
          <w:szCs w:val="20"/>
          <w:color w:val="auto"/>
        </w:rPr>
      </w:pPr>
    </w:p>
    <w:p>
      <w:pPr>
        <w:jc w:val="both"/>
        <w:ind w:right="5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any day (other than a Saturday or a Sunday) on which banks are open for business in New York City or Chicago;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 in relation to Loans denominated in Euros and in relation to the calculation or computation of EURIBOR, any day which is a TARGET Day,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firstLine="8"/>
        <w:spacing w:after="0" w:line="25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RFR Loans and any interest rate settings, fundings, disbursements, settlements or payments of any such RFR Loan, or any other dealings in the applicable Agreed Currency of such RFR Loan, any such day that is only an RFR Business Day, (c) in relation to Loans denominated in Canadian Dollars and in relation to the calculation or computation of CORRA or the Canadian Prime Rate, any day (other than a Saturday or a Sunday) on which banks are open for business in Toronto, Ontario, (d) in relation to Loans denominated in Australian Dollars, any day (other than a Saturday or a Sunday) on which banks are open for business in Sydney, Australia and (e) in relation to Loans denominated in New Zealand Dollars, any day (other than a Saturday or a Sunday) on which banks are open for business in Wellington, New Zealand.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lawful money of Canada.</w:t>
      </w:r>
    </w:p>
    <w:p>
      <w:pPr>
        <w:spacing w:after="0" w:line="22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provided, that if any the above rates shall be less than 0.00%, such rate shall be deemed to be 0.00% for purposes of this Agreement. Any change in the Canadian Prime Rate due to a change in the PRIMCAN Index shall be effective from and including the effective date of such change in the PRIMCAN Index.</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Securitization Entity</w:t>
      </w:r>
      <w:r>
        <w:rPr>
          <w:rFonts w:ascii="Times New Roman" w:cs="Times New Roman" w:eastAsia="Times New Roman" w:hAnsi="Times New Roman"/>
          <w:sz w:val="18"/>
          <w:szCs w:val="18"/>
          <w:color w:val="auto"/>
        </w:rPr>
        <w:t>”: WTH Funding Limited Partnership, WTH Car Rental Limited Partnership, each an Ontario limited partnership, and any other special purpose entity formed for the purpose of engaging in vehicle financing in Canada including, without limitation, any other partnerships formed from time to time and each of the special purpose entities that may be partners in WTH Funding Limited Partnership, WTH Car Rental Limited Partnership or in any other such partnerships.</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as to any Person, the obligations of such Person to pay rent or other amounts under any lease (including any finance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any of the following, to the extent acquired for investment and not with a view to achieving trading profits: (a) obligations fully backed by the full faith and credit of the federal government of the United States or any Member State or any agency or instrumentality thereof maturing not in excess of twelve months from the date of acquisition, (b) commercial paper maturing not in excess of twelve months from the date of acquisition and rated at least “P-1” by Moody’s or “A-1” by S&amp;P on the date of such acquisition, (c) the following obligations of any Lender or any domestic commercial bank having capital and surplus in excess of $500,000,000, which has, or the holding company of which has, a commercial paper rating meeting the requirements specified in clause (b) above: (i) time deposits, certificates of deposit and acceptances maturing not in excess of twelve months from the date of acquisition, or (ii) repurchase obligations with a term of not more than thirty days for underlying securities of the type referred to in clause (a) above, (d) money market funds that invest exclusively in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0" w:name="page51"/>
    <w:bookmarkEnd w:id="50"/>
    <w:p>
      <w:pPr>
        <w:ind w:right="20"/>
        <w:spacing w:after="0" w:line="261" w:lineRule="auto"/>
        <w:rPr>
          <w:sz w:val="20"/>
          <w:szCs w:val="20"/>
          <w:color w:val="auto"/>
        </w:rPr>
      </w:pPr>
      <w:r>
        <w:rPr>
          <w:rFonts w:ascii="Times New Roman" w:cs="Times New Roman" w:eastAsia="Times New Roman" w:hAnsi="Times New Roman"/>
          <w:sz w:val="18"/>
          <w:szCs w:val="18"/>
          <w:color w:val="auto"/>
        </w:rPr>
        <w:t>interest bearing, short-term money market instruments and adhere to the minimum credit standards established by Rule 2a-7 of the Investment Company Act of 1940, as amended, (e) municipal securities: (i) for which the pricing period in effect is not more than twelve months long and (ii) rated at least “P-1” by Moody’s or “A-1” by S&amp;P and (f) foreign investments substantially comparable to the investments described in clauses (b), (c), (d) and (e) above in connection with managing cash of any Subsidiary having operations in a foreign country.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Items Cap</w:t>
      </w:r>
      <w:r>
        <w:rPr>
          <w:rFonts w:ascii="Times New Roman" w:cs="Times New Roman" w:eastAsia="Times New Roman" w:hAnsi="Times New Roman"/>
          <w:sz w:val="18"/>
          <w:szCs w:val="18"/>
          <w:color w:val="auto"/>
        </w:rPr>
        <w:t>”: as defined in the definition of “Consolidated Net Income”.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a Loan that bears interest at a rate determined by reference to the Central Bank Rate or the Canadian Prime Rate.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“CBR Spread” means the Applicable Rate, applicable to such Loan that is replaced by a CBR Loan.</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(A) the greater of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w:t>
      </w:r>
    </w:p>
    <w:p>
      <w:pPr>
        <w:spacing w:after="0" w:line="5" w:lineRule="exact"/>
        <w:rPr>
          <w:sz w:val="20"/>
          <w:szCs w:val="20"/>
          <w:color w:val="auto"/>
        </w:rPr>
      </w:pPr>
    </w:p>
    <w:p>
      <w:pPr>
        <w:ind w:right="300" w:firstLine="8"/>
        <w:spacing w:after="0" w:line="255"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for the deposit facility of the central banking system of the Participating Member States, as published by the European Central Bank (or any successor thereto) from time to time and (c) any other Optional Currency determined after the Effective Date, a central bank rate as determined by the Administrative Agent in its reasonable discretion; plus (B)(i) the applicable Central Bank Rate Adjustment and (ii) 0%.</w:t>
      </w:r>
    </w:p>
    <w:p>
      <w:pPr>
        <w:spacing w:after="0" w:line="18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for any day, for any Loan denominated in (a) Euro,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Pounds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Pounds Sterling in effect on the last RFR Business Day in such period and (c) any other Optional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each of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provided that if such rate shall be less than zero, such rate shall be deemed to be zero.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Centre Point Base Indenture</w:t>
      </w:r>
      <w:r>
        <w:rPr>
          <w:rFonts w:ascii="Times New Roman" w:cs="Times New Roman" w:eastAsia="Times New Roman" w:hAnsi="Times New Roman"/>
          <w:sz w:val="18"/>
          <w:szCs w:val="18"/>
          <w:color w:val="auto"/>
        </w:rPr>
        <w:t>”: the Amended and Restated Base Indenture, dated as of March 9, 2010, between the Centre Point Issuer and the Centre Point Trustee, as amended, modified or supplemented from time to time.</w:t>
      </w:r>
    </w:p>
    <w:p>
      <w:pPr>
        <w:spacing w:after="0" w:line="162"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Centre Point Financing Program</w:t>
      </w:r>
      <w:r>
        <w:rPr>
          <w:rFonts w:ascii="Times New Roman" w:cs="Times New Roman" w:eastAsia="Times New Roman" w:hAnsi="Times New Roman"/>
          <w:sz w:val="18"/>
          <w:szCs w:val="18"/>
          <w:color w:val="auto"/>
        </w:rPr>
        <w:t>”: the transactions contemplated by the Centre Point Base Indenture, as it may be from time to time further amended, supplemented or modified, and the instruments and agreements referenced therein and otherwise executed in connection therewith, and any successor program.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Centre Point Indebtedness</w:t>
      </w:r>
      <w:r>
        <w:rPr>
          <w:rFonts w:ascii="Times New Roman" w:cs="Times New Roman" w:eastAsia="Times New Roman" w:hAnsi="Times New Roman"/>
          <w:sz w:val="18"/>
          <w:szCs w:val="18"/>
          <w:color w:val="auto"/>
        </w:rPr>
        <w:t>”: any Indebtedness incurred pursuant to the Centre Point Financing Program.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Centre Point Issuer</w:t>
      </w:r>
      <w:r>
        <w:rPr>
          <w:rFonts w:ascii="Times New Roman" w:cs="Times New Roman" w:eastAsia="Times New Roman" w:hAnsi="Times New Roman"/>
          <w:sz w:val="18"/>
          <w:szCs w:val="18"/>
          <w:color w:val="auto"/>
        </w:rPr>
        <w:t>”: Centre Point Funding, LLC.</w:t>
      </w:r>
    </w:p>
    <w:p>
      <w:pPr>
        <w:spacing w:after="0" w:line="22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Centre Point Trustee</w:t>
      </w:r>
      <w:r>
        <w:rPr>
          <w:rFonts w:ascii="Times New Roman" w:cs="Times New Roman" w:eastAsia="Times New Roman" w:hAnsi="Times New Roman"/>
          <w:sz w:val="18"/>
          <w:szCs w:val="18"/>
          <w:color w:val="auto"/>
        </w:rPr>
        <w:t>”: The Bank of New York Mellon Trust Company, N.A., in its capacity as Trustee under the Centre Point Base Indenture, together with its successors and assigns in such capacity.</w:t>
      </w:r>
    </w:p>
    <w:p>
      <w:pPr>
        <w:spacing w:after="0" w:line="162"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 the acquisition by any Person or group (within the meaning of the Securities Exchange Act of 1934, as amended, and the rules of the SEC thereunder as in effect on the Restatement Effective Date), directly or indirectly, beneficially or of record, of ownership or control of in excess of 50% of the voting common stock of ABG on a fully diluted basis at any time; provided, that any voting common stock held by SRS (as defined in the Cooperation Agreement) that is subject to the “Excess Voting Rights” limitations on voting set forth in the Cooperation Agreement (as in effect on the Fourth Amendment Effective Date) shall be excluded from the amount of voting common stock of ABG deemed held by SRS (as defined in the Cooperation Agreement) for purposes of such determination or (b) if at any time, individuals who at the Restatement Effective Date constituted the board of directors of ABG (together with any new directors whose election by such board of directors or whose nomination for election by the shareholders of ABG, as the case may be, was approved by a vote of the majority of the directors then still in office who were either directors at the Restatement Effective Date or whose election or nomination for election was previously so approved) cease for any reason to constitute a majority of the board of directors of ABG, (c) ABG shall cease to own, directly or through one or more Wholly-Owned Subsidiaries, all of the capital stock of Holdings, free and clear of any direct or indirect Liens (other than statutory Liens) or (d) Holdings shall cease to directly own all of the capital stock of the Borrower, free and clear of any direct or indirect Liens (other than statutory Liens or Liens created by the Loan Documents).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April 19, 2006.</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from time to time.</w:t>
      </w:r>
    </w:p>
    <w:p>
      <w:pPr>
        <w:spacing w:after="0" w:line="221"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xml:space="preserve">”: with respect to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MUFG Bank, Ltd.</w:t>
      </w:r>
      <w:r>
        <w:rPr>
          <w:rFonts w:ascii="Times New Roman" w:cs="Times New Roman" w:eastAsia="Times New Roman" w:hAnsi="Times New Roman"/>
          <w:sz w:val="18"/>
          <w:szCs w:val="18"/>
          <w:color w:val="FF0000"/>
          <w:strike w:val="1"/>
        </w:rPr>
        <w:t>, UniCredit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8000"/>
        </w:rPr>
        <w:t>Bank of Montreal, Lloyds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8000"/>
        </w:rPr>
        <w:t>Bank Corporate Markets plc,</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b w:val="1"/>
          <w:bCs w:val="1"/>
          <w:u w:val="single" w:color="auto"/>
          <w:color w:val="0000FF"/>
        </w:rPr>
        <w:t>Unicredit</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000000"/>
        </w:rPr>
        <w:t>Bank GmbH, New York Branch,</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008000"/>
          <w:strike w:val="1"/>
        </w:rPr>
        <w:t>Bank of Montreal,</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FF0000"/>
          <w:strike w:val="1"/>
        </w:rPr>
        <w:t>Mizuho</w:t>
      </w:r>
      <w:r>
        <w:rPr>
          <w:rFonts w:ascii="Times New Roman" w:cs="Times New Roman" w:eastAsia="Times New Roman" w:hAnsi="Times New Roman"/>
          <w:sz w:val="18"/>
          <w:szCs w:val="18"/>
          <w:b w:val="1"/>
          <w:bCs w:val="1"/>
          <w:u w:val="single" w:color="auto"/>
          <w:color w:val="0000FF"/>
        </w:rPr>
        <w:t>Citizens</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FF0000"/>
          <w:strike w:val="1"/>
        </w:rPr>
        <w:t>Ltd</w:t>
      </w:r>
      <w:r>
        <w:rPr>
          <w:rFonts w:ascii="Times New Roman" w:cs="Times New Roman" w:eastAsia="Times New Roman" w:hAnsi="Times New Roman"/>
          <w:sz w:val="18"/>
          <w:szCs w:val="18"/>
          <w:b w:val="1"/>
          <w:bCs w:val="1"/>
          <w:u w:val="single" w:color="auto"/>
          <w:color w:val="0000FF"/>
        </w:rPr>
        <w:t>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FF0000"/>
          <w:strike w:val="1"/>
        </w:rPr>
        <w:t>Lloyds</w:t>
      </w:r>
      <w:r>
        <w:rPr>
          <w:rFonts w:ascii="Times New Roman" w:cs="Times New Roman" w:eastAsia="Times New Roman" w:hAnsi="Times New Roman"/>
          <w:sz w:val="18"/>
          <w:szCs w:val="18"/>
          <w:b w:val="1"/>
          <w:bCs w:val="1"/>
          <w:u w:val="single" w:color="auto"/>
          <w:color w:val="0000FF"/>
        </w:rPr>
        <w:t>U.S.</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000000"/>
        </w:rPr>
        <w:t>Bank</w:t>
      </w:r>
      <w:r>
        <w:rPr>
          <w:rFonts w:ascii="Times New Roman" w:cs="Times New Roman" w:eastAsia="Times New Roman" w:hAnsi="Times New Roman"/>
          <w:sz w:val="18"/>
          <w:szCs w:val="18"/>
          <w:b w:val="1"/>
          <w:bCs w:val="1"/>
          <w:color w:val="008000"/>
        </w:rPr>
        <w:t xml:space="preserve"> </w:t>
      </w:r>
      <w:r>
        <w:rPr>
          <w:rFonts w:ascii="Times New Roman" w:cs="Times New Roman" w:eastAsia="Times New Roman" w:hAnsi="Times New Roman"/>
          <w:sz w:val="18"/>
          <w:szCs w:val="18"/>
          <w:color w:val="FF0000"/>
          <w:strike w:val="1"/>
        </w:rPr>
        <w:t>Corporate Markets plc</w:t>
      </w:r>
      <w:r>
        <w:rPr>
          <w:rFonts w:ascii="Times New Roman" w:cs="Times New Roman" w:eastAsia="Times New Roman" w:hAnsi="Times New Roman"/>
          <w:sz w:val="18"/>
          <w:szCs w:val="18"/>
          <w:b w:val="1"/>
          <w:bCs w:val="1"/>
          <w:u w:val="single" w:color="auto"/>
          <w:color w:val="0000FF"/>
        </w:rPr>
        <w:t>National Association</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2" w:name="page53"/>
    <w:bookmarkEnd w:id="52"/>
    <w:p>
      <w:pPr>
        <w:ind w:right="2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Agents</w:t>
      </w:r>
      <w:r>
        <w:rPr>
          <w:rFonts w:ascii="Times New Roman" w:cs="Times New Roman" w:eastAsia="Times New Roman" w:hAnsi="Times New Roman"/>
          <w:sz w:val="18"/>
          <w:szCs w:val="18"/>
          <w:color w:val="auto"/>
        </w:rPr>
        <w:t xml:space="preserve">”: with respect to the Revolving </w:t>
      </w:r>
      <w:r>
        <w:rPr>
          <w:rFonts w:ascii="Times New Roman" w:cs="Times New Roman" w:eastAsia="Times New Roman" w:hAnsi="Times New Roman"/>
          <w:sz w:val="18"/>
          <w:szCs w:val="18"/>
          <w:color w:val="FF0000"/>
          <w:strike w:val="1"/>
        </w:rPr>
        <w:t>Facility, Bank of America, N.A</w:t>
      </w:r>
      <w:r>
        <w:rPr>
          <w:rFonts w:ascii="Times New Roman" w:cs="Times New Roman" w:eastAsia="Times New Roman" w:hAnsi="Times New Roman"/>
          <w:sz w:val="18"/>
          <w:szCs w:val="18"/>
          <w:b w:val="1"/>
          <w:bCs w:val="1"/>
          <w:u w:val="single" w:color="auto"/>
          <w:color w:val="0000FF"/>
        </w:rPr>
        <w:t>Facilities, Bofa Securities, Inc</w:t>
      </w:r>
      <w:r>
        <w:rPr>
          <w:rFonts w:ascii="Times New Roman" w:cs="Times New Roman" w:eastAsia="Times New Roman" w:hAnsi="Times New Roman"/>
          <w:sz w:val="18"/>
          <w:szCs w:val="18"/>
          <w:color w:val="auto"/>
        </w:rPr>
        <w:t xml:space="preserve">., Credit Agricole Corporate and Investment Bank, </w:t>
      </w:r>
      <w:r>
        <w:rPr>
          <w:rFonts w:ascii="Times New Roman" w:cs="Times New Roman" w:eastAsia="Times New Roman" w:hAnsi="Times New Roman"/>
          <w:sz w:val="18"/>
          <w:szCs w:val="18"/>
          <w:color w:val="FF0000"/>
          <w:strike w:val="1"/>
        </w:rPr>
        <w:t>Barclays</w:t>
      </w:r>
      <w:r>
        <w:rPr>
          <w:rFonts w:ascii="Times New Roman" w:cs="Times New Roman" w:eastAsia="Times New Roman" w:hAnsi="Times New Roman"/>
          <w:sz w:val="18"/>
          <w:szCs w:val="18"/>
          <w:b w:val="1"/>
          <w:bCs w:val="1"/>
          <w:u w:val="single" w:color="auto"/>
          <w:color w:val="0000FF"/>
        </w:rPr>
        <w:t>The</w:t>
      </w:r>
      <w:r>
        <w:rPr>
          <w:rFonts w:ascii="Times New Roman" w:cs="Times New Roman" w:eastAsia="Times New Roman" w:hAnsi="Times New Roman"/>
          <w:sz w:val="18"/>
          <w:szCs w:val="18"/>
          <w:color w:val="auto"/>
        </w:rPr>
        <w:t xml:space="preserve"> Bank </w:t>
      </w:r>
      <w:r>
        <w:rPr>
          <w:rFonts w:ascii="Times New Roman" w:cs="Times New Roman" w:eastAsia="Times New Roman" w:hAnsi="Times New Roman"/>
          <w:sz w:val="18"/>
          <w:szCs w:val="18"/>
          <w:color w:val="FF0000"/>
          <w:strike w:val="1"/>
        </w:rPr>
        <w:t>PLC, Societe Generale</w:t>
      </w:r>
      <w:r>
        <w:rPr>
          <w:rFonts w:ascii="Times New Roman" w:cs="Times New Roman" w:eastAsia="Times New Roman" w:hAnsi="Times New Roman"/>
          <w:sz w:val="18"/>
          <w:szCs w:val="18"/>
          <w:b w:val="1"/>
          <w:bCs w:val="1"/>
          <w:u w:val="single" w:color="auto"/>
          <w:color w:val="0000FF"/>
        </w:rPr>
        <w:t>Of Nova Scotia</w:t>
      </w:r>
      <w:r>
        <w:rPr>
          <w:rFonts w:ascii="Times New Roman" w:cs="Times New Roman" w:eastAsia="Times New Roman" w:hAnsi="Times New Roman"/>
          <w:sz w:val="18"/>
          <w:szCs w:val="18"/>
          <w:color w:val="auto"/>
        </w:rPr>
        <w:t>, BNP Paribas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Royal Bank of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Bank of Nova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Scotia</w:t>
      </w:r>
      <w:r>
        <w:rPr>
          <w:rFonts w:ascii="Times New Roman" w:cs="Times New Roman" w:eastAsia="Times New Roman" w:hAnsi="Times New Roman"/>
          <w:sz w:val="18"/>
          <w:szCs w:val="18"/>
          <w:color w:val="000000"/>
        </w:rPr>
        <w:t>, Morgan Stanley Senior Funding, Inc.,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Royal Bank Of Canada, Societe Generale,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Truist Bank,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Wells Fargo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Bank, National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Association</w:t>
      </w:r>
      <w:r>
        <w:rPr>
          <w:rFonts w:ascii="Times New Roman" w:cs="Times New Roman" w:eastAsia="Times New Roman" w:hAnsi="Times New Roman"/>
          <w:sz w:val="18"/>
          <w:szCs w:val="18"/>
          <w:b w:val="1"/>
          <w:bCs w:val="1"/>
          <w:u w:val="single" w:color="auto"/>
          <w:color w:val="0000FF"/>
        </w:rPr>
        <w:t>Securities, LLC, Mizuho Bank, Ltd. And MUFG Bank, Ltd</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all property of the Loan Parties (other than ABG), now owned or hereafter acquired, upon which a Lien is purported to be created by any Security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Collateral shall not include the assets of any Foreign Subsidiary or more than 65% of the Capital Stock of any Foreign Subsidiary.</w:t>
      </w:r>
    </w:p>
    <w:p>
      <w:pPr>
        <w:spacing w:after="0" w:line="176"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as to any Lender, the sum of the Tranche B Term Commitment, the Tranche C Term Commitment, the Tranche A Term Commitment</w:t>
      </w:r>
      <w:r>
        <w:rPr>
          <w:rFonts w:ascii="Times New Roman" w:cs="Times New Roman" w:eastAsia="Times New Roman" w:hAnsi="Times New Roman"/>
          <w:sz w:val="18"/>
          <w:szCs w:val="18"/>
          <w:b w:val="1"/>
          <w:bCs w:val="1"/>
          <w:u w:val="single" w:color="auto"/>
          <w:color w:val="0000FF"/>
        </w:rPr>
        <w:t>, the 2028 Revolving Commitment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 of such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a rate determined in accordance with the Pricing Grid.</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Commonly Controlled Entity</w:t>
      </w:r>
      <w:r>
        <w:rPr>
          <w:rFonts w:ascii="Times New Roman" w:cs="Times New Roman" w:eastAsia="Times New Roman" w:hAnsi="Times New Roman"/>
          <w:sz w:val="18"/>
          <w:szCs w:val="18"/>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“Communications”: as defined in Section 9.14(c).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 certificate duly executed by a Responsible Officer substantially in the form of Exhibit B.</w:t>
      </w:r>
    </w:p>
    <w:p>
      <w:pPr>
        <w:spacing w:after="0" w:line="225" w:lineRule="exact"/>
        <w:rPr>
          <w:sz w:val="20"/>
          <w:szCs w:val="20"/>
          <w:color w:val="auto"/>
        </w:rPr>
      </w:pPr>
    </w:p>
    <w:p>
      <w:pPr>
        <w:ind w:right="7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Collateralized</w:t>
      </w:r>
      <w:r>
        <w:rPr>
          <w:rFonts w:ascii="Times New Roman" w:cs="Times New Roman" w:eastAsia="Times New Roman" w:hAnsi="Times New Roman"/>
          <w:sz w:val="18"/>
          <w:szCs w:val="18"/>
          <w:color w:val="auto"/>
        </w:rPr>
        <w:t>”: secured by cash collateral arrangements and/or backstop letters of credit entered into on terms and in amounts reasonably satisfactory to the Administrative Agent and the relevant Issuing Lender.</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Lender</w:t>
      </w:r>
      <w:r>
        <w:rPr>
          <w:rFonts w:ascii="Times New Roman" w:cs="Times New Roman" w:eastAsia="Times New Roman" w:hAnsi="Times New Roman"/>
          <w:sz w:val="18"/>
          <w:szCs w:val="18"/>
          <w:color w:val="auto"/>
        </w:rPr>
        <w:t xml:space="preserve">”: any special purpose corporation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Conduit Lender shall (a) be entitled to receive any greater amount pursuant to Section 2.18, 2.19, 2.20 or 10.5 than the designating Lender would have been entitled to receive in respect of the extensions of credit made by such Conduit Lender or (b) be deemed to have any Commitment.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Coverage Ratio</w:t>
      </w:r>
      <w:r>
        <w:rPr>
          <w:rFonts w:ascii="Times New Roman" w:cs="Times New Roman" w:eastAsia="Times New Roman" w:hAnsi="Times New Roman"/>
          <w:sz w:val="18"/>
          <w:szCs w:val="18"/>
          <w:color w:val="auto"/>
        </w:rPr>
        <w:t>”: as defined in Schedule 1.1G.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without duplication, for any period, Consolidated Net Income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w:t>
      </w:r>
    </w:p>
    <w:p>
      <w:pPr>
        <w:spacing w:after="0" w:line="225" w:lineRule="exact"/>
        <w:rPr>
          <w:rFonts w:ascii="Times New Roman" w:cs="Times New Roman" w:eastAsia="Times New Roman" w:hAnsi="Times New Roman"/>
          <w:sz w:val="18"/>
          <w:szCs w:val="18"/>
          <w:color w:val="auto"/>
        </w:rPr>
      </w:pPr>
    </w:p>
    <w:p>
      <w:pPr>
        <w:jc w:val="center"/>
        <w:ind w:left="5540" w:right="2220" w:hanging="4236"/>
        <w:spacing w:after="0" w:line="532" w:lineRule="auto"/>
        <w:tabs>
          <w:tab w:leader="none" w:pos="19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(excluding any such expense attributable to depreciation of Eligible Assets);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3" w:name="page54"/>
    <w:bookmarkEnd w:id="53"/>
    <w:p>
      <w:pPr>
        <w:ind w:left="840" w:hanging="656"/>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Total Interest Expense;</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(excluding any such expense attributable to amortization of Eligible Assets);</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 option and restricted stock grant expense;</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840" w:right="880" w:hanging="656"/>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unusual or non-recurring non-cash expenses or losses, including fees, expenses and charges associated with the transactions contemplated by the Separation Agreement;</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losses (or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unrealized gains) from interest rate, foreign exchange and gasoline Swap Agreements;</w:t>
      </w:r>
    </w:p>
    <w:p>
      <w:pPr>
        <w:spacing w:after="0" w:line="225" w:lineRule="exact"/>
        <w:rPr>
          <w:rFonts w:ascii="Times New Roman" w:cs="Times New Roman" w:eastAsia="Times New Roman" w:hAnsi="Times New Roman"/>
          <w:sz w:val="18"/>
          <w:szCs w:val="18"/>
          <w:color w:val="auto"/>
        </w:rPr>
      </w:pPr>
    </w:p>
    <w:p>
      <w:pPr>
        <w:ind w:left="840" w:right="500" w:hanging="656"/>
        <w:spacing w:after="0" w:line="312" w:lineRule="auto"/>
        <w:tabs>
          <w:tab w:leader="none" w:pos="8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non-cash charges and expenses (including amortization of deferred financing fees), in the case of each of (a)-(h) above, to the extent such items are reflected as a charge in the calculation of Consolidated Net Income for such period;</w:t>
      </w:r>
    </w:p>
    <w:p>
      <w:pPr>
        <w:spacing w:after="0" w:line="139" w:lineRule="exact"/>
        <w:rPr>
          <w:rFonts w:ascii="Times New Roman" w:cs="Times New Roman" w:eastAsia="Times New Roman" w:hAnsi="Times New Roman"/>
          <w:sz w:val="17"/>
          <w:szCs w:val="17"/>
          <w:color w:val="auto"/>
        </w:rPr>
      </w:pPr>
    </w:p>
    <w:p>
      <w:pPr>
        <w:ind w:left="840" w:right="320" w:hanging="656"/>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transaction costs paid or incurred in connection with any Specified Transaction and the financing thereof, whether or not successful;</w:t>
      </w:r>
    </w:p>
    <w:p>
      <w:pPr>
        <w:spacing w:after="0" w:line="161" w:lineRule="exact"/>
        <w:rPr>
          <w:rFonts w:ascii="Times New Roman" w:cs="Times New Roman" w:eastAsia="Times New Roman" w:hAnsi="Times New Roman"/>
          <w:sz w:val="18"/>
          <w:szCs w:val="18"/>
          <w:color w:val="auto"/>
        </w:rPr>
      </w:pPr>
    </w:p>
    <w:p>
      <w:pPr>
        <w:ind w:left="840" w:right="120" w:hanging="656"/>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Realized or unrealized losses (or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realized or unrealized gains) in respect of intercompany loans or intercompany hedging transactions not already included in the calculation of Consolidated Net Income;</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840" w:hanging="656"/>
        <w:spacing w:after="0" w:line="25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“run-rate” cost savings, operating expense reductions, operating improvements and synergies projected by the Borrower in good faith to be realized in connection with any Specified Transaction, restructuring initiative, business optimization activity, cost savings initiative or other similar action, in each case, as a result of specified actions taken or initiated or with respect to which substantial steps have been taken or initiated or are expected by the Borrower in good faith to be taken or initiated and projected by the Borrower in good faith to be realized not later than the end of the sixth full fiscal quarter immediately following the closing of such Specified Transaction or the initiation of such restructuring initiative, business optimization activity, cost savings initiative or such other similar action (calculated on a pro forma basis as though such cost savings, operating expense reductions and synergies had been realized on the first day of such period and as if such cost savings, operating expense reductions and synergies were realized during the entirety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 certificate signed by a Responsible Officer shall be delivered to the Administrative Agent together with the Compliance Certificate required to be delivered pursuant to Section 6.2(b), certifying that such cost savings, operating expense reductions and synergies are reasonably expected and supportable in the good faith judgment of the Borrower, (B) the aggregate amount of cost savings, operating expense reductions and projected synergies</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54" w:name="page55"/>
    <w:bookmarkEnd w:id="54"/>
    <w:p>
      <w:pPr>
        <w:ind w:left="1960" w:right="60"/>
        <w:spacing w:after="0" w:line="274" w:lineRule="auto"/>
        <w:rPr>
          <w:sz w:val="20"/>
          <w:szCs w:val="20"/>
          <w:color w:val="auto"/>
        </w:rPr>
      </w:pPr>
      <w:r>
        <w:rPr>
          <w:rFonts w:ascii="Times New Roman" w:cs="Times New Roman" w:eastAsia="Times New Roman" w:hAnsi="Times New Roman"/>
          <w:sz w:val="17"/>
          <w:szCs w:val="17"/>
          <w:color w:val="auto"/>
        </w:rPr>
        <w:t>added pursuant to this clause (m) shall not exceed 20% of Consolidated EBITDA in the aggregate in any period of four consecutive fiscal quarters, (C) no cost savings, operating expense reductions and synergies shall be added pursuant to this clause (m) to the extent duplicative of any expenses or charges otherwise added to Consolidated EBITDA, whether through a pro forma adjustment or otherwise, for such period, and (D) projected amounts (and amounts not yet realized) may no longer be added in calculating Consolidated EBITDA pursuant to this clause (m) to the extent occurring more than six full fiscal quarters after the specified action taken in order to realize such projected cost savings, operating expense reductions and synergies; and</w:t>
      </w:r>
    </w:p>
    <w:p>
      <w:pPr>
        <w:spacing w:after="0" w:line="173" w:lineRule="exact"/>
        <w:rPr>
          <w:sz w:val="20"/>
          <w:szCs w:val="20"/>
          <w:color w:val="auto"/>
        </w:rPr>
      </w:pPr>
    </w:p>
    <w:p>
      <w:pPr>
        <w:ind w:left="1960" w:right="400" w:hanging="656"/>
        <w:spacing w:after="0" w:line="282" w:lineRule="auto"/>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paid or incurred in connection with any Permitted Acquisition or other Investment, Material Disposition, issuance or amendment of Indebtedness or Capital Stock, whether or not successful.</w:t>
      </w:r>
    </w:p>
    <w:p>
      <w:pPr>
        <w:spacing w:after="0" w:line="16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Notwithstanding the foregoing, in calculating Consolidated EBITDA for any period, pro forma effect shall be given to (i)(A) any non-recurring gains (losses) on business unit dispositions outside the ordinary course of business and (B) any unusual or non-recurring non-cash income, in the case of each of</w:t>
      </w:r>
    </w:p>
    <w:p>
      <w:pPr>
        <w:spacing w:after="0" w:line="1" w:lineRule="exact"/>
        <w:rPr>
          <w:sz w:val="20"/>
          <w:szCs w:val="20"/>
          <w:color w:val="auto"/>
        </w:rPr>
      </w:pPr>
    </w:p>
    <w:p>
      <w:pPr>
        <w:ind w:firstLine="8"/>
        <w:spacing w:after="0" w:line="251" w:lineRule="auto"/>
        <w:tabs>
          <w:tab w:leader="none" w:pos="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to the extent such items are reflected as income (losses) in the calculation of Consolidated Net Income for such period and (ii) any cash payments made during such period in respect of items described in clause (g) and (h) above subsequent to the fiscal quarter in which the relevant non-cash expenses or non-cash or unrealized losses were reflected as a charge in the calculation of Consolidated Net Income, all as determined on a consolidated basis in accordance with GAAP. For the purposes of calculating Consolidated EBITDA for any period of four consecutive fiscal quarters (each, a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pursuant to any determination of the Consolidated Leverage Ratio, the Consolidated First Lien Leverage Ratio or the Consolidated Secured Leverage Ratio, (i) if at any time during or following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or following such Reference Period the Borrower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the Avis Europe Acquisition and any acquisition of property or series of related acquisitions of property that (a) constitutes assets comprising all or substantially all of an operating unit of a business or constitutes all or substantially all of the common stock of a Person and (b) involves the payment of consideration by the Borrower and its Subsidiaries in excess of $25,000,000; and “</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any Disposition of property or series of related Dispositions of property under Section 7.5(f), (g) or (h) that yields gross proceeds to the Borrower or any of its Subsidiaries in excess of $25,000,000.</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Financial Statements</w:t>
      </w:r>
      <w:r>
        <w:rPr>
          <w:rFonts w:ascii="Times New Roman" w:cs="Times New Roman" w:eastAsia="Times New Roman" w:hAnsi="Times New Roman"/>
          <w:sz w:val="18"/>
          <w:szCs w:val="18"/>
          <w:color w:val="auto"/>
        </w:rPr>
        <w:t>”: as defined in Section 4.1(b).</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Debt</w:t>
      </w:r>
      <w:r>
        <w:rPr>
          <w:rFonts w:ascii="Times New Roman" w:cs="Times New Roman" w:eastAsia="Times New Roman" w:hAnsi="Times New Roman"/>
          <w:sz w:val="18"/>
          <w:szCs w:val="18"/>
          <w:color w:val="auto"/>
        </w:rPr>
        <w:t xml:space="preserve">”: at any date, without duplication, the sum of the Consolidated Secured Debt under the Facilities plus the aggregate principal amount of all Consolidated Total Debt that is secured by a Lien on any asset of the Borrower or its Subsidiaries on a basis that is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Liens securing the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for purposes of this definition, Consolidated Secured Debt and Consolidated Total Debt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without giving effect to the last sentence of the definition of Consolidated Total Debt.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Leverage Ratio</w:t>
      </w:r>
      <w:r>
        <w:rPr>
          <w:rFonts w:ascii="Times New Roman" w:cs="Times New Roman" w:eastAsia="Times New Roman" w:hAnsi="Times New Roman"/>
          <w:sz w:val="18"/>
          <w:szCs w:val="18"/>
          <w:color w:val="auto"/>
        </w:rPr>
        <w:t>”: as at the last day of any period, the ratio of (a) Consolidated First Lien Debt on such day to (b) Consolidated EBITDA for such period.</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as at the last day of any period, the ratio of (a) Consolidated Total Debt on such day to (b) Consolidated EBITDA for such period.</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for any period for which such amount is being determined, the net income (or loss) of the Borrower and its Subsidiaries during such period determined on a consolidated basis for such period taken as a single accounting period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(i) income (loss) of any Person (other than a Subsidiary of the Borrower) in which the Borrower or any of its Subsidiaries has any equity investment or comparable interest, except to the extent of the amount of dividends or other distributions actually paid to the Borrower or its Subsidiaries by such Person during such period, (ii) any extraordinary, unusual, exceptional or non-recurring cash items and any separation, integration, restructuring and severance cash items in an amount not to exceed, in the aggregate together with all items under this clause (ii), 10% of Consolidated EBITDA in any period of four consecutive fiscal quarters (the “</w:t>
      </w:r>
      <w:r>
        <w:rPr>
          <w:rFonts w:ascii="Times New Roman" w:cs="Times New Roman" w:eastAsia="Times New Roman" w:hAnsi="Times New Roman"/>
          <w:sz w:val="18"/>
          <w:szCs w:val="18"/>
          <w:u w:val="single" w:color="auto"/>
          <w:color w:val="auto"/>
        </w:rPr>
        <w:t>Cash Items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consummation of the Avis Europe Acquisition, to the extent paid or incurred in connection with the Avis Europe Acquisition, the Cash Items Cap shall be increased by an additional $75,000,000 for any period ended after the date of the consummation of the Avis Europe Acquisition through the eighth full fiscal quarter immediately following the date of the consummation of the Avis Europe Acquisition, (iii) any unusual pretax non-cash losses and expenses, (iv) any income (loss) for such period from discontinued operations in accordance with GAAP and (v) any adjustments of contingent consideration related to an acquisition, including earnouts and contingent purchase price adjustments.</w:t>
      </w:r>
    </w:p>
    <w:p>
      <w:pPr>
        <w:spacing w:after="0" w:line="19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Quarterly Tangible Assets</w:t>
      </w:r>
      <w:r>
        <w:rPr>
          <w:rFonts w:ascii="Times New Roman" w:cs="Times New Roman" w:eastAsia="Times New Roman" w:hAnsi="Times New Roman"/>
          <w:sz w:val="18"/>
          <w:szCs w:val="18"/>
          <w:color w:val="auto"/>
        </w:rPr>
        <w:t xml:space="preserve">” at any date, the total assets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sum of the “goodwill, net,” and “other intangibles, net,” in each case reflected on the consolidated balance sheet of the Borrower and its Subsidiaries as at the end of any fiscal quarter of the Borrower for which such a balance sheet is available, determined on a consolidated basis in accordance with GAAP (and, in the case of any determination relating to the incurrence of any Indebtedness or the making of any Investment or Restricted Payment, on a pro forma basis including any property or assets being acquired in connection therewith).</w:t>
      </w:r>
    </w:p>
    <w:p>
      <w:pPr>
        <w:spacing w:after="0" w:line="183"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Debt</w:t>
      </w:r>
      <w:r>
        <w:rPr>
          <w:rFonts w:ascii="Times New Roman" w:cs="Times New Roman" w:eastAsia="Times New Roman" w:hAnsi="Times New Roman"/>
          <w:sz w:val="18"/>
          <w:szCs w:val="18"/>
          <w:color w:val="auto"/>
        </w:rPr>
        <w:t>”: at any date, the sum of the aggregate principal amount of all Consolidated Total Debt that is secured by a Lien on any asset of the Borrower or its Subsidiaries.</w:t>
      </w:r>
    </w:p>
    <w:p>
      <w:pPr>
        <w:spacing w:after="0" w:line="162"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Leverage Ratio</w:t>
      </w:r>
      <w:r>
        <w:rPr>
          <w:rFonts w:ascii="Times New Roman" w:cs="Times New Roman" w:eastAsia="Times New Roman" w:hAnsi="Times New Roman"/>
          <w:sz w:val="18"/>
          <w:szCs w:val="18"/>
          <w:color w:val="auto"/>
        </w:rPr>
        <w:t>”: as at the last day of any period, the ratio of (a) Consolidated Secured Debt on such day to (b) Consolidated EBITDA for such period.</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xml:space="preserve">”: at any date, the amount equal to (x) the sum of Consolidated Quarterly Tangible Assets as at the end of each of the most recently ended four fiscal quarters of the Borrower for which a calculation thereof is available,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(y) four.</w:t>
      </w:r>
    </w:p>
    <w:p>
      <w:pPr>
        <w:spacing w:after="0" w:line="162" w:lineRule="exact"/>
        <w:rPr>
          <w:sz w:val="20"/>
          <w:szCs w:val="20"/>
          <w:color w:val="auto"/>
        </w:rPr>
      </w:pPr>
    </w:p>
    <w:p>
      <w:pPr>
        <w:ind w:right="180" w:firstLine="129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Debt</w:t>
      </w:r>
      <w:r>
        <w:rPr>
          <w:rFonts w:ascii="Times New Roman" w:cs="Times New Roman" w:eastAsia="Times New Roman" w:hAnsi="Times New Roman"/>
          <w:sz w:val="17"/>
          <w:szCs w:val="17"/>
          <w:color w:val="auto"/>
        </w:rPr>
        <w:t xml:space="preserve">”: at any date, the aggregate principal amount of all Indebtedness of the Borrower and its Subsidiaries at such date, determined on a consolidated basis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definition, Indebtedness shall not include (i)(x) Securitization Indebtedness, (y) AESOP Indebtedness and Centre Point Indebtedness or (z) Recourse Vehicle Indebtedness up to the Recourse Vehicle Indebtedness Threshold Amount, (ii) the aggregate undrawn amount of outstanding Letters of Credit or any other letters of credit, (iii) obligations under Swap Agreements or (iv) without duplication of Indebtedness referred in clauses (i)(x) and (i)(z) above, any other obligations under long-term finance leases in respect of Eligible Assets entered into by Foreign Subsidiaries, including any Capital Lease Obligations of any such Foreign Subsidiary and any</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6" w:name="page57"/>
    <w:bookmarkEnd w:id="56"/>
    <w:p>
      <w:pPr>
        <w:ind w:right="120"/>
        <w:spacing w:after="0" w:line="266" w:lineRule="auto"/>
        <w:rPr>
          <w:sz w:val="20"/>
          <w:szCs w:val="20"/>
          <w:color w:val="auto"/>
        </w:rPr>
      </w:pPr>
      <w:r>
        <w:rPr>
          <w:rFonts w:ascii="Times New Roman" w:cs="Times New Roman" w:eastAsia="Times New Roman" w:hAnsi="Times New Roman"/>
          <w:sz w:val="18"/>
          <w:szCs w:val="18"/>
          <w:color w:val="auto"/>
        </w:rPr>
        <w:t>Guarantee Obligations in respect of such Capital Lease Obligations (collectively, “</w:t>
      </w:r>
      <w:r>
        <w:rPr>
          <w:rFonts w:ascii="Times New Roman" w:cs="Times New Roman" w:eastAsia="Times New Roman" w:hAnsi="Times New Roman"/>
          <w:sz w:val="18"/>
          <w:szCs w:val="18"/>
          <w:u w:val="single" w:color="auto"/>
          <w:color w:val="auto"/>
        </w:rPr>
        <w:t>Additional Foreign Vehicle Indebtedness</w:t>
      </w:r>
      <w:r>
        <w:rPr>
          <w:rFonts w:ascii="Times New Roman" w:cs="Times New Roman" w:eastAsia="Times New Roman" w:hAnsi="Times New Roman"/>
          <w:sz w:val="18"/>
          <w:szCs w:val="18"/>
          <w:color w:val="auto"/>
        </w:rPr>
        <w:t>”). In addition, for purposes of this definition, the amount of Indebtedness of the Borrower and its Subsidiaries at any date shall be reduced (but not to less than zero) by the amount of Excess Cash.</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Interest Expense</w:t>
      </w:r>
      <w:r>
        <w:rPr>
          <w:rFonts w:ascii="Times New Roman" w:cs="Times New Roman" w:eastAsia="Times New Roman" w:hAnsi="Times New Roman"/>
          <w:sz w:val="18"/>
          <w:szCs w:val="18"/>
          <w:color w:val="auto"/>
        </w:rPr>
        <w:t xml:space="preserve">”: for any period, without duplications (a) total interest expense paid or payable in cash (including that properly attributable to Capital Lease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(b)(x) all capitalized interest and amortization of debt discount and debt issuance costs and (y) debt extinguishment costs, in each case, of the Borrower and its Subsidiaries on a consolidated basis in accordance with GAAP including, without limitation, all commissions, discounts and other fees and charges owed with respect to letters of credit and bankers’ acceptance financing and net cash costs (or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net profits) under interest rate Swap Agreements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(c) without duplication, any interest income of the Borrower and its Subsidiaries on a consolidated basis in accordance with GAAP during such period (other than interest income earned on any Related Eligible Assets). Notwithstanding the foregoing, interest expense in respect of any (i) Securitization Indebtedness, (ii) AESOP Indebtedness and Centre Point Indebtedness, (iii) Recourse Vehicle Indebtedness, in an amount, for this clause (iii), up to the Recourse Vehicle Indebtedness Threshold Amount, or (iv) Additional Foreign Vehicle Indebtedness, shall not be included in Consolidated Total Interest Expense. For purposes of calculating Consolidated Total Interest Expense related to Recourse Vehicle Indebtedness for any period, such amount shall be equal to the product of the following formula on the date of determination to the extent that the amount of Recourse Vehicle Indebtedness exceeds the Recourse Vehicle Indebtedness Threshold Amount at any time during such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Recourse Vehicle Indebtedness – the Recourse Vehicle Indebtedness Threshold Amount</w:t>
            </w: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total interest expense on Recourse Vehicle</w:t>
            </w:r>
          </w:p>
        </w:tc>
        <w:tc>
          <w:tcPr>
            <w:tcW w:w="0" w:type="dxa"/>
            <w:vAlign w:val="bottom"/>
          </w:tcPr>
          <w:p>
            <w:pPr>
              <w:spacing w:after="0"/>
              <w:rPr>
                <w:sz w:val="1"/>
                <w:szCs w:val="1"/>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Recourse Vehicle Indebtedness</w:t>
            </w:r>
          </w:p>
        </w:tc>
        <w:tc>
          <w:tcPr>
            <w:tcW w:w="360" w:type="dxa"/>
            <w:vAlign w:val="bottom"/>
            <w:vMerge w:val="continue"/>
          </w:tcPr>
          <w:p>
            <w:pPr>
              <w:spacing w:after="0"/>
              <w:rPr>
                <w:sz w:val="19"/>
                <w:szCs w:val="19"/>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Indebtedness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20"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Cooperation Agreement</w:t>
      </w:r>
      <w:r>
        <w:rPr>
          <w:rFonts w:ascii="Times New Roman" w:cs="Times New Roman" w:eastAsia="Times New Roman" w:hAnsi="Times New Roman"/>
          <w:sz w:val="17"/>
          <w:szCs w:val="17"/>
          <w:color w:val="auto"/>
        </w:rPr>
        <w:t>”: the Fourth Amended and Restated Cooperation Agreement, dated as of December 23, 2022, by and among Avis Budget Group, Inc. and SRS (as defined therein), as amended, restated, amended and restated, supplemented or otherwise modified from time to time.</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the Canadian Overnight Repo Rate Average administered and published by the Bank of Canada (or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Administrator</w:t>
      </w:r>
      <w:r>
        <w:rPr>
          <w:rFonts w:ascii="Times New Roman" w:cs="Times New Roman" w:eastAsia="Times New Roman" w:hAnsi="Times New Roman"/>
          <w:sz w:val="18"/>
          <w:szCs w:val="18"/>
          <w:color w:val="auto"/>
        </w:rPr>
        <w:t>”: the Bank of Canada (or any successor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Determination Date</w:t>
      </w:r>
      <w:r>
        <w:rPr>
          <w:rFonts w:ascii="Times New Roman" w:cs="Times New Roman" w:eastAsia="Times New Roman" w:hAnsi="Times New Roman"/>
          <w:sz w:val="18"/>
          <w:szCs w:val="18"/>
          <w:color w:val="auto"/>
        </w:rPr>
        <w:t>” as defined in the definition of “Daily Simple CORRA”.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Rate Day</w:t>
      </w:r>
      <w:r>
        <w:rPr>
          <w:rFonts w:ascii="Times New Roman" w:cs="Times New Roman" w:eastAsia="Times New Roman" w:hAnsi="Times New Roman"/>
          <w:sz w:val="18"/>
          <w:szCs w:val="18"/>
          <w:color w:val="auto"/>
        </w:rPr>
        <w:t>” as defined in the definition of “Daily Simple CORRA”.</w:t>
      </w:r>
    </w:p>
    <w:p>
      <w:pPr>
        <w:spacing w:after="0" w:line="225"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the Administrative Agent, each Issuing Lender, the Swingline Lenders or any other Lender.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7" w:name="page58"/>
    <w:bookmarkEnd w:id="57"/>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Bridge Facility</w:t>
      </w:r>
      <w:r>
        <w:rPr>
          <w:rFonts w:ascii="Times New Roman" w:cs="Times New Roman" w:eastAsia="Times New Roman" w:hAnsi="Times New Roman"/>
          <w:sz w:val="18"/>
          <w:szCs w:val="18"/>
          <w:color w:val="auto"/>
        </w:rPr>
        <w:t>”: a customary bridge financing which, subject to customary conditions, provides for automatic conversion or exchange into Indebtedness that does not mature prior to the Final Term Loan Maturity Date or Final Revolving Termination Date, as applicable.</w:t>
      </w:r>
    </w:p>
    <w:p>
      <w:pPr>
        <w:spacing w:after="0" w:line="162"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CORRA</w:t>
      </w:r>
      <w:r>
        <w:rPr>
          <w:rFonts w:ascii="Times New Roman" w:cs="Times New Roman" w:eastAsia="Times New Roman" w:hAnsi="Times New Roman"/>
          <w:sz w:val="17"/>
          <w:szCs w:val="17"/>
          <w:color w:val="auto"/>
        </w:rPr>
        <w:t>”: for any day (a “</w:t>
      </w:r>
      <w:r>
        <w:rPr>
          <w:rFonts w:ascii="Times New Roman" w:cs="Times New Roman" w:eastAsia="Times New Roman" w:hAnsi="Times New Roman"/>
          <w:sz w:val="17"/>
          <w:szCs w:val="17"/>
          <w:u w:val="single" w:color="auto"/>
          <w:color w:val="auto"/>
        </w:rPr>
        <w:t>CORRA Rate Day</w:t>
      </w:r>
      <w:r>
        <w:rPr>
          <w:rFonts w:ascii="Times New Roman" w:cs="Times New Roman" w:eastAsia="Times New Roman" w:hAnsi="Times New Roman"/>
          <w:sz w:val="17"/>
          <w:szCs w:val="17"/>
          <w:color w:val="auto"/>
        </w:rPr>
        <w:t>”), a rate per annum equal to CORRA for the day (such day “</w:t>
      </w:r>
      <w:r>
        <w:rPr>
          <w:rFonts w:ascii="Times New Roman" w:cs="Times New Roman" w:eastAsia="Times New Roman" w:hAnsi="Times New Roman"/>
          <w:sz w:val="17"/>
          <w:szCs w:val="17"/>
          <w:u w:val="single" w:color="auto"/>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Determination Date</w:t>
      </w:r>
      <w:r>
        <w:rPr>
          <w:rFonts w:ascii="Times New Roman" w:cs="Times New Roman" w:eastAsia="Times New Roman" w:hAnsi="Times New Roman"/>
          <w:sz w:val="17"/>
          <w:szCs w:val="17"/>
          <w:color w:val="auto"/>
        </w:rPr>
        <w:t xml:space="preserv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Business Days prior to such CORRA Determination </w:t>
      </w:r>
      <w:r>
        <w:rPr>
          <w:rFonts w:ascii="Times New Roman" w:cs="Times New Roman" w:eastAsia="Times New Roman" w:hAnsi="Times New Roman"/>
          <w:sz w:val="17"/>
          <w:szCs w:val="17"/>
          <w:color w:val="FF0000"/>
          <w:strike w:val="1"/>
        </w:rPr>
        <w:t>Day</w:t>
      </w:r>
      <w:r>
        <w:rPr>
          <w:rFonts w:ascii="Times New Roman" w:cs="Times New Roman" w:eastAsia="Times New Roman" w:hAnsi="Times New Roman"/>
          <w:sz w:val="17"/>
          <w:szCs w:val="17"/>
          <w:b w:val="1"/>
          <w:bCs w:val="1"/>
          <w:u w:val="single" w:color="auto"/>
          <w:color w:val="0000FF"/>
        </w:rPr>
        <w:t>Date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 (i) Pounds Sterling, the greater of (a) SONIA for the day that is five Business Days prior to (A) if such RFR Interest Day is a Business Day, such RFR Interest Day or (B) if such RFR Interest Day is not a Business Day, the Business Day immediately preceding such RFR Interest Day and (b) zero, (ii) Dollars, Daily Simple SOFR and (iii) Canadian Dollars, Daily Simple CORRA. Any change in Daily Simple RFR due to a change in the applicable RFR shall be effective from and including the effective date of such change in the RFR without notice to the Borrower.</w:t>
      </w:r>
    </w:p>
    <w:p>
      <w:pPr>
        <w:spacing w:after="0" w:line="183"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Amounts</w:t>
      </w:r>
      <w:r>
        <w:rPr>
          <w:rFonts w:ascii="Times New Roman" w:cs="Times New Roman" w:eastAsia="Times New Roman" w:hAnsi="Times New Roman"/>
          <w:sz w:val="18"/>
          <w:szCs w:val="18"/>
          <w:color w:val="auto"/>
        </w:rPr>
        <w:t>”: as defined in Section 2.11(d).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as defined in Section 2.11(d).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of the events specified in Section 8, whether or not any requirement for the giving of notice, the lapse of time, or both,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satisfied.</w:t>
      </w:r>
    </w:p>
    <w:p>
      <w:pPr>
        <w:spacing w:after="0" w:line="20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any Lender, as reasonably determined by the Administrative Agent, that has (a) failed to fund any portion of its Loans or participations in Letters of Credit or Swingline Loans within three Business Days of the date required to be funded by it hereunder, unless such requirement to fund such Loan or participation in Letters of Credit or Swingline Loans is based on such Lender's good faith determination that the conditions precedent to funding such Loan or participation in Letters of Credit or Swingline Loans under this Agreement have not been satisfied and such Lender has notified the Administrative Agent in writing to that effect, (b) notified the Borrower, the Administrative Agent, any Issuing Lender, any Swingline Lender or any Lender in writing that it does not intend to comply with any of its funding obligations generally under this Agreement or has made a public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right="60"/>
        <w:spacing w:after="0" w:line="253" w:lineRule="auto"/>
        <w:rPr>
          <w:sz w:val="20"/>
          <w:szCs w:val="20"/>
          <w:color w:val="auto"/>
        </w:rPr>
      </w:pPr>
      <w:r>
        <w:rPr>
          <w:rFonts w:ascii="Times New Roman" w:cs="Times New Roman" w:eastAsia="Times New Roman" w:hAnsi="Times New Roman"/>
          <w:sz w:val="18"/>
          <w:szCs w:val="18"/>
          <w:color w:val="auto"/>
        </w:rPr>
        <w:t>statement to the effect that it does not intend to comply with its funding obligations generally under this Agreement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three Business Days after written request by the Administrative Agent, to confirm that it will comply with the terms of this Agreement relating to its obligations to fund prospective Loans and participations in then outstanding Letters of Credit and Swingline Loans, provided that such Lender shall cease to be a Defaulting Lender under this clause</w:t>
      </w:r>
    </w:p>
    <w:p>
      <w:pPr>
        <w:spacing w:after="0" w:line="5" w:lineRule="exact"/>
        <w:rPr>
          <w:sz w:val="20"/>
          <w:szCs w:val="20"/>
          <w:color w:val="auto"/>
        </w:rPr>
      </w:pPr>
    </w:p>
    <w:p>
      <w:pPr>
        <w:ind w:right="160" w:firstLine="8"/>
        <w:spacing w:after="0" w:line="255"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such confirmation by the Administrative Agent, (d) otherwise failed to pay over to the Administrative Agent or any other Lender any other amount required to be paid by it hereunder within three Business Days of the date when due, unless the subject of a good faith dispute, or (e) has, or has a direct or indirect parent company that has, become the subject of (A) a Bankruptcy Event or (B) a Bail-In Action.</w:t>
      </w:r>
    </w:p>
    <w:p>
      <w:pPr>
        <w:spacing w:after="0" w:line="18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with respect to any property, any sale, lease, sale and leaseback, assignment (other than a collateral assignment), conveyance, transfer or other disposition thereof (whether effected pursuant to a division or otherwise). The terms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have correlative meanings.</w:t>
      </w:r>
    </w:p>
    <w:p>
      <w:pPr>
        <w:spacing w:after="0" w:line="176"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with respect to any Person, any Capital Stock that by its terms (or by the terms of any security into which it is convertible or for which it is exchangeable or exercisable) or upon the happening of any event (other than following the occurrence of a Change in Control or other similar event described under such terms as a “change in control,” or an Asset Sale) (i) matures or is mandatorily redeemable pursuant to a sinking fund obligation or otherwise, (ii) is convertible or exchangeable for Indebtedness or Disqualified Stock or (iii) is redeemable at the option of the holder thereof (other than following the occurrence of a Change in Control or other similar event described under such terms as a “change in control,” or an Asset Sale), in whole or in part, in each case on or prior to the Final Revolving Termination Date.</w:t>
      </w:r>
    </w:p>
    <w:p>
      <w:pPr>
        <w:spacing w:after="0" w:line="18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for any amount, at the time of determination thereof, (a) if such amount is expressed in dollars, such amount, (b) if such amount is expressed in an Optional Currency, the equivalent of such amount in dollars determined by using the rate of exchange for the purchase of dollars with the Optional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Optional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lawful money of the United States.</w:t>
      </w:r>
    </w:p>
    <w:p>
      <w:pPr>
        <w:spacing w:after="0" w:line="225"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any Subsidiary of the Borrower organized under the laws of any jurisdiction within the United States, but excluding any Subsidiary substantially all the assets of which consists of stock of a Foreign Subsidiary.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any Subsidiary Borrower which is a Domestic Subsidiary.</w:t>
      </w:r>
    </w:p>
    <w:p>
      <w:pPr>
        <w:spacing w:after="0" w:line="225" w:lineRule="exact"/>
        <w:rPr>
          <w:sz w:val="20"/>
          <w:szCs w:val="20"/>
          <w:color w:val="auto"/>
        </w:rPr>
      </w:pPr>
    </w:p>
    <w:p>
      <w:pPr>
        <w:ind w:right="60" w:firstLine="129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(a) any institution established in any EEA Member Country which is subject to the supervision of an EEA Resolution Authority, (b) any entity established in an EEA Member Country which is a parent of an institution described in clause (a) of this definition, or</w:t>
      </w:r>
    </w:p>
    <w:p>
      <w:pPr>
        <w:spacing w:after="0" w:line="1" w:lineRule="exact"/>
        <w:rPr>
          <w:sz w:val="20"/>
          <w:szCs w:val="20"/>
          <w:color w:val="auto"/>
        </w:rPr>
      </w:pPr>
    </w:p>
    <w:p>
      <w:pPr>
        <w:ind w:right="300" w:firstLine="8"/>
        <w:spacing w:after="0" w:line="260"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 Norway.</w:t>
      </w:r>
    </w:p>
    <w:p>
      <w:pPr>
        <w:spacing w:after="0" w:line="225"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Early Maturity Trigger Indebtedness</w:t>
      </w:r>
      <w:r>
        <w:rPr>
          <w:rFonts w:ascii="Times New Roman" w:cs="Times New Roman" w:eastAsia="Times New Roman" w:hAnsi="Times New Roman"/>
          <w:sz w:val="18"/>
          <w:szCs w:val="18"/>
          <w:color w:val="auto"/>
        </w:rPr>
        <w:t>”: any Indebtedness incurred under Sections 7.2(w) (to the extent subject to the limitations on scheduled principal payments or prepayments set forth in the proviso therein) and 7.2(y) having, at the time of the initial incurrence thereof, a stated maturity date prior to (a) with respect to the Tranche B Term Facility, the date specified in clause (i) of “Tranche B Term Loan Maturity Date” at such time and (b) with respect to the Tranche C Term Facility, the date specified in clause (i) of “Tranche C Term Loan Maturity Date” at such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Eighth Amendment</w:t>
      </w:r>
      <w:r>
        <w:rPr>
          <w:rFonts w:ascii="Times New Roman" w:cs="Times New Roman" w:eastAsia="Times New Roman" w:hAnsi="Times New Roman"/>
          <w:sz w:val="18"/>
          <w:szCs w:val="18"/>
          <w:color w:val="auto"/>
        </w:rPr>
        <w:t>”: the Eighth Amendment, dated as of the Eighth Amendment Effective Date,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Eighth Amendment Effective Date</w:t>
      </w:r>
      <w:r>
        <w:rPr>
          <w:rFonts w:ascii="Times New Roman" w:cs="Times New Roman" w:eastAsia="Times New Roman" w:hAnsi="Times New Roman"/>
          <w:sz w:val="18"/>
          <w:szCs w:val="18"/>
          <w:color w:val="auto"/>
        </w:rPr>
        <w:t>”: the “Eighth Amendment Effective Date”, as defined in the Eighth Amendment, which date is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29, 2024.</w:t>
      </w:r>
    </w:p>
    <w:p>
      <w:pPr>
        <w:spacing w:after="0" w:line="207"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an electronic sound, symbol, or process attached to, or associated with, a contract or other record and adopted by a Person with the intent to sign, authenticate or accept such contract or record.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“Eleventh Amendment”: the Eleventh Amendment, dated as of the Eleventh Amendment Effective Date, to this Agreement.</w:t>
      </w:r>
    </w:p>
    <w:p>
      <w:pPr>
        <w:spacing w:after="0" w:line="225" w:lineRule="exact"/>
        <w:rPr>
          <w:sz w:val="20"/>
          <w:szCs w:val="20"/>
          <w:color w:val="auto"/>
        </w:rPr>
      </w:pPr>
    </w:p>
    <w:p>
      <w:pPr>
        <w:ind w:right="40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“Eleventh Amendment Effective Date”: the “Eleventh Amendment Effective Date”, as defined in the Eleventh Amendment, which date is June 29, 2026.</w:t>
      </w:r>
    </w:p>
    <w:p>
      <w:pPr>
        <w:spacing w:after="0" w:line="159"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Assets</w:t>
      </w:r>
      <w:r>
        <w:rPr>
          <w:rFonts w:ascii="Times New Roman" w:cs="Times New Roman" w:eastAsia="Times New Roman" w:hAnsi="Times New Roman"/>
          <w:sz w:val="18"/>
          <w:szCs w:val="18"/>
          <w:color w:val="auto"/>
        </w:rPr>
        <w:t>”: any of the following and any proceeds thereof: (a) assets (and interests in assets) that are of the type described as “assets under vehicle programs” in the consolidated financial statements of the Borrower and its Subsidiaries, dated December 31, 2012, which shall include, without limitation, vehicles, vehicle leases, fleet maintenance contracts, fleet management contracts, other service contracts, receivables generated by any of the foregoing and other asset servicing rights, related deposit accounts, and (b) equity interests or other securities issued by any Subsidiary or other Person issuing securities or incurring Indebtedness secured by, payable from or representing beneficial interests in, or holding title or ownership interests in, assets of the type described in clause (a) above or interests in such assets.</w:t>
      </w:r>
    </w:p>
    <w:p>
      <w:pPr>
        <w:spacing w:after="0" w:line="187"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all laws, rules, orders, regulations, statutes, ordinances, codes, decrees, judgments, injunctions, notices or requirements issued, promulgated or entered into by any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Governmental Authority, relating in any way to the environment, preservation or reclamation of natural resources, the management, release or threatened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any Materials of Environmental Concern or to health and safety matters, including without limitation, the Clean Water Act also known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Water Pollution Control Act (“</w:t>
      </w:r>
      <w:r>
        <w:rPr>
          <w:rFonts w:ascii="Times New Roman" w:cs="Times New Roman" w:eastAsia="Times New Roman" w:hAnsi="Times New Roman"/>
          <w:sz w:val="18"/>
          <w:szCs w:val="18"/>
          <w:u w:val="single" w:color="auto"/>
          <w:color w:val="auto"/>
        </w:rPr>
        <w:t>FWPCA</w:t>
      </w:r>
      <w:r>
        <w:rPr>
          <w:rFonts w:ascii="Times New Roman" w:cs="Times New Roman" w:eastAsia="Times New Roman" w:hAnsi="Times New Roman"/>
          <w:sz w:val="18"/>
          <w:szCs w:val="18"/>
          <w:color w:val="auto"/>
        </w:rPr>
        <w:t xml:space="preserve">”) 33 U.S.C. § 1251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Clean Air Act (“</w:t>
      </w:r>
      <w:r>
        <w:rPr>
          <w:rFonts w:ascii="Times New Roman" w:cs="Times New Roman" w:eastAsia="Times New Roman" w:hAnsi="Times New Roman"/>
          <w:sz w:val="18"/>
          <w:szCs w:val="18"/>
          <w:u w:val="single" w:color="auto"/>
          <w:color w:val="auto"/>
        </w:rPr>
        <w:t>CAA</w:t>
      </w:r>
      <w:r>
        <w:rPr>
          <w:rFonts w:ascii="Times New Roman" w:cs="Times New Roman" w:eastAsia="Times New Roman" w:hAnsi="Times New Roman"/>
          <w:sz w:val="18"/>
          <w:szCs w:val="18"/>
          <w:color w:val="auto"/>
        </w:rPr>
        <w:t xml:space="preserve">”), 42 U.S.C. §§ 7401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Federal Insecticide,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Fungicide and Rodenticide Act (“</w:t>
      </w:r>
      <w:r>
        <w:rPr>
          <w:rFonts w:ascii="Times New Roman" w:cs="Times New Roman" w:eastAsia="Times New Roman" w:hAnsi="Times New Roman"/>
          <w:sz w:val="18"/>
          <w:szCs w:val="18"/>
          <w:u w:val="single" w:color="auto"/>
          <w:color w:val="auto"/>
        </w:rPr>
        <w:t>FIFRA</w:t>
      </w:r>
      <w:r>
        <w:rPr>
          <w:rFonts w:ascii="Times New Roman" w:cs="Times New Roman" w:eastAsia="Times New Roman" w:hAnsi="Times New Roman"/>
          <w:sz w:val="18"/>
          <w:szCs w:val="18"/>
          <w:color w:val="auto"/>
        </w:rPr>
        <w:t xml:space="preserve">”), 7 U.S.C. §§ 136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Surface Mining Control and Reclamation Act (“</w:t>
      </w:r>
      <w:r>
        <w:rPr>
          <w:rFonts w:ascii="Times New Roman" w:cs="Times New Roman" w:eastAsia="Times New Roman" w:hAnsi="Times New Roman"/>
          <w:sz w:val="18"/>
          <w:szCs w:val="18"/>
          <w:u w:val="single" w:color="auto"/>
          <w:color w:val="auto"/>
        </w:rPr>
        <w:t>SMCRA</w:t>
      </w:r>
      <w:r>
        <w:rPr>
          <w:rFonts w:ascii="Times New Roman" w:cs="Times New Roman" w:eastAsia="Times New Roman" w:hAnsi="Times New Roman"/>
          <w:sz w:val="18"/>
          <w:szCs w:val="18"/>
          <w:color w:val="auto"/>
        </w:rPr>
        <w:t>”), 30 U.S.C. §§ 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Comprehensive Environmental Response, Compensation and Liability Act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Superfund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Reauthorization Act of 1986 (“</w:t>
      </w:r>
      <w:r>
        <w:rPr>
          <w:rFonts w:ascii="Times New Roman" w:cs="Times New Roman" w:eastAsia="Times New Roman" w:hAnsi="Times New Roman"/>
          <w:sz w:val="18"/>
          <w:szCs w:val="18"/>
          <w:u w:val="single" w:color="auto"/>
          <w:color w:val="auto"/>
        </w:rPr>
        <w:t>SARA</w:t>
      </w:r>
      <w:r>
        <w:rPr>
          <w:rFonts w:ascii="Times New Roman" w:cs="Times New Roman" w:eastAsia="Times New Roman" w:hAnsi="Times New Roman"/>
          <w:sz w:val="18"/>
          <w:szCs w:val="18"/>
          <w:color w:val="auto"/>
        </w:rPr>
        <w:t>”), Public Law 99-499, 100 Stat. 1613, the Emergency Planning and Community Right to Know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ECPCRKA</w:t>
      </w:r>
      <w:r>
        <w:rPr>
          <w:rFonts w:ascii="Times New Roman" w:cs="Times New Roman" w:eastAsia="Times New Roman" w:hAnsi="Times New Roman"/>
          <w:sz w:val="17"/>
          <w:szCs w:val="17"/>
          <w:color w:val="auto"/>
        </w:rPr>
        <w:t xml:space="preserve">”), 42 U.S.C. § 11001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the Resource Conservation and Recovery Act (“</w:t>
      </w:r>
      <w:r>
        <w:rPr>
          <w:rFonts w:ascii="Times New Roman" w:cs="Times New Roman" w:eastAsia="Times New Roman" w:hAnsi="Times New Roman"/>
          <w:sz w:val="17"/>
          <w:szCs w:val="17"/>
          <w:u w:val="single" w:color="auto"/>
          <w:color w:val="auto"/>
        </w:rPr>
        <w:t>RCRA</w:t>
      </w:r>
      <w:r>
        <w:rPr>
          <w:rFonts w:ascii="Times New Roman" w:cs="Times New Roman" w:eastAsia="Times New Roman" w:hAnsi="Times New Roman"/>
          <w:sz w:val="17"/>
          <w:szCs w:val="17"/>
          <w:color w:val="auto"/>
        </w:rPr>
        <w:t xml:space="preserve">”), 42 U.S.C. § 6901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the Occupational Safety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Act as amended (“</w:t>
      </w:r>
      <w:r>
        <w:rPr>
          <w:rFonts w:ascii="Times New Roman" w:cs="Times New Roman" w:eastAsia="Times New Roman" w:hAnsi="Times New Roman"/>
          <w:sz w:val="18"/>
          <w:szCs w:val="18"/>
          <w:u w:val="single" w:color="auto"/>
          <w:color w:val="auto"/>
        </w:rPr>
        <w:t>OSHA</w:t>
      </w:r>
      <w:r>
        <w:rPr>
          <w:rFonts w:ascii="Times New Roman" w:cs="Times New Roman" w:eastAsia="Times New Roman" w:hAnsi="Times New Roman"/>
          <w:sz w:val="18"/>
          <w:szCs w:val="18"/>
          <w:color w:val="auto"/>
        </w:rPr>
        <w:t>”), 29 U.S.C. § 655 and § 657, together, in each case, with any amendment thereto, and the regulations adopted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publications promulgated thereunder and all substitutions 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an escrow, trust, collateral or similar account or arrangement with a third party that is not Holdings or its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Escrowed Debt</w:t>
      </w:r>
      <w:r>
        <w:rPr>
          <w:rFonts w:ascii="Times New Roman" w:cs="Times New Roman" w:eastAsia="Times New Roman" w:hAnsi="Times New Roman"/>
          <w:sz w:val="18"/>
          <w:szCs w:val="18"/>
          <w:color w:val="auto"/>
        </w:rPr>
        <w:t>”: as defined in the definition of “Escrowed Debt Issuer”.</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Escrowed Debt Issuer</w:t>
      </w:r>
      <w:r>
        <w:rPr>
          <w:rFonts w:ascii="Times New Roman" w:cs="Times New Roman" w:eastAsia="Times New Roman" w:hAnsi="Times New Roman"/>
          <w:sz w:val="18"/>
          <w:szCs w:val="18"/>
          <w:color w:val="auto"/>
        </w:rPr>
        <w:t>”: any Subsidiary that is an issuer of Indebtedness permitted to be incurred by Section 7.2 the proceeds of which are maintained under escrow or similar contingent release arrangements (such Indebtedness “</w:t>
      </w:r>
      <w:r>
        <w:rPr>
          <w:rFonts w:ascii="Times New Roman" w:cs="Times New Roman" w:eastAsia="Times New Roman" w:hAnsi="Times New Roman"/>
          <w:sz w:val="18"/>
          <w:szCs w:val="18"/>
          <w:u w:val="single" w:color="auto"/>
          <w:color w:val="auto"/>
        </w:rPr>
        <w:t>Escrowed Debt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Interpolated Rate</w:t>
      </w:r>
      <w:r>
        <w:rPr>
          <w:rFonts w:ascii="Times New Roman" w:cs="Times New Roman" w:eastAsia="Times New Roman" w:hAnsi="Times New Roman"/>
          <w:sz w:val="18"/>
          <w:szCs w:val="18"/>
          <w:color w:val="auto"/>
        </w:rPr>
        <w:t>”: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zero, such rate shall be deemed to be zero for the purposes of this Agreement.</w:t>
      </w:r>
    </w:p>
    <w:p>
      <w:pPr>
        <w:spacing w:after="0" w:line="189"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with respect to Euros then the EURIBOR Rate shall be the EURIBOR Interpolated Rate.</w:t>
      </w:r>
    </w:p>
    <w:p>
      <w:pPr>
        <w:spacing w:after="0" w:line="180"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1" w:name="page62"/>
    <w:bookmarkEnd w:id="61"/>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from time to time in place of Thomson Reuters as of 11:00 a.m. Brussels time </w:t>
      </w:r>
      <w:r>
        <w:rPr>
          <w:rFonts w:ascii="Times New Roman" w:cs="Times New Roman" w:eastAsia="Times New Roman" w:hAnsi="Times New Roman"/>
          <w:sz w:val="18"/>
          <w:szCs w:val="18"/>
          <w:color w:val="FF0000"/>
          <w:strike w:val="1"/>
        </w:rPr>
        <w:t>two TARGET Days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commencement of such Interest Period</w:t>
      </w:r>
      <w:r>
        <w:rPr>
          <w:rFonts w:ascii="Times New Roman" w:cs="Times New Roman" w:eastAsia="Times New Roman" w:hAnsi="Times New Roman"/>
          <w:sz w:val="18"/>
          <w:szCs w:val="18"/>
          <w:b w:val="1"/>
          <w:bCs w:val="1"/>
          <w:u w:val="single" w:color="auto"/>
          <w:color w:val="0000FF"/>
        </w:rPr>
        <w: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applicable date of determination</w:t>
      </w:r>
      <w:r>
        <w:rPr>
          <w:rFonts w:ascii="Times New Roman" w:cs="Times New Roman" w:eastAsia="Times New Roman" w:hAnsi="Times New Roman"/>
          <w:sz w:val="18"/>
          <w:szCs w:val="18"/>
          <w:color w:val="000000"/>
        </w:rPr>
        <w:t>. If such page or service ceases to be available, the Administrative Agent may specify another page or service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displaying the relevant rate after consultation with the Borrower. If the EURIBOR Screen Rate shall be less than zero, the EURIBOR Screen Rate shall be deemed to be zero for 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official currency of the European Union.</w:t>
      </w:r>
    </w:p>
    <w:p>
      <w:pPr>
        <w:spacing w:after="0" w:line="22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Base Rate</w:t>
      </w:r>
      <w:r>
        <w:rPr>
          <w:rFonts w:ascii="Times New Roman" w:cs="Times New Roman" w:eastAsia="Times New Roman" w:hAnsi="Times New Roman"/>
          <w:sz w:val="18"/>
          <w:szCs w:val="18"/>
          <w:color w:val="auto"/>
        </w:rPr>
        <w:t xml:space="preserve">”: with respect to each day during each Interest Period pertaining to a Eurocurrency Loan, (i) to the extent denominated in Australian Dollars, the AUD Screen Rate and (ii) to the extent denominated in New Zealand Dollars, the BKBM Screen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Relevant Screen Rate shall not be available at such time for such Interest Period (an “</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xml:space="preserve">”) with respect to the applicable currency then the Eurocurrency Base Rate shall be the Interpolated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Interpolated Rate shall be less than zero, such rate shall be deemed to be zero for purposes of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Loans</w:t>
      </w:r>
      <w:r>
        <w:rPr>
          <w:rFonts w:ascii="Times New Roman" w:cs="Times New Roman" w:eastAsia="Times New Roman" w:hAnsi="Times New Roman"/>
          <w:sz w:val="18"/>
          <w:szCs w:val="18"/>
          <w:color w:val="auto"/>
        </w:rPr>
        <w:t>”: Loans the rate of interest applicable to which is based upon the Eurocurrency Rate.</w:t>
      </w:r>
    </w:p>
    <w:p>
      <w:pPr>
        <w:spacing w:after="0" w:line="225"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with respect to each day during each Interest Period pertaining to a Eurocurrency Loan, a rate per annum determined for such day in accordance with the following formula (rounded upward to the nearest 1/100th of 1%):</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1.00 - Eurocurrency Reserve Requirements</w:t>
      </w:r>
    </w:p>
    <w:p>
      <w:pPr>
        <w:spacing w:after="0" w:line="200" w:lineRule="exact"/>
        <w:rPr>
          <w:sz w:val="20"/>
          <w:szCs w:val="20"/>
          <w:color w:val="auto"/>
        </w:rPr>
      </w:pPr>
    </w:p>
    <w:p>
      <w:pPr>
        <w:spacing w:after="0" w:line="236"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Reserve Requirements</w:t>
      </w:r>
      <w:r>
        <w:rPr>
          <w:rFonts w:ascii="Times New Roman" w:cs="Times New Roman" w:eastAsia="Times New Roman" w:hAnsi="Times New Roman"/>
          <w:sz w:val="18"/>
          <w:szCs w:val="18"/>
          <w:color w:val="auto"/>
        </w:rPr>
        <w:t>”: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to which the Administrative Agent or any Lender is subject, for eurocurrency funding (currently referred to as “Eurocurrency Liabilities” in Regulation D of the Board). Such reserve percentages shall include those imposed under Regulation D. Eurocurrency Loans shall be deemed to constitute eurocurrency funding and as such shall be deemed to be subject to such reserve requirements without benefit of or credit for proration, exceptions or offsets which may be available from time to time to any Lender under Regulation D or any comparable regulation. Eurocurrency Reserve Requirements shall be adjusted automatically on and as of the effective date of any change in any reserve percentage.</w:t>
      </w:r>
    </w:p>
    <w:p>
      <w:pPr>
        <w:spacing w:after="0" w:line="19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Securitization Entity</w:t>
      </w:r>
      <w:r>
        <w:rPr>
          <w:rFonts w:ascii="Times New Roman" w:cs="Times New Roman" w:eastAsia="Times New Roman" w:hAnsi="Times New Roman"/>
          <w:sz w:val="18"/>
          <w:szCs w:val="18"/>
          <w:color w:val="auto"/>
        </w:rPr>
        <w:t>”: any special purpose entity formed for the purpose of engaging in vehicle financing in the European Union or any of the member states of the European Union.</w:t>
      </w:r>
    </w:p>
    <w:p>
      <w:pPr>
        <w:spacing w:after="0" w:line="162"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w:t>
      </w:r>
    </w:p>
    <w:p>
      <w:pPr>
        <w:spacing w:after="0" w:line="16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w:t>
      </w:r>
      <w:r>
        <w:rPr>
          <w:rFonts w:ascii="Times New Roman" w:cs="Times New Roman" w:eastAsia="Times New Roman" w:hAnsi="Times New Roman"/>
          <w:sz w:val="18"/>
          <w:szCs w:val="18"/>
          <w:color w:val="auto"/>
        </w:rPr>
        <w:t>”: all cash and Cash Equivalents of the Borrower and its Subsidiaries at such time determined on a consolidated basis in accordance with GAAP in excess of $25,000,000.</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for any day with respect to any Optional Currency, the rate at which such Optional Currency may be exchanged into Dollars, as set forth at 11:00 A.M., London time, on such day on the applicable Reuters currency page with respect to such Optional Currency. In the event that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62" w:name="page63"/>
    <w:bookmarkEnd w:id="62"/>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such rate does not appear on the applicable Reuters currency page, the Exchange Rate with respect to such Optional Currency shall be determined by reference to such other publicly available service for displaying exchange rates as may be agreed upon by the Administrative Agent and the Borrower or, in the absence of such agreement, such Exchange Rate shall instead be the spot rate of exchange of the Administrative Agent in the London Interbank market or other market where its foreign currency exchange operations in respect of such Optional Currency are then being conducted, at or about 11:00 A.M., London time, on such day for the purchase of Dollars with such Optional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9"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Parcels</w:t>
      </w:r>
      <w:r>
        <w:rPr>
          <w:rFonts w:ascii="Times New Roman" w:cs="Times New Roman" w:eastAsia="Times New Roman" w:hAnsi="Times New Roman"/>
          <w:sz w:val="18"/>
          <w:szCs w:val="18"/>
          <w:color w:val="auto"/>
        </w:rPr>
        <w:t>”: collectively, (a) that certain real property located at 2005 Belvedere Road, W. Palm Beach, FL 33406 and (b) that certain real property located at 230 Harbor Way, S. San Francisco, CA 94080.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Person</w:t>
      </w:r>
      <w:r>
        <w:rPr>
          <w:rFonts w:ascii="Times New Roman" w:cs="Times New Roman" w:eastAsia="Times New Roman" w:hAnsi="Times New Roman"/>
          <w:sz w:val="18"/>
          <w:szCs w:val="18"/>
          <w:color w:val="auto"/>
        </w:rPr>
        <w:t>”: as defined in the definition of “Subsidiary”.</w:t>
      </w:r>
    </w:p>
    <w:p>
      <w:pPr>
        <w:spacing w:after="0" w:line="225"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each Subsidiary listed on Schedule 1.1B, the Regulated Subsidiary, any Immaterial Subsidiary, any Insurance Subsidiary, any Escrowed Debt Issuer, and any other Subsidiary so long as the Borrower or any Subsidiary of the Borrower does not have the controlling authority under the organizational documents of such Excluded Subsidiary to incur Indebtedness on its behalf or grant Liens on its assets (other than purchase money security interests).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as defined in Section 2.19(a).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as defined in Section 3.9.</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Mortgaged Property</w:t>
      </w:r>
      <w:r>
        <w:rPr>
          <w:rFonts w:ascii="Times New Roman" w:cs="Times New Roman" w:eastAsia="Times New Roman" w:hAnsi="Times New Roman"/>
          <w:sz w:val="18"/>
          <w:szCs w:val="18"/>
          <w:color w:val="auto"/>
        </w:rPr>
        <w:t>”: each Mortgaged Property (as defined in the Existing Credit Agreement) existing immediately prior to the Restatement Effective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Tranche B Term Loans</w:t>
      </w:r>
      <w:r>
        <w:rPr>
          <w:rFonts w:ascii="Times New Roman" w:cs="Times New Roman" w:eastAsia="Times New Roman" w:hAnsi="Times New Roman"/>
          <w:sz w:val="18"/>
          <w:szCs w:val="18"/>
          <w:color w:val="auto"/>
        </w:rPr>
        <w:t>”: as defined in the Tenth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Tranche C Term Loans</w:t>
      </w:r>
      <w:r>
        <w:rPr>
          <w:rFonts w:ascii="Times New Roman" w:cs="Times New Roman" w:eastAsia="Times New Roman" w:hAnsi="Times New Roman"/>
          <w:sz w:val="18"/>
          <w:szCs w:val="18"/>
          <w:color w:val="auto"/>
        </w:rPr>
        <w:t>”: as defined in the Sixth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w:t>
      </w:r>
      <w:r>
        <w:rPr>
          <w:rFonts w:ascii="Times New Roman" w:cs="Times New Roman" w:eastAsia="Times New Roman" w:hAnsi="Times New Roman"/>
          <w:sz w:val="18"/>
          <w:szCs w:val="18"/>
          <w:color w:val="auto"/>
        </w:rPr>
        <w:t>”: as defined in Section 2.26(a).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Credit</w:t>
      </w:r>
      <w:r>
        <w:rPr>
          <w:rFonts w:ascii="Times New Roman" w:cs="Times New Roman" w:eastAsia="Times New Roman" w:hAnsi="Times New Roman"/>
          <w:sz w:val="18"/>
          <w:szCs w:val="18"/>
          <w:color w:val="auto"/>
        </w:rPr>
        <w:t>”: as defined in Section 2.26(a).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w:t>
      </w:r>
      <w:r>
        <w:rPr>
          <w:rFonts w:ascii="Times New Roman" w:cs="Times New Roman" w:eastAsia="Times New Roman" w:hAnsi="Times New Roman"/>
          <w:sz w:val="18"/>
          <w:szCs w:val="18"/>
          <w:color w:val="auto"/>
        </w:rPr>
        <w:t>”: as defined in Section 2.26(a).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as defined in Section 2.26(a).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as defined in Section 2.26(a).</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each of (a) the Tranche B Term Commitments and the Tranche B Term Loans (the “</w:t>
      </w:r>
      <w:r>
        <w:rPr>
          <w:rFonts w:ascii="Times New Roman" w:cs="Times New Roman" w:eastAsia="Times New Roman" w:hAnsi="Times New Roman"/>
          <w:sz w:val="18"/>
          <w:szCs w:val="18"/>
          <w:u w:val="single" w:color="auto"/>
          <w:color w:val="auto"/>
        </w:rPr>
        <w:t>Tranche B Term Facility</w:t>
      </w:r>
      <w:r>
        <w:rPr>
          <w:rFonts w:ascii="Times New Roman" w:cs="Times New Roman" w:eastAsia="Times New Roman" w:hAnsi="Times New Roman"/>
          <w:sz w:val="18"/>
          <w:szCs w:val="18"/>
          <w:color w:val="auto"/>
        </w:rPr>
        <w:t xml:space="preserve">”), (b) the </w:t>
      </w:r>
      <w:r>
        <w:rPr>
          <w:rFonts w:ascii="Times New Roman" w:cs="Times New Roman" w:eastAsia="Times New Roman" w:hAnsi="Times New Roman"/>
          <w:sz w:val="18"/>
          <w:szCs w:val="18"/>
          <w:color w:val="008000"/>
          <w:strike w:val="1"/>
        </w:rPr>
        <w:t>Revolving Commitments and the extensions of credit made thereunder</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Revolving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(c) the</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b w:val="1"/>
          <w:bCs w:val="1"/>
          <w:u w:val="single" w:color="auto"/>
          <w:color w:val="0000FF"/>
        </w:rPr>
        <w:t>2031 Revolving Facility, (d) the</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Tranche C</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Term Commitments and the Tranche C Term Loans (the “</w:t>
      </w:r>
      <w:r>
        <w:rPr>
          <w:rFonts w:ascii="Times New Roman" w:cs="Times New Roman" w:eastAsia="Times New Roman" w:hAnsi="Times New Roman"/>
          <w:sz w:val="18"/>
          <w:szCs w:val="18"/>
          <w:u w:val="single" w:color="auto"/>
          <w:color w:val="000000"/>
        </w:rPr>
        <w:t>Tranche C Term Facility</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b w:val="1"/>
          <w:bCs w:val="1"/>
          <w:u w:val="single" w:color="auto"/>
          <w:color w:val="0000FF"/>
        </w:rPr>
        <w:t>e</w:t>
      </w:r>
      <w:r>
        <w:rPr>
          <w:rFonts w:ascii="Times New Roman" w:cs="Times New Roman" w:eastAsia="Times New Roman" w:hAnsi="Times New Roman"/>
          <w:sz w:val="18"/>
          <w:szCs w:val="18"/>
          <w:color w:val="000000"/>
        </w:rPr>
        <w:t>) the Tranche A Term Commitments and the Tranche A Term Loans (the “</w:t>
      </w:r>
      <w:r>
        <w:rPr>
          <w:rFonts w:ascii="Times New Roman" w:cs="Times New Roman" w:eastAsia="Times New Roman" w:hAnsi="Times New Roman"/>
          <w:sz w:val="18"/>
          <w:szCs w:val="18"/>
          <w:u w:val="single" w:color="auto"/>
          <w:color w:val="000000"/>
        </w:rPr>
        <w:t>Tranche A Term Facility</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3" w:name="page64"/>
    <w:bookmarkEnd w:id="63"/>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Sections 1471 through 1474 of the Code as of the date of this Agreement (or any amended or successor version that is substantively comparable), any current or future regulations or official interpretations thereof and any agreements entered into pursuant to Section 1471(b) of the Code.</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for any day, the rate calculated by the NYFRB based on such day’s federal funds transactions by depositary institutions (as determined in such manner as the NYFRB shall set forth on the NYFRB’s Website from time to time) and published on the next succeeding Business Day by the NYFRB as the federal funds effective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(a) the third Business Day following the last day of each March, June, September and December and (b) the last day of the Revolving Commitment Period.</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Revolving Termination Date</w:t>
      </w:r>
      <w:r>
        <w:rPr>
          <w:rFonts w:ascii="Times New Roman" w:cs="Times New Roman" w:eastAsia="Times New Roman" w:hAnsi="Times New Roman"/>
          <w:sz w:val="18"/>
          <w:szCs w:val="18"/>
          <w:color w:val="auto"/>
        </w:rPr>
        <w:t>”: at any date of determination, the latest termination or expiration date applicable to any Revolving Loan or Revolving Commitment hereunder at such time, including the final termination or expiration date of any Incremental Revolving Commitments and any Revolving Loans or Revolving Commitments, in each case, extended in accordance with this Agreement from time to time.</w:t>
      </w:r>
    </w:p>
    <w:p>
      <w:pPr>
        <w:spacing w:after="0" w:line="176"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Term Loan Maturity Date</w:t>
      </w:r>
      <w:r>
        <w:rPr>
          <w:rFonts w:ascii="Times New Roman" w:cs="Times New Roman" w:eastAsia="Times New Roman" w:hAnsi="Times New Roman"/>
          <w:sz w:val="18"/>
          <w:szCs w:val="18"/>
          <w:color w:val="auto"/>
        </w:rPr>
        <w:t>”: at any date of determination, the latest maturity date applicable to any Term Loan hereunder at such time, including the final maturity date of any Incremental Term Loans and any Replacement Term Loans, in each case, extended in accordance with this Agreement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the First Amendment, dated as of the First Amendment Effective Date, to the Fifth Amended and Restated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the “First Amendment Effective Date”, as defined in the First Amendment, which date is February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07"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Intercreditor Agreement</w:t>
      </w:r>
      <w:r>
        <w:rPr>
          <w:rFonts w:ascii="Times New Roman" w:cs="Times New Roman" w:eastAsia="Times New Roman" w:hAnsi="Times New Roman"/>
          <w:sz w:val="18"/>
          <w:szCs w:val="18"/>
          <w:color w:val="auto"/>
        </w:rPr>
        <w:t>”: any first lien intercreditor agreement entered into after the date hereof, in form and substance reasonably acceptable to the Borrower and the Administrative Agent.</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the benchmark rate floor, if any, provided in this Agreement initially (as of the execution of this Agreement, the modification, amendment or renewal of this Agreement or otherwise) with respect to Eurocurrency Base Rate, EURIBOR Rate, the Adjusted Term SOFR Rate, Adjusted Daily Simple RFR, each Daily Simple RFR or Adjusted Term CORRA Rate, as applicable. For the avoidance of doubt, (i) the initial Floor with respect to the Tranche C Term Facility for the Adjusted Term SOFR Rate shall be 0.50%, (ii) the initial Floor with respect to the Tranche B Term Facility for the Adjusted Term SOFR Rate and the Adjusted Daily Simple RFR shall be 0.00%, (iii) the initial Floor with respect to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xml:space="preserve"> for the Eurocurrency Base Rate, EURIBOR Rate, Adjusted Term SOFR Rate, Adjusted Term CORRA Rate, Adjusted Daily Simple RFR and Daily Simple RFR shall be 0.00%</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t>and (iv) the initial Floor with respect to the Tranche A Term Facility for the Adjusted Term SOFR Rate and the Adjusted Daily Simple RFR shall be 0.00%.</w:t>
      </w:r>
    </w:p>
    <w:p>
      <w:pPr>
        <w:spacing w:after="0" w:line="237"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Issuer</w:t>
      </w:r>
      <w:r>
        <w:rPr>
          <w:rFonts w:ascii="Times New Roman" w:cs="Times New Roman" w:eastAsia="Times New Roman" w:hAnsi="Times New Roman"/>
          <w:sz w:val="18"/>
          <w:szCs w:val="18"/>
          <w:color w:val="auto"/>
        </w:rPr>
        <w:t xml:space="preserve">”: Avis Budget Finance, plc and any other Foreign Subsidiary of ABG that is an issuer of any Indebtedness permitted under Section 7.2;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issued or incurred by a Foreign Issuer is not guaranteed by any Person that is not the Borrower or a Guarantor and (ii) no Foreign Issuer shall (x) conduct, transact or otherwise engage in, or commit to conduct, transact or otherwise engage in, any business or operations other than (A) maintaining its corporate existence and (B) the issuance or incurrence of Indebtedness permitted to be issued or incurred by such Foreign Issuer under Section 7.2 or (y) own, lease, manage or otherwise operate any properties or assets.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any Subsidiary of the Borrower that is not a Domestic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the Fourth Amendment, dated as of the Fourth Amendment Effective Date,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the “Fourth Amendment Effective Date”, as defined in the Fourth Amendment, which date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2023.</w:t>
      </w:r>
    </w:p>
    <w:p>
      <w:pPr>
        <w:spacing w:after="0" w:line="207"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the office of the Administrative Agent specified in Section 10.2 or such other office as may be specified from time to time by the Administrative Agent as its funding office by written notice to the Borrower and the Lenders.</w:t>
      </w:r>
    </w:p>
    <w:p>
      <w:pPr>
        <w:spacing w:after="0" w:line="162"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generally accepted accounting principles in the United States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any time after the Closing Date, the Borrower may elect, upon notice to the Administrative Agent, to apply IFRS accounting principles in lieu of GAAP and, upon any such election, references herein to GAAP shall thereafter be construed to mean IFRS (except as otherwise provided herein) and (b) any calculation or determination in this Agreement that requires the application of GAAP for periods that include fiscal quarters ended prior to the Borrower’s election to apply IFRS shall remain as previously calculated or determined in accordance with GAAP.</w:t>
      </w:r>
    </w:p>
    <w:p>
      <w:pPr>
        <w:spacing w:after="0" w:line="183"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any federal, state, municipal or other governmental department, commission, board, bureau, agency or instrumentality, or any federal, state or municipal court, in each case whether of the United States or foreign.</w:t>
      </w:r>
    </w:p>
    <w:p>
      <w:pPr>
        <w:spacing w:after="0" w:line="16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Members</w:t>
      </w:r>
      <w:r>
        <w:rPr>
          <w:rFonts w:ascii="Times New Roman" w:cs="Times New Roman" w:eastAsia="Times New Roman" w:hAnsi="Times New Roman"/>
          <w:sz w:val="18"/>
          <w:szCs w:val="18"/>
          <w:color w:val="auto"/>
        </w:rPr>
        <w:t xml:space="preserve">”: the collective reference to ABG, Holdings, the Borrower and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“Group Member” and “Group Members” as used in Sections 6, 7 and 8 shall not include ABG except as otherwise provided therein.</w:t>
      </w:r>
    </w:p>
    <w:p>
      <w:pPr>
        <w:spacing w:after="0" w:line="162" w:lineRule="exact"/>
        <w:rPr>
          <w:sz w:val="20"/>
          <w:szCs w:val="20"/>
          <w:color w:val="auto"/>
        </w:rPr>
      </w:pPr>
    </w:p>
    <w:p>
      <w:pPr>
        <w:ind w:right="6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and Collateral Agreement</w:t>
      </w:r>
      <w:r>
        <w:rPr>
          <w:rFonts w:ascii="Times New Roman" w:cs="Times New Roman" w:eastAsia="Times New Roman" w:hAnsi="Times New Roman"/>
          <w:sz w:val="18"/>
          <w:szCs w:val="18"/>
          <w:color w:val="auto"/>
        </w:rPr>
        <w:t>”: the Third Amended and Restated Guarantee and Collateral Agreement, dated as of the Restatement Effective Date, among Holdings, the Borrower, the Subsidiaries of the Borrower party thereto and the Administrative Agent, as further amended, modified or supplemented from time to time.</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any obligation, contingent or otherwise, of the Person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(including reasonable fees and expenses related thereto) or to purchase (or to advance or supply funds for the purchase of) any security for the payment thereof, (b) to purchase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right="140"/>
        <w:spacing w:after="0" w:line="276" w:lineRule="auto"/>
        <w:rPr>
          <w:sz w:val="20"/>
          <w:szCs w:val="20"/>
          <w:color w:val="auto"/>
        </w:rPr>
      </w:pPr>
      <w:r>
        <w:rPr>
          <w:rFonts w:ascii="Times New Roman" w:cs="Times New Roman" w:eastAsia="Times New Roman" w:hAnsi="Times New Roman"/>
          <w:sz w:val="17"/>
          <w:szCs w:val="17"/>
          <w:color w:val="auto"/>
        </w:rPr>
        <w:t>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w:t>
      </w:r>
    </w:p>
    <w:p>
      <w:pPr>
        <w:spacing w:after="0" w:line="1" w:lineRule="exact"/>
        <w:rPr>
          <w:sz w:val="20"/>
          <w:szCs w:val="20"/>
          <w:color w:val="auto"/>
        </w:rPr>
      </w:pPr>
    </w:p>
    <w:p>
      <w:pPr>
        <w:ind w:right="40" w:firstLine="8"/>
        <w:spacing w:after="0" w:line="253"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 of any Guarantee Obligation shall be limited to the extent necessary so that such amount does not exceed the value of the assets of such Person (as reflected on a consolidated balance sheet of such Person prepared in accordance with GAAP) to which any creditor or beneficiary of such Guarantee Obligation would have recourse.</w:t>
      </w:r>
    </w:p>
    <w:p>
      <w:pPr>
        <w:spacing w:after="0" w:line="189"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definition, the term “Guarantee Obligation” shall not include any direct or indirect obligation of a Person as a general partner of a general partnership or a joint venturer of a joint venture in respect of Indebtedness of such general partnership or joint venture, to the extent such Indebtedness is contractually non-recourse to the assets of such Person as a general partner or joint venturer (other than assets comprising the capital of such general partnership or joint venture). The term “Guarantee Obligation” shall not include endorsements for collection or deposit in the ordinary course of business.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collective reference to Holdings and the Subsidiary Guarantors.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the International Financial Reporting Standards promulgated by the International Accounting Standards Board (“</w:t>
      </w:r>
      <w:r>
        <w:rPr>
          <w:rFonts w:ascii="Times New Roman" w:cs="Times New Roman" w:eastAsia="Times New Roman" w:hAnsi="Times New Roman"/>
          <w:sz w:val="18"/>
          <w:szCs w:val="18"/>
          <w:u w:val="single" w:color="auto"/>
          <w:color w:val="auto"/>
        </w:rPr>
        <w:t>IASB</w:t>
      </w:r>
      <w:r>
        <w:rPr>
          <w:rFonts w:ascii="Times New Roman" w:cs="Times New Roman" w:eastAsia="Times New Roman" w:hAnsi="Times New Roman"/>
          <w:sz w:val="18"/>
          <w:szCs w:val="18"/>
          <w:color w:val="auto"/>
        </w:rPr>
        <w:t>”) (which includes standards and interpretations approved by the IASB and International Accounting Standards (“IAS”) issued under previous constitutions), together with its pronouncements thereon from time to time, and applied on a consistent basis.</w:t>
      </w:r>
    </w:p>
    <w:p>
      <w:pPr>
        <w:spacing w:after="0" w:line="176"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any Subsidiary or a group of Subsidiaries of the Borrower which, as of any date of determination, when taken together, does not have assets with a value in excess of 3.0% of the total assets of the Borrower and its Subsidiaries on a consolidated basis.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EURIBOR Rate Interest Period</w:t>
      </w:r>
      <w:r>
        <w:rPr>
          <w:rFonts w:ascii="Times New Roman" w:cs="Times New Roman" w:eastAsia="Times New Roman" w:hAnsi="Times New Roman"/>
          <w:sz w:val="18"/>
          <w:szCs w:val="18"/>
          <w:color w:val="auto"/>
        </w:rPr>
        <w:t>”: as defined in the definition of “EURIBOR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as defined in the definition of “Eurocurrency Base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 Date</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 Agreement</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one or more series of senior secured first lien notes, senior secured junior lien notes or loans, senior unsecured notes or loans, subordinated notes or loans, or secured or unsecured mezzanine Indebtedness, in the case of securities, whether issued in a public offering, Rule 144A or other private placement in lieu of the foregoing or otherwise, secured by the Collateral (if at all)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(but without regard to control of remedies) or junior basis with the Obligations, which Indebtedness is issued or incurred by a Loan Party or a Foreign Issuer in lieu of Incremental Term Loans pursuant to an indenture, loan agreement, credit agreement, note purchase agreement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with respect to any Incremental Equivalent Debt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the aggregate principal amount of all such Incremental Equivalent Debt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shall not, together with the aggregate amount of the Facilities (which term, for the avoidance of doubt, shall be deemed to include any additional Incremental Revolving Commitments and any additional Incremental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7"/>
          <w:szCs w:val="17"/>
          <w:color w:val="auto"/>
        </w:rPr>
        <w:t>Term Loans, in each case, outstanding under this Agreement at such time), exceed an amount equal to 350% of Consolidated EBITDA determined to give pro forma effect to any related transactions consummated concurrently therewith, for the most recently ended period of four consecutive fiscal quarters for which financial statements have been delivered pursuant to Section 6.1, (ii) with respect to any Incremental Equivalent Debt secured by the Collateral on a junior basis with the Obligations, after giving pro forma effect to the incurrence of such Incremental Equivalent Debt and the use of proceeds thereof the Consolidated Secured Leverage Ratio shall not exceed 4.50 to 1.00 as of the last day of the most recently ended fiscal quarter for which financial statements have been delivered, (iii) with respect to any Incremental Equivalent Debt that is unsecured, after giving pro forma effect to the incurrence of such Incremental Equivalent Debt and the use of proceeds thereof, the Consolidated Leverage Ratio shall not exceed 5.00 to 1.00 as of the last day of the most recently ended fiscal quarter for which financial statements have been delivered, (iv) such Incremental Equivalent Debt shall not be subject to any Guarantee Obligation by any Person other than a Loan Party or a Foreign Issuer, (v) in the case of Incremental Equivalent Debt that is secured, (A) the obligations in respect thereof shall not be secured by any Lien on any asset of the Borrower or any Subsidiary other than any asset constituting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such Indebtedness that is funded into Escrow, such Indebtedness may be secured by the applicable proceeds of such Indebtedness held in Escrow until such proceeds are released from Escrow), (B) the security agreements relating to such Incremental Equivalent Debt (other than any collateral or similar arrangement in respect of the proceeds of any such Indebtedness that is funded into Escrow) shall be substantially the same as the Security Documents (with such differences as are appropriate to reflect the nature of such Incremental Equivalent Debt and are otherwise reasonably satisfactory to the Administrative Agent) and (C) such Incremental Equivalent Debt shall be subject to a First Lien Intercreditor Agreement or a Second Lien Intercreditor Agreement, as appropriate, or other intercreditor agreements customary for similar issuances of Indebtedness in form and substance reasonably satisfactory to the Administrative Agent and the Borrower with the holders of such Indebtedness or an agent thereof and the Borrower, and any such First Lien Intercreditor Agreement, Second Lien Intercreditor Agreement or other intercreditor agreement shall remain in full force and effect at any time such Indebtedness remains outstanding, (vi) both immediately before and immediately after the incurrence of such Indebtedness, no Default or Event of Default shall have occurred and be continuing on the date such Indebtedness is incurred, (vii) the Borrower shall be in compliance with Section 7.1 on a pro forma basis as of the most recently ended fiscal quarter for which financial statements have been delivered pursuant to Section 6.1 after giving effect to such Incremental Equivalent Debt and the use of proceeds thereof and assuming any related Specified Transaction has occurred, (viii) the weighted average life to maturity of any Incremental Equivalent Debt (excluding any Customary Bridge Facility) shall be greater than or equal to the then-remaining weighted average life to maturity of the Term Loans, (ix) the maturity date of any Incremental Equivalent Debt (excluding any Customary Bridge Facility) shall be no earlier than the Final Term Loan Maturity Date, and (x) the covenants and events of default applicable to such Incremental Equivalent Debt (taken as a whole) shall be either substantially similar to, and not more favorable to the lenders thereunder than the covenants and events of default applicable to the Term Loans (taken as a whole) or, if more favorable, may be materially different from those applicable to the Term Loans to the extent such differences are reasonably acceptable to the Administrative Agent (it being understood that (x) terms applicable only after the Final Term Loan Maturity Date are acceptable in any event) unless such covenants and events of default for such Incremental Equivalent Debt (taken as a whole) are reflective of market terms and conditions for the type of Indebtedness incurred or issued at the time of issuance or incurrence thereof (in each case, as determined by the Borrower in good faith);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certificate of the Borrower delivered to the Administrative Agent at least five Business Days prior to the incurrence of such Indebtedness, together with a reasonably detailed description of the material covenants of such Indebtedness or drafts of the documentation relating thereto, stating that the Borrower has reasonably determined in good faith that such covenants and defaults satisfy the foregoing requirement shall be conclusive evidence that such covenants and defaults satisfy the foregoing requirement unless the Administrative Agent notifies the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7" w:name="page68"/>
    <w:bookmarkEnd w:id="67"/>
    <w:p>
      <w:pPr>
        <w:ind w:right="40"/>
        <w:spacing w:after="0" w:line="258" w:lineRule="auto"/>
        <w:rPr>
          <w:sz w:val="20"/>
          <w:szCs w:val="20"/>
          <w:color w:val="auto"/>
        </w:rPr>
      </w:pPr>
      <w:r>
        <w:rPr>
          <w:rFonts w:ascii="Times New Roman" w:cs="Times New Roman" w:eastAsia="Times New Roman" w:hAnsi="Times New Roman"/>
          <w:sz w:val="18"/>
          <w:szCs w:val="18"/>
          <w:color w:val="auto"/>
        </w:rPr>
        <w:t>Borrower within such five Business Day period that it disagrees with such determination (including a reasonably detailed description of the basis upon which it disagrees). Notwithstanding the foregoing, in the case of any Incremental Equivalent Debt implemented to finance a Permitted Acquisition, satisfaction of the conditions set forth in clauses (vi) and (vii) may, at the option of the Borrower, be determined solely as of the date on which the definitive agreement governing such Permitted Acquisition is executed, calculated to give pro forma effect to such acquisition as if it had occurred on such date of determination.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Commitments</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Increase</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Tranche A Term Loan</w:t>
      </w:r>
      <w:r>
        <w:rPr>
          <w:rFonts w:ascii="Times New Roman" w:cs="Times New Roman" w:eastAsia="Times New Roman" w:hAnsi="Times New Roman"/>
          <w:sz w:val="18"/>
          <w:szCs w:val="18"/>
          <w:color w:val="auto"/>
        </w:rPr>
        <w:t>”: any Incremental Term Loan having amortization, tenor and other terms customary for the term loan A market, as reasonably determined by the Administrative Agent and the Borrower.</w:t>
      </w:r>
    </w:p>
    <w:p>
      <w:pPr>
        <w:spacing w:after="0" w:line="16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preferred Capital Stock of such Person (i) that is required to be redeemed prior to the date which is 91 days after the Final Term Loan Maturity Date (or which allows the holders of such preferred Capital Stock to require such preferred Capital Stock to be redeemed prior to the date which is 91 days after the Final Term Loan Maturity Date) (other than following the occurrence of a Change in Control or other similar event described under such terms as a “change in control” or an Asset Sale) or (ii) which is subject to other payment obligations (including any sinking fund obligations) or obligations to pay dividends or cash interest in respect of such preferred Capital Stock prior to the date which is 91 days after the Final Term Loan Maturity Date (other than following the occurrence of a Change in Control or other similar event described under such terms as a “change in control” or an Asset Sale),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8" w:name="page69"/>
    <w:bookmarkEnd w:id="68"/>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rights) owned by such Person, whether or not such Person has assumed or become liable for the payment of such obligation, and (j) for the purposes of Section 8(e) only, all obligations of such Person in respect of Swap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Indebtedness shall not include any earn-out obligations or contingent obligations consisting of purchase price adjustments.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with respect to any Multiemployer Plan, the condition that such Plan is insolvent within the meaning of Section 4245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pertaining to a condition of Insolvency.</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Subsidiary</w:t>
      </w:r>
      <w:r>
        <w:rPr>
          <w:rFonts w:ascii="Times New Roman" w:cs="Times New Roman" w:eastAsia="Times New Roman" w:hAnsi="Times New Roman"/>
          <w:sz w:val="18"/>
          <w:szCs w:val="18"/>
          <w:color w:val="auto"/>
        </w:rPr>
        <w:t>”: a Subsidiary established for the purpose of (a) insuring the businesses, facilities, employees or joint ventures of the Borrower or any of its Subsidiaries, or (b) providing insurance products.</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collective reference to all rights, priorities and privileges with respect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the First Lien Intercreditor Agreement, the Second Lien Intercreditor Agreement and any other intercreditor agreement customary for similar issuances of Indebtedness in form and substance reasonably satisfactory to the Administrative Agent and the Borrower with the holders of such Indebtedness or an agent thereof and the Borrower, collectively, in each case to the extent then in effect.</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(a) as to any ABR Loan (other than any Swingline Loan), the last day of each March, June, September and December to occur while such Loan is outstanding and the final maturity date of such Loan,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as to any Swingline Loan, the day that such Loan is required to be repaid.</w:t>
      </w:r>
    </w:p>
    <w:p>
      <w:pPr>
        <w:spacing w:after="0" w:line="189"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(i) as to any Term Benchmark Loan (other than any Adjusted Term CORRA Loan), (a) initially, the period commencing on the borrowing or conversion date, as the case may be, with respect to such Loan and ending one, three or six (or (other than with respect to any Adjusted Term SOFR Loan), if agreed to by all Lenders under the relevant Facility, twelve) months thereafter, as selected by the Borrower or relevant Subsidiary Borrower in its notice of borrowing or notice of conversion, as the case may be, given with respect thereto; and (b) thereafter, each period commencing on the last day of the next preceding Interest Period applicable to such Term Benchmark Loan and ending one, three or six (or (other than with respect to any Adjusted Term SOFR Loan), if agreed to by all</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8"/>
          <w:szCs w:val="18"/>
          <w:color w:val="auto"/>
        </w:rPr>
        <w:t xml:space="preserve">Lenders under the relevant Facility, twelve) months thereafter, as selected by the Borrower or relevant Subsidiary Borrower by irrevocable notice to the Administrative Agent not later than 12:00 Noon, New York City time, on the date that is three Business Days prior to the last day of the then current Interest Period with respect thereto and (ii) as to any Adjusted Term CORRA Loan, (a) initially, the period commencing on the borrowing or conversion date, as the case may be, with respect to such Loan and ending one or three months thereafter, as selected by the Borrower or relevant Subsidiary Borrower in its notice of borrowing or notice of conversion, as the case may be, given with respect thereto; and (b) thereafter, each period commencing on the last day of the next preceding Interest Period applicable to such Term Benchmark Loan and ending one or three months thereafter, as selected by the Borrower or relevant Subsidiary Borrower by irrevocable notice to the Administrative Agent not later than 12:00 Noon, New York City time, on the date that is three Business Days prior to the last day of the then current Interest Period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the foregoing provisions relating to Interest Periods are subject to the following:</w:t>
      </w:r>
    </w:p>
    <w:p>
      <w:pPr>
        <w:spacing w:after="0" w:line="188" w:lineRule="exact"/>
        <w:rPr>
          <w:sz w:val="20"/>
          <w:szCs w:val="20"/>
          <w:color w:val="auto"/>
        </w:rPr>
      </w:pPr>
    </w:p>
    <w:p>
      <w:pPr>
        <w:ind w:left="660" w:right="160" w:firstLine="644"/>
        <w:spacing w:after="0" w:line="266" w:lineRule="auto"/>
        <w:tabs>
          <w:tab w:leader="none" w:pos="17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266" w:lineRule="auto"/>
        <w:tabs>
          <w:tab w:leader="none" w:pos="1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relevant Subsidiary Borrower may not select an Interest Period under a particular Facility that would extend beyond the Revolving Termination Date </w:t>
      </w:r>
      <w:r>
        <w:rPr>
          <w:rFonts w:ascii="Times New Roman" w:cs="Times New Roman" w:eastAsia="Times New Roman" w:hAnsi="Times New Roman"/>
          <w:sz w:val="18"/>
          <w:szCs w:val="18"/>
          <w:b w:val="1"/>
          <w:bCs w:val="1"/>
          <w:u w:val="single" w:color="auto"/>
          <w:color w:val="0000FF"/>
        </w:rPr>
        <w:t>with respect to such Revolving Facility</w:t>
      </w:r>
      <w:r>
        <w:rPr>
          <w:rFonts w:ascii="Times New Roman" w:cs="Times New Roman" w:eastAsia="Times New Roman" w:hAnsi="Times New Roman"/>
          <w:sz w:val="18"/>
          <w:szCs w:val="18"/>
          <w:color w:val="auto"/>
        </w:rPr>
        <w:t xml:space="preserve"> or beyond the date final payment is due on the relevant Term Loans, as the case may be;</w:t>
      </w:r>
    </w:p>
    <w:p>
      <w:pPr>
        <w:spacing w:after="0" w:line="175" w:lineRule="exact"/>
        <w:rPr>
          <w:rFonts w:ascii="Times New Roman" w:cs="Times New Roman" w:eastAsia="Times New Roman" w:hAnsi="Times New Roman"/>
          <w:sz w:val="18"/>
          <w:szCs w:val="18"/>
          <w:color w:val="auto"/>
        </w:rPr>
      </w:pPr>
    </w:p>
    <w:p>
      <w:pPr>
        <w:ind w:left="660" w:right="460" w:firstLine="644"/>
        <w:spacing w:after="0" w:line="312" w:lineRule="auto"/>
        <w:tabs>
          <w:tab w:leader="none" w:pos="189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39" w:lineRule="exact"/>
        <w:rPr>
          <w:rFonts w:ascii="Times New Roman" w:cs="Times New Roman" w:eastAsia="Times New Roman" w:hAnsi="Times New Roman"/>
          <w:sz w:val="17"/>
          <w:szCs w:val="17"/>
          <w:color w:val="auto"/>
        </w:rPr>
      </w:pPr>
    </w:p>
    <w:p>
      <w:pPr>
        <w:ind w:left="660" w:right="60" w:firstLine="644"/>
        <w:spacing w:after="0" w:line="282" w:lineRule="auto"/>
        <w:tabs>
          <w:tab w:leader="none" w:pos="18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any relevant Subsidiary Borrower shall select Interest Periods so as not to require a payment or prepayment of any Term Benchmark Loan during an Interest Period for such Loan; and</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8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2.16(f) shall be available for specification in such notice of borrowing or notice of conversion.</w:t>
      </w:r>
    </w:p>
    <w:p>
      <w:pPr>
        <w:spacing w:after="0" w:line="200" w:lineRule="exact"/>
        <w:rPr>
          <w:sz w:val="20"/>
          <w:szCs w:val="20"/>
          <w:color w:val="auto"/>
        </w:rPr>
      </w:pPr>
    </w:p>
    <w:p>
      <w:pPr>
        <w:spacing w:after="0" w:line="394"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Interpolated Rate</w:t>
      </w:r>
      <w:r>
        <w:rPr>
          <w:rFonts w:ascii="Times New Roman" w:cs="Times New Roman" w:eastAsia="Times New Roman" w:hAnsi="Times New Roman"/>
          <w:sz w:val="17"/>
          <w:szCs w:val="17"/>
          <w:color w:val="auto"/>
        </w:rPr>
        <w:t>”: at any time, for any Interest Period, the rate per annum (rounded to the same number of decimal places as the Relevant Screen Rate) determined by the Administrative Agent (which determination shall be conclusive and binding absent manifest error) to be equal to the rate that results from interpolating on a linear basis between: (a) the Relevant Screen Rate for the longest period (for which the Relevant Screen Rate is available for the applicable currency) that is shorter than the Impacted Interest Period; and (b) the Relevant Screen Rate for the shortest period (for which that Relevant Screen Rate is available for the applicable currency) that exceeds the Impacted Interest Period, in each case, at such time. When determining the rate for a period which is less than the shortest period for which the Relevant Screen Rate is available, the Relevant Screen Rate for purposes of clause</w:t>
      </w:r>
    </w:p>
    <w:p>
      <w:pPr>
        <w:spacing w:after="0" w:line="5" w:lineRule="exact"/>
        <w:rPr>
          <w:sz w:val="20"/>
          <w:szCs w:val="20"/>
          <w:color w:val="auto"/>
        </w:rPr>
      </w:pPr>
    </w:p>
    <w:p>
      <w:pPr>
        <w:ind w:right="300" w:firstLine="8"/>
        <w:spacing w:after="0" w:line="255"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deemed to be the overnight rate for Dollars or, if applicable, the relevant Optional Currency determined by the Administrative Agent from such service as the Administrative Agent may select. If any Interpolated Rate shall be less than zero, such rate shall be deemed to be zero for the purposes of this Agreement.</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as defined in Section 7.7.</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Lender</w:t>
      </w:r>
      <w:r>
        <w:rPr>
          <w:rFonts w:ascii="Times New Roman" w:cs="Times New Roman" w:eastAsia="Times New Roman" w:hAnsi="Times New Roman"/>
          <w:sz w:val="18"/>
          <w:szCs w:val="18"/>
          <w:color w:val="auto"/>
        </w:rPr>
        <w:t xml:space="preserve">”: with respect to a Letter of Credit, the Revolving Lender that is requested to issue, or that issues, such Letter of Credit pursuant to an L/C Commitment, in the capacity as issuer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Revolving Lender shall be an Issuing Lender without its consent.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defined in Section 10.1.</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xml:space="preserve">”: (i) with respect to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JPMorgan Chase Bank, BofA Securities, Inc., Credit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Agricole Corporate and Investment Bank, </w:t>
      </w:r>
      <w:r>
        <w:rPr>
          <w:rFonts w:ascii="Times New Roman" w:cs="Times New Roman" w:eastAsia="Times New Roman" w:hAnsi="Times New Roman"/>
          <w:sz w:val="18"/>
          <w:szCs w:val="18"/>
          <w:color w:val="FF0000"/>
          <w:strike w:val="1"/>
        </w:rPr>
        <w:t>Barclays Bank PLC, Societe Generale, BNP Paribas, Royal Bank of Canada,</w:t>
      </w:r>
      <w:r>
        <w:rPr>
          <w:rFonts w:ascii="Times New Roman" w:cs="Times New Roman" w:eastAsia="Times New Roman" w:hAnsi="Times New Roman"/>
          <w:sz w:val="18"/>
          <w:szCs w:val="18"/>
          <w:color w:val="auto"/>
        </w:rPr>
        <w:t xml:space="preserve"> The Bank of Nova Scotia, </w:t>
      </w:r>
      <w:r>
        <w:rPr>
          <w:rFonts w:ascii="Times New Roman" w:cs="Times New Roman" w:eastAsia="Times New Roman" w:hAnsi="Times New Roman"/>
          <w:sz w:val="18"/>
          <w:szCs w:val="18"/>
          <w:b w:val="1"/>
          <w:bCs w:val="1"/>
          <w:u w:val="single" w:color="auto"/>
          <w:color w:val="0000FF"/>
        </w:rPr>
        <w:t>BNP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Paribas,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Morgan Stanley Senior Funding, Inc.,</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8000"/>
        </w:rPr>
        <w:t>Royal Bank of Canada,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Societe Generale,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Truist Bank, Wells Fargo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Association</w:t>
      </w:r>
      <w:r>
        <w:rPr>
          <w:rFonts w:ascii="Times New Roman" w:cs="Times New Roman" w:eastAsia="Times New Roman" w:hAnsi="Times New Roman"/>
          <w:sz w:val="18"/>
          <w:szCs w:val="18"/>
          <w:b w:val="1"/>
          <w:bCs w:val="1"/>
          <w:u w:val="single" w:color="auto"/>
          <w:color w:val="0000FF"/>
        </w:rPr>
        <w:t>Securities, LLC,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8000"/>
        </w:rPr>
        <w:t>Mizuho Bank, Ltd.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8000"/>
        </w:rPr>
        <w:t>MUFG Bank, Ltd.</w:t>
      </w:r>
      <w:r>
        <w:rPr>
          <w:rFonts w:ascii="Times New Roman" w:cs="Times New Roman" w:eastAsia="Times New Roman" w:hAnsi="Times New Roman"/>
          <w:sz w:val="18"/>
          <w:szCs w:val="18"/>
          <w:color w:val="000000"/>
        </w:rPr>
        <w:t>, (ii) with respect to the Tranche B Term Facility, JPMorgan Chase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 BNP Paribas Securities Corp., BofA Securities, Inc., Credit Agricole Corporate and Investment Bank, Morgan Stanley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Inc., Royal Bank of Canada, Société Générale, The Bank of Nova Scotia, Truist Securities, Inc. and Wells Fargo Securities, LLC, (iii)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Tranche C Term Facility, JPMorgan Chase Bank and (iv) with respect to the Tranche A Term Facility, JPMorgan Chase Bank, N.A.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 Chase Bank</w:t>
      </w:r>
      <w:r>
        <w:rPr>
          <w:rFonts w:ascii="Times New Roman" w:cs="Times New Roman" w:eastAsia="Times New Roman" w:hAnsi="Times New Roman"/>
          <w:sz w:val="18"/>
          <w:szCs w:val="18"/>
          <w:color w:val="auto"/>
        </w:rPr>
        <w:t>”: JPMorgan Chase Bank, N.A.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as defined in Section 10.13.</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as to any Revolving Lender, the obligation of such Revolving Lender to issue Letters of Credit pursuant to Section 3 in an aggregate undrawn, unexpired face amount plus the aggregate unreimbursed drawn amount thereof at any time not to exceed the amount set forth under the heading “L/C Commitment” opposite such Revolving Lender’s name on Schedule 1.1A or in the Assignment and Assumption pursuant to which such Revolving Lender becomes a party thereto, in each case, as the same may be changed from time to time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amount of any Revolving Lender’s L/C Commitment may be increased or decreased subject only to the consent of such Revolving Lender and the Borrower and (ii) notwithstanding the aggregate amount of L/C Commitments of all Revolving Lenders, at no time shall the L/C Obligations exceed the aggregate Revolving Commitments.</w:t>
      </w:r>
    </w:p>
    <w:p>
      <w:pPr>
        <w:spacing w:after="0" w:line="189"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amount of all Unreimbursed Amounts. For purposes of computing the amount available to be drawn under any Letter of Credit, the amount of such Letter of Credit shall be determined in accordance with Section 1.3.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1" w:name="page72"/>
    <w:bookmarkEnd w:id="71"/>
    <w:p>
      <w:pPr>
        <w:ind w:right="80"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Participants</w:t>
      </w:r>
      <w:r>
        <w:rPr>
          <w:rFonts w:ascii="Times New Roman" w:cs="Times New Roman" w:eastAsia="Times New Roman" w:hAnsi="Times New Roman"/>
          <w:sz w:val="17"/>
          <w:szCs w:val="17"/>
          <w:color w:val="auto"/>
        </w:rPr>
        <w:t xml:space="preserve">”: with respect to any Letter of Credit issued by an Issuing Lender, the collective reference to all the Revolving Lenders </w:t>
      </w:r>
      <w:r>
        <w:rPr>
          <w:rFonts w:ascii="Times New Roman" w:cs="Times New Roman" w:eastAsia="Times New Roman" w:hAnsi="Times New Roman"/>
          <w:sz w:val="17"/>
          <w:szCs w:val="17"/>
          <w:b w:val="1"/>
          <w:bCs w:val="1"/>
          <w:u w:val="single" w:color="auto"/>
          <w:color w:val="0000FF"/>
        </w:rPr>
        <w:t>under the Revolving Facility under which such Letter of Credit was issued</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other than the Issuing Lender with respect to such Letter of Credit.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Action</w:t>
      </w:r>
      <w:r>
        <w:rPr>
          <w:rFonts w:ascii="Times New Roman" w:cs="Times New Roman" w:eastAsia="Times New Roman" w:hAnsi="Times New Roman"/>
          <w:sz w:val="18"/>
          <w:szCs w:val="18"/>
          <w:color w:val="auto"/>
        </w:rPr>
        <w:t>”: as defined in Section 1.4.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as defined in Section 1.4.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as defined in Section 1.4.</w:t>
      </w:r>
    </w:p>
    <w:p>
      <w:pPr>
        <w:spacing w:after="0" w:line="221" w:lineRule="exact"/>
        <w:rPr>
          <w:sz w:val="20"/>
          <w:szCs w:val="20"/>
          <w:color w:val="auto"/>
        </w:rPr>
      </w:pPr>
    </w:p>
    <w:p>
      <w:pPr>
        <w:ind w:right="110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Presentation</w:t>
      </w:r>
      <w:r>
        <w:rPr>
          <w:rFonts w:ascii="Times New Roman" w:cs="Times New Roman" w:eastAsia="Times New Roman" w:hAnsi="Times New Roman"/>
          <w:sz w:val="18"/>
          <w:szCs w:val="18"/>
          <w:color w:val="auto"/>
        </w:rPr>
        <w:t xml:space="preserve">”: the Lender Presentation dated June </w:t>
      </w:r>
      <w:r>
        <w:rPr>
          <w:rFonts w:ascii="Times New Roman" w:cs="Times New Roman" w:eastAsia="Times New Roman" w:hAnsi="Times New Roman"/>
          <w:sz w:val="18"/>
          <w:szCs w:val="18"/>
          <w:color w:val="FF0000"/>
          <w:strike w:val="1"/>
        </w:rPr>
        <w:t>16</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2021</w:t>
      </w:r>
      <w:r>
        <w:rPr>
          <w:rFonts w:ascii="Times New Roman" w:cs="Times New Roman" w:eastAsia="Times New Roman" w:hAnsi="Times New Roman"/>
          <w:sz w:val="18"/>
          <w:szCs w:val="18"/>
          <w:b w:val="1"/>
          <w:bCs w:val="1"/>
          <w:u w:val="single" w:color="auto"/>
          <w:color w:val="0000FF"/>
        </w:rPr>
        <w:t>2026</w:t>
      </w:r>
      <w:r>
        <w:rPr>
          <w:rFonts w:ascii="Times New Roman" w:cs="Times New Roman" w:eastAsia="Times New Roman" w:hAnsi="Times New Roman"/>
          <w:sz w:val="18"/>
          <w:szCs w:val="18"/>
          <w:color w:val="auto"/>
        </w:rPr>
        <w:t xml:space="preserve"> with respect to the syndication of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provided herein.</w:t>
      </w:r>
    </w:p>
    <w:p>
      <w:pPr>
        <w:spacing w:after="0" w:line="159"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as defined in the preamble hereto, including any Incremental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the context otherwise requires, each reference herein to the Lenders shall be deemed to include any Conduit Lender, the Swingline Lenders and the Issuing Lenders.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as defined in Section 3.1(a).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as defined in Section 3.1(a).</w:t>
      </w:r>
    </w:p>
    <w:p>
      <w:pPr>
        <w:spacing w:after="0" w:line="22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right="3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any acquisition by the Borrower or one or more of its Subsidiaries permitted pursuant to this Agreement whose consummation is not conditioned on the availability of, or on obtaining, third party financing and which is designated as a Limited Condition Acquisition by the Borrower or such Subsidiary in writing to the Administrative Agent (and the Administrative Agent shall promptly provide such written designation to the Lenders).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any loan made by any Lender pursuant to this Agreement.</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Security Documents, the Parent Guarantee, the Notes and any amendment, waiver, supplement or other modification to any of the foregoing (including any Incremental Commitment Agreement).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each Group Member that is a party to a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“Loan Party” and “Loan Parties” as used in Sections 6, 7 and 8 shall not include ABG except as otherwise provided therein.</w:t>
      </w:r>
    </w:p>
    <w:p>
      <w:pPr>
        <w:spacing w:after="0" w:line="162"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xml:space="preserve">”: with respect to any Facility, the holders of more than 50% of the aggregate unpaid principal amount of the relevant Term Loans or the Total Revolving Extensions of Credit, as the case may be, outstanding under such Facility (or, in the case of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auto"/>
        </w:rPr>
        <w:t xml:space="preserve"> Revolving Facility, prior to any termination of the Revolving Commitments </w:t>
      </w:r>
      <w:r>
        <w:rPr>
          <w:rFonts w:ascii="Times New Roman" w:cs="Times New Roman" w:eastAsia="Times New Roman" w:hAnsi="Times New Roman"/>
          <w:sz w:val="18"/>
          <w:szCs w:val="18"/>
          <w:b w:val="1"/>
          <w:bCs w:val="1"/>
          <w:u w:val="single" w:color="auto"/>
          <w:color w:val="0000FF"/>
        </w:rPr>
        <w:t>under such Revolving Facility</w:t>
      </w:r>
      <w:r>
        <w:rPr>
          <w:rFonts w:ascii="Times New Roman" w:cs="Times New Roman" w:eastAsia="Times New Roman" w:hAnsi="Times New Roman"/>
          <w:sz w:val="18"/>
          <w:szCs w:val="18"/>
          <w:color w:val="auto"/>
        </w:rPr>
        <w:t xml:space="preserve">, the holders of more than 50% of the Total Revolving Commitments </w:t>
      </w:r>
      <w:r>
        <w:rPr>
          <w:rFonts w:ascii="Times New Roman" w:cs="Times New Roman" w:eastAsia="Times New Roman" w:hAnsi="Times New Roman"/>
          <w:sz w:val="18"/>
          <w:szCs w:val="18"/>
          <w:b w:val="1"/>
          <w:bCs w:val="1"/>
          <w:u w:val="single" w:color="auto"/>
          <w:color w:val="0000FF"/>
        </w:rPr>
        <w:t>in respect of such Revolving Facility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as defined in the definition of “Consolidated EBITDA”.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any event, development or circumstance that has had or could reasonably be expected to have a material adverse effect on (i) the business, operations, property or condition (financial or otherwise) of the Borrower and its Subsidiaries taken as a whole (it being understood that a bankruptcy filing by, or change in the actual or perceived credit quality of, or work stoppage affecting any “big three” auto manufacturer shall not constitute a Material Adverse Effect so long as such “big three” auto manufacturer has not failed to perform its material performance obligations owed to the Borrower or any of its Subsidiaries) or (ii) the validity or enforceability of this Agreement or any of the other Loan Documents or the rights and remedies of the Administrative Agent or the Lenders hereunder or thereunder.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as defined in the definition of “Consolidated EBITDA”.</w:t>
      </w:r>
    </w:p>
    <w:p>
      <w:pPr>
        <w:spacing w:after="0" w:line="225"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2"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“Material Intellectual Property” shall mean, as of any date of determination, Intellectual Property that is owned by and used in the business of any Loan Party on such date, which is material to the business of the Borrower and its Subsidiaries, taken as a whole (as determined by the Borrower in good faith).</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Facilities Amount</w:t>
      </w:r>
      <w:r>
        <w:rPr>
          <w:rFonts w:ascii="Times New Roman" w:cs="Times New Roman" w:eastAsia="Times New Roman" w:hAnsi="Times New Roman"/>
          <w:sz w:val="18"/>
          <w:szCs w:val="18"/>
          <w:color w:val="auto"/>
        </w:rPr>
        <w:t>”: as defined in Section 2.23.</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State</w:t>
      </w:r>
      <w:r>
        <w:rPr>
          <w:rFonts w:ascii="Times New Roman" w:cs="Times New Roman" w:eastAsia="Times New Roman" w:hAnsi="Times New Roman"/>
          <w:sz w:val="18"/>
          <w:szCs w:val="18"/>
          <w:color w:val="auto"/>
        </w:rPr>
        <w:t>”: a country which is a current member of the Organization for Economic Co-operation and Development and reasonably acceptable to the Administrative Agent.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MLPFS</w:t>
      </w:r>
      <w:r>
        <w:rPr>
          <w:rFonts w:ascii="Times New Roman" w:cs="Times New Roman" w:eastAsia="Times New Roman" w:hAnsi="Times New Roman"/>
          <w:sz w:val="18"/>
          <w:szCs w:val="18"/>
          <w:color w:val="auto"/>
        </w:rPr>
        <w:t>”: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as defined in Section 2.26(b).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the real properties listed on Part I of Schedule 1.1F, as to which the Administrative Agent for the benefit of the Lenders shall be granted a Lien pursuant to the Mortgages (it being understood that in no event shall the Mortgaged Properties be deemed to include the Excluded Parcels.</w:t>
      </w:r>
    </w:p>
    <w:p>
      <w:pPr>
        <w:spacing w:after="0" w:line="176"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each of the mortgages and deeds of trust made by any Loan Party (other than ABG) in favor of, or for the benefit of, the Administrative Agent for the benefit of the Lenders pursuant to the requirements of this Agreement (and with respect to mortgages and deeds of trust made in accordance with Section 6.9(d), in form and substance substantially the same as the mortgages and deeds of trust that covered the Existing Mortgaged Property under the Existing Credit Agreement (with such changes thereto as the Administrative Agent may approve or as shall be advisable under the law of the jurisdiction in which such mortgage or deed of trust is to be recorded)) under which a Lien is granted on such real property and fixtures described therein, in each case as amended, supplemented, amended and restated or otherwise modified from time to time.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 Plan that is a multiemployer plan as defined in Section 4001(a)(3) of ERISA.</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xml:space="preserve">”: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fees and expenses actually incurred in connection therewith and net of taxes paid or reasonably estimated to be payable as a result thereof (after taking into account any available tax credits or deductions and any tax sharing arrangements, to the extent such tax credits or deductions or tax sharing arrangements are utilized),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in the case of an Asset Sale, any reserve established, in accordance with GAAP, in respect of (x) any potential adjustment in the sale price of such asset or assets and (y) any liabilities associated with such assets or asset and retained by Holdings, the Borrower or any Subsidiary after such sale or other disposition thereof, including pension and other post-employment benefit liabilities and liabilities related to environmental matters or with respect to any indemnification obligations associated with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reversal (without the satisfaction of any applicable liabilities in cash in a corresponding amount) of any such reserve, the amount of such reserve shall constitute Net Cash Proceeds),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Zealand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NZ$</w:t>
      </w:r>
      <w:r>
        <w:rPr>
          <w:rFonts w:ascii="Times New Roman" w:cs="Times New Roman" w:eastAsia="Times New Roman" w:hAnsi="Times New Roman"/>
          <w:sz w:val="18"/>
          <w:szCs w:val="18"/>
          <w:color w:val="auto"/>
        </w:rPr>
        <w:t>”: the lawful money of New Zealand.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Ninth Amendment</w:t>
      </w:r>
      <w:r>
        <w:rPr>
          <w:rFonts w:ascii="Times New Roman" w:cs="Times New Roman" w:eastAsia="Times New Roman" w:hAnsi="Times New Roman"/>
          <w:sz w:val="18"/>
          <w:szCs w:val="18"/>
          <w:color w:val="auto"/>
        </w:rPr>
        <w:t>”: the Ninth Amendment, dated as of the Ninth Amendment Effective Date,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Ninth Amendment Effective Date</w:t>
      </w:r>
      <w:r>
        <w:rPr>
          <w:rFonts w:ascii="Times New Roman" w:cs="Times New Roman" w:eastAsia="Times New Roman" w:hAnsi="Times New Roman"/>
          <w:sz w:val="18"/>
          <w:szCs w:val="18"/>
          <w:color w:val="auto"/>
        </w:rPr>
        <w:t>”: the “Ninth Amendment Effective Date”, as defined in the Ninth Amendment, which date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as defined in Section 2.19(a).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as defined in Section 3.1(a).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as defined in Section 2.19(e).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collective reference to any promissory note evidencing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the Federal Reserve Bank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08000"/>
          <w:strike w:val="1"/>
        </w:rPr>
        <w:t>“</w:t>
      </w:r>
      <w:r>
        <w:rPr>
          <w:rFonts w:ascii="Times New Roman" w:cs="Times New Roman" w:eastAsia="Times New Roman" w:hAnsi="Times New Roman"/>
          <w:sz w:val="18"/>
          <w:szCs w:val="18"/>
          <w:u w:val="single" w:color="auto"/>
          <w:color w:val="008000"/>
          <w:strike w:val="1"/>
        </w:rPr>
        <w:t>NYFRB’s Website</w:t>
      </w:r>
      <w:r>
        <w:rPr>
          <w:rFonts w:ascii="Times New Roman" w:cs="Times New Roman" w:eastAsia="Times New Roman" w:hAnsi="Times New Roman"/>
          <w:sz w:val="18"/>
          <w:szCs w:val="18"/>
          <w:color w:val="008000"/>
          <w:strike w:val="1"/>
        </w:rPr>
        <w:t>”: the website of the NYFRB at http://www.newyorkfed.org, or any successor source.</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to the Administrative Agent from a Federal funds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4" w:name="page75"/>
    <w:bookmarkEnd w:id="74"/>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8000"/>
        </w:rPr>
        <w:t>“NYFRB’s Website”: the website of the NYFRB at http://www.newyorkfed.org, or any successor source.</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or any Subsidiary Borrower, whether or not a claim for post-filing or post-petition interest is allowed in such proceeding) the Loans, any reimbursement obligations or letter of credit fees under any Ancillary Letter of Credit Facility Documents and all other obligations and liabilities of the Borrower and each Subsidiary Borrower to any Agent or Lender (or, in the case of Specified Swap Agreements and Specified Cash Management Agreements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Ancillary Letter of Credit Facility Documents </w:t>
      </w:r>
      <w:r>
        <w:rPr>
          <w:rFonts w:ascii="Times New Roman" w:cs="Times New Roman" w:eastAsia="Times New Roman" w:hAnsi="Times New Roman"/>
          <w:sz w:val="18"/>
          <w:szCs w:val="18"/>
          <w:b w:val="1"/>
          <w:bCs w:val="1"/>
          <w:u w:val="single" w:color="auto"/>
          <w:color w:val="0000FF"/>
        </w:rPr>
        <w:t>and Supply Chain Finance Documents</w:t>
      </w:r>
      <w:r>
        <w:rPr>
          <w:rFonts w:ascii="Times New Roman" w:cs="Times New Roman" w:eastAsia="Times New Roman" w:hAnsi="Times New Roman"/>
          <w:sz w:val="18"/>
          <w:szCs w:val="18"/>
          <w:color w:val="auto"/>
        </w:rPr>
        <w:t>, any affiliate of any Agent or Lender, in each case, at the time such agreement was entered into),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 any Ancillary Letter of Credit Facility Documents</w:t>
      </w:r>
      <w:r>
        <w:rPr>
          <w:rFonts w:ascii="Times New Roman" w:cs="Times New Roman" w:eastAsia="Times New Roman" w:hAnsi="Times New Roman"/>
          <w:sz w:val="18"/>
          <w:szCs w:val="18"/>
          <w:b w:val="1"/>
          <w:bCs w:val="1"/>
          <w:u w:val="single" w:color="auto"/>
          <w:color w:val="0000FF"/>
        </w:rPr>
        <w:t>, any Supply Chain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Documents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any other document made, delivered or given in connection herewith or therewith, whether on account of principal, interest, reimbursement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obligations, swap coupon or termination payments, fees or indemnities, or reasonable out-of-pocket costs or expenses (including reasonable out-of-pocket fees, charges and disbursements of counsel to the Administrative Agent or to any Lender that are required to be paid by the Borrower or any Subsidiary Borrower pursuant hereto) or otherwise.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is defined in Section 2.23.</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Currency</w:t>
      </w:r>
      <w:r>
        <w:rPr>
          <w:rFonts w:ascii="Times New Roman" w:cs="Times New Roman" w:eastAsia="Times New Roman" w:hAnsi="Times New Roman"/>
          <w:sz w:val="18"/>
          <w:szCs w:val="18"/>
          <w:color w:val="auto"/>
        </w:rPr>
        <w:t xml:space="preserve">”: at any time, Australian Dollars, Canadian Dollars, Euro, New Zealand Dollars, Pounds Sterling and such other currencies which are convertible into Dollars and are freely traded and readily available and are approved by the Administrative Agent, each Issuing </w:t>
      </w:r>
      <w:r>
        <w:rPr>
          <w:rFonts w:ascii="Times New Roman" w:cs="Times New Roman" w:eastAsia="Times New Roman" w:hAnsi="Times New Roman"/>
          <w:sz w:val="18"/>
          <w:szCs w:val="18"/>
          <w:color w:val="FF0000"/>
          <w:strike w:val="1"/>
        </w:rPr>
        <w:t>Bank</w:t>
      </w:r>
      <w:r>
        <w:rPr>
          <w:rFonts w:ascii="Times New Roman" w:cs="Times New Roman" w:eastAsia="Times New Roman" w:hAnsi="Times New Roman"/>
          <w:sz w:val="18"/>
          <w:szCs w:val="18"/>
          <w:b w:val="1"/>
          <w:bCs w:val="1"/>
          <w:u w:val="single" w:color="auto"/>
          <w:color w:val="0000FF"/>
        </w:rPr>
        <w:t>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requested to issue a Letter of Credit denominated in such currency and each Lender requested to make a Loan denominated in such currency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each case, such approval not to be unreasonably withheld).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as defined in Section 10.13.</w:t>
      </w:r>
    </w:p>
    <w:p>
      <w:pPr>
        <w:spacing w:after="0" w:line="225" w:lineRule="exact"/>
        <w:rPr>
          <w:sz w:val="20"/>
          <w:szCs w:val="20"/>
          <w:color w:val="auto"/>
        </w:rPr>
      </w:pPr>
    </w:p>
    <w:p>
      <w:pPr>
        <w:ind w:right="180"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 including any interest, additions to tax or penalties applicable thereto, but excluding, for the avoidance of doubt, any Excluded Taxes.</w:t>
      </w:r>
    </w:p>
    <w:p>
      <w:pPr>
        <w:spacing w:after="0" w:line="158"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for any day, the rate comprised of both overnight federal funds and overnight Term Benchmark borrowings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for any day, (a) with respect to any amount denominated in Dollars, the NYFRB Rate and (b) with respect to any amount denominated in an Optional Currency, an overnight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5" w:name="page76"/>
    <w:bookmarkEnd w:id="75"/>
    <w:p>
      <w:pPr>
        <w:ind w:right="860"/>
        <w:spacing w:after="0" w:line="282" w:lineRule="auto"/>
        <w:rPr>
          <w:sz w:val="20"/>
          <w:szCs w:val="20"/>
          <w:color w:val="auto"/>
        </w:rPr>
      </w:pPr>
      <w:r>
        <w:rPr>
          <w:rFonts w:ascii="Times New Roman" w:cs="Times New Roman" w:eastAsia="Times New Roman" w:hAnsi="Times New Roman"/>
          <w:sz w:val="18"/>
          <w:szCs w:val="18"/>
          <w:color w:val="auto"/>
        </w:rPr>
        <w:t>rate determined by the Administrative Agent or the Issuing Lenders, as the case may be, in accordance with banking industry rules on interbank compensation.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each of ABG, Cendant Finance Holding Company LLC and any other direct or indirect parent of Holdings and the Borrower.</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Expenses</w:t>
      </w:r>
      <w:r>
        <w:rPr>
          <w:rFonts w:ascii="Times New Roman" w:cs="Times New Roman" w:eastAsia="Times New Roman" w:hAnsi="Times New Roman"/>
          <w:sz w:val="18"/>
          <w:szCs w:val="18"/>
          <w:color w:val="auto"/>
        </w:rPr>
        <w:t xml:space="preserve">”: (i) costs (including all professional fees and expenses) incurred by any Parent in connection with its reporting obligations under, or in connection with compliance with, applicable laws or applicable rules of any applicable laws or applicable rules of any governmental, regulatory or self-regulatory body or stock exchange, the Senior Unsecured Note Indenture, or any other agreement or instrument relating to Indebtedness of the Borrower or any Subsidiary Guarantor, including in respect of any reports filed with respect to the Securities Act of 1933, as amended, the Securities Exchange Act of 1934, as amended, or the respective rules and regulations promulgated thereunder, (ii) an aggregate amount not to exceed $5,000,000 in any fiscal year to permit any Parent to pay its corporate overhead expenses incurred in the ordinary course of business, and to pay salaries or other compensation of employees who perform services for any Parent or for such Parent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ABG allocates such overhead among its Subsidiaries in conformity with clause (vi) of this paragraph, (iii) expenses incurred by any Parent in connection with the acquisition, development, maintenance, ownership, prosecution, protection and defense of its Intellectual Property and associated rights to the extent such Intellectual Property and associated rights relate to the business or businesses of the Borrower or any Subsidiary, (iv) indemnification obligations of any Parent owing to directors, officers, employees or other Persons under its charter or by-laws or pursuant to written agreements with any such Person, (v) other operational and tax expenses of any Parent attributable to or incurred on behalf of Holdings, the Borrower and its Subsidiaries in the ordinary course of business, including reimbursement obligations under the Letter of Credit Facilities and including obligations in respect of director and officer insurance (including premiums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operational and tax expenses of any Parent are deemed to be attributable to or incurred on behalf of the Borrower if the Borrower’s and its Subsidiaries’ activities represent substantially all of the operating activities of such Parent and all of its Subsidiaries and (vi) fees and expenses incurred by any Parent in connection with any offering of Capital Stock or Indebtedness, (x) where the net proceeds of such offering are intended to be received by or contributed or loaned to the Borrower or any Subsidiary Guarantor, or (y) in a prorated amount of such expenses in proportion to the amount of such net proceeds intended to be so received, contributed or loaned, or (z) otherwise on an interim basis prior to completion of such offering so long as any Parent shall cause the amount of such expenses to be repaid to the Borrower or the relevant Subsidiary Guarantor out of the proceeds of such offering promptly if completed.</w:t>
      </w:r>
    </w:p>
    <w:p>
      <w:pPr>
        <w:spacing w:after="0" w:line="189"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Guarantee</w:t>
      </w:r>
      <w:r>
        <w:rPr>
          <w:rFonts w:ascii="Times New Roman" w:cs="Times New Roman" w:eastAsia="Times New Roman" w:hAnsi="Times New Roman"/>
          <w:sz w:val="18"/>
          <w:szCs w:val="18"/>
          <w:color w:val="auto"/>
        </w:rPr>
        <w:t>”: the Guarantee Agreement, dated as of August 2, 2013, between ABG and the Administrative Agent, as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as defined in Section 10.6(c).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as defined in Section 10.6(c)(i).</w:t>
      </w:r>
    </w:p>
    <w:p>
      <w:pPr>
        <w:spacing w:after="0" w:line="225"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as defined in Section 9.8.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as defined in Section 9.8.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established pursuant to Subtitle A of Title IV of ERISA (or any successor).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as defined in the definition of “Term CORRA”.</w:t>
      </w:r>
    </w:p>
    <w:p>
      <w:pPr>
        <w:spacing w:after="0" w:line="225"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an acquisition or any series of related acquisitions of (a) all or substantially all of the assets or a majority of the outstanding Capital Stock of any Person or (b) any division, line of business or other business unit of any Person (such Person or such division, line of business or other business unit of such Person shall be referred to herein as the “</w:t>
      </w:r>
      <w:r>
        <w:rPr>
          <w:rFonts w:ascii="Times New Roman" w:cs="Times New Roman" w:eastAsia="Times New Roman" w:hAnsi="Times New Roman"/>
          <w:sz w:val="17"/>
          <w:szCs w:val="17"/>
          <w:u w:val="single" w:color="auto"/>
          <w:color w:val="auto"/>
        </w:rPr>
        <w:t>Target</w:t>
      </w:r>
      <w:r>
        <w:rPr>
          <w:rFonts w:ascii="Times New Roman" w:cs="Times New Roman" w:eastAsia="Times New Roman" w:hAnsi="Times New Roman"/>
          <w:sz w:val="17"/>
          <w:szCs w:val="17"/>
          <w:color w:val="auto"/>
        </w:rPr>
        <w:t>”), in each case that is a type of business (or assets used in a type of business) permitted to be engaged in by the Borrower and its Subsidiaries pursuant to Section 7.13, so long as (i) after giving effect to such acquisition (including any financing therefor), no Default or Event of Default shall then exist or would exist after giving effect thereto, (ii) if the purchase price is greater than $50,000,000, the Borrower shall demonstrate to the reasonable satisfaction of the Administrative Agent (which calculations and information provided to the Administrative Agent shall be made available to the Lenders) that, after giving effect to the acquisition on a pro forma basis, the Borrower is in compliance with the financial covenant set forth in Section 7.1 as of the most recently ended fiscal quarter for which financial statements have been delivered hereunder, (iii) the Borrower shall have taken such actions as are required of it under the terms of Section 6.9 with respect to such acquisition and the Target, if it has not merged with any Loan Party (other than ABG), shall have taken such actions as are required of it under the terms of Section 6.9 and</w:t>
      </w:r>
    </w:p>
    <w:p>
      <w:pPr>
        <w:spacing w:after="0" w:line="4" w:lineRule="exact"/>
        <w:rPr>
          <w:sz w:val="20"/>
          <w:szCs w:val="20"/>
          <w:color w:val="auto"/>
        </w:rPr>
      </w:pPr>
    </w:p>
    <w:p>
      <w:pPr>
        <w:jc w:val="both"/>
        <w:ind w:right="120" w:firstLine="8"/>
        <w:spacing w:after="0" w:line="253" w:lineRule="auto"/>
        <w:tabs>
          <w:tab w:leader="none" w:pos="3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acquisition is, in whole or in part, funded by the proceeds of any Revolving Loans, such acquisition shall not be a “hostile” acquisition and shall have been approved by the board of directors and/or shareholders of the applicable Loan Party (other than ABG) and the Target;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satisfaction of the conditions set forth in clauses (i) and (ii) above may, at the option of the Borrower, be determined solely as of the date on which the definitive agreement governing such acquisition is executed, calculated to give pro forma effect to such acquisition as if it had occurred on such date of determination.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any Lien permitted by Section 7.3.</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any Indebtedness or Capital Stock issued in exchange for, or for the purpose of applying the net proceeds thereof to extend, refinance, renew, replace, defease or refund other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1960" w:right="24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Indebtedness does not exceed the principal amount (or accreted value, if applicable) of the Indebtedness so extended, refinanced, renewed, replaced, defeased or refunded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interest thereon and the amount of all fees, expenses and premiums incurred in connection therewith);</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has a final maturity date later than the final maturity date of, and has a weighted average life to maturity equal to or greater than the weighted average life to maturity of, the Indebtedness being extended, refinanced, renewed, replaced, defeased or refunded; and</w:t>
      </w:r>
    </w:p>
    <w:p>
      <w:pPr>
        <w:spacing w:after="0" w:line="175" w:lineRule="exact"/>
        <w:rPr>
          <w:rFonts w:ascii="Times New Roman" w:cs="Times New Roman" w:eastAsia="Times New Roman" w:hAnsi="Times New Roman"/>
          <w:sz w:val="18"/>
          <w:szCs w:val="18"/>
          <w:color w:val="auto"/>
        </w:rPr>
      </w:pPr>
    </w:p>
    <w:p>
      <w:pPr>
        <w:ind w:left="1960" w:right="700" w:hanging="656"/>
        <w:spacing w:after="0" w:line="312" w:lineRule="auto"/>
        <w:tabs>
          <w:tab w:leader="none" w:pos="19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is incurred by the obligor (or obligors, including any guarantor thereof that is a Guarantor) on the Indebtedness being extended, refinanced, renewed, replaced, defeased or refunded, the Borrower or any Foreign Issuer.</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Pounds 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lawful money of the United Kingdom.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as defined in Section 2.11(d).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Date</w:t>
      </w:r>
      <w:r>
        <w:rPr>
          <w:rFonts w:ascii="Times New Roman" w:cs="Times New Roman" w:eastAsia="Times New Roman" w:hAnsi="Times New Roman"/>
          <w:sz w:val="18"/>
          <w:szCs w:val="18"/>
          <w:color w:val="auto"/>
        </w:rPr>
        <w:t>”: as defined in Section 2.11(d).</w:t>
      </w:r>
    </w:p>
    <w:p>
      <w:pPr>
        <w:spacing w:after="0" w:line="22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Grid</w:t>
      </w:r>
      <w:r>
        <w:rPr>
          <w:rFonts w:ascii="Times New Roman" w:cs="Times New Roman" w:eastAsia="Times New Roman" w:hAnsi="Times New Roman"/>
          <w:sz w:val="18"/>
          <w:szCs w:val="18"/>
          <w:color w:val="auto"/>
        </w:rPr>
        <w:t>”: with respect to (i) Revolving Loans and Revolving Commitments, the table set forth in clause (a) or clause (b) below that, at such time, would result in the lower Applicable Margin and Commitment Fee and (ii) the Tranche A Term Loans, the table set forth in clause (c) or clause (d) below that, at such time, would result in the lower Applicable Margin: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260" w:type="dxa"/>
            <w:vAlign w:val="bottom"/>
            <w:tcBorders>
              <w:top w:val="single" w:sz="8" w:color="auto"/>
              <w:right w:val="single" w:sz="8" w:color="auto"/>
            </w:tcBorders>
            <w:shd w:val="clear" w:color="auto" w:fill="BFBFBF"/>
          </w:tcPr>
          <w:p>
            <w:pPr>
              <w:spacing w:after="0"/>
              <w:rPr>
                <w:sz w:val="18"/>
                <w:szCs w:val="18"/>
                <w:color w:val="auto"/>
              </w:rPr>
            </w:pPr>
          </w:p>
        </w:tc>
        <w:tc>
          <w:tcPr>
            <w:tcW w:w="1340" w:type="dxa"/>
            <w:vAlign w:val="bottom"/>
            <w:tcBorders>
              <w:top w:val="single" w:sz="8" w:color="auto"/>
              <w:right w:val="single" w:sz="8" w:color="auto"/>
            </w:tcBorders>
            <w:shd w:val="clear" w:color="auto" w:fill="BFBFBF"/>
          </w:tcPr>
          <w:p>
            <w:pPr>
              <w:spacing w:after="0"/>
              <w:rPr>
                <w:sz w:val="18"/>
                <w:szCs w:val="18"/>
                <w:color w:val="auto"/>
              </w:rPr>
            </w:pPr>
          </w:p>
        </w:tc>
        <w:tc>
          <w:tcPr>
            <w:tcW w:w="1240" w:type="dxa"/>
            <w:vAlign w:val="bottom"/>
            <w:tcBorders>
              <w:top w:val="single" w:sz="8" w:color="auto"/>
              <w:right w:val="single" w:sz="8" w:color="auto"/>
            </w:tcBorders>
            <w:shd w:val="clear" w:color="auto" w:fill="BFBFBF"/>
          </w:tcPr>
          <w:p>
            <w:pPr>
              <w:spacing w:after="0"/>
              <w:rPr>
                <w:sz w:val="18"/>
                <w:szCs w:val="18"/>
                <w:color w:val="auto"/>
              </w:rPr>
            </w:pPr>
          </w:p>
        </w:tc>
        <w:tc>
          <w:tcPr>
            <w:tcW w:w="260" w:type="dxa"/>
            <w:vAlign w:val="bottom"/>
            <w:tcBorders>
              <w:top w:val="single" w:sz="8" w:color="auto"/>
            </w:tcBorders>
            <w:shd w:val="clear" w:color="auto" w:fill="FFDEAD"/>
          </w:tcPr>
          <w:p>
            <w:pPr>
              <w:spacing w:after="0"/>
              <w:rPr>
                <w:sz w:val="18"/>
                <w:szCs w:val="18"/>
                <w:color w:val="auto"/>
              </w:rPr>
            </w:pPr>
          </w:p>
        </w:tc>
        <w:tc>
          <w:tcPr>
            <w:tcW w:w="180" w:type="dxa"/>
            <w:vAlign w:val="bottom"/>
            <w:tcBorders>
              <w:top w:val="single" w:sz="8" w:color="auto"/>
            </w:tcBorders>
            <w:shd w:val="clear" w:color="auto" w:fill="FFDEAD"/>
          </w:tcPr>
          <w:p>
            <w:pPr>
              <w:spacing w:after="0"/>
              <w:rPr>
                <w:sz w:val="18"/>
                <w:szCs w:val="18"/>
                <w:color w:val="auto"/>
              </w:rPr>
            </w:pPr>
          </w:p>
        </w:tc>
        <w:tc>
          <w:tcPr>
            <w:tcW w:w="420" w:type="dxa"/>
            <w:vAlign w:val="bottom"/>
            <w:tcBorders>
              <w:top w:val="single" w:sz="8" w:color="auto"/>
            </w:tcBorders>
            <w:shd w:val="clear" w:color="auto" w:fill="FFDEAD"/>
          </w:tcPr>
          <w:p>
            <w:pPr>
              <w:spacing w:after="0"/>
              <w:rPr>
                <w:sz w:val="18"/>
                <w:szCs w:val="18"/>
                <w:color w:val="auto"/>
              </w:rPr>
            </w:pPr>
          </w:p>
        </w:tc>
        <w:tc>
          <w:tcPr>
            <w:tcW w:w="180" w:type="dxa"/>
            <w:vAlign w:val="bottom"/>
            <w:tcBorders>
              <w:top w:val="single" w:sz="8" w:color="auto"/>
            </w:tcBorders>
            <w:shd w:val="clear" w:color="auto" w:fill="FFDEAD"/>
          </w:tcPr>
          <w:p>
            <w:pPr>
              <w:spacing w:after="0"/>
              <w:rPr>
                <w:sz w:val="18"/>
                <w:szCs w:val="18"/>
                <w:color w:val="auto"/>
              </w:rPr>
            </w:pPr>
          </w:p>
        </w:tc>
        <w:tc>
          <w:tcPr>
            <w:tcW w:w="300" w:type="dxa"/>
            <w:vAlign w:val="bottom"/>
            <w:tcBorders>
              <w:top w:val="single" w:sz="8" w:color="auto"/>
              <w:right w:val="single" w:sz="8" w:color="auto"/>
            </w:tcBorders>
            <w:shd w:val="clear" w:color="auto" w:fill="FFDEAD"/>
          </w:tcPr>
          <w:p>
            <w:pPr>
              <w:spacing w:after="0"/>
              <w:rPr>
                <w:sz w:val="18"/>
                <w:szCs w:val="18"/>
                <w:color w:val="auto"/>
              </w:rPr>
            </w:pPr>
          </w:p>
        </w:tc>
        <w:tc>
          <w:tcPr>
            <w:tcW w:w="1120" w:type="dxa"/>
            <w:vAlign w:val="bottom"/>
            <w:tcBorders>
              <w:top w:val="single" w:sz="8" w:color="auto"/>
              <w:right w:val="single" w:sz="8" w:color="auto"/>
            </w:tcBorders>
            <w:gridSpan w:val="5"/>
            <w:shd w:val="clear" w:color="auto" w:fill="BFBFBF"/>
          </w:tcPr>
          <w:p>
            <w:pPr>
              <w:spacing w:after="0"/>
              <w:rPr>
                <w:sz w:val="20"/>
                <w:szCs w:val="20"/>
                <w:color w:val="auto"/>
              </w:rPr>
            </w:pPr>
            <w:r>
              <w:rPr>
                <w:rFonts w:ascii="Times New Roman" w:cs="Times New Roman" w:eastAsia="Times New Roman" w:hAnsi="Times New Roman"/>
                <w:sz w:val="18"/>
                <w:szCs w:val="18"/>
                <w:color w:val="auto"/>
              </w:rPr>
              <w:t>Applicable</w:t>
            </w:r>
          </w:p>
        </w:tc>
        <w:tc>
          <w:tcPr>
            <w:tcW w:w="140" w:type="dxa"/>
            <w:vAlign w:val="bottom"/>
            <w:tcBorders>
              <w:top w:val="single" w:sz="8" w:color="auto"/>
            </w:tcBorders>
            <w:shd w:val="clear" w:color="auto" w:fill="FFDEAD"/>
          </w:tcPr>
          <w:p>
            <w:pPr>
              <w:spacing w:after="0"/>
              <w:rPr>
                <w:sz w:val="18"/>
                <w:szCs w:val="18"/>
                <w:color w:val="auto"/>
              </w:rPr>
            </w:pPr>
          </w:p>
        </w:tc>
        <w:tc>
          <w:tcPr>
            <w:tcW w:w="1140" w:type="dxa"/>
            <w:vAlign w:val="bottom"/>
            <w:tcBorders>
              <w:top w:val="single" w:sz="8" w:color="auto"/>
            </w:tcBorders>
            <w:shd w:val="clear" w:color="auto" w:fill="FFDEAD"/>
          </w:tcPr>
          <w:p>
            <w:pPr>
              <w:spacing w:after="0"/>
              <w:rPr>
                <w:sz w:val="18"/>
                <w:szCs w:val="18"/>
                <w:color w:val="auto"/>
              </w:rPr>
            </w:pPr>
          </w:p>
        </w:tc>
        <w:tc>
          <w:tcPr>
            <w:tcW w:w="160" w:type="dxa"/>
            <w:vAlign w:val="bottom"/>
            <w:tcBorders>
              <w:top w:val="single" w:sz="8" w:color="auto"/>
              <w:right w:val="single" w:sz="8" w:color="auto"/>
            </w:tcBorders>
            <w:shd w:val="clear" w:color="auto" w:fill="FFDEAD"/>
          </w:tcPr>
          <w:p>
            <w:pPr>
              <w:spacing w:after="0"/>
              <w:rPr>
                <w:sz w:val="18"/>
                <w:szCs w:val="18"/>
                <w:color w:val="auto"/>
              </w:rPr>
            </w:pPr>
          </w:p>
        </w:tc>
        <w:tc>
          <w:tcPr>
            <w:tcW w:w="1340" w:type="dxa"/>
            <w:vAlign w:val="bottom"/>
            <w:tcBorders>
              <w:top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shd w:val="clear" w:color="auto" w:fill="BFBFBF"/>
          </w:tcPr>
          <w:p>
            <w:pPr>
              <w:spacing w:after="0"/>
              <w:rPr>
                <w:sz w:val="18"/>
                <w:szCs w:val="18"/>
                <w:color w:val="auto"/>
              </w:rPr>
            </w:pPr>
          </w:p>
        </w:tc>
        <w:tc>
          <w:tcPr>
            <w:tcW w:w="22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1240" w:type="dxa"/>
            <w:vAlign w:val="bottom"/>
            <w:tcBorders>
              <w:right w:val="single" w:sz="8" w:color="auto"/>
            </w:tcBorders>
            <w:shd w:val="clear" w:color="auto" w:fill="BFBFBF"/>
          </w:tcPr>
          <w:p>
            <w:pPr>
              <w:spacing w:after="0"/>
              <w:rPr>
                <w:sz w:val="18"/>
                <w:szCs w:val="18"/>
                <w:color w:val="auto"/>
              </w:rPr>
            </w:pPr>
          </w:p>
        </w:tc>
        <w:tc>
          <w:tcPr>
            <w:tcW w:w="260" w:type="dxa"/>
            <w:vAlign w:val="bottom"/>
            <w:shd w:val="clear" w:color="auto" w:fill="FFDEAD"/>
          </w:tcPr>
          <w:p>
            <w:pPr>
              <w:spacing w:after="0"/>
              <w:rPr>
                <w:sz w:val="18"/>
                <w:szCs w:val="18"/>
                <w:color w:val="auto"/>
              </w:rPr>
            </w:pPr>
          </w:p>
        </w:tc>
        <w:tc>
          <w:tcPr>
            <w:tcW w:w="180" w:type="dxa"/>
            <w:vAlign w:val="bottom"/>
            <w:shd w:val="clear" w:color="auto" w:fill="FFDEAD"/>
          </w:tcPr>
          <w:p>
            <w:pPr>
              <w:spacing w:after="0"/>
              <w:rPr>
                <w:sz w:val="18"/>
                <w:szCs w:val="18"/>
                <w:color w:val="auto"/>
              </w:rPr>
            </w:pPr>
          </w:p>
        </w:tc>
        <w:tc>
          <w:tcPr>
            <w:tcW w:w="420" w:type="dxa"/>
            <w:vAlign w:val="bottom"/>
            <w:shd w:val="clear" w:color="auto" w:fill="FFDEAD"/>
          </w:tcPr>
          <w:p>
            <w:pPr>
              <w:spacing w:after="0"/>
              <w:rPr>
                <w:sz w:val="18"/>
                <w:szCs w:val="18"/>
                <w:color w:val="auto"/>
              </w:rPr>
            </w:pPr>
          </w:p>
        </w:tc>
        <w:tc>
          <w:tcPr>
            <w:tcW w:w="180" w:type="dxa"/>
            <w:vAlign w:val="bottom"/>
            <w:shd w:val="clear" w:color="auto" w:fill="FFDEAD"/>
          </w:tcPr>
          <w:p>
            <w:pPr>
              <w:spacing w:after="0"/>
              <w:rPr>
                <w:sz w:val="18"/>
                <w:szCs w:val="18"/>
                <w:color w:val="auto"/>
              </w:rPr>
            </w:pPr>
          </w:p>
        </w:tc>
        <w:tc>
          <w:tcPr>
            <w:tcW w:w="300" w:type="dxa"/>
            <w:vAlign w:val="bottom"/>
            <w:tcBorders>
              <w:right w:val="single" w:sz="8" w:color="auto"/>
            </w:tcBorders>
            <w:shd w:val="clear" w:color="auto" w:fill="FFDEAD"/>
          </w:tcPr>
          <w:p>
            <w:pPr>
              <w:spacing w:after="0"/>
              <w:rPr>
                <w:sz w:val="18"/>
                <w:szCs w:val="18"/>
                <w:color w:val="auto"/>
              </w:rPr>
            </w:pPr>
          </w:p>
        </w:tc>
        <w:tc>
          <w:tcPr>
            <w:tcW w:w="1120" w:type="dxa"/>
            <w:vAlign w:val="bottom"/>
            <w:tcBorders>
              <w:right w:val="single" w:sz="8" w:color="auto"/>
            </w:tcBorders>
            <w:gridSpan w:val="5"/>
            <w:shd w:val="clear" w:color="auto" w:fill="BFBFBF"/>
          </w:tcPr>
          <w:p>
            <w:pPr>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FFDEAD"/>
          </w:tcPr>
          <w:p>
            <w:pPr>
              <w:spacing w:after="0"/>
              <w:rPr>
                <w:sz w:val="18"/>
                <w:szCs w:val="18"/>
                <w:color w:val="auto"/>
              </w:rPr>
            </w:pPr>
          </w:p>
        </w:tc>
        <w:tc>
          <w:tcPr>
            <w:tcW w:w="1140" w:type="dxa"/>
            <w:vAlign w:val="bottom"/>
            <w:shd w:val="clear" w:color="auto" w:fill="FFDEAD"/>
          </w:tcPr>
          <w:p>
            <w:pPr>
              <w:spacing w:after="0"/>
              <w:rPr>
                <w:sz w:val="18"/>
                <w:szCs w:val="18"/>
                <w:color w:val="auto"/>
              </w:rPr>
            </w:pPr>
          </w:p>
        </w:tc>
        <w:tc>
          <w:tcPr>
            <w:tcW w:w="160" w:type="dxa"/>
            <w:vAlign w:val="bottom"/>
            <w:tcBorders>
              <w:right w:val="single" w:sz="8" w:color="auto"/>
            </w:tcBorders>
            <w:shd w:val="clear" w:color="auto" w:fill="FFDEAD"/>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Borders>
              <w:left w:val="single" w:sz="8" w:color="auto"/>
              <w:right w:val="single" w:sz="8" w:color="auto"/>
            </w:tcBorders>
            <w:shd w:val="clear" w:color="auto" w:fill="BFBFBF"/>
          </w:tcPr>
          <w:p>
            <w:pPr>
              <w:spacing w:after="0"/>
              <w:rPr>
                <w:sz w:val="20"/>
                <w:szCs w:val="20"/>
                <w:color w:val="auto"/>
              </w:rPr>
            </w:pPr>
          </w:p>
        </w:tc>
        <w:tc>
          <w:tcPr>
            <w:tcW w:w="226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1240" w:type="dxa"/>
            <w:vAlign w:val="bottom"/>
            <w:tcBorders>
              <w:right w:val="single" w:sz="8" w:color="auto"/>
            </w:tcBorders>
            <w:shd w:val="clear" w:color="auto" w:fill="BFBFBF"/>
          </w:tcPr>
          <w:p>
            <w:pPr>
              <w:spacing w:after="0"/>
              <w:rPr>
                <w:sz w:val="20"/>
                <w:szCs w:val="20"/>
                <w:color w:val="auto"/>
              </w:rPr>
            </w:pPr>
          </w:p>
        </w:tc>
        <w:tc>
          <w:tcPr>
            <w:tcW w:w="260" w:type="dxa"/>
            <w:vAlign w:val="bottom"/>
            <w:shd w:val="clear" w:color="auto" w:fill="FFDEAD"/>
          </w:tcPr>
          <w:p>
            <w:pPr>
              <w:spacing w:after="0"/>
              <w:rPr>
                <w:sz w:val="20"/>
                <w:szCs w:val="20"/>
                <w:color w:val="auto"/>
              </w:rPr>
            </w:pPr>
          </w:p>
        </w:tc>
        <w:tc>
          <w:tcPr>
            <w:tcW w:w="180" w:type="dxa"/>
            <w:vAlign w:val="bottom"/>
            <w:shd w:val="clear" w:color="auto" w:fill="FFDEAD"/>
          </w:tcPr>
          <w:p>
            <w:pPr>
              <w:spacing w:after="0"/>
              <w:rPr>
                <w:sz w:val="20"/>
                <w:szCs w:val="20"/>
                <w:color w:val="auto"/>
              </w:rPr>
            </w:pPr>
          </w:p>
        </w:tc>
        <w:tc>
          <w:tcPr>
            <w:tcW w:w="420" w:type="dxa"/>
            <w:vAlign w:val="bottom"/>
            <w:shd w:val="clear" w:color="auto" w:fill="FFDEAD"/>
          </w:tcPr>
          <w:p>
            <w:pPr>
              <w:spacing w:after="0"/>
              <w:rPr>
                <w:sz w:val="20"/>
                <w:szCs w:val="20"/>
                <w:color w:val="auto"/>
              </w:rPr>
            </w:pPr>
          </w:p>
        </w:tc>
        <w:tc>
          <w:tcPr>
            <w:tcW w:w="180" w:type="dxa"/>
            <w:vAlign w:val="bottom"/>
            <w:shd w:val="clear" w:color="auto" w:fill="FFDEAD"/>
          </w:tcPr>
          <w:p>
            <w:pPr>
              <w:spacing w:after="0"/>
              <w:rPr>
                <w:sz w:val="20"/>
                <w:szCs w:val="20"/>
                <w:color w:val="auto"/>
              </w:rPr>
            </w:pPr>
          </w:p>
        </w:tc>
        <w:tc>
          <w:tcPr>
            <w:tcW w:w="300" w:type="dxa"/>
            <w:vAlign w:val="bottom"/>
            <w:tcBorders>
              <w:right w:val="single" w:sz="8" w:color="auto"/>
            </w:tcBorders>
            <w:shd w:val="clear" w:color="auto" w:fill="FFDEAD"/>
          </w:tcPr>
          <w:p>
            <w:pPr>
              <w:spacing w:after="0"/>
              <w:rPr>
                <w:sz w:val="20"/>
                <w:szCs w:val="20"/>
                <w:color w:val="auto"/>
              </w:rPr>
            </w:pPr>
          </w:p>
        </w:tc>
        <w:tc>
          <w:tcPr>
            <w:tcW w:w="340" w:type="dxa"/>
            <w:vAlign w:val="bottom"/>
            <w:shd w:val="clear" w:color="auto" w:fill="BFBFBF"/>
          </w:tcPr>
          <w:p>
            <w:pPr>
              <w:spacing w:after="0" w:line="198" w:lineRule="exact"/>
              <w:rPr>
                <w:sz w:val="20"/>
                <w:szCs w:val="20"/>
                <w:color w:val="auto"/>
              </w:rPr>
            </w:pPr>
            <w:r>
              <w:rPr>
                <w:rFonts w:ascii="Times New Roman" w:cs="Times New Roman" w:eastAsia="Times New Roman" w:hAnsi="Times New Roman"/>
                <w:sz w:val="18"/>
                <w:szCs w:val="18"/>
                <w:color w:val="FF0000"/>
                <w:strike w:val="1"/>
                <w:w w:val="88"/>
              </w:rPr>
              <w:t>CBR</w:t>
            </w:r>
          </w:p>
        </w:tc>
        <w:tc>
          <w:tcPr>
            <w:tcW w:w="780" w:type="dxa"/>
            <w:vAlign w:val="bottom"/>
            <w:tcBorders>
              <w:right w:val="single" w:sz="8" w:color="auto"/>
            </w:tcBorders>
            <w:gridSpan w:val="4"/>
            <w:shd w:val="clear" w:color="auto" w:fill="BFBFBF"/>
          </w:tcPr>
          <w:p>
            <w:pPr>
              <w:jc w:val="center"/>
              <w:ind w:right="400"/>
              <w:spacing w:after="0" w:line="198" w:lineRule="exact"/>
              <w:rPr>
                <w:sz w:val="20"/>
                <w:szCs w:val="20"/>
                <w:color w:val="auto"/>
              </w:rPr>
            </w:pPr>
            <w:r>
              <w:rPr>
                <w:rFonts w:ascii="Times New Roman" w:cs="Times New Roman" w:eastAsia="Times New Roman" w:hAnsi="Times New Roman"/>
                <w:sz w:val="18"/>
                <w:szCs w:val="18"/>
                <w:b w:val="1"/>
                <w:bCs w:val="1"/>
                <w:color w:val="0000FF"/>
              </w:rPr>
              <w:t>RFR</w:t>
            </w:r>
          </w:p>
        </w:tc>
        <w:tc>
          <w:tcPr>
            <w:tcW w:w="140" w:type="dxa"/>
            <w:vAlign w:val="bottom"/>
            <w:shd w:val="clear" w:color="auto" w:fill="FFDEAD"/>
          </w:tcPr>
          <w:p>
            <w:pPr>
              <w:spacing w:after="0"/>
              <w:rPr>
                <w:sz w:val="20"/>
                <w:szCs w:val="20"/>
                <w:color w:val="auto"/>
              </w:rPr>
            </w:pPr>
          </w:p>
        </w:tc>
        <w:tc>
          <w:tcPr>
            <w:tcW w:w="1140" w:type="dxa"/>
            <w:vAlign w:val="bottom"/>
            <w:shd w:val="clear" w:color="auto" w:fill="FFDEAD"/>
          </w:tcPr>
          <w:p>
            <w:pPr>
              <w:spacing w:after="0"/>
              <w:rPr>
                <w:sz w:val="20"/>
                <w:szCs w:val="20"/>
                <w:color w:val="auto"/>
              </w:rPr>
            </w:pPr>
          </w:p>
        </w:tc>
        <w:tc>
          <w:tcPr>
            <w:tcW w:w="160" w:type="dxa"/>
            <w:vAlign w:val="bottom"/>
            <w:tcBorders>
              <w:right w:val="single" w:sz="8" w:color="auto"/>
            </w:tcBorders>
            <w:shd w:val="clear" w:color="auto" w:fill="FFDEAD"/>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60" w:type="dxa"/>
            <w:vAlign w:val="bottom"/>
            <w:tcBorders>
              <w:top w:val="single" w:sz="8" w:color="BFBFBF"/>
              <w:left w:val="single" w:sz="8" w:color="auto"/>
              <w:right w:val="single" w:sz="8" w:color="auto"/>
            </w:tcBorders>
            <w:shd w:val="clear" w:color="auto" w:fill="BFBFBF"/>
          </w:tcPr>
          <w:p>
            <w:pPr>
              <w:spacing w:after="0"/>
              <w:rPr>
                <w:sz w:val="15"/>
                <w:szCs w:val="15"/>
                <w:color w:val="auto"/>
              </w:rPr>
            </w:pPr>
          </w:p>
        </w:tc>
        <w:tc>
          <w:tcPr>
            <w:tcW w:w="2260" w:type="dxa"/>
            <w:vAlign w:val="bottom"/>
            <w:tcBorders>
              <w:top w:val="single" w:sz="8" w:color="BFBFBF"/>
              <w:right w:val="single" w:sz="8" w:color="auto"/>
            </w:tcBorders>
            <w:shd w:val="clear" w:color="auto" w:fill="BFBFBF"/>
          </w:tcPr>
          <w:p>
            <w:pPr>
              <w:spacing w:after="0"/>
              <w:rPr>
                <w:sz w:val="15"/>
                <w:szCs w:val="15"/>
                <w:color w:val="auto"/>
              </w:rPr>
            </w:pPr>
          </w:p>
        </w:tc>
        <w:tc>
          <w:tcPr>
            <w:tcW w:w="1340" w:type="dxa"/>
            <w:vAlign w:val="bottom"/>
            <w:tcBorders>
              <w:top w:val="single" w:sz="8" w:color="BFBFBF"/>
              <w:right w:val="single" w:sz="8" w:color="auto"/>
            </w:tcBorders>
            <w:shd w:val="clear" w:color="auto" w:fill="BFBFBF"/>
          </w:tcPr>
          <w:p>
            <w:pPr>
              <w:spacing w:after="0"/>
              <w:rPr>
                <w:sz w:val="15"/>
                <w:szCs w:val="15"/>
                <w:color w:val="auto"/>
              </w:rPr>
            </w:pPr>
          </w:p>
        </w:tc>
        <w:tc>
          <w:tcPr>
            <w:tcW w:w="1240" w:type="dxa"/>
            <w:vAlign w:val="bottom"/>
            <w:tcBorders>
              <w:top w:val="single" w:sz="8" w:color="BFBFBF"/>
              <w:right w:val="single" w:sz="8" w:color="auto"/>
            </w:tcBorders>
            <w:shd w:val="clear" w:color="auto" w:fill="BFBFBF"/>
          </w:tcPr>
          <w:p>
            <w:pPr>
              <w:spacing w:after="0"/>
              <w:rPr>
                <w:sz w:val="15"/>
                <w:szCs w:val="15"/>
                <w:color w:val="auto"/>
              </w:rPr>
            </w:pPr>
          </w:p>
        </w:tc>
        <w:tc>
          <w:tcPr>
            <w:tcW w:w="260" w:type="dxa"/>
            <w:vAlign w:val="bottom"/>
            <w:tcBorders>
              <w:top w:val="single" w:sz="8" w:color="FFDEAD"/>
            </w:tcBorders>
            <w:shd w:val="clear" w:color="auto" w:fill="FFDEAD"/>
          </w:tcPr>
          <w:p>
            <w:pPr>
              <w:spacing w:after="0"/>
              <w:rPr>
                <w:sz w:val="15"/>
                <w:szCs w:val="15"/>
                <w:color w:val="auto"/>
              </w:rPr>
            </w:pPr>
          </w:p>
        </w:tc>
        <w:tc>
          <w:tcPr>
            <w:tcW w:w="780" w:type="dxa"/>
            <w:vAlign w:val="bottom"/>
            <w:tcBorders>
              <w:top w:val="single" w:sz="8" w:color="FFDEAD"/>
            </w:tcBorders>
            <w:gridSpan w:val="3"/>
            <w:shd w:val="clear" w:color="auto" w:fill="FFDEAD"/>
          </w:tcPr>
          <w:p>
            <w:pPr>
              <w:jc w:val="center"/>
              <w:spacing w:after="0" w:line="178" w:lineRule="exact"/>
              <w:rPr>
                <w:sz w:val="20"/>
                <w:szCs w:val="20"/>
                <w:color w:val="auto"/>
              </w:rPr>
            </w:pPr>
            <w:r>
              <w:rPr>
                <w:rFonts w:ascii="Times New Roman" w:cs="Times New Roman" w:eastAsia="Times New Roman" w:hAnsi="Times New Roman"/>
                <w:sz w:val="18"/>
                <w:szCs w:val="18"/>
                <w:color w:val="FF0000"/>
                <w:strike w:val="1"/>
                <w:w w:val="98"/>
              </w:rPr>
              <w:t>Applicable</w:t>
            </w:r>
          </w:p>
        </w:tc>
        <w:tc>
          <w:tcPr>
            <w:tcW w:w="300" w:type="dxa"/>
            <w:vAlign w:val="bottom"/>
            <w:tcBorders>
              <w:top w:val="single" w:sz="8" w:color="FFDEAD"/>
              <w:right w:val="single" w:sz="8" w:color="auto"/>
            </w:tcBorders>
            <w:shd w:val="clear" w:color="auto" w:fill="FFDEAD"/>
          </w:tcPr>
          <w:p>
            <w:pPr>
              <w:spacing w:after="0"/>
              <w:rPr>
                <w:sz w:val="15"/>
                <w:szCs w:val="15"/>
                <w:color w:val="auto"/>
              </w:rPr>
            </w:pPr>
          </w:p>
        </w:tc>
        <w:tc>
          <w:tcPr>
            <w:tcW w:w="340" w:type="dxa"/>
            <w:vAlign w:val="bottom"/>
            <w:tcBorders>
              <w:top w:val="single" w:sz="8" w:color="BFBFBF"/>
            </w:tcBorders>
            <w:shd w:val="clear" w:color="auto" w:fill="BFBFBF"/>
          </w:tcPr>
          <w:p>
            <w:pPr>
              <w:spacing w:after="0" w:line="178" w:lineRule="exact"/>
              <w:rPr>
                <w:sz w:val="20"/>
                <w:szCs w:val="20"/>
                <w:color w:val="auto"/>
              </w:rPr>
            </w:pPr>
            <w:r>
              <w:rPr>
                <w:rFonts w:ascii="Times New Roman" w:cs="Times New Roman" w:eastAsia="Times New Roman" w:hAnsi="Times New Roman"/>
                <w:sz w:val="18"/>
                <w:szCs w:val="18"/>
                <w:color w:val="auto"/>
                <w:w w:val="72"/>
              </w:rPr>
              <w:t>Loans</w:t>
            </w:r>
          </w:p>
        </w:tc>
        <w:tc>
          <w:tcPr>
            <w:tcW w:w="120" w:type="dxa"/>
            <w:vAlign w:val="bottom"/>
            <w:tcBorders>
              <w:top w:val="single" w:sz="8" w:color="0000FF"/>
            </w:tcBorders>
            <w:shd w:val="clear" w:color="auto" w:fill="BFBFBF"/>
          </w:tcPr>
          <w:p>
            <w:pPr>
              <w:spacing w:after="0"/>
              <w:rPr>
                <w:sz w:val="15"/>
                <w:szCs w:val="15"/>
                <w:color w:val="auto"/>
              </w:rPr>
            </w:pPr>
          </w:p>
        </w:tc>
        <w:tc>
          <w:tcPr>
            <w:tcW w:w="260" w:type="dxa"/>
            <w:vAlign w:val="bottom"/>
            <w:tcBorders>
              <w:top w:val="single" w:sz="8" w:color="0000FF"/>
            </w:tcBorders>
            <w:shd w:val="clear" w:color="auto" w:fill="BFBFBF"/>
          </w:tcPr>
          <w:p>
            <w:pPr>
              <w:jc w:val="center"/>
              <w:ind w:right="30"/>
              <w:spacing w:after="0" w:line="178" w:lineRule="exact"/>
              <w:rPr>
                <w:sz w:val="20"/>
                <w:szCs w:val="20"/>
                <w:color w:val="auto"/>
              </w:rPr>
            </w:pPr>
            <w:r>
              <w:rPr>
                <w:rFonts w:ascii="Times New Roman" w:cs="Times New Roman" w:eastAsia="Times New Roman" w:hAnsi="Times New Roman"/>
                <w:sz w:val="18"/>
                <w:szCs w:val="18"/>
                <w:color w:val="FF0000"/>
                <w:strike w:val="1"/>
                <w:w w:val="99"/>
              </w:rPr>
              <w:t>in</w:t>
            </w:r>
          </w:p>
        </w:tc>
        <w:tc>
          <w:tcPr>
            <w:tcW w:w="40" w:type="dxa"/>
            <w:vAlign w:val="bottom"/>
            <w:tcBorders>
              <w:top w:val="single" w:sz="8" w:color="BFBFBF"/>
            </w:tcBorders>
            <w:shd w:val="clear" w:color="auto" w:fill="BFBFBF"/>
          </w:tcPr>
          <w:p>
            <w:pPr>
              <w:spacing w:after="0"/>
              <w:rPr>
                <w:sz w:val="15"/>
                <w:szCs w:val="15"/>
                <w:color w:val="auto"/>
              </w:rPr>
            </w:pPr>
          </w:p>
        </w:tc>
        <w:tc>
          <w:tcPr>
            <w:tcW w:w="360" w:type="dxa"/>
            <w:vAlign w:val="bottom"/>
            <w:tcBorders>
              <w:top w:val="single" w:sz="8" w:color="BFBFBF"/>
              <w:right w:val="single" w:sz="8" w:color="auto"/>
            </w:tcBorders>
            <w:shd w:val="clear" w:color="auto" w:fill="BFBFBF"/>
          </w:tcPr>
          <w:p>
            <w:pPr>
              <w:spacing w:after="0"/>
              <w:rPr>
                <w:sz w:val="15"/>
                <w:szCs w:val="15"/>
                <w:color w:val="auto"/>
              </w:rPr>
            </w:pPr>
          </w:p>
        </w:tc>
        <w:tc>
          <w:tcPr>
            <w:tcW w:w="1440" w:type="dxa"/>
            <w:vAlign w:val="bottom"/>
            <w:tcBorders>
              <w:top w:val="single" w:sz="8" w:color="FFDEAD"/>
              <w:right w:val="single" w:sz="8" w:color="auto"/>
            </w:tcBorders>
            <w:gridSpan w:val="3"/>
            <w:shd w:val="clear" w:color="auto" w:fill="FFDEAD"/>
          </w:tcPr>
          <w:p>
            <w:pPr>
              <w:jc w:val="center"/>
              <w:ind w:right="40"/>
              <w:spacing w:after="0" w:line="178" w:lineRule="exact"/>
              <w:rPr>
                <w:sz w:val="20"/>
                <w:szCs w:val="20"/>
                <w:color w:val="auto"/>
              </w:rPr>
            </w:pPr>
            <w:r>
              <w:rPr>
                <w:rFonts w:ascii="Times New Roman" w:cs="Times New Roman" w:eastAsia="Times New Roman" w:hAnsi="Times New Roman"/>
                <w:sz w:val="18"/>
                <w:szCs w:val="18"/>
                <w:color w:val="FF0000"/>
                <w:strike w:val="1"/>
                <w:w w:val="99"/>
              </w:rPr>
              <w:t>Applicable Margin</w:t>
            </w:r>
          </w:p>
        </w:tc>
        <w:tc>
          <w:tcPr>
            <w:tcW w:w="1340" w:type="dxa"/>
            <w:vAlign w:val="bottom"/>
            <w:tcBorders>
              <w:top w:val="single" w:sz="8" w:color="BFBFBF"/>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shd w:val="clear" w:color="auto" w:fill="BFBFBF"/>
          </w:tcPr>
          <w:p>
            <w:pPr>
              <w:spacing w:after="0"/>
              <w:rPr>
                <w:sz w:val="18"/>
                <w:szCs w:val="18"/>
                <w:color w:val="auto"/>
              </w:rPr>
            </w:pPr>
          </w:p>
        </w:tc>
        <w:tc>
          <w:tcPr>
            <w:tcW w:w="22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rPr>
              <w:t>Applicable</w:t>
            </w:r>
          </w:p>
        </w:tc>
        <w:tc>
          <w:tcPr>
            <w:tcW w:w="124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5"/>
            <w:shd w:val="clear" w:color="auto" w:fill="FFDEAD"/>
          </w:tcPr>
          <w:p>
            <w:pPr>
              <w:jc w:val="center"/>
              <w:ind w:right="40"/>
              <w:spacing w:after="0"/>
              <w:rPr>
                <w:sz w:val="20"/>
                <w:szCs w:val="20"/>
                <w:color w:val="auto"/>
              </w:rPr>
            </w:pPr>
            <w:r>
              <w:rPr>
                <w:rFonts w:ascii="Times New Roman" w:cs="Times New Roman" w:eastAsia="Times New Roman" w:hAnsi="Times New Roman"/>
                <w:sz w:val="18"/>
                <w:szCs w:val="18"/>
                <w:color w:val="FF0000"/>
                <w:strike w:val="1"/>
                <w:w w:val="98"/>
              </w:rPr>
              <w:t>Margin RFR</w:t>
            </w:r>
          </w:p>
        </w:tc>
        <w:tc>
          <w:tcPr>
            <w:tcW w:w="720" w:type="dxa"/>
            <w:vAlign w:val="bottom"/>
            <w:gridSpan w:val="3"/>
            <w:shd w:val="clear" w:color="auto" w:fill="BFBFBF"/>
          </w:tcPr>
          <w:p>
            <w:pPr>
              <w:spacing w:after="0"/>
              <w:rPr>
                <w:sz w:val="20"/>
                <w:szCs w:val="20"/>
                <w:color w:val="auto"/>
              </w:rPr>
            </w:pPr>
            <w:r>
              <w:rPr>
                <w:rFonts w:ascii="Times New Roman" w:cs="Times New Roman" w:eastAsia="Times New Roman" w:hAnsi="Times New Roman"/>
                <w:sz w:val="18"/>
                <w:szCs w:val="18"/>
                <w:color w:val="FF0000"/>
                <w:strike w:val="1"/>
              </w:rPr>
              <w:t>Agreed</w:t>
            </w:r>
          </w:p>
        </w:tc>
        <w:tc>
          <w:tcPr>
            <w:tcW w:w="40" w:type="dxa"/>
            <w:vAlign w:val="bottom"/>
            <w:shd w:val="clear" w:color="auto" w:fill="BFBFBF"/>
          </w:tcPr>
          <w:p>
            <w:pPr>
              <w:spacing w:after="0"/>
              <w:rPr>
                <w:sz w:val="18"/>
                <w:szCs w:val="18"/>
                <w:color w:val="auto"/>
              </w:rPr>
            </w:pPr>
          </w:p>
        </w:tc>
        <w:tc>
          <w:tcPr>
            <w:tcW w:w="360" w:type="dxa"/>
            <w:vAlign w:val="bottom"/>
            <w:tcBorders>
              <w:right w:val="single" w:sz="8" w:color="auto"/>
            </w:tcBorders>
            <w:shd w:val="clear" w:color="auto" w:fill="BFBFBF"/>
          </w:tcPr>
          <w:p>
            <w:pPr>
              <w:spacing w:after="0"/>
              <w:rPr>
                <w:sz w:val="18"/>
                <w:szCs w:val="18"/>
                <w:color w:val="auto"/>
              </w:rPr>
            </w:pPr>
          </w:p>
        </w:tc>
        <w:tc>
          <w:tcPr>
            <w:tcW w:w="140" w:type="dxa"/>
            <w:vAlign w:val="bottom"/>
            <w:shd w:val="clear" w:color="auto" w:fill="FFDEAD"/>
          </w:tcPr>
          <w:p>
            <w:pPr>
              <w:spacing w:after="0"/>
              <w:rPr>
                <w:sz w:val="18"/>
                <w:szCs w:val="18"/>
                <w:color w:val="auto"/>
              </w:rPr>
            </w:pPr>
          </w:p>
        </w:tc>
        <w:tc>
          <w:tcPr>
            <w:tcW w:w="1140" w:type="dxa"/>
            <w:vAlign w:val="bottom"/>
            <w:shd w:val="clear" w:color="auto" w:fill="FFDEAD"/>
          </w:tcPr>
          <w:p>
            <w:pPr>
              <w:jc w:val="center"/>
              <w:spacing w:after="0"/>
              <w:rPr>
                <w:sz w:val="20"/>
                <w:szCs w:val="20"/>
                <w:color w:val="auto"/>
              </w:rPr>
            </w:pPr>
            <w:r>
              <w:rPr>
                <w:rFonts w:ascii="Times New Roman" w:cs="Times New Roman" w:eastAsia="Times New Roman" w:hAnsi="Times New Roman"/>
                <w:sz w:val="18"/>
                <w:szCs w:val="18"/>
                <w:color w:val="FF0000"/>
                <w:strike w:val="1"/>
                <w:w w:val="98"/>
              </w:rPr>
              <w:t>CBR Loans in</w:t>
            </w:r>
          </w:p>
        </w:tc>
        <w:tc>
          <w:tcPr>
            <w:tcW w:w="160" w:type="dxa"/>
            <w:vAlign w:val="bottom"/>
            <w:tcBorders>
              <w:right w:val="single" w:sz="8" w:color="auto"/>
            </w:tcBorders>
            <w:shd w:val="clear" w:color="auto" w:fill="FFDEAD"/>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shd w:val="clear" w:color="auto" w:fill="BFBFBF"/>
          </w:tcPr>
          <w:p>
            <w:pPr>
              <w:spacing w:after="0"/>
              <w:rPr>
                <w:sz w:val="10"/>
                <w:szCs w:val="10"/>
                <w:color w:val="auto"/>
              </w:rPr>
            </w:pPr>
          </w:p>
        </w:tc>
        <w:tc>
          <w:tcPr>
            <w:tcW w:w="226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vMerge w:val="continue"/>
            <w:shd w:val="clear" w:color="auto" w:fill="BFBFBF"/>
          </w:tcPr>
          <w:p>
            <w:pPr>
              <w:spacing w:after="0"/>
              <w:rPr>
                <w:sz w:val="10"/>
                <w:szCs w:val="10"/>
                <w:color w:val="auto"/>
              </w:rPr>
            </w:pPr>
          </w:p>
        </w:tc>
        <w:tc>
          <w:tcPr>
            <w:tcW w:w="1240" w:type="dxa"/>
            <w:vAlign w:val="bottom"/>
            <w:tcBorders>
              <w:right w:val="single" w:sz="8" w:color="auto"/>
            </w:tcBorders>
            <w:shd w:val="clear" w:color="auto" w:fill="BFBFBF"/>
          </w:tcPr>
          <w:p>
            <w:pPr>
              <w:spacing w:after="0"/>
              <w:rPr>
                <w:sz w:val="10"/>
                <w:szCs w:val="10"/>
                <w:color w:val="auto"/>
              </w:rPr>
            </w:pPr>
          </w:p>
        </w:tc>
        <w:tc>
          <w:tcPr>
            <w:tcW w:w="260" w:type="dxa"/>
            <w:vAlign w:val="bottom"/>
            <w:shd w:val="clear" w:color="auto" w:fill="FFDEAD"/>
          </w:tcPr>
          <w:p>
            <w:pPr>
              <w:spacing w:after="0"/>
              <w:rPr>
                <w:sz w:val="10"/>
                <w:szCs w:val="10"/>
                <w:color w:val="auto"/>
              </w:rPr>
            </w:pPr>
          </w:p>
        </w:tc>
        <w:tc>
          <w:tcPr>
            <w:tcW w:w="180" w:type="dxa"/>
            <w:vAlign w:val="bottom"/>
            <w:shd w:val="clear" w:color="auto" w:fill="FFDEAD"/>
          </w:tcPr>
          <w:p>
            <w:pPr>
              <w:spacing w:after="0"/>
              <w:rPr>
                <w:sz w:val="10"/>
                <w:szCs w:val="10"/>
                <w:color w:val="auto"/>
              </w:rPr>
            </w:pPr>
          </w:p>
        </w:tc>
        <w:tc>
          <w:tcPr>
            <w:tcW w:w="420" w:type="dxa"/>
            <w:vAlign w:val="bottom"/>
            <w:vMerge w:val="restart"/>
            <w:shd w:val="clear" w:color="auto" w:fill="FFDEAD"/>
          </w:tcPr>
          <w:p>
            <w:pPr>
              <w:jc w:val="center"/>
              <w:spacing w:after="0"/>
              <w:rPr>
                <w:sz w:val="20"/>
                <w:szCs w:val="20"/>
                <w:color w:val="auto"/>
              </w:rPr>
            </w:pPr>
            <w:r>
              <w:rPr>
                <w:rFonts w:ascii="Times New Roman" w:cs="Times New Roman" w:eastAsia="Times New Roman" w:hAnsi="Times New Roman"/>
                <w:sz w:val="18"/>
                <w:szCs w:val="18"/>
                <w:color w:val="FF0000"/>
                <w:strike w:val="1"/>
                <w:w w:val="95"/>
              </w:rPr>
              <w:t>Loans</w:t>
            </w:r>
          </w:p>
        </w:tc>
        <w:tc>
          <w:tcPr>
            <w:tcW w:w="180" w:type="dxa"/>
            <w:vAlign w:val="bottom"/>
            <w:shd w:val="clear" w:color="auto" w:fill="FFDEAD"/>
          </w:tcPr>
          <w:p>
            <w:pPr>
              <w:spacing w:after="0"/>
              <w:rPr>
                <w:sz w:val="10"/>
                <w:szCs w:val="10"/>
                <w:color w:val="auto"/>
              </w:rPr>
            </w:pPr>
          </w:p>
        </w:tc>
        <w:tc>
          <w:tcPr>
            <w:tcW w:w="300" w:type="dxa"/>
            <w:vAlign w:val="bottom"/>
            <w:tcBorders>
              <w:right w:val="single" w:sz="8" w:color="auto"/>
            </w:tcBorders>
            <w:shd w:val="clear" w:color="auto" w:fill="FFDEAD"/>
          </w:tcPr>
          <w:p>
            <w:pPr>
              <w:spacing w:after="0"/>
              <w:rPr>
                <w:sz w:val="10"/>
                <w:szCs w:val="10"/>
                <w:color w:val="auto"/>
              </w:rPr>
            </w:pPr>
          </w:p>
        </w:tc>
        <w:tc>
          <w:tcPr>
            <w:tcW w:w="760" w:type="dxa"/>
            <w:vAlign w:val="bottom"/>
            <w:gridSpan w:val="4"/>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FF0000"/>
                <w:strike w:val="1"/>
                <w:w w:val="94"/>
              </w:rPr>
              <w:t>Currencies</w:t>
            </w:r>
          </w:p>
        </w:tc>
        <w:tc>
          <w:tcPr>
            <w:tcW w:w="360" w:type="dxa"/>
            <w:vAlign w:val="bottom"/>
            <w:tcBorders>
              <w:right w:val="single" w:sz="8" w:color="auto"/>
            </w:tcBorders>
            <w:shd w:val="clear" w:color="auto" w:fill="BFBFBF"/>
          </w:tcPr>
          <w:p>
            <w:pPr>
              <w:spacing w:after="0"/>
              <w:rPr>
                <w:sz w:val="10"/>
                <w:szCs w:val="10"/>
                <w:color w:val="auto"/>
              </w:rPr>
            </w:pPr>
          </w:p>
        </w:tc>
        <w:tc>
          <w:tcPr>
            <w:tcW w:w="140" w:type="dxa"/>
            <w:vAlign w:val="bottom"/>
            <w:shd w:val="clear" w:color="auto" w:fill="FFDEAD"/>
          </w:tcPr>
          <w:p>
            <w:pPr>
              <w:spacing w:after="0"/>
              <w:rPr>
                <w:sz w:val="10"/>
                <w:szCs w:val="10"/>
                <w:color w:val="auto"/>
              </w:rPr>
            </w:pPr>
          </w:p>
        </w:tc>
        <w:tc>
          <w:tcPr>
            <w:tcW w:w="1140" w:type="dxa"/>
            <w:vAlign w:val="bottom"/>
            <w:vMerge w:val="restart"/>
            <w:shd w:val="clear" w:color="auto" w:fill="FFDEAD"/>
          </w:tcPr>
          <w:p>
            <w:pPr>
              <w:jc w:val="center"/>
              <w:spacing w:after="0"/>
              <w:rPr>
                <w:sz w:val="20"/>
                <w:szCs w:val="20"/>
                <w:color w:val="auto"/>
              </w:rPr>
            </w:pPr>
            <w:r>
              <w:rPr>
                <w:rFonts w:ascii="Times New Roman" w:cs="Times New Roman" w:eastAsia="Times New Roman" w:hAnsi="Times New Roman"/>
                <w:sz w:val="18"/>
                <w:szCs w:val="18"/>
                <w:color w:val="FF0000"/>
                <w:strike w:val="1"/>
                <w:w w:val="99"/>
              </w:rPr>
              <w:t>Pounds Sterling</w:t>
            </w:r>
          </w:p>
        </w:tc>
        <w:tc>
          <w:tcPr>
            <w:tcW w:w="160" w:type="dxa"/>
            <w:vAlign w:val="bottom"/>
            <w:tcBorders>
              <w:right w:val="single" w:sz="8" w:color="auto"/>
            </w:tcBorders>
            <w:shd w:val="clear" w:color="auto" w:fill="FFDEAD"/>
          </w:tcPr>
          <w:p>
            <w:pPr>
              <w:spacing w:after="0"/>
              <w:rPr>
                <w:sz w:val="10"/>
                <w:szCs w:val="10"/>
                <w:color w:val="auto"/>
              </w:rPr>
            </w:pPr>
          </w:p>
        </w:tc>
        <w:tc>
          <w:tcPr>
            <w:tcW w:w="134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shd w:val="clear" w:color="auto" w:fill="BFBFBF"/>
          </w:tcPr>
          <w:p>
            <w:pPr>
              <w:spacing w:after="0"/>
              <w:rPr>
                <w:sz w:val="7"/>
                <w:szCs w:val="7"/>
                <w:color w:val="auto"/>
              </w:rPr>
            </w:pPr>
          </w:p>
        </w:tc>
        <w:tc>
          <w:tcPr>
            <w:tcW w:w="2260" w:type="dxa"/>
            <w:vAlign w:val="bottom"/>
            <w:tcBorders>
              <w:right w:val="single" w:sz="8" w:color="auto"/>
            </w:tcBorders>
            <w:shd w:val="clear" w:color="auto" w:fill="BFBFBF"/>
          </w:tcPr>
          <w:p>
            <w:pPr>
              <w:spacing w:after="0"/>
              <w:rPr>
                <w:sz w:val="7"/>
                <w:szCs w:val="7"/>
                <w:color w:val="auto"/>
              </w:rPr>
            </w:pPr>
          </w:p>
        </w:tc>
        <w:tc>
          <w:tcPr>
            <w:tcW w:w="13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w w:val="98"/>
              </w:rPr>
              <w:t>Margin</w:t>
            </w:r>
          </w:p>
        </w:tc>
        <w:tc>
          <w:tcPr>
            <w:tcW w:w="1240" w:type="dxa"/>
            <w:vAlign w:val="bottom"/>
            <w:tcBorders>
              <w:right w:val="single" w:sz="8" w:color="auto"/>
            </w:tcBorders>
            <w:vMerge w:val="restart"/>
            <w:shd w:val="clear" w:color="auto" w:fill="BFBFBF"/>
          </w:tcPr>
          <w:p>
            <w:pPr>
              <w:ind w:left="220"/>
              <w:spacing w:after="0"/>
              <w:rPr>
                <w:sz w:val="20"/>
                <w:szCs w:val="20"/>
                <w:color w:val="auto"/>
              </w:rPr>
            </w:pPr>
            <w:r>
              <w:rPr>
                <w:rFonts w:ascii="Times New Roman" w:cs="Times New Roman" w:eastAsia="Times New Roman" w:hAnsi="Times New Roman"/>
                <w:sz w:val="18"/>
                <w:szCs w:val="18"/>
                <w:color w:val="auto"/>
              </w:rPr>
              <w:t>Applicable</w:t>
            </w:r>
          </w:p>
        </w:tc>
        <w:tc>
          <w:tcPr>
            <w:tcW w:w="260" w:type="dxa"/>
            <w:vAlign w:val="bottom"/>
            <w:shd w:val="clear" w:color="auto" w:fill="FFDEAD"/>
          </w:tcPr>
          <w:p>
            <w:pPr>
              <w:spacing w:after="0"/>
              <w:rPr>
                <w:sz w:val="7"/>
                <w:szCs w:val="7"/>
                <w:color w:val="auto"/>
              </w:rPr>
            </w:pPr>
          </w:p>
        </w:tc>
        <w:tc>
          <w:tcPr>
            <w:tcW w:w="180" w:type="dxa"/>
            <w:vAlign w:val="bottom"/>
            <w:shd w:val="clear" w:color="auto" w:fill="FFDEAD"/>
          </w:tcPr>
          <w:p>
            <w:pPr>
              <w:spacing w:after="0"/>
              <w:rPr>
                <w:sz w:val="7"/>
                <w:szCs w:val="7"/>
                <w:color w:val="auto"/>
              </w:rPr>
            </w:pPr>
          </w:p>
        </w:tc>
        <w:tc>
          <w:tcPr>
            <w:tcW w:w="420" w:type="dxa"/>
            <w:vAlign w:val="bottom"/>
            <w:vMerge w:val="continue"/>
            <w:shd w:val="clear" w:color="auto" w:fill="FFDEAD"/>
          </w:tcPr>
          <w:p>
            <w:pPr>
              <w:spacing w:after="0"/>
              <w:rPr>
                <w:sz w:val="7"/>
                <w:szCs w:val="7"/>
                <w:color w:val="auto"/>
              </w:rPr>
            </w:pPr>
          </w:p>
        </w:tc>
        <w:tc>
          <w:tcPr>
            <w:tcW w:w="180" w:type="dxa"/>
            <w:vAlign w:val="bottom"/>
            <w:shd w:val="clear" w:color="auto" w:fill="FFDEAD"/>
          </w:tcPr>
          <w:p>
            <w:pPr>
              <w:spacing w:after="0"/>
              <w:rPr>
                <w:sz w:val="7"/>
                <w:szCs w:val="7"/>
                <w:color w:val="auto"/>
              </w:rPr>
            </w:pPr>
          </w:p>
        </w:tc>
        <w:tc>
          <w:tcPr>
            <w:tcW w:w="300" w:type="dxa"/>
            <w:vAlign w:val="bottom"/>
            <w:tcBorders>
              <w:right w:val="single" w:sz="8" w:color="auto"/>
            </w:tcBorders>
            <w:shd w:val="clear" w:color="auto" w:fill="FFDEAD"/>
          </w:tcPr>
          <w:p>
            <w:pPr>
              <w:spacing w:after="0"/>
              <w:rPr>
                <w:sz w:val="7"/>
                <w:szCs w:val="7"/>
                <w:color w:val="auto"/>
              </w:rPr>
            </w:pPr>
          </w:p>
        </w:tc>
        <w:tc>
          <w:tcPr>
            <w:tcW w:w="760" w:type="dxa"/>
            <w:vAlign w:val="bottom"/>
            <w:gridSpan w:val="4"/>
            <w:vMerge w:val="continue"/>
            <w:shd w:val="clear" w:color="auto" w:fill="BFBFBF"/>
          </w:tcPr>
          <w:p>
            <w:pPr>
              <w:spacing w:after="0"/>
              <w:rPr>
                <w:sz w:val="7"/>
                <w:szCs w:val="7"/>
                <w:color w:val="auto"/>
              </w:rPr>
            </w:pPr>
          </w:p>
        </w:tc>
        <w:tc>
          <w:tcPr>
            <w:tcW w:w="360" w:type="dxa"/>
            <w:vAlign w:val="bottom"/>
            <w:tcBorders>
              <w:right w:val="single" w:sz="8" w:color="auto"/>
            </w:tcBorders>
            <w:shd w:val="clear" w:color="auto" w:fill="BFBFBF"/>
          </w:tcPr>
          <w:p>
            <w:pPr>
              <w:spacing w:after="0"/>
              <w:rPr>
                <w:sz w:val="7"/>
                <w:szCs w:val="7"/>
                <w:color w:val="auto"/>
              </w:rPr>
            </w:pPr>
          </w:p>
        </w:tc>
        <w:tc>
          <w:tcPr>
            <w:tcW w:w="140" w:type="dxa"/>
            <w:vAlign w:val="bottom"/>
            <w:shd w:val="clear" w:color="auto" w:fill="FFDEAD"/>
          </w:tcPr>
          <w:p>
            <w:pPr>
              <w:spacing w:after="0"/>
              <w:rPr>
                <w:sz w:val="7"/>
                <w:szCs w:val="7"/>
                <w:color w:val="auto"/>
              </w:rPr>
            </w:pPr>
          </w:p>
        </w:tc>
        <w:tc>
          <w:tcPr>
            <w:tcW w:w="1140" w:type="dxa"/>
            <w:vAlign w:val="bottom"/>
            <w:vMerge w:val="continue"/>
            <w:shd w:val="clear" w:color="auto" w:fill="FFDEAD"/>
          </w:tcPr>
          <w:p>
            <w:pPr>
              <w:spacing w:after="0"/>
              <w:rPr>
                <w:sz w:val="7"/>
                <w:szCs w:val="7"/>
                <w:color w:val="auto"/>
              </w:rPr>
            </w:pPr>
          </w:p>
        </w:tc>
        <w:tc>
          <w:tcPr>
            <w:tcW w:w="160" w:type="dxa"/>
            <w:vAlign w:val="bottom"/>
            <w:tcBorders>
              <w:right w:val="single" w:sz="8" w:color="auto"/>
            </w:tcBorders>
            <w:shd w:val="clear" w:color="auto" w:fill="FFDEAD"/>
          </w:tcPr>
          <w:p>
            <w:pPr>
              <w:spacing w:after="0"/>
              <w:rPr>
                <w:sz w:val="7"/>
                <w:szCs w:val="7"/>
                <w:color w:val="auto"/>
              </w:rPr>
            </w:pPr>
          </w:p>
        </w:tc>
        <w:tc>
          <w:tcPr>
            <w:tcW w:w="1340" w:type="dxa"/>
            <w:vAlign w:val="bottom"/>
            <w:tcBorders>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shd w:val="clear" w:color="auto" w:fill="BFBFBF"/>
          </w:tcPr>
          <w:p>
            <w:pPr>
              <w:spacing w:after="0"/>
              <w:rPr>
                <w:sz w:val="10"/>
                <w:szCs w:val="10"/>
                <w:color w:val="auto"/>
              </w:rPr>
            </w:pPr>
          </w:p>
        </w:tc>
        <w:tc>
          <w:tcPr>
            <w:tcW w:w="226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vMerge w:val="continue"/>
            <w:shd w:val="clear" w:color="auto" w:fill="BFBFBF"/>
          </w:tcPr>
          <w:p>
            <w:pPr>
              <w:spacing w:after="0"/>
              <w:rPr>
                <w:sz w:val="10"/>
                <w:szCs w:val="10"/>
                <w:color w:val="auto"/>
              </w:rPr>
            </w:pPr>
          </w:p>
        </w:tc>
        <w:tc>
          <w:tcPr>
            <w:tcW w:w="1240" w:type="dxa"/>
            <w:vAlign w:val="bottom"/>
            <w:tcBorders>
              <w:right w:val="single" w:sz="8" w:color="auto"/>
            </w:tcBorders>
            <w:vMerge w:val="continue"/>
            <w:shd w:val="clear" w:color="auto" w:fill="BFBFBF"/>
          </w:tcPr>
          <w:p>
            <w:pPr>
              <w:spacing w:after="0"/>
              <w:rPr>
                <w:sz w:val="10"/>
                <w:szCs w:val="10"/>
                <w:color w:val="auto"/>
              </w:rPr>
            </w:pPr>
          </w:p>
        </w:tc>
        <w:tc>
          <w:tcPr>
            <w:tcW w:w="260" w:type="dxa"/>
            <w:vAlign w:val="bottom"/>
            <w:shd w:val="clear" w:color="auto" w:fill="FFDEAD"/>
          </w:tcPr>
          <w:p>
            <w:pPr>
              <w:spacing w:after="0"/>
              <w:rPr>
                <w:sz w:val="10"/>
                <w:szCs w:val="10"/>
                <w:color w:val="auto"/>
              </w:rPr>
            </w:pPr>
          </w:p>
        </w:tc>
        <w:tc>
          <w:tcPr>
            <w:tcW w:w="180" w:type="dxa"/>
            <w:vAlign w:val="bottom"/>
            <w:shd w:val="clear" w:color="auto" w:fill="FFDEAD"/>
          </w:tcPr>
          <w:p>
            <w:pPr>
              <w:spacing w:after="0"/>
              <w:rPr>
                <w:sz w:val="10"/>
                <w:szCs w:val="10"/>
                <w:color w:val="auto"/>
              </w:rPr>
            </w:pPr>
          </w:p>
        </w:tc>
        <w:tc>
          <w:tcPr>
            <w:tcW w:w="420" w:type="dxa"/>
            <w:vAlign w:val="bottom"/>
            <w:shd w:val="clear" w:color="auto" w:fill="FFDEAD"/>
          </w:tcPr>
          <w:p>
            <w:pPr>
              <w:spacing w:after="0"/>
              <w:rPr>
                <w:sz w:val="10"/>
                <w:szCs w:val="10"/>
                <w:color w:val="auto"/>
              </w:rPr>
            </w:pPr>
          </w:p>
        </w:tc>
        <w:tc>
          <w:tcPr>
            <w:tcW w:w="180" w:type="dxa"/>
            <w:vAlign w:val="bottom"/>
            <w:shd w:val="clear" w:color="auto" w:fill="FFDEAD"/>
          </w:tcPr>
          <w:p>
            <w:pPr>
              <w:spacing w:after="0"/>
              <w:rPr>
                <w:sz w:val="10"/>
                <w:szCs w:val="10"/>
                <w:color w:val="auto"/>
              </w:rPr>
            </w:pPr>
          </w:p>
        </w:tc>
        <w:tc>
          <w:tcPr>
            <w:tcW w:w="300" w:type="dxa"/>
            <w:vAlign w:val="bottom"/>
            <w:tcBorders>
              <w:right w:val="single" w:sz="8" w:color="auto"/>
            </w:tcBorders>
            <w:shd w:val="clear" w:color="auto" w:fill="FFDEAD"/>
          </w:tcPr>
          <w:p>
            <w:pPr>
              <w:spacing w:after="0"/>
              <w:rPr>
                <w:sz w:val="10"/>
                <w:szCs w:val="10"/>
                <w:color w:val="auto"/>
              </w:rPr>
            </w:pPr>
          </w:p>
        </w:tc>
        <w:tc>
          <w:tcPr>
            <w:tcW w:w="720" w:type="dxa"/>
            <w:vAlign w:val="bottom"/>
            <w:gridSpan w:val="3"/>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FF0000"/>
                <w:strike w:val="1"/>
                <w:w w:val="96"/>
              </w:rPr>
              <w:t>other than</w:t>
            </w:r>
          </w:p>
        </w:tc>
        <w:tc>
          <w:tcPr>
            <w:tcW w:w="40" w:type="dxa"/>
            <w:vAlign w:val="bottom"/>
            <w:shd w:val="clear" w:color="auto" w:fill="BFBFBF"/>
          </w:tcPr>
          <w:p>
            <w:pPr>
              <w:spacing w:after="0"/>
              <w:rPr>
                <w:sz w:val="10"/>
                <w:szCs w:val="10"/>
                <w:color w:val="auto"/>
              </w:rPr>
            </w:pPr>
          </w:p>
        </w:tc>
        <w:tc>
          <w:tcPr>
            <w:tcW w:w="360" w:type="dxa"/>
            <w:vAlign w:val="bottom"/>
            <w:tcBorders>
              <w:right w:val="single" w:sz="8" w:color="auto"/>
            </w:tcBorders>
            <w:shd w:val="clear" w:color="auto" w:fill="BFBFBF"/>
          </w:tcPr>
          <w:p>
            <w:pPr>
              <w:spacing w:after="0"/>
              <w:rPr>
                <w:sz w:val="10"/>
                <w:szCs w:val="10"/>
                <w:color w:val="auto"/>
              </w:rPr>
            </w:pPr>
          </w:p>
        </w:tc>
        <w:tc>
          <w:tcPr>
            <w:tcW w:w="140" w:type="dxa"/>
            <w:vAlign w:val="bottom"/>
            <w:shd w:val="clear" w:color="auto" w:fill="FFDEAD"/>
          </w:tcPr>
          <w:p>
            <w:pPr>
              <w:spacing w:after="0"/>
              <w:rPr>
                <w:sz w:val="10"/>
                <w:szCs w:val="10"/>
                <w:color w:val="auto"/>
              </w:rPr>
            </w:pPr>
          </w:p>
        </w:tc>
        <w:tc>
          <w:tcPr>
            <w:tcW w:w="1140" w:type="dxa"/>
            <w:vAlign w:val="bottom"/>
            <w:shd w:val="clear" w:color="auto" w:fill="FFDEAD"/>
          </w:tcPr>
          <w:p>
            <w:pPr>
              <w:spacing w:after="0"/>
              <w:rPr>
                <w:sz w:val="10"/>
                <w:szCs w:val="10"/>
                <w:color w:val="auto"/>
              </w:rPr>
            </w:pPr>
          </w:p>
        </w:tc>
        <w:tc>
          <w:tcPr>
            <w:tcW w:w="160" w:type="dxa"/>
            <w:vAlign w:val="bottom"/>
            <w:tcBorders>
              <w:right w:val="single" w:sz="8" w:color="auto"/>
            </w:tcBorders>
            <w:shd w:val="clear" w:color="auto" w:fill="FFDEAD"/>
          </w:tcPr>
          <w:p>
            <w:pPr>
              <w:spacing w:after="0"/>
              <w:rPr>
                <w:sz w:val="10"/>
                <w:szCs w:val="10"/>
                <w:color w:val="auto"/>
              </w:rPr>
            </w:pPr>
          </w:p>
        </w:tc>
        <w:tc>
          <w:tcPr>
            <w:tcW w:w="134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shd w:val="clear" w:color="auto" w:fill="BFBFBF"/>
          </w:tcPr>
          <w:p>
            <w:pPr>
              <w:spacing w:after="0"/>
              <w:rPr>
                <w:sz w:val="7"/>
                <w:szCs w:val="7"/>
                <w:color w:val="auto"/>
              </w:rPr>
            </w:pPr>
          </w:p>
        </w:tc>
        <w:tc>
          <w:tcPr>
            <w:tcW w:w="2260" w:type="dxa"/>
            <w:vAlign w:val="bottom"/>
            <w:tcBorders>
              <w:right w:val="single" w:sz="8" w:color="auto"/>
            </w:tcBorders>
            <w:shd w:val="clear" w:color="auto" w:fill="BFBFBF"/>
          </w:tcPr>
          <w:p>
            <w:pPr>
              <w:spacing w:after="0"/>
              <w:rPr>
                <w:sz w:val="7"/>
                <w:szCs w:val="7"/>
                <w:color w:val="auto"/>
              </w:rPr>
            </w:pPr>
          </w:p>
        </w:tc>
        <w:tc>
          <w:tcPr>
            <w:tcW w:w="1340" w:type="dxa"/>
            <w:vAlign w:val="bottom"/>
            <w:tcBorders>
              <w:right w:val="single" w:sz="8" w:color="auto"/>
            </w:tcBorders>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auto"/>
              </w:rPr>
              <w:t>Term Benchmark</w:t>
            </w:r>
          </w:p>
        </w:tc>
        <w:tc>
          <w:tcPr>
            <w:tcW w:w="1240" w:type="dxa"/>
            <w:vAlign w:val="bottom"/>
            <w:tcBorders>
              <w:right w:val="single" w:sz="8" w:color="auto"/>
            </w:tcBorders>
            <w:vMerge w:val="restart"/>
            <w:shd w:val="clear" w:color="auto" w:fill="BFBFBF"/>
          </w:tcPr>
          <w:p>
            <w:pPr>
              <w:ind w:left="34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shd w:val="clear" w:color="auto" w:fill="FFDEAD"/>
          </w:tcPr>
          <w:p>
            <w:pPr>
              <w:spacing w:after="0"/>
              <w:rPr>
                <w:sz w:val="7"/>
                <w:szCs w:val="7"/>
                <w:color w:val="auto"/>
              </w:rPr>
            </w:pPr>
          </w:p>
        </w:tc>
        <w:tc>
          <w:tcPr>
            <w:tcW w:w="180" w:type="dxa"/>
            <w:vAlign w:val="bottom"/>
            <w:shd w:val="clear" w:color="auto" w:fill="FFDEAD"/>
          </w:tcPr>
          <w:p>
            <w:pPr>
              <w:spacing w:after="0"/>
              <w:rPr>
                <w:sz w:val="7"/>
                <w:szCs w:val="7"/>
                <w:color w:val="auto"/>
              </w:rPr>
            </w:pPr>
          </w:p>
        </w:tc>
        <w:tc>
          <w:tcPr>
            <w:tcW w:w="420" w:type="dxa"/>
            <w:vAlign w:val="bottom"/>
            <w:shd w:val="clear" w:color="auto" w:fill="FFDEAD"/>
          </w:tcPr>
          <w:p>
            <w:pPr>
              <w:spacing w:after="0"/>
              <w:rPr>
                <w:sz w:val="7"/>
                <w:szCs w:val="7"/>
                <w:color w:val="auto"/>
              </w:rPr>
            </w:pPr>
          </w:p>
        </w:tc>
        <w:tc>
          <w:tcPr>
            <w:tcW w:w="180" w:type="dxa"/>
            <w:vAlign w:val="bottom"/>
            <w:shd w:val="clear" w:color="auto" w:fill="FFDEAD"/>
          </w:tcPr>
          <w:p>
            <w:pPr>
              <w:spacing w:after="0"/>
              <w:rPr>
                <w:sz w:val="7"/>
                <w:szCs w:val="7"/>
                <w:color w:val="auto"/>
              </w:rPr>
            </w:pPr>
          </w:p>
        </w:tc>
        <w:tc>
          <w:tcPr>
            <w:tcW w:w="300" w:type="dxa"/>
            <w:vAlign w:val="bottom"/>
            <w:tcBorders>
              <w:right w:val="single" w:sz="8" w:color="auto"/>
            </w:tcBorders>
            <w:shd w:val="clear" w:color="auto" w:fill="FFDEAD"/>
          </w:tcPr>
          <w:p>
            <w:pPr>
              <w:spacing w:after="0"/>
              <w:rPr>
                <w:sz w:val="7"/>
                <w:szCs w:val="7"/>
                <w:color w:val="auto"/>
              </w:rPr>
            </w:pPr>
          </w:p>
        </w:tc>
        <w:tc>
          <w:tcPr>
            <w:tcW w:w="720" w:type="dxa"/>
            <w:vAlign w:val="bottom"/>
            <w:gridSpan w:val="3"/>
            <w:vMerge w:val="continue"/>
            <w:shd w:val="clear" w:color="auto" w:fill="BFBFBF"/>
          </w:tcPr>
          <w:p>
            <w:pPr>
              <w:spacing w:after="0"/>
              <w:rPr>
                <w:sz w:val="7"/>
                <w:szCs w:val="7"/>
                <w:color w:val="auto"/>
              </w:rPr>
            </w:pPr>
          </w:p>
        </w:tc>
        <w:tc>
          <w:tcPr>
            <w:tcW w:w="400" w:type="dxa"/>
            <w:vAlign w:val="bottom"/>
            <w:tcBorders>
              <w:right w:val="single" w:sz="8" w:color="auto"/>
            </w:tcBorders>
            <w:gridSpan w:val="2"/>
            <w:shd w:val="clear" w:color="auto" w:fill="BFBFBF"/>
          </w:tcPr>
          <w:p>
            <w:pPr>
              <w:spacing w:after="0"/>
              <w:rPr>
                <w:sz w:val="7"/>
                <w:szCs w:val="7"/>
                <w:color w:val="auto"/>
              </w:rPr>
            </w:pPr>
          </w:p>
        </w:tc>
        <w:tc>
          <w:tcPr>
            <w:tcW w:w="140" w:type="dxa"/>
            <w:vAlign w:val="bottom"/>
            <w:shd w:val="clear" w:color="auto" w:fill="FFDEAD"/>
          </w:tcPr>
          <w:p>
            <w:pPr>
              <w:spacing w:after="0"/>
              <w:rPr>
                <w:sz w:val="7"/>
                <w:szCs w:val="7"/>
                <w:color w:val="auto"/>
              </w:rPr>
            </w:pPr>
          </w:p>
        </w:tc>
        <w:tc>
          <w:tcPr>
            <w:tcW w:w="1140" w:type="dxa"/>
            <w:vAlign w:val="bottom"/>
            <w:shd w:val="clear" w:color="auto" w:fill="FFDEAD"/>
          </w:tcPr>
          <w:p>
            <w:pPr>
              <w:spacing w:after="0"/>
              <w:rPr>
                <w:sz w:val="7"/>
                <w:szCs w:val="7"/>
                <w:color w:val="auto"/>
              </w:rPr>
            </w:pPr>
          </w:p>
        </w:tc>
        <w:tc>
          <w:tcPr>
            <w:tcW w:w="160" w:type="dxa"/>
            <w:vAlign w:val="bottom"/>
            <w:tcBorders>
              <w:right w:val="single" w:sz="8" w:color="auto"/>
            </w:tcBorders>
            <w:shd w:val="clear" w:color="auto" w:fill="FFDEAD"/>
          </w:tcPr>
          <w:p>
            <w:pPr>
              <w:spacing w:after="0"/>
              <w:rPr>
                <w:sz w:val="7"/>
                <w:szCs w:val="7"/>
                <w:color w:val="auto"/>
              </w:rPr>
            </w:pPr>
          </w:p>
        </w:tc>
        <w:tc>
          <w:tcPr>
            <w:tcW w:w="1340" w:type="dxa"/>
            <w:vAlign w:val="bottom"/>
            <w:tcBorders>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160" w:type="dxa"/>
            <w:vAlign w:val="bottom"/>
            <w:tcBorders>
              <w:left w:val="single" w:sz="8" w:color="auto"/>
              <w:right w:val="single" w:sz="8" w:color="auto"/>
            </w:tcBorders>
            <w:shd w:val="clear" w:color="auto" w:fill="BFBFBF"/>
          </w:tcPr>
          <w:p>
            <w:pPr>
              <w:spacing w:after="0"/>
              <w:rPr>
                <w:sz w:val="16"/>
                <w:szCs w:val="16"/>
                <w:color w:val="auto"/>
              </w:rPr>
            </w:pPr>
          </w:p>
        </w:tc>
        <w:tc>
          <w:tcPr>
            <w:tcW w:w="2260" w:type="dxa"/>
            <w:vAlign w:val="bottom"/>
            <w:tcBorders>
              <w:right w:val="single" w:sz="8" w:color="auto"/>
            </w:tcBorders>
            <w:shd w:val="clear" w:color="auto" w:fill="BFBFBF"/>
          </w:tcPr>
          <w:p>
            <w:pPr>
              <w:spacing w:after="0" w:line="189" w:lineRule="exact"/>
              <w:rPr>
                <w:sz w:val="20"/>
                <w:szCs w:val="20"/>
                <w:color w:val="auto"/>
              </w:rPr>
            </w:pPr>
            <w:r>
              <w:rPr>
                <w:rFonts w:ascii="Times New Roman" w:cs="Times New Roman" w:eastAsia="Times New Roman" w:hAnsi="Times New Roman"/>
                <w:sz w:val="18"/>
                <w:szCs w:val="18"/>
                <w:color w:val="auto"/>
              </w:rPr>
              <w:t>Specified</w:t>
            </w:r>
          </w:p>
        </w:tc>
        <w:tc>
          <w:tcPr>
            <w:tcW w:w="1340" w:type="dxa"/>
            <w:vAlign w:val="bottom"/>
            <w:tcBorders>
              <w:right w:val="single" w:sz="8" w:color="auto"/>
            </w:tcBorders>
            <w:vMerge w:val="continue"/>
            <w:shd w:val="clear" w:color="auto" w:fill="BFBFBF"/>
          </w:tcPr>
          <w:p>
            <w:pPr>
              <w:spacing w:after="0"/>
              <w:rPr>
                <w:sz w:val="16"/>
                <w:szCs w:val="16"/>
                <w:color w:val="auto"/>
              </w:rPr>
            </w:pPr>
          </w:p>
        </w:tc>
        <w:tc>
          <w:tcPr>
            <w:tcW w:w="1240" w:type="dxa"/>
            <w:vAlign w:val="bottom"/>
            <w:tcBorders>
              <w:right w:val="single" w:sz="8" w:color="auto"/>
            </w:tcBorders>
            <w:vMerge w:val="continue"/>
            <w:shd w:val="clear" w:color="auto" w:fill="BFBFBF"/>
          </w:tcPr>
          <w:p>
            <w:pPr>
              <w:spacing w:after="0"/>
              <w:rPr>
                <w:sz w:val="16"/>
                <w:szCs w:val="16"/>
                <w:color w:val="auto"/>
              </w:rPr>
            </w:pPr>
          </w:p>
        </w:tc>
        <w:tc>
          <w:tcPr>
            <w:tcW w:w="260" w:type="dxa"/>
            <w:vAlign w:val="bottom"/>
            <w:shd w:val="clear" w:color="auto" w:fill="FFDEAD"/>
          </w:tcPr>
          <w:p>
            <w:pPr>
              <w:spacing w:after="0"/>
              <w:rPr>
                <w:sz w:val="16"/>
                <w:szCs w:val="16"/>
                <w:color w:val="auto"/>
              </w:rPr>
            </w:pPr>
          </w:p>
        </w:tc>
        <w:tc>
          <w:tcPr>
            <w:tcW w:w="180" w:type="dxa"/>
            <w:vAlign w:val="bottom"/>
            <w:shd w:val="clear" w:color="auto" w:fill="FFDEAD"/>
          </w:tcPr>
          <w:p>
            <w:pPr>
              <w:spacing w:after="0"/>
              <w:rPr>
                <w:sz w:val="16"/>
                <w:szCs w:val="16"/>
                <w:color w:val="auto"/>
              </w:rPr>
            </w:pPr>
          </w:p>
        </w:tc>
        <w:tc>
          <w:tcPr>
            <w:tcW w:w="420" w:type="dxa"/>
            <w:vAlign w:val="bottom"/>
            <w:shd w:val="clear" w:color="auto" w:fill="FFDEAD"/>
          </w:tcPr>
          <w:p>
            <w:pPr>
              <w:spacing w:after="0"/>
              <w:rPr>
                <w:sz w:val="16"/>
                <w:szCs w:val="16"/>
                <w:color w:val="auto"/>
              </w:rPr>
            </w:pPr>
          </w:p>
        </w:tc>
        <w:tc>
          <w:tcPr>
            <w:tcW w:w="180" w:type="dxa"/>
            <w:vAlign w:val="bottom"/>
            <w:shd w:val="clear" w:color="auto" w:fill="FFDEAD"/>
          </w:tcPr>
          <w:p>
            <w:pPr>
              <w:spacing w:after="0"/>
              <w:rPr>
                <w:sz w:val="16"/>
                <w:szCs w:val="16"/>
                <w:color w:val="auto"/>
              </w:rPr>
            </w:pPr>
          </w:p>
        </w:tc>
        <w:tc>
          <w:tcPr>
            <w:tcW w:w="300" w:type="dxa"/>
            <w:vAlign w:val="bottom"/>
            <w:tcBorders>
              <w:right w:val="single" w:sz="8" w:color="auto"/>
            </w:tcBorders>
            <w:shd w:val="clear" w:color="auto" w:fill="FFDEAD"/>
          </w:tcPr>
          <w:p>
            <w:pPr>
              <w:spacing w:after="0"/>
              <w:rPr>
                <w:sz w:val="16"/>
                <w:szCs w:val="16"/>
                <w:color w:val="auto"/>
              </w:rPr>
            </w:pPr>
          </w:p>
        </w:tc>
        <w:tc>
          <w:tcPr>
            <w:tcW w:w="720" w:type="dxa"/>
            <w:vAlign w:val="bottom"/>
            <w:gridSpan w:val="3"/>
            <w:shd w:val="clear" w:color="auto" w:fill="BFBFBF"/>
          </w:tcPr>
          <w:p>
            <w:pPr>
              <w:spacing w:after="0" w:line="189" w:lineRule="exact"/>
              <w:rPr>
                <w:sz w:val="20"/>
                <w:szCs w:val="20"/>
                <w:color w:val="auto"/>
              </w:rPr>
            </w:pPr>
            <w:r>
              <w:rPr>
                <w:rFonts w:ascii="Times New Roman" w:cs="Times New Roman" w:eastAsia="Times New Roman" w:hAnsi="Times New Roman"/>
                <w:sz w:val="18"/>
                <w:szCs w:val="18"/>
                <w:color w:val="FF0000"/>
                <w:strike w:val="1"/>
              </w:rPr>
              <w:t>Pounds</w:t>
            </w:r>
          </w:p>
        </w:tc>
        <w:tc>
          <w:tcPr>
            <w:tcW w:w="400" w:type="dxa"/>
            <w:vAlign w:val="bottom"/>
            <w:tcBorders>
              <w:right w:val="single" w:sz="8" w:color="auto"/>
            </w:tcBorders>
            <w:gridSpan w:val="2"/>
            <w:shd w:val="clear" w:color="auto" w:fill="BFBFBF"/>
          </w:tcPr>
          <w:p>
            <w:pPr>
              <w:spacing w:after="0"/>
              <w:rPr>
                <w:sz w:val="16"/>
                <w:szCs w:val="16"/>
                <w:color w:val="auto"/>
              </w:rPr>
            </w:pPr>
          </w:p>
        </w:tc>
        <w:tc>
          <w:tcPr>
            <w:tcW w:w="140" w:type="dxa"/>
            <w:vAlign w:val="bottom"/>
            <w:shd w:val="clear" w:color="auto" w:fill="FFDEAD"/>
          </w:tcPr>
          <w:p>
            <w:pPr>
              <w:spacing w:after="0"/>
              <w:rPr>
                <w:sz w:val="16"/>
                <w:szCs w:val="16"/>
                <w:color w:val="auto"/>
              </w:rPr>
            </w:pPr>
          </w:p>
        </w:tc>
        <w:tc>
          <w:tcPr>
            <w:tcW w:w="1140" w:type="dxa"/>
            <w:vAlign w:val="bottom"/>
            <w:shd w:val="clear" w:color="auto" w:fill="FFDEAD"/>
          </w:tcPr>
          <w:p>
            <w:pPr>
              <w:spacing w:after="0"/>
              <w:rPr>
                <w:sz w:val="16"/>
                <w:szCs w:val="16"/>
                <w:color w:val="auto"/>
              </w:rPr>
            </w:pPr>
          </w:p>
        </w:tc>
        <w:tc>
          <w:tcPr>
            <w:tcW w:w="160" w:type="dxa"/>
            <w:vAlign w:val="bottom"/>
            <w:tcBorders>
              <w:right w:val="single" w:sz="8" w:color="auto"/>
            </w:tcBorders>
            <w:shd w:val="clear" w:color="auto" w:fill="FFDEAD"/>
          </w:tcPr>
          <w:p>
            <w:pPr>
              <w:spacing w:after="0"/>
              <w:rPr>
                <w:sz w:val="16"/>
                <w:szCs w:val="16"/>
                <w:color w:val="auto"/>
              </w:rPr>
            </w:pPr>
          </w:p>
        </w:tc>
        <w:tc>
          <w:tcPr>
            <w:tcW w:w="1340" w:type="dxa"/>
            <w:vAlign w:val="bottom"/>
            <w:tcBorders>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Borders>
              <w:left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Level</w:t>
            </w:r>
          </w:p>
        </w:tc>
        <w:tc>
          <w:tcPr>
            <w:tcW w:w="226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Rating</w:t>
            </w:r>
          </w:p>
        </w:tc>
        <w:tc>
          <w:tcPr>
            <w:tcW w:w="134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Loans</w:t>
            </w:r>
          </w:p>
        </w:tc>
        <w:tc>
          <w:tcPr>
            <w:tcW w:w="124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ABR Loans</w:t>
            </w:r>
          </w:p>
        </w:tc>
        <w:tc>
          <w:tcPr>
            <w:tcW w:w="260" w:type="dxa"/>
            <w:vAlign w:val="bottom"/>
            <w:tcBorders>
              <w:bottom w:val="single" w:sz="8" w:color="auto"/>
            </w:tcBorders>
            <w:shd w:val="clear" w:color="auto" w:fill="FFDEAD"/>
          </w:tcPr>
          <w:p>
            <w:pPr>
              <w:spacing w:after="0"/>
              <w:rPr>
                <w:sz w:val="22"/>
                <w:szCs w:val="22"/>
                <w:color w:val="auto"/>
              </w:rPr>
            </w:pPr>
          </w:p>
        </w:tc>
        <w:tc>
          <w:tcPr>
            <w:tcW w:w="180" w:type="dxa"/>
            <w:vAlign w:val="bottom"/>
            <w:tcBorders>
              <w:bottom w:val="single" w:sz="8" w:color="auto"/>
            </w:tcBorders>
            <w:shd w:val="clear" w:color="auto" w:fill="FFDEAD"/>
          </w:tcPr>
          <w:p>
            <w:pPr>
              <w:spacing w:after="0"/>
              <w:rPr>
                <w:sz w:val="22"/>
                <w:szCs w:val="22"/>
                <w:color w:val="auto"/>
              </w:rPr>
            </w:pPr>
          </w:p>
        </w:tc>
        <w:tc>
          <w:tcPr>
            <w:tcW w:w="420" w:type="dxa"/>
            <w:vAlign w:val="bottom"/>
            <w:tcBorders>
              <w:bottom w:val="single" w:sz="8" w:color="auto"/>
            </w:tcBorders>
            <w:shd w:val="clear" w:color="auto" w:fill="FFDEAD"/>
          </w:tcPr>
          <w:p>
            <w:pPr>
              <w:spacing w:after="0"/>
              <w:rPr>
                <w:sz w:val="22"/>
                <w:szCs w:val="22"/>
                <w:color w:val="auto"/>
              </w:rPr>
            </w:pPr>
          </w:p>
        </w:tc>
        <w:tc>
          <w:tcPr>
            <w:tcW w:w="180" w:type="dxa"/>
            <w:vAlign w:val="bottom"/>
            <w:tcBorders>
              <w:bottom w:val="single" w:sz="8" w:color="auto"/>
            </w:tcBorders>
            <w:shd w:val="clear" w:color="auto" w:fill="FFDEAD"/>
          </w:tcPr>
          <w:p>
            <w:pPr>
              <w:spacing w:after="0"/>
              <w:rPr>
                <w:sz w:val="22"/>
                <w:szCs w:val="22"/>
                <w:color w:val="auto"/>
              </w:rPr>
            </w:pPr>
          </w:p>
        </w:tc>
        <w:tc>
          <w:tcPr>
            <w:tcW w:w="300" w:type="dxa"/>
            <w:vAlign w:val="bottom"/>
            <w:tcBorders>
              <w:bottom w:val="single" w:sz="8" w:color="auto"/>
              <w:right w:val="single" w:sz="8" w:color="auto"/>
            </w:tcBorders>
            <w:shd w:val="clear" w:color="auto" w:fill="FFDEAD"/>
          </w:tcPr>
          <w:p>
            <w:pPr>
              <w:spacing w:after="0"/>
              <w:rPr>
                <w:sz w:val="22"/>
                <w:szCs w:val="22"/>
                <w:color w:val="auto"/>
              </w:rPr>
            </w:pPr>
          </w:p>
        </w:tc>
        <w:tc>
          <w:tcPr>
            <w:tcW w:w="720" w:type="dxa"/>
            <w:vAlign w:val="bottom"/>
            <w:tcBorders>
              <w:bottom w:val="single" w:sz="8" w:color="auto"/>
            </w:tcBorders>
            <w:gridSpan w:val="3"/>
            <w:shd w:val="clear" w:color="auto" w:fill="BFBFBF"/>
          </w:tcPr>
          <w:p>
            <w:pPr>
              <w:spacing w:after="0"/>
              <w:rPr>
                <w:sz w:val="20"/>
                <w:szCs w:val="20"/>
                <w:color w:val="auto"/>
              </w:rPr>
            </w:pPr>
            <w:r>
              <w:rPr>
                <w:rFonts w:ascii="Times New Roman" w:cs="Times New Roman" w:eastAsia="Times New Roman" w:hAnsi="Times New Roman"/>
                <w:sz w:val="18"/>
                <w:szCs w:val="18"/>
                <w:color w:val="FF0000"/>
                <w:strike w:val="1"/>
              </w:rPr>
              <w:t>Sterling</w:t>
            </w:r>
          </w:p>
        </w:tc>
        <w:tc>
          <w:tcPr>
            <w:tcW w:w="400" w:type="dxa"/>
            <w:vAlign w:val="bottom"/>
            <w:tcBorders>
              <w:bottom w:val="single" w:sz="8" w:color="auto"/>
              <w:right w:val="single" w:sz="8" w:color="auto"/>
            </w:tcBorders>
            <w:gridSpan w:val="2"/>
            <w:shd w:val="clear" w:color="auto" w:fill="BFBFBF"/>
          </w:tcPr>
          <w:p>
            <w:pPr>
              <w:spacing w:after="0"/>
              <w:rPr>
                <w:sz w:val="22"/>
                <w:szCs w:val="22"/>
                <w:color w:val="auto"/>
              </w:rPr>
            </w:pPr>
          </w:p>
        </w:tc>
        <w:tc>
          <w:tcPr>
            <w:tcW w:w="140" w:type="dxa"/>
            <w:vAlign w:val="bottom"/>
            <w:tcBorders>
              <w:bottom w:val="single" w:sz="8" w:color="auto"/>
            </w:tcBorders>
            <w:shd w:val="clear" w:color="auto" w:fill="FFDEAD"/>
          </w:tcPr>
          <w:p>
            <w:pPr>
              <w:spacing w:after="0"/>
              <w:rPr>
                <w:sz w:val="22"/>
                <w:szCs w:val="22"/>
                <w:color w:val="auto"/>
              </w:rPr>
            </w:pPr>
          </w:p>
        </w:tc>
        <w:tc>
          <w:tcPr>
            <w:tcW w:w="1140" w:type="dxa"/>
            <w:vAlign w:val="bottom"/>
            <w:tcBorders>
              <w:bottom w:val="single" w:sz="8" w:color="auto"/>
            </w:tcBorders>
            <w:shd w:val="clear" w:color="auto" w:fill="FFDEAD"/>
          </w:tcPr>
          <w:p>
            <w:pPr>
              <w:spacing w:after="0"/>
              <w:rPr>
                <w:sz w:val="22"/>
                <w:szCs w:val="22"/>
                <w:color w:val="auto"/>
              </w:rPr>
            </w:pPr>
          </w:p>
        </w:tc>
        <w:tc>
          <w:tcPr>
            <w:tcW w:w="160" w:type="dxa"/>
            <w:vAlign w:val="bottom"/>
            <w:tcBorders>
              <w:bottom w:val="single" w:sz="8" w:color="auto"/>
              <w:right w:val="single" w:sz="8" w:color="auto"/>
            </w:tcBorders>
            <w:shd w:val="clear" w:color="auto" w:fill="FFDEAD"/>
          </w:tcPr>
          <w:p>
            <w:pPr>
              <w:spacing w:after="0"/>
              <w:rPr>
                <w:sz w:val="22"/>
                <w:szCs w:val="22"/>
                <w:color w:val="auto"/>
              </w:rPr>
            </w:pPr>
          </w:p>
        </w:tc>
        <w:tc>
          <w:tcPr>
            <w:tcW w:w="134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Commitment Fee</w:t>
            </w: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w:t>
            </w:r>
          </w:p>
        </w:tc>
        <w:tc>
          <w:tcPr>
            <w:tcW w:w="2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Ba2 from Moody’s and</w:t>
            </w: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1.75%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0.75%</w:t>
            </w:r>
          </w:p>
        </w:tc>
        <w:tc>
          <w:tcPr>
            <w:tcW w:w="860" w:type="dxa"/>
            <w:vAlign w:val="bottom"/>
            <w:gridSpan w:val="3"/>
            <w:shd w:val="clear" w:color="auto" w:fill="FFDEAD"/>
          </w:tcPr>
          <w:p>
            <w:pPr>
              <w:jc w:val="right"/>
              <w:ind w:right="130"/>
              <w:spacing w:after="0" w:line="191" w:lineRule="exact"/>
              <w:rPr>
                <w:sz w:val="20"/>
                <w:szCs w:val="20"/>
                <w:color w:val="auto"/>
              </w:rPr>
            </w:pPr>
            <w:r>
              <w:rPr>
                <w:rFonts w:ascii="Times New Roman" w:cs="Times New Roman" w:eastAsia="Times New Roman" w:hAnsi="Times New Roman"/>
                <w:sz w:val="18"/>
                <w:szCs w:val="18"/>
                <w:color w:val="FF0000"/>
                <w:strike w:val="1"/>
                <w:w w:val="96"/>
              </w:rPr>
              <w:t>1.7826%</w:t>
            </w:r>
          </w:p>
        </w:tc>
        <w:tc>
          <w:tcPr>
            <w:tcW w:w="180" w:type="dxa"/>
            <w:vAlign w:val="bottom"/>
            <w:shd w:val="clear" w:color="auto" w:fill="FFDEAD"/>
          </w:tcPr>
          <w:p>
            <w:pPr>
              <w:spacing w:after="0"/>
              <w:rPr>
                <w:sz w:val="16"/>
                <w:szCs w:val="16"/>
                <w:color w:val="auto"/>
              </w:rPr>
            </w:pPr>
          </w:p>
        </w:tc>
        <w:tc>
          <w:tcPr>
            <w:tcW w:w="300" w:type="dxa"/>
            <w:vAlign w:val="bottom"/>
            <w:tcBorders>
              <w:right w:val="single" w:sz="8" w:color="auto"/>
            </w:tcBorders>
            <w:shd w:val="clear" w:color="auto" w:fill="FFDEAD"/>
          </w:tcPr>
          <w:p>
            <w:pPr>
              <w:spacing w:after="0"/>
              <w:rPr>
                <w:sz w:val="16"/>
                <w:szCs w:val="16"/>
                <w:color w:val="auto"/>
              </w:rPr>
            </w:pPr>
          </w:p>
        </w:tc>
        <w:tc>
          <w:tcPr>
            <w:tcW w:w="4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4"/>
              </w:rPr>
              <w:t>1.75%</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80" w:type="dxa"/>
            <w:vAlign w:val="bottom"/>
            <w:gridSpan w:val="2"/>
            <w:shd w:val="clear" w:color="auto" w:fill="FFDEAD"/>
          </w:tcPr>
          <w:p>
            <w:pPr>
              <w:jc w:val="right"/>
              <w:ind w:right="550"/>
              <w:spacing w:after="0" w:line="191" w:lineRule="exact"/>
              <w:rPr>
                <w:sz w:val="20"/>
                <w:szCs w:val="20"/>
                <w:color w:val="auto"/>
              </w:rPr>
            </w:pPr>
            <w:r>
              <w:rPr>
                <w:rFonts w:ascii="Times New Roman" w:cs="Times New Roman" w:eastAsia="Times New Roman" w:hAnsi="Times New Roman"/>
                <w:sz w:val="18"/>
                <w:szCs w:val="18"/>
                <w:color w:val="FF0000"/>
                <w:strike w:val="1"/>
                <w:w w:val="96"/>
              </w:rPr>
              <w:t>1.7826%</w:t>
            </w:r>
          </w:p>
        </w:tc>
        <w:tc>
          <w:tcPr>
            <w:tcW w:w="160" w:type="dxa"/>
            <w:vAlign w:val="bottom"/>
            <w:tcBorders>
              <w:right w:val="single" w:sz="8" w:color="auto"/>
            </w:tcBorders>
            <w:shd w:val="clear" w:color="auto" w:fill="FFDEAD"/>
          </w:tcPr>
          <w:p>
            <w:pPr>
              <w:spacing w:after="0"/>
              <w:rPr>
                <w:sz w:val="16"/>
                <w:szCs w:val="16"/>
                <w:color w:val="auto"/>
              </w:rPr>
            </w:pP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BB from S&amp;P</w:t>
            </w: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42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300" w:type="dxa"/>
            <w:vAlign w:val="bottom"/>
            <w:tcBorders>
              <w:bottom w:val="single" w:sz="8" w:color="auto"/>
              <w:right w:val="single" w:sz="8" w:color="auto"/>
            </w:tcBorders>
            <w:shd w:val="clear" w:color="auto" w:fill="FFDEAD"/>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FFDEAD"/>
          </w:tcPr>
          <w:p>
            <w:pPr>
              <w:spacing w:after="0"/>
              <w:rPr>
                <w:sz w:val="20"/>
                <w:szCs w:val="20"/>
                <w:color w:val="auto"/>
              </w:rPr>
            </w:pPr>
          </w:p>
        </w:tc>
        <w:tc>
          <w:tcPr>
            <w:tcW w:w="1140" w:type="dxa"/>
            <w:vAlign w:val="bottom"/>
            <w:tcBorders>
              <w:bottom w:val="single" w:sz="8" w:color="auto"/>
            </w:tcBorders>
            <w:shd w:val="clear" w:color="auto" w:fill="FFDEAD"/>
          </w:tcPr>
          <w:p>
            <w:pPr>
              <w:spacing w:after="0"/>
              <w:rPr>
                <w:sz w:val="20"/>
                <w:szCs w:val="20"/>
                <w:color w:val="auto"/>
              </w:rPr>
            </w:pPr>
          </w:p>
        </w:tc>
        <w:tc>
          <w:tcPr>
            <w:tcW w:w="160" w:type="dxa"/>
            <w:vAlign w:val="bottom"/>
            <w:tcBorders>
              <w:bottom w:val="single" w:sz="8" w:color="auto"/>
              <w:right w:val="single" w:sz="8" w:color="auto"/>
            </w:tcBorders>
            <w:shd w:val="clear" w:color="auto" w:fill="FFDEAD"/>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II</w:t>
            </w:r>
          </w:p>
        </w:tc>
        <w:tc>
          <w:tcPr>
            <w:tcW w:w="2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Ba3 and &lt; Ba2 from</w:t>
            </w: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3"/>
            <w:shd w:val="clear" w:color="auto" w:fill="FFDEAD"/>
          </w:tcPr>
          <w:p>
            <w:pPr>
              <w:jc w:val="right"/>
              <w:ind w:right="130"/>
              <w:spacing w:after="0" w:line="191" w:lineRule="exact"/>
              <w:rPr>
                <w:sz w:val="20"/>
                <w:szCs w:val="20"/>
                <w:color w:val="auto"/>
              </w:rPr>
            </w:pPr>
            <w:r>
              <w:rPr>
                <w:rFonts w:ascii="Times New Roman" w:cs="Times New Roman" w:eastAsia="Times New Roman" w:hAnsi="Times New Roman"/>
                <w:sz w:val="18"/>
                <w:szCs w:val="18"/>
                <w:color w:val="FF0000"/>
                <w:strike w:val="1"/>
                <w:w w:val="96"/>
              </w:rPr>
              <w:t>2.0326%</w:t>
            </w:r>
          </w:p>
        </w:tc>
        <w:tc>
          <w:tcPr>
            <w:tcW w:w="180" w:type="dxa"/>
            <w:vAlign w:val="bottom"/>
            <w:shd w:val="clear" w:color="auto" w:fill="FFDEAD"/>
          </w:tcPr>
          <w:p>
            <w:pPr>
              <w:spacing w:after="0"/>
              <w:rPr>
                <w:sz w:val="16"/>
                <w:szCs w:val="16"/>
                <w:color w:val="auto"/>
              </w:rPr>
            </w:pPr>
          </w:p>
        </w:tc>
        <w:tc>
          <w:tcPr>
            <w:tcW w:w="300" w:type="dxa"/>
            <w:vAlign w:val="bottom"/>
            <w:tcBorders>
              <w:right w:val="single" w:sz="8" w:color="auto"/>
            </w:tcBorders>
            <w:shd w:val="clear" w:color="auto" w:fill="FFDEAD"/>
          </w:tcPr>
          <w:p>
            <w:pPr>
              <w:spacing w:after="0"/>
              <w:rPr>
                <w:sz w:val="16"/>
                <w:szCs w:val="16"/>
                <w:color w:val="auto"/>
              </w:rPr>
            </w:pPr>
          </w:p>
        </w:tc>
        <w:tc>
          <w:tcPr>
            <w:tcW w:w="4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4"/>
              </w:rPr>
              <w:t>2.00%</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80" w:type="dxa"/>
            <w:vAlign w:val="bottom"/>
            <w:gridSpan w:val="2"/>
            <w:shd w:val="clear" w:color="auto" w:fill="FFDEAD"/>
          </w:tcPr>
          <w:p>
            <w:pPr>
              <w:jc w:val="right"/>
              <w:ind w:right="550"/>
              <w:spacing w:after="0" w:line="191" w:lineRule="exact"/>
              <w:rPr>
                <w:sz w:val="20"/>
                <w:szCs w:val="20"/>
                <w:color w:val="auto"/>
              </w:rPr>
            </w:pPr>
            <w:r>
              <w:rPr>
                <w:rFonts w:ascii="Times New Roman" w:cs="Times New Roman" w:eastAsia="Times New Roman" w:hAnsi="Times New Roman"/>
                <w:sz w:val="18"/>
                <w:szCs w:val="18"/>
                <w:color w:val="FF0000"/>
                <w:strike w:val="1"/>
                <w:w w:val="96"/>
              </w:rPr>
              <w:t>2.0326%</w:t>
            </w:r>
          </w:p>
        </w:tc>
        <w:tc>
          <w:tcPr>
            <w:tcW w:w="160" w:type="dxa"/>
            <w:vAlign w:val="bottom"/>
            <w:tcBorders>
              <w:right w:val="single" w:sz="8" w:color="auto"/>
            </w:tcBorders>
            <w:shd w:val="clear" w:color="auto" w:fill="FFDEAD"/>
          </w:tcPr>
          <w:p>
            <w:pPr>
              <w:spacing w:after="0"/>
              <w:rPr>
                <w:sz w:val="16"/>
                <w:szCs w:val="16"/>
                <w:color w:val="auto"/>
              </w:rPr>
            </w:pP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Moody’s and</w:t>
            </w: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60" w:type="dxa"/>
            <w:vAlign w:val="bottom"/>
            <w:shd w:val="clear" w:color="auto" w:fill="FFDEAD"/>
          </w:tcPr>
          <w:p>
            <w:pPr>
              <w:spacing w:after="0"/>
              <w:rPr>
                <w:sz w:val="18"/>
                <w:szCs w:val="18"/>
                <w:color w:val="auto"/>
              </w:rPr>
            </w:pPr>
          </w:p>
        </w:tc>
        <w:tc>
          <w:tcPr>
            <w:tcW w:w="180" w:type="dxa"/>
            <w:vAlign w:val="bottom"/>
            <w:shd w:val="clear" w:color="auto" w:fill="FFDEAD"/>
          </w:tcPr>
          <w:p>
            <w:pPr>
              <w:spacing w:after="0"/>
              <w:rPr>
                <w:sz w:val="18"/>
                <w:szCs w:val="18"/>
                <w:color w:val="auto"/>
              </w:rPr>
            </w:pPr>
          </w:p>
        </w:tc>
        <w:tc>
          <w:tcPr>
            <w:tcW w:w="420" w:type="dxa"/>
            <w:vAlign w:val="bottom"/>
            <w:shd w:val="clear" w:color="auto" w:fill="FFDEAD"/>
          </w:tcPr>
          <w:p>
            <w:pPr>
              <w:spacing w:after="0"/>
              <w:rPr>
                <w:sz w:val="18"/>
                <w:szCs w:val="18"/>
                <w:color w:val="auto"/>
              </w:rPr>
            </w:pPr>
          </w:p>
        </w:tc>
        <w:tc>
          <w:tcPr>
            <w:tcW w:w="180" w:type="dxa"/>
            <w:vAlign w:val="bottom"/>
            <w:shd w:val="clear" w:color="auto" w:fill="FFDEAD"/>
          </w:tcPr>
          <w:p>
            <w:pPr>
              <w:spacing w:after="0"/>
              <w:rPr>
                <w:sz w:val="18"/>
                <w:szCs w:val="18"/>
                <w:color w:val="auto"/>
              </w:rPr>
            </w:pPr>
          </w:p>
        </w:tc>
        <w:tc>
          <w:tcPr>
            <w:tcW w:w="300" w:type="dxa"/>
            <w:vAlign w:val="bottom"/>
            <w:tcBorders>
              <w:right w:val="single" w:sz="8" w:color="auto"/>
            </w:tcBorders>
            <w:shd w:val="clear" w:color="auto" w:fill="FFDEAD"/>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shd w:val="clear" w:color="auto" w:fill="FFDEAD"/>
          </w:tcPr>
          <w:p>
            <w:pPr>
              <w:spacing w:after="0"/>
              <w:rPr>
                <w:sz w:val="18"/>
                <w:szCs w:val="18"/>
                <w:color w:val="auto"/>
              </w:rPr>
            </w:pPr>
          </w:p>
        </w:tc>
        <w:tc>
          <w:tcPr>
            <w:tcW w:w="1140" w:type="dxa"/>
            <w:vAlign w:val="bottom"/>
            <w:shd w:val="clear" w:color="auto" w:fill="FFDEAD"/>
          </w:tcPr>
          <w:p>
            <w:pPr>
              <w:spacing w:after="0"/>
              <w:rPr>
                <w:sz w:val="18"/>
                <w:szCs w:val="18"/>
                <w:color w:val="auto"/>
              </w:rPr>
            </w:pPr>
          </w:p>
        </w:tc>
        <w:tc>
          <w:tcPr>
            <w:tcW w:w="160" w:type="dxa"/>
            <w:vAlign w:val="bottom"/>
            <w:tcBorders>
              <w:right w:val="single" w:sz="8" w:color="auto"/>
            </w:tcBorders>
            <w:shd w:val="clear" w:color="auto" w:fill="FFDEAD"/>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BB- and &lt; BB from S&amp;P</w:t>
            </w: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42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300" w:type="dxa"/>
            <w:vAlign w:val="bottom"/>
            <w:tcBorders>
              <w:bottom w:val="single" w:sz="8" w:color="auto"/>
              <w:right w:val="single" w:sz="8" w:color="auto"/>
            </w:tcBorders>
            <w:shd w:val="clear" w:color="auto" w:fill="FFDEAD"/>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FFDEAD"/>
          </w:tcPr>
          <w:p>
            <w:pPr>
              <w:spacing w:after="0"/>
              <w:rPr>
                <w:sz w:val="20"/>
                <w:szCs w:val="20"/>
                <w:color w:val="auto"/>
              </w:rPr>
            </w:pPr>
          </w:p>
        </w:tc>
        <w:tc>
          <w:tcPr>
            <w:tcW w:w="1140" w:type="dxa"/>
            <w:vAlign w:val="bottom"/>
            <w:tcBorders>
              <w:bottom w:val="single" w:sz="8" w:color="auto"/>
            </w:tcBorders>
            <w:shd w:val="clear" w:color="auto" w:fill="FFDEAD"/>
          </w:tcPr>
          <w:p>
            <w:pPr>
              <w:spacing w:after="0"/>
              <w:rPr>
                <w:sz w:val="20"/>
                <w:szCs w:val="20"/>
                <w:color w:val="auto"/>
              </w:rPr>
            </w:pPr>
          </w:p>
        </w:tc>
        <w:tc>
          <w:tcPr>
            <w:tcW w:w="160" w:type="dxa"/>
            <w:vAlign w:val="bottom"/>
            <w:tcBorders>
              <w:bottom w:val="single" w:sz="8" w:color="auto"/>
              <w:right w:val="single" w:sz="8" w:color="auto"/>
            </w:tcBorders>
            <w:shd w:val="clear" w:color="auto" w:fill="FFDEAD"/>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III</w:t>
            </w:r>
          </w:p>
        </w:tc>
        <w:tc>
          <w:tcPr>
            <w:tcW w:w="22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&lt; Ba3 from Moody’s or</w:t>
            </w: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2.25%</w:t>
            </w:r>
          </w:p>
        </w:tc>
        <w:tc>
          <w:tcPr>
            <w:tcW w:w="1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1.25%</w:t>
            </w:r>
          </w:p>
        </w:tc>
        <w:tc>
          <w:tcPr>
            <w:tcW w:w="860" w:type="dxa"/>
            <w:vAlign w:val="bottom"/>
            <w:gridSpan w:val="3"/>
            <w:shd w:val="clear" w:color="auto" w:fill="FFDEAD"/>
          </w:tcPr>
          <w:p>
            <w:pPr>
              <w:jc w:val="right"/>
              <w:ind w:right="130"/>
              <w:spacing w:after="0" w:line="191" w:lineRule="exact"/>
              <w:rPr>
                <w:sz w:val="20"/>
                <w:szCs w:val="20"/>
                <w:color w:val="auto"/>
              </w:rPr>
            </w:pPr>
            <w:r>
              <w:rPr>
                <w:rFonts w:ascii="Times New Roman" w:cs="Times New Roman" w:eastAsia="Times New Roman" w:hAnsi="Times New Roman"/>
                <w:sz w:val="18"/>
                <w:szCs w:val="18"/>
                <w:color w:val="FF0000"/>
                <w:strike w:val="1"/>
                <w:w w:val="96"/>
              </w:rPr>
              <w:t>2.2826%</w:t>
            </w:r>
          </w:p>
        </w:tc>
        <w:tc>
          <w:tcPr>
            <w:tcW w:w="180" w:type="dxa"/>
            <w:vAlign w:val="bottom"/>
            <w:shd w:val="clear" w:color="auto" w:fill="FFDEAD"/>
          </w:tcPr>
          <w:p>
            <w:pPr>
              <w:spacing w:after="0"/>
              <w:rPr>
                <w:sz w:val="16"/>
                <w:szCs w:val="16"/>
                <w:color w:val="auto"/>
              </w:rPr>
            </w:pPr>
          </w:p>
        </w:tc>
        <w:tc>
          <w:tcPr>
            <w:tcW w:w="300" w:type="dxa"/>
            <w:vAlign w:val="bottom"/>
            <w:tcBorders>
              <w:right w:val="single" w:sz="8" w:color="auto"/>
            </w:tcBorders>
            <w:shd w:val="clear" w:color="auto" w:fill="FFDEAD"/>
          </w:tcPr>
          <w:p>
            <w:pPr>
              <w:spacing w:after="0"/>
              <w:rPr>
                <w:sz w:val="16"/>
                <w:szCs w:val="16"/>
                <w:color w:val="auto"/>
              </w:rPr>
            </w:pPr>
          </w:p>
        </w:tc>
        <w:tc>
          <w:tcPr>
            <w:tcW w:w="4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4"/>
              </w:rPr>
              <w:t>2.25%</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80" w:type="dxa"/>
            <w:vAlign w:val="bottom"/>
            <w:gridSpan w:val="2"/>
            <w:shd w:val="clear" w:color="auto" w:fill="FFDEAD"/>
          </w:tcPr>
          <w:p>
            <w:pPr>
              <w:jc w:val="right"/>
              <w:ind w:right="550"/>
              <w:spacing w:after="0" w:line="191" w:lineRule="exact"/>
              <w:rPr>
                <w:sz w:val="20"/>
                <w:szCs w:val="20"/>
                <w:color w:val="auto"/>
              </w:rPr>
            </w:pPr>
            <w:r>
              <w:rPr>
                <w:rFonts w:ascii="Times New Roman" w:cs="Times New Roman" w:eastAsia="Times New Roman" w:hAnsi="Times New Roman"/>
                <w:sz w:val="18"/>
                <w:szCs w:val="18"/>
                <w:color w:val="FF0000"/>
                <w:strike w:val="1"/>
                <w:w w:val="96"/>
              </w:rPr>
              <w:t>2.2826%</w:t>
            </w:r>
          </w:p>
        </w:tc>
        <w:tc>
          <w:tcPr>
            <w:tcW w:w="160" w:type="dxa"/>
            <w:vAlign w:val="bottom"/>
            <w:tcBorders>
              <w:right w:val="single" w:sz="8" w:color="auto"/>
            </w:tcBorders>
            <w:shd w:val="clear" w:color="auto" w:fill="FFDEAD"/>
          </w:tcPr>
          <w:p>
            <w:pPr>
              <w:spacing w:after="0"/>
              <w:rPr>
                <w:sz w:val="16"/>
                <w:szCs w:val="16"/>
                <w:color w:val="auto"/>
              </w:rPr>
            </w:pP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 BB- from S&amp;P</w:t>
            </w: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420" w:type="dxa"/>
            <w:vAlign w:val="bottom"/>
            <w:tcBorders>
              <w:bottom w:val="single" w:sz="8" w:color="auto"/>
            </w:tcBorders>
            <w:shd w:val="clear" w:color="auto" w:fill="FFDEAD"/>
          </w:tcPr>
          <w:p>
            <w:pPr>
              <w:spacing w:after="0"/>
              <w:rPr>
                <w:sz w:val="20"/>
                <w:szCs w:val="20"/>
                <w:color w:val="auto"/>
              </w:rPr>
            </w:pPr>
          </w:p>
        </w:tc>
        <w:tc>
          <w:tcPr>
            <w:tcW w:w="180" w:type="dxa"/>
            <w:vAlign w:val="bottom"/>
            <w:tcBorders>
              <w:bottom w:val="single" w:sz="8" w:color="auto"/>
            </w:tcBorders>
            <w:shd w:val="clear" w:color="auto" w:fill="FFDEAD"/>
          </w:tcPr>
          <w:p>
            <w:pPr>
              <w:spacing w:after="0"/>
              <w:rPr>
                <w:sz w:val="20"/>
                <w:szCs w:val="20"/>
                <w:color w:val="auto"/>
              </w:rPr>
            </w:pPr>
          </w:p>
        </w:tc>
        <w:tc>
          <w:tcPr>
            <w:tcW w:w="300" w:type="dxa"/>
            <w:vAlign w:val="bottom"/>
            <w:tcBorders>
              <w:bottom w:val="single" w:sz="8" w:color="auto"/>
              <w:right w:val="single" w:sz="8" w:color="auto"/>
            </w:tcBorders>
            <w:shd w:val="clear" w:color="auto" w:fill="FFDEAD"/>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FFDEAD"/>
          </w:tcPr>
          <w:p>
            <w:pPr>
              <w:spacing w:after="0"/>
              <w:rPr>
                <w:sz w:val="20"/>
                <w:szCs w:val="20"/>
                <w:color w:val="auto"/>
              </w:rPr>
            </w:pPr>
          </w:p>
        </w:tc>
        <w:tc>
          <w:tcPr>
            <w:tcW w:w="1140" w:type="dxa"/>
            <w:vAlign w:val="bottom"/>
            <w:tcBorders>
              <w:bottom w:val="single" w:sz="8" w:color="auto"/>
            </w:tcBorders>
            <w:shd w:val="clear" w:color="auto" w:fill="FFDEAD"/>
          </w:tcPr>
          <w:p>
            <w:pPr>
              <w:spacing w:after="0"/>
              <w:rPr>
                <w:sz w:val="20"/>
                <w:szCs w:val="20"/>
                <w:color w:val="auto"/>
              </w:rPr>
            </w:pPr>
          </w:p>
        </w:tc>
        <w:tc>
          <w:tcPr>
            <w:tcW w:w="160" w:type="dxa"/>
            <w:vAlign w:val="bottom"/>
            <w:tcBorders>
              <w:bottom w:val="single" w:sz="8" w:color="auto"/>
              <w:right w:val="single" w:sz="8" w:color="auto"/>
            </w:tcBorders>
            <w:shd w:val="clear" w:color="auto" w:fill="FFDEAD"/>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4"/>
                <w:szCs w:val="24"/>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8" w:name="page79"/>
    <w:bookmarkEnd w:id="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440" w:type="dxa"/>
            <w:vAlign w:val="bottom"/>
            <w:tcBorders>
              <w:top w:val="single" w:sz="8" w:color="auto"/>
              <w:right w:val="single" w:sz="8" w:color="BFBFBF"/>
            </w:tcBorders>
            <w:shd w:val="clear" w:color="auto" w:fill="BFBFBF"/>
          </w:tcPr>
          <w:p>
            <w:pPr>
              <w:spacing w:after="0"/>
              <w:rPr>
                <w:sz w:val="18"/>
                <w:szCs w:val="18"/>
                <w:color w:val="auto"/>
              </w:rPr>
            </w:pPr>
          </w:p>
        </w:tc>
        <w:tc>
          <w:tcPr>
            <w:tcW w:w="1700" w:type="dxa"/>
            <w:vAlign w:val="bottom"/>
            <w:tcBorders>
              <w:top w:val="single" w:sz="8" w:color="auto"/>
              <w:right w:val="single" w:sz="8" w:color="auto"/>
            </w:tcBorders>
            <w:shd w:val="clear" w:color="auto" w:fill="BFBFBF"/>
          </w:tcPr>
          <w:p>
            <w:pPr>
              <w:spacing w:after="0"/>
              <w:rPr>
                <w:sz w:val="18"/>
                <w:szCs w:val="18"/>
                <w:color w:val="auto"/>
              </w:rPr>
            </w:pPr>
          </w:p>
        </w:tc>
        <w:tc>
          <w:tcPr>
            <w:tcW w:w="1340" w:type="dxa"/>
            <w:vAlign w:val="bottom"/>
            <w:tcBorders>
              <w:top w:val="single" w:sz="8" w:color="auto"/>
              <w:right w:val="single" w:sz="8" w:color="auto"/>
            </w:tcBorders>
            <w:shd w:val="clear" w:color="auto" w:fill="BFBFBF"/>
          </w:tcPr>
          <w:p>
            <w:pPr>
              <w:spacing w:after="0"/>
              <w:rPr>
                <w:sz w:val="18"/>
                <w:szCs w:val="18"/>
                <w:color w:val="auto"/>
              </w:rPr>
            </w:pPr>
          </w:p>
        </w:tc>
        <w:tc>
          <w:tcPr>
            <w:tcW w:w="680" w:type="dxa"/>
            <w:vAlign w:val="bottom"/>
            <w:tcBorders>
              <w:top w:val="single" w:sz="8" w:color="auto"/>
              <w:right w:val="single" w:sz="8" w:color="BFBFBF"/>
            </w:tcBorders>
            <w:shd w:val="clear" w:color="auto" w:fill="BFBFBF"/>
          </w:tcPr>
          <w:p>
            <w:pPr>
              <w:spacing w:after="0"/>
              <w:rPr>
                <w:sz w:val="18"/>
                <w:szCs w:val="18"/>
                <w:color w:val="auto"/>
              </w:rPr>
            </w:pPr>
          </w:p>
        </w:tc>
        <w:tc>
          <w:tcPr>
            <w:tcW w:w="560" w:type="dxa"/>
            <w:vAlign w:val="bottom"/>
            <w:tcBorders>
              <w:top w:val="single" w:sz="8" w:color="auto"/>
              <w:right w:val="single" w:sz="8" w:color="auto"/>
            </w:tcBorders>
            <w:shd w:val="clear" w:color="auto" w:fill="BFBFBF"/>
          </w:tcPr>
          <w:p>
            <w:pPr>
              <w:spacing w:after="0"/>
              <w:rPr>
                <w:sz w:val="18"/>
                <w:szCs w:val="18"/>
                <w:color w:val="auto"/>
              </w:rPr>
            </w:pPr>
          </w:p>
        </w:tc>
        <w:tc>
          <w:tcPr>
            <w:tcW w:w="200" w:type="dxa"/>
            <w:vAlign w:val="bottom"/>
            <w:tcBorders>
              <w:top w:val="single" w:sz="8" w:color="auto"/>
            </w:tcBorders>
            <w:shd w:val="clear" w:color="auto" w:fill="FFDEAD"/>
          </w:tcPr>
          <w:p>
            <w:pPr>
              <w:spacing w:after="0"/>
              <w:rPr>
                <w:sz w:val="18"/>
                <w:szCs w:val="18"/>
                <w:color w:val="auto"/>
              </w:rPr>
            </w:pPr>
          </w:p>
        </w:tc>
        <w:tc>
          <w:tcPr>
            <w:tcW w:w="240" w:type="dxa"/>
            <w:vAlign w:val="bottom"/>
            <w:tcBorders>
              <w:top w:val="single" w:sz="8" w:color="auto"/>
            </w:tcBorders>
            <w:shd w:val="clear" w:color="auto" w:fill="FFDEAD"/>
          </w:tcPr>
          <w:p>
            <w:pPr>
              <w:spacing w:after="0"/>
              <w:rPr>
                <w:sz w:val="18"/>
                <w:szCs w:val="18"/>
                <w:color w:val="auto"/>
              </w:rPr>
            </w:pPr>
          </w:p>
        </w:tc>
        <w:tc>
          <w:tcPr>
            <w:tcW w:w="440" w:type="dxa"/>
            <w:vAlign w:val="bottom"/>
            <w:tcBorders>
              <w:top w:val="single" w:sz="8" w:color="auto"/>
            </w:tcBorders>
            <w:shd w:val="clear" w:color="auto" w:fill="FFDEAD"/>
          </w:tcPr>
          <w:p>
            <w:pPr>
              <w:spacing w:after="0"/>
              <w:rPr>
                <w:sz w:val="18"/>
                <w:szCs w:val="18"/>
                <w:color w:val="auto"/>
              </w:rPr>
            </w:pPr>
          </w:p>
        </w:tc>
        <w:tc>
          <w:tcPr>
            <w:tcW w:w="240" w:type="dxa"/>
            <w:vAlign w:val="bottom"/>
            <w:tcBorders>
              <w:top w:val="single" w:sz="8" w:color="auto"/>
            </w:tcBorders>
            <w:shd w:val="clear" w:color="auto" w:fill="FFDEAD"/>
          </w:tcPr>
          <w:p>
            <w:pPr>
              <w:spacing w:after="0"/>
              <w:rPr>
                <w:sz w:val="18"/>
                <w:szCs w:val="18"/>
                <w:color w:val="auto"/>
              </w:rPr>
            </w:pPr>
          </w:p>
        </w:tc>
        <w:tc>
          <w:tcPr>
            <w:tcW w:w="220" w:type="dxa"/>
            <w:vAlign w:val="bottom"/>
            <w:tcBorders>
              <w:top w:val="single" w:sz="8" w:color="auto"/>
              <w:right w:val="single" w:sz="8" w:color="auto"/>
            </w:tcBorders>
            <w:shd w:val="clear" w:color="auto" w:fill="FFDEAD"/>
          </w:tcPr>
          <w:p>
            <w:pPr>
              <w:spacing w:after="0"/>
              <w:rPr>
                <w:sz w:val="18"/>
                <w:szCs w:val="18"/>
                <w:color w:val="auto"/>
              </w:rPr>
            </w:pPr>
          </w:p>
        </w:tc>
        <w:tc>
          <w:tcPr>
            <w:tcW w:w="1240" w:type="dxa"/>
            <w:vAlign w:val="bottom"/>
            <w:tcBorders>
              <w:top w:val="single" w:sz="8" w:color="auto"/>
              <w:right w:val="single" w:sz="8" w:color="auto"/>
            </w:tcBorders>
            <w:gridSpan w:val="3"/>
            <w:shd w:val="clear" w:color="auto" w:fill="BFBFBF"/>
          </w:tcPr>
          <w:p>
            <w:pPr>
              <w:spacing w:after="0"/>
              <w:rPr>
                <w:sz w:val="20"/>
                <w:szCs w:val="20"/>
                <w:color w:val="auto"/>
              </w:rPr>
            </w:pPr>
            <w:r>
              <w:rPr>
                <w:rFonts w:ascii="Times New Roman" w:cs="Times New Roman" w:eastAsia="Times New Roman" w:hAnsi="Times New Roman"/>
                <w:sz w:val="18"/>
                <w:szCs w:val="18"/>
                <w:color w:val="auto"/>
              </w:rPr>
              <w:t>Applicable</w:t>
            </w:r>
          </w:p>
        </w:tc>
        <w:tc>
          <w:tcPr>
            <w:tcW w:w="140" w:type="dxa"/>
            <w:vAlign w:val="bottom"/>
            <w:tcBorders>
              <w:top w:val="single" w:sz="8" w:color="auto"/>
            </w:tcBorders>
            <w:shd w:val="clear" w:color="auto" w:fill="FFDEAD"/>
          </w:tcPr>
          <w:p>
            <w:pPr>
              <w:spacing w:after="0"/>
              <w:rPr>
                <w:sz w:val="18"/>
                <w:szCs w:val="18"/>
                <w:color w:val="auto"/>
              </w:rPr>
            </w:pPr>
          </w:p>
        </w:tc>
        <w:tc>
          <w:tcPr>
            <w:tcW w:w="60" w:type="dxa"/>
            <w:vAlign w:val="bottom"/>
            <w:tcBorders>
              <w:top w:val="single" w:sz="8" w:color="auto"/>
            </w:tcBorders>
            <w:shd w:val="clear" w:color="auto" w:fill="FFDEAD"/>
          </w:tcPr>
          <w:p>
            <w:pPr>
              <w:spacing w:after="0"/>
              <w:rPr>
                <w:sz w:val="18"/>
                <w:szCs w:val="18"/>
                <w:color w:val="auto"/>
              </w:rPr>
            </w:pPr>
          </w:p>
        </w:tc>
        <w:tc>
          <w:tcPr>
            <w:tcW w:w="440" w:type="dxa"/>
            <w:vAlign w:val="bottom"/>
            <w:tcBorders>
              <w:top w:val="single" w:sz="8" w:color="auto"/>
            </w:tcBorders>
            <w:shd w:val="clear" w:color="auto" w:fill="FFDEAD"/>
          </w:tcPr>
          <w:p>
            <w:pPr>
              <w:spacing w:after="0"/>
              <w:rPr>
                <w:sz w:val="18"/>
                <w:szCs w:val="18"/>
                <w:color w:val="auto"/>
              </w:rPr>
            </w:pPr>
          </w:p>
        </w:tc>
        <w:tc>
          <w:tcPr>
            <w:tcW w:w="580" w:type="dxa"/>
            <w:vAlign w:val="bottom"/>
            <w:tcBorders>
              <w:top w:val="single" w:sz="8" w:color="auto"/>
            </w:tcBorders>
            <w:shd w:val="clear" w:color="auto" w:fill="FFDEAD"/>
          </w:tcPr>
          <w:p>
            <w:pPr>
              <w:spacing w:after="0"/>
              <w:rPr>
                <w:sz w:val="18"/>
                <w:szCs w:val="18"/>
                <w:color w:val="auto"/>
              </w:rPr>
            </w:pPr>
          </w:p>
        </w:tc>
        <w:tc>
          <w:tcPr>
            <w:tcW w:w="60" w:type="dxa"/>
            <w:vAlign w:val="bottom"/>
            <w:tcBorders>
              <w:top w:val="single" w:sz="8" w:color="auto"/>
            </w:tcBorders>
            <w:shd w:val="clear" w:color="auto" w:fill="FFDEAD"/>
          </w:tcPr>
          <w:p>
            <w:pPr>
              <w:spacing w:after="0"/>
              <w:rPr>
                <w:sz w:val="18"/>
                <w:szCs w:val="18"/>
                <w:color w:val="auto"/>
              </w:rPr>
            </w:pPr>
          </w:p>
        </w:tc>
        <w:tc>
          <w:tcPr>
            <w:tcW w:w="160" w:type="dxa"/>
            <w:vAlign w:val="bottom"/>
            <w:tcBorders>
              <w:top w:val="single" w:sz="8" w:color="auto"/>
              <w:right w:val="single" w:sz="8" w:color="auto"/>
            </w:tcBorders>
            <w:shd w:val="clear" w:color="auto" w:fill="FFDEAD"/>
          </w:tcPr>
          <w:p>
            <w:pPr>
              <w:spacing w:after="0"/>
              <w:rPr>
                <w:sz w:val="18"/>
                <w:szCs w:val="18"/>
                <w:color w:val="auto"/>
              </w:rPr>
            </w:pPr>
          </w:p>
        </w:tc>
        <w:tc>
          <w:tcPr>
            <w:tcW w:w="1340" w:type="dxa"/>
            <w:vAlign w:val="bottom"/>
            <w:tcBorders>
              <w:top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Borders>
              <w:left w:val="single" w:sz="8" w:color="auto"/>
              <w:right w:val="single" w:sz="8" w:color="auto"/>
            </w:tcBorders>
            <w:shd w:val="clear" w:color="auto" w:fill="BFBFBF"/>
          </w:tcPr>
          <w:p>
            <w:pPr>
              <w:spacing w:after="0"/>
              <w:rPr>
                <w:sz w:val="18"/>
                <w:szCs w:val="18"/>
                <w:color w:val="auto"/>
              </w:rPr>
            </w:pPr>
          </w:p>
        </w:tc>
        <w:tc>
          <w:tcPr>
            <w:tcW w:w="440" w:type="dxa"/>
            <w:vAlign w:val="bottom"/>
            <w:tcBorders>
              <w:right w:val="single" w:sz="8" w:color="BFBFBF"/>
            </w:tcBorders>
            <w:shd w:val="clear" w:color="auto" w:fill="BFBFBF"/>
          </w:tcPr>
          <w:p>
            <w:pPr>
              <w:spacing w:after="0"/>
              <w:rPr>
                <w:sz w:val="18"/>
                <w:szCs w:val="18"/>
                <w:color w:val="auto"/>
              </w:rPr>
            </w:pPr>
          </w:p>
        </w:tc>
        <w:tc>
          <w:tcPr>
            <w:tcW w:w="170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680" w:type="dxa"/>
            <w:vAlign w:val="bottom"/>
            <w:tcBorders>
              <w:right w:val="single" w:sz="8" w:color="BFBFBF"/>
            </w:tcBorders>
            <w:shd w:val="clear" w:color="auto" w:fill="BFBFBF"/>
          </w:tcPr>
          <w:p>
            <w:pPr>
              <w:spacing w:after="0"/>
              <w:rPr>
                <w:sz w:val="18"/>
                <w:szCs w:val="18"/>
                <w:color w:val="auto"/>
              </w:rPr>
            </w:pPr>
          </w:p>
        </w:tc>
        <w:tc>
          <w:tcPr>
            <w:tcW w:w="560" w:type="dxa"/>
            <w:vAlign w:val="bottom"/>
            <w:tcBorders>
              <w:right w:val="single" w:sz="8" w:color="auto"/>
            </w:tcBorders>
            <w:shd w:val="clear" w:color="auto" w:fill="BFBFBF"/>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440" w:type="dxa"/>
            <w:vAlign w:val="bottom"/>
            <w:shd w:val="clear" w:color="auto" w:fill="FFDEAD"/>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220" w:type="dxa"/>
            <w:vAlign w:val="bottom"/>
            <w:tcBorders>
              <w:right w:val="single" w:sz="8" w:color="auto"/>
            </w:tcBorders>
            <w:shd w:val="clear" w:color="auto" w:fill="FFDEAD"/>
          </w:tcPr>
          <w:p>
            <w:pPr>
              <w:spacing w:after="0"/>
              <w:rPr>
                <w:sz w:val="18"/>
                <w:szCs w:val="18"/>
                <w:color w:val="auto"/>
              </w:rPr>
            </w:pPr>
          </w:p>
        </w:tc>
        <w:tc>
          <w:tcPr>
            <w:tcW w:w="1240" w:type="dxa"/>
            <w:vAlign w:val="bottom"/>
            <w:tcBorders>
              <w:right w:val="single" w:sz="8" w:color="auto"/>
            </w:tcBorders>
            <w:gridSpan w:val="3"/>
            <w:shd w:val="clear" w:color="auto" w:fill="BFBFBF"/>
          </w:tcPr>
          <w:p>
            <w:pPr>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440" w:type="dxa"/>
            <w:vAlign w:val="bottom"/>
            <w:shd w:val="clear" w:color="auto" w:fill="FFDEAD"/>
          </w:tcPr>
          <w:p>
            <w:pPr>
              <w:spacing w:after="0"/>
              <w:rPr>
                <w:sz w:val="18"/>
                <w:szCs w:val="18"/>
                <w:color w:val="auto"/>
              </w:rPr>
            </w:pPr>
          </w:p>
        </w:tc>
        <w:tc>
          <w:tcPr>
            <w:tcW w:w="58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160" w:type="dxa"/>
            <w:vAlign w:val="bottom"/>
            <w:tcBorders>
              <w:right w:val="single" w:sz="8" w:color="auto"/>
            </w:tcBorders>
            <w:shd w:val="clear" w:color="auto" w:fill="FFDEAD"/>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Borders>
              <w:left w:val="single" w:sz="8" w:color="auto"/>
              <w:right w:val="single" w:sz="8" w:color="auto"/>
            </w:tcBorders>
            <w:shd w:val="clear" w:color="auto" w:fill="BFBFBF"/>
          </w:tcPr>
          <w:p>
            <w:pPr>
              <w:spacing w:after="0"/>
              <w:rPr>
                <w:sz w:val="18"/>
                <w:szCs w:val="18"/>
                <w:color w:val="auto"/>
              </w:rPr>
            </w:pPr>
          </w:p>
        </w:tc>
        <w:tc>
          <w:tcPr>
            <w:tcW w:w="440" w:type="dxa"/>
            <w:vAlign w:val="bottom"/>
            <w:tcBorders>
              <w:right w:val="single" w:sz="8" w:color="BFBFBF"/>
            </w:tcBorders>
            <w:shd w:val="clear" w:color="auto" w:fill="BFBFBF"/>
          </w:tcPr>
          <w:p>
            <w:pPr>
              <w:spacing w:after="0"/>
              <w:rPr>
                <w:sz w:val="18"/>
                <w:szCs w:val="18"/>
                <w:color w:val="auto"/>
              </w:rPr>
            </w:pPr>
          </w:p>
        </w:tc>
        <w:tc>
          <w:tcPr>
            <w:tcW w:w="170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rPr>
              <w:t>Applicable</w:t>
            </w:r>
          </w:p>
        </w:tc>
        <w:tc>
          <w:tcPr>
            <w:tcW w:w="680" w:type="dxa"/>
            <w:vAlign w:val="bottom"/>
            <w:tcBorders>
              <w:right w:val="single" w:sz="8" w:color="BFBFBF"/>
            </w:tcBorders>
            <w:shd w:val="clear" w:color="auto" w:fill="BFBFBF"/>
          </w:tcPr>
          <w:p>
            <w:pPr>
              <w:spacing w:after="0"/>
              <w:rPr>
                <w:sz w:val="18"/>
                <w:szCs w:val="18"/>
                <w:color w:val="auto"/>
              </w:rPr>
            </w:pPr>
          </w:p>
        </w:tc>
        <w:tc>
          <w:tcPr>
            <w:tcW w:w="560" w:type="dxa"/>
            <w:vAlign w:val="bottom"/>
            <w:tcBorders>
              <w:right w:val="single" w:sz="8" w:color="auto"/>
            </w:tcBorders>
            <w:shd w:val="clear" w:color="auto" w:fill="BFBFBF"/>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920" w:type="dxa"/>
            <w:vAlign w:val="bottom"/>
            <w:gridSpan w:val="3"/>
            <w:shd w:val="clear" w:color="auto" w:fill="FFDEAD"/>
          </w:tcPr>
          <w:p>
            <w:pPr>
              <w:jc w:val="center"/>
              <w:spacing w:after="0" w:line="198" w:lineRule="exact"/>
              <w:rPr>
                <w:sz w:val="20"/>
                <w:szCs w:val="20"/>
                <w:color w:val="auto"/>
              </w:rPr>
            </w:pPr>
            <w:r>
              <w:rPr>
                <w:rFonts w:ascii="Times New Roman" w:cs="Times New Roman" w:eastAsia="Times New Roman" w:hAnsi="Times New Roman"/>
                <w:sz w:val="18"/>
                <w:szCs w:val="18"/>
                <w:color w:val="FF0000"/>
                <w:strike w:val="1"/>
              </w:rPr>
              <w:t>Applicable</w:t>
            </w:r>
          </w:p>
        </w:tc>
        <w:tc>
          <w:tcPr>
            <w:tcW w:w="220" w:type="dxa"/>
            <w:vAlign w:val="bottom"/>
            <w:tcBorders>
              <w:right w:val="single" w:sz="8" w:color="auto"/>
            </w:tcBorders>
            <w:shd w:val="clear" w:color="auto" w:fill="FFDEAD"/>
          </w:tcPr>
          <w:p>
            <w:pPr>
              <w:spacing w:after="0"/>
              <w:rPr>
                <w:sz w:val="18"/>
                <w:szCs w:val="18"/>
                <w:color w:val="auto"/>
              </w:rPr>
            </w:pPr>
          </w:p>
        </w:tc>
        <w:tc>
          <w:tcPr>
            <w:tcW w:w="360" w:type="dxa"/>
            <w:vAlign w:val="bottom"/>
            <w:shd w:val="clear" w:color="auto" w:fill="BFBFBF"/>
          </w:tcPr>
          <w:p>
            <w:pPr>
              <w:spacing w:after="0" w:line="198" w:lineRule="exact"/>
              <w:rPr>
                <w:sz w:val="20"/>
                <w:szCs w:val="20"/>
                <w:color w:val="auto"/>
              </w:rPr>
            </w:pPr>
            <w:r>
              <w:rPr>
                <w:rFonts w:ascii="Times New Roman" w:cs="Times New Roman" w:eastAsia="Times New Roman" w:hAnsi="Times New Roman"/>
                <w:sz w:val="18"/>
                <w:szCs w:val="18"/>
                <w:color w:val="FF0000"/>
                <w:strike w:val="1"/>
                <w:w w:val="94"/>
              </w:rPr>
              <w:t>CBR</w:t>
            </w:r>
          </w:p>
        </w:tc>
        <w:tc>
          <w:tcPr>
            <w:tcW w:w="880" w:type="dxa"/>
            <w:vAlign w:val="bottom"/>
            <w:tcBorders>
              <w:right w:val="single" w:sz="8" w:color="auto"/>
            </w:tcBorders>
            <w:gridSpan w:val="2"/>
            <w:shd w:val="clear" w:color="auto" w:fill="BFBFBF"/>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8"/>
              </w:rPr>
              <w:t xml:space="preserve">RFR </w:t>
            </w:r>
            <w:r>
              <w:rPr>
                <w:rFonts w:ascii="Times New Roman" w:cs="Times New Roman" w:eastAsia="Times New Roman" w:hAnsi="Times New Roman"/>
                <w:sz w:val="18"/>
                <w:szCs w:val="18"/>
                <w:color w:val="000000"/>
                <w:w w:val="98"/>
              </w:rPr>
              <w:t>Loans</w:t>
            </w:r>
          </w:p>
        </w:tc>
        <w:tc>
          <w:tcPr>
            <w:tcW w:w="1440" w:type="dxa"/>
            <w:vAlign w:val="bottom"/>
            <w:tcBorders>
              <w:right w:val="single" w:sz="8" w:color="auto"/>
            </w:tcBorders>
            <w:gridSpan w:val="6"/>
            <w:shd w:val="clear" w:color="auto" w:fill="FFDEAD"/>
          </w:tcPr>
          <w:p>
            <w:pPr>
              <w:jc w:val="center"/>
              <w:ind w:right="40"/>
              <w:spacing w:after="0" w:line="198" w:lineRule="exact"/>
              <w:rPr>
                <w:sz w:val="20"/>
                <w:szCs w:val="20"/>
                <w:color w:val="auto"/>
              </w:rPr>
            </w:pPr>
            <w:r>
              <w:rPr>
                <w:rFonts w:ascii="Times New Roman" w:cs="Times New Roman" w:eastAsia="Times New Roman" w:hAnsi="Times New Roman"/>
                <w:sz w:val="18"/>
                <w:szCs w:val="18"/>
                <w:color w:val="FF0000"/>
                <w:strike w:val="1"/>
                <w:w w:val="99"/>
              </w:rPr>
              <w:t>Applicable Margin</w:t>
            </w:r>
          </w:p>
        </w:tc>
        <w:tc>
          <w:tcPr>
            <w:tcW w:w="13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BFBFBF"/>
              <w:left w:val="single" w:sz="8" w:color="auto"/>
              <w:right w:val="single" w:sz="8" w:color="auto"/>
            </w:tcBorders>
            <w:shd w:val="clear" w:color="auto" w:fill="BFBFBF"/>
          </w:tcPr>
          <w:p>
            <w:pPr>
              <w:spacing w:after="0" w:line="20" w:lineRule="exact"/>
              <w:rPr>
                <w:sz w:val="1"/>
                <w:szCs w:val="1"/>
                <w:color w:val="auto"/>
              </w:rPr>
            </w:pPr>
          </w:p>
        </w:tc>
        <w:tc>
          <w:tcPr>
            <w:tcW w:w="440" w:type="dxa"/>
            <w:vAlign w:val="bottom"/>
            <w:tcBorders>
              <w:top w:val="single" w:sz="8" w:color="BFBFBF"/>
              <w:right w:val="single" w:sz="8" w:color="BFBFBF"/>
            </w:tcBorders>
            <w:shd w:val="clear" w:color="auto" w:fill="BFBFBF"/>
          </w:tcPr>
          <w:p>
            <w:pPr>
              <w:spacing w:after="0" w:line="20" w:lineRule="exact"/>
              <w:rPr>
                <w:sz w:val="1"/>
                <w:szCs w:val="1"/>
                <w:color w:val="auto"/>
              </w:rPr>
            </w:pPr>
          </w:p>
        </w:tc>
        <w:tc>
          <w:tcPr>
            <w:tcW w:w="1700" w:type="dxa"/>
            <w:vAlign w:val="bottom"/>
            <w:tcBorders>
              <w:top w:val="single" w:sz="8" w:color="BFBFBF"/>
              <w:right w:val="single" w:sz="8" w:color="auto"/>
            </w:tcBorders>
            <w:shd w:val="clear" w:color="auto" w:fill="BFBFBF"/>
          </w:tcPr>
          <w:p>
            <w:pPr>
              <w:spacing w:after="0" w:line="20" w:lineRule="exact"/>
              <w:rPr>
                <w:sz w:val="1"/>
                <w:szCs w:val="1"/>
                <w:color w:val="auto"/>
              </w:rPr>
            </w:pPr>
          </w:p>
        </w:tc>
        <w:tc>
          <w:tcPr>
            <w:tcW w:w="1340" w:type="dxa"/>
            <w:vAlign w:val="bottom"/>
            <w:tcBorders>
              <w:top w:val="single" w:sz="8" w:color="BFBFBF"/>
              <w:right w:val="single" w:sz="8" w:color="auto"/>
            </w:tcBorders>
            <w:vMerge w:val="continue"/>
            <w:shd w:val="clear" w:color="auto" w:fill="BFBFBF"/>
          </w:tcPr>
          <w:p>
            <w:pPr>
              <w:spacing w:after="0" w:line="20" w:lineRule="exact"/>
              <w:rPr>
                <w:sz w:val="1"/>
                <w:szCs w:val="1"/>
                <w:color w:val="auto"/>
              </w:rPr>
            </w:pPr>
          </w:p>
        </w:tc>
        <w:tc>
          <w:tcPr>
            <w:tcW w:w="680" w:type="dxa"/>
            <w:vAlign w:val="bottom"/>
            <w:tcBorders>
              <w:top w:val="single" w:sz="8" w:color="BFBFBF"/>
              <w:right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BFBFBF"/>
              <w:right w:val="single" w:sz="8" w:color="auto"/>
            </w:tcBorders>
            <w:shd w:val="clear" w:color="auto" w:fill="BFBFBF"/>
          </w:tcPr>
          <w:p>
            <w:pPr>
              <w:spacing w:after="0" w:line="20" w:lineRule="exact"/>
              <w:rPr>
                <w:sz w:val="1"/>
                <w:szCs w:val="1"/>
                <w:color w:val="auto"/>
              </w:rPr>
            </w:pPr>
          </w:p>
        </w:tc>
        <w:tc>
          <w:tcPr>
            <w:tcW w:w="200" w:type="dxa"/>
            <w:vAlign w:val="bottom"/>
            <w:tcBorders>
              <w:top w:val="single" w:sz="8" w:color="FFDEAD"/>
            </w:tcBorders>
            <w:shd w:val="clear" w:color="auto" w:fill="FFDEAD"/>
          </w:tcPr>
          <w:p>
            <w:pPr>
              <w:spacing w:after="0" w:line="20" w:lineRule="exact"/>
              <w:rPr>
                <w:sz w:val="1"/>
                <w:szCs w:val="1"/>
                <w:color w:val="auto"/>
              </w:rPr>
            </w:pPr>
          </w:p>
        </w:tc>
        <w:tc>
          <w:tcPr>
            <w:tcW w:w="240" w:type="dxa"/>
            <w:vAlign w:val="bottom"/>
            <w:tcBorders>
              <w:top w:val="single" w:sz="8" w:color="FFDEAD"/>
            </w:tcBorders>
            <w:shd w:val="clear" w:color="auto" w:fill="FFDEAD"/>
          </w:tcPr>
          <w:p>
            <w:pPr>
              <w:spacing w:after="0" w:line="20" w:lineRule="exact"/>
              <w:rPr>
                <w:sz w:val="1"/>
                <w:szCs w:val="1"/>
                <w:color w:val="auto"/>
              </w:rPr>
            </w:pPr>
          </w:p>
        </w:tc>
        <w:tc>
          <w:tcPr>
            <w:tcW w:w="440" w:type="dxa"/>
            <w:vAlign w:val="bottom"/>
            <w:tcBorders>
              <w:top w:val="single" w:sz="8" w:color="FFDEAD"/>
            </w:tcBorders>
            <w:shd w:val="clear" w:color="auto" w:fill="FFDEAD"/>
          </w:tcPr>
          <w:p>
            <w:pPr>
              <w:spacing w:after="0" w:line="20" w:lineRule="exact"/>
              <w:rPr>
                <w:sz w:val="1"/>
                <w:szCs w:val="1"/>
                <w:color w:val="auto"/>
              </w:rPr>
            </w:pPr>
          </w:p>
        </w:tc>
        <w:tc>
          <w:tcPr>
            <w:tcW w:w="240" w:type="dxa"/>
            <w:vAlign w:val="bottom"/>
            <w:tcBorders>
              <w:top w:val="single" w:sz="8" w:color="FFDEAD"/>
            </w:tcBorders>
            <w:shd w:val="clear" w:color="auto" w:fill="FFDEAD"/>
          </w:tcPr>
          <w:p>
            <w:pPr>
              <w:spacing w:after="0" w:line="20" w:lineRule="exact"/>
              <w:rPr>
                <w:sz w:val="1"/>
                <w:szCs w:val="1"/>
                <w:color w:val="auto"/>
              </w:rPr>
            </w:pPr>
          </w:p>
        </w:tc>
        <w:tc>
          <w:tcPr>
            <w:tcW w:w="220" w:type="dxa"/>
            <w:vAlign w:val="bottom"/>
            <w:tcBorders>
              <w:top w:val="single" w:sz="8" w:color="FFDEAD"/>
              <w:right w:val="single" w:sz="8" w:color="auto"/>
            </w:tcBorders>
            <w:shd w:val="clear" w:color="auto" w:fill="FFDEAD"/>
          </w:tcPr>
          <w:p>
            <w:pPr>
              <w:spacing w:after="0" w:line="20" w:lineRule="exact"/>
              <w:rPr>
                <w:sz w:val="1"/>
                <w:szCs w:val="1"/>
                <w:color w:val="auto"/>
              </w:rPr>
            </w:pPr>
          </w:p>
        </w:tc>
        <w:tc>
          <w:tcPr>
            <w:tcW w:w="360" w:type="dxa"/>
            <w:vAlign w:val="bottom"/>
            <w:tcBorders>
              <w:top w:val="single" w:sz="8" w:color="BFBFBF"/>
            </w:tcBorders>
            <w:shd w:val="clear" w:color="auto" w:fill="BFBFBF"/>
          </w:tcPr>
          <w:p>
            <w:pPr>
              <w:spacing w:after="0" w:line="20" w:lineRule="exact"/>
              <w:rPr>
                <w:sz w:val="1"/>
                <w:szCs w:val="1"/>
                <w:color w:val="auto"/>
              </w:rPr>
            </w:pPr>
          </w:p>
        </w:tc>
        <w:tc>
          <w:tcPr>
            <w:tcW w:w="360" w:type="dxa"/>
            <w:vAlign w:val="bottom"/>
            <w:tcBorders>
              <w:top w:val="single" w:sz="8" w:color="0000FF"/>
            </w:tcBorders>
            <w:shd w:val="clear" w:color="auto" w:fill="0000FF"/>
          </w:tcPr>
          <w:p>
            <w:pPr>
              <w:spacing w:after="0" w:line="20" w:lineRule="exact"/>
              <w:rPr>
                <w:sz w:val="1"/>
                <w:szCs w:val="1"/>
                <w:color w:val="auto"/>
              </w:rPr>
            </w:pPr>
          </w:p>
        </w:tc>
        <w:tc>
          <w:tcPr>
            <w:tcW w:w="520" w:type="dxa"/>
            <w:vAlign w:val="bottom"/>
            <w:tcBorders>
              <w:top w:val="single" w:sz="8" w:color="BFBFBF"/>
              <w:right w:val="single" w:sz="8" w:color="auto"/>
            </w:tcBorders>
            <w:shd w:val="clear" w:color="auto" w:fill="BFBFBF"/>
          </w:tcPr>
          <w:p>
            <w:pPr>
              <w:spacing w:after="0" w:line="20" w:lineRule="exact"/>
              <w:rPr>
                <w:sz w:val="1"/>
                <w:szCs w:val="1"/>
                <w:color w:val="auto"/>
              </w:rPr>
            </w:pPr>
          </w:p>
        </w:tc>
        <w:tc>
          <w:tcPr>
            <w:tcW w:w="140" w:type="dxa"/>
            <w:vAlign w:val="bottom"/>
            <w:tcBorders>
              <w:top w:val="single" w:sz="8" w:color="FFDEAD"/>
            </w:tcBorders>
            <w:shd w:val="clear" w:color="auto" w:fill="FFDEAD"/>
          </w:tcPr>
          <w:p>
            <w:pPr>
              <w:spacing w:after="0" w:line="20" w:lineRule="exact"/>
              <w:rPr>
                <w:sz w:val="1"/>
                <w:szCs w:val="1"/>
                <w:color w:val="auto"/>
              </w:rPr>
            </w:pPr>
          </w:p>
        </w:tc>
        <w:tc>
          <w:tcPr>
            <w:tcW w:w="60" w:type="dxa"/>
            <w:vAlign w:val="bottom"/>
            <w:tcBorders>
              <w:top w:val="single" w:sz="8" w:color="FFDEAD"/>
            </w:tcBorders>
            <w:shd w:val="clear" w:color="auto" w:fill="FFDEAD"/>
          </w:tcPr>
          <w:p>
            <w:pPr>
              <w:spacing w:after="0" w:line="20" w:lineRule="exact"/>
              <w:rPr>
                <w:sz w:val="1"/>
                <w:szCs w:val="1"/>
                <w:color w:val="auto"/>
              </w:rPr>
            </w:pPr>
          </w:p>
        </w:tc>
        <w:tc>
          <w:tcPr>
            <w:tcW w:w="440" w:type="dxa"/>
            <w:vAlign w:val="bottom"/>
            <w:tcBorders>
              <w:top w:val="single" w:sz="8" w:color="FFDEAD"/>
            </w:tcBorders>
            <w:shd w:val="clear" w:color="auto" w:fill="FFDEAD"/>
          </w:tcPr>
          <w:p>
            <w:pPr>
              <w:spacing w:after="0" w:line="20" w:lineRule="exact"/>
              <w:rPr>
                <w:sz w:val="1"/>
                <w:szCs w:val="1"/>
                <w:color w:val="auto"/>
              </w:rPr>
            </w:pPr>
          </w:p>
        </w:tc>
        <w:tc>
          <w:tcPr>
            <w:tcW w:w="580" w:type="dxa"/>
            <w:vAlign w:val="bottom"/>
            <w:tcBorders>
              <w:top w:val="single" w:sz="8" w:color="FFDEAD"/>
            </w:tcBorders>
            <w:shd w:val="clear" w:color="auto" w:fill="FFDEAD"/>
          </w:tcPr>
          <w:p>
            <w:pPr>
              <w:spacing w:after="0" w:line="20" w:lineRule="exact"/>
              <w:rPr>
                <w:sz w:val="1"/>
                <w:szCs w:val="1"/>
                <w:color w:val="auto"/>
              </w:rPr>
            </w:pPr>
          </w:p>
        </w:tc>
        <w:tc>
          <w:tcPr>
            <w:tcW w:w="60" w:type="dxa"/>
            <w:vAlign w:val="bottom"/>
            <w:tcBorders>
              <w:top w:val="single" w:sz="8" w:color="FFDEAD"/>
            </w:tcBorders>
            <w:shd w:val="clear" w:color="auto" w:fill="FFDEAD"/>
          </w:tcPr>
          <w:p>
            <w:pPr>
              <w:spacing w:after="0" w:line="20" w:lineRule="exact"/>
              <w:rPr>
                <w:sz w:val="1"/>
                <w:szCs w:val="1"/>
                <w:color w:val="auto"/>
              </w:rPr>
            </w:pPr>
          </w:p>
        </w:tc>
        <w:tc>
          <w:tcPr>
            <w:tcW w:w="160" w:type="dxa"/>
            <w:vAlign w:val="bottom"/>
            <w:tcBorders>
              <w:top w:val="single" w:sz="8" w:color="FFDEAD"/>
              <w:right w:val="single" w:sz="8" w:color="auto"/>
            </w:tcBorders>
            <w:shd w:val="clear" w:color="auto" w:fill="FFDEAD"/>
          </w:tcPr>
          <w:p>
            <w:pPr>
              <w:spacing w:after="0" w:line="20" w:lineRule="exact"/>
              <w:rPr>
                <w:sz w:val="1"/>
                <w:szCs w:val="1"/>
                <w:color w:val="auto"/>
              </w:rPr>
            </w:pPr>
          </w:p>
        </w:tc>
        <w:tc>
          <w:tcPr>
            <w:tcW w:w="1340" w:type="dxa"/>
            <w:vAlign w:val="bottom"/>
            <w:tcBorders>
              <w:top w:val="single" w:sz="8" w:color="BFBFBF"/>
              <w:right w:val="single" w:sz="8" w:color="auto"/>
            </w:tcBorders>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160" w:type="dxa"/>
            <w:vAlign w:val="bottom"/>
            <w:tcBorders>
              <w:left w:val="single" w:sz="8" w:color="auto"/>
              <w:right w:val="single" w:sz="8" w:color="auto"/>
            </w:tcBorders>
            <w:shd w:val="clear" w:color="auto" w:fill="BFBFBF"/>
          </w:tcPr>
          <w:p>
            <w:pPr>
              <w:spacing w:after="0"/>
              <w:rPr>
                <w:sz w:val="7"/>
                <w:szCs w:val="7"/>
                <w:color w:val="auto"/>
              </w:rPr>
            </w:pPr>
          </w:p>
        </w:tc>
        <w:tc>
          <w:tcPr>
            <w:tcW w:w="440" w:type="dxa"/>
            <w:vAlign w:val="bottom"/>
            <w:tcBorders>
              <w:right w:val="single" w:sz="8" w:color="BFBFBF"/>
            </w:tcBorders>
            <w:shd w:val="clear" w:color="auto" w:fill="BFBFBF"/>
          </w:tcPr>
          <w:p>
            <w:pPr>
              <w:spacing w:after="0"/>
              <w:rPr>
                <w:sz w:val="7"/>
                <w:szCs w:val="7"/>
                <w:color w:val="auto"/>
              </w:rPr>
            </w:pPr>
          </w:p>
        </w:tc>
        <w:tc>
          <w:tcPr>
            <w:tcW w:w="1700" w:type="dxa"/>
            <w:vAlign w:val="bottom"/>
            <w:tcBorders>
              <w:right w:val="single" w:sz="8" w:color="auto"/>
            </w:tcBorders>
            <w:shd w:val="clear" w:color="auto" w:fill="BFBFBF"/>
          </w:tcPr>
          <w:p>
            <w:pPr>
              <w:spacing w:after="0"/>
              <w:rPr>
                <w:sz w:val="7"/>
                <w:szCs w:val="7"/>
                <w:color w:val="auto"/>
              </w:rPr>
            </w:pPr>
          </w:p>
        </w:tc>
        <w:tc>
          <w:tcPr>
            <w:tcW w:w="1340" w:type="dxa"/>
            <w:vAlign w:val="bottom"/>
            <w:tcBorders>
              <w:right w:val="single" w:sz="8" w:color="auto"/>
            </w:tcBorders>
            <w:vMerge w:val="continue"/>
            <w:shd w:val="clear" w:color="auto" w:fill="BFBFBF"/>
          </w:tcPr>
          <w:p>
            <w:pPr>
              <w:spacing w:after="0"/>
              <w:rPr>
                <w:sz w:val="7"/>
                <w:szCs w:val="7"/>
                <w:color w:val="auto"/>
              </w:rPr>
            </w:pPr>
          </w:p>
        </w:tc>
        <w:tc>
          <w:tcPr>
            <w:tcW w:w="680" w:type="dxa"/>
            <w:vAlign w:val="bottom"/>
            <w:tcBorders>
              <w:right w:val="single" w:sz="8" w:color="BFBFBF"/>
            </w:tcBorders>
            <w:shd w:val="clear" w:color="auto" w:fill="BFBFBF"/>
          </w:tcPr>
          <w:p>
            <w:pPr>
              <w:spacing w:after="0"/>
              <w:rPr>
                <w:sz w:val="7"/>
                <w:szCs w:val="7"/>
                <w:color w:val="auto"/>
              </w:rPr>
            </w:pPr>
          </w:p>
        </w:tc>
        <w:tc>
          <w:tcPr>
            <w:tcW w:w="560" w:type="dxa"/>
            <w:vAlign w:val="bottom"/>
            <w:tcBorders>
              <w:right w:val="single" w:sz="8" w:color="auto"/>
            </w:tcBorders>
            <w:shd w:val="clear" w:color="auto" w:fill="BFBFBF"/>
          </w:tcPr>
          <w:p>
            <w:pPr>
              <w:spacing w:after="0"/>
              <w:rPr>
                <w:sz w:val="7"/>
                <w:szCs w:val="7"/>
                <w:color w:val="auto"/>
              </w:rPr>
            </w:pPr>
          </w:p>
        </w:tc>
        <w:tc>
          <w:tcPr>
            <w:tcW w:w="200" w:type="dxa"/>
            <w:vAlign w:val="bottom"/>
            <w:shd w:val="clear" w:color="auto" w:fill="FFDEAD"/>
          </w:tcPr>
          <w:p>
            <w:pPr>
              <w:spacing w:after="0"/>
              <w:rPr>
                <w:sz w:val="7"/>
                <w:szCs w:val="7"/>
                <w:color w:val="auto"/>
              </w:rPr>
            </w:pPr>
          </w:p>
        </w:tc>
        <w:tc>
          <w:tcPr>
            <w:tcW w:w="920" w:type="dxa"/>
            <w:vAlign w:val="bottom"/>
            <w:gridSpan w:val="3"/>
            <w:vMerge w:val="restart"/>
            <w:shd w:val="clear" w:color="auto" w:fill="FFDEAD"/>
          </w:tcPr>
          <w:p>
            <w:pPr>
              <w:jc w:val="center"/>
              <w:spacing w:after="0" w:line="178" w:lineRule="exact"/>
              <w:rPr>
                <w:sz w:val="20"/>
                <w:szCs w:val="20"/>
                <w:color w:val="auto"/>
              </w:rPr>
            </w:pPr>
            <w:r>
              <w:rPr>
                <w:rFonts w:ascii="Times New Roman" w:cs="Times New Roman" w:eastAsia="Times New Roman" w:hAnsi="Times New Roman"/>
                <w:sz w:val="18"/>
                <w:szCs w:val="18"/>
                <w:color w:val="FF0000"/>
                <w:strike w:val="1"/>
              </w:rPr>
              <w:t>Margin RFR</w:t>
            </w:r>
          </w:p>
        </w:tc>
        <w:tc>
          <w:tcPr>
            <w:tcW w:w="220" w:type="dxa"/>
            <w:vAlign w:val="bottom"/>
            <w:tcBorders>
              <w:right w:val="single" w:sz="8" w:color="auto"/>
            </w:tcBorders>
            <w:shd w:val="clear" w:color="auto" w:fill="FFDEAD"/>
          </w:tcPr>
          <w:p>
            <w:pPr>
              <w:spacing w:after="0"/>
              <w:rPr>
                <w:sz w:val="7"/>
                <w:szCs w:val="7"/>
                <w:color w:val="auto"/>
              </w:rPr>
            </w:pPr>
          </w:p>
        </w:tc>
        <w:tc>
          <w:tcPr>
            <w:tcW w:w="720" w:type="dxa"/>
            <w:vAlign w:val="bottom"/>
            <w:gridSpan w:val="2"/>
            <w:vMerge w:val="restart"/>
            <w:shd w:val="clear" w:color="auto" w:fill="BFBFBF"/>
          </w:tcPr>
          <w:p>
            <w:pPr>
              <w:spacing w:after="0" w:line="178" w:lineRule="exact"/>
              <w:rPr>
                <w:sz w:val="20"/>
                <w:szCs w:val="20"/>
                <w:color w:val="auto"/>
              </w:rPr>
            </w:pPr>
            <w:r>
              <w:rPr>
                <w:rFonts w:ascii="Times New Roman" w:cs="Times New Roman" w:eastAsia="Times New Roman" w:hAnsi="Times New Roman"/>
                <w:sz w:val="18"/>
                <w:szCs w:val="18"/>
                <w:color w:val="FF0000"/>
                <w:strike w:val="1"/>
                <w:w w:val="97"/>
              </w:rPr>
              <w:t>in Agreed</w:t>
            </w:r>
          </w:p>
        </w:tc>
        <w:tc>
          <w:tcPr>
            <w:tcW w:w="520" w:type="dxa"/>
            <w:vAlign w:val="bottom"/>
            <w:tcBorders>
              <w:right w:val="single" w:sz="8" w:color="auto"/>
            </w:tcBorders>
            <w:shd w:val="clear" w:color="auto" w:fill="BFBFBF"/>
          </w:tcPr>
          <w:p>
            <w:pPr>
              <w:spacing w:after="0"/>
              <w:rPr>
                <w:sz w:val="7"/>
                <w:szCs w:val="7"/>
                <w:color w:val="auto"/>
              </w:rPr>
            </w:pPr>
          </w:p>
        </w:tc>
        <w:tc>
          <w:tcPr>
            <w:tcW w:w="140" w:type="dxa"/>
            <w:vAlign w:val="bottom"/>
            <w:shd w:val="clear" w:color="auto" w:fill="FFDEAD"/>
          </w:tcPr>
          <w:p>
            <w:pPr>
              <w:spacing w:after="0"/>
              <w:rPr>
                <w:sz w:val="7"/>
                <w:szCs w:val="7"/>
                <w:color w:val="auto"/>
              </w:rPr>
            </w:pPr>
          </w:p>
        </w:tc>
        <w:tc>
          <w:tcPr>
            <w:tcW w:w="60" w:type="dxa"/>
            <w:vAlign w:val="bottom"/>
            <w:shd w:val="clear" w:color="auto" w:fill="FFDEAD"/>
          </w:tcPr>
          <w:p>
            <w:pPr>
              <w:spacing w:after="0"/>
              <w:rPr>
                <w:sz w:val="7"/>
                <w:szCs w:val="7"/>
                <w:color w:val="auto"/>
              </w:rPr>
            </w:pPr>
          </w:p>
        </w:tc>
        <w:tc>
          <w:tcPr>
            <w:tcW w:w="1020" w:type="dxa"/>
            <w:vAlign w:val="bottom"/>
            <w:gridSpan w:val="2"/>
            <w:vMerge w:val="restart"/>
            <w:shd w:val="clear" w:color="auto" w:fill="FFDEAD"/>
          </w:tcPr>
          <w:p>
            <w:pPr>
              <w:jc w:val="center"/>
              <w:spacing w:after="0" w:line="178" w:lineRule="exact"/>
              <w:rPr>
                <w:sz w:val="20"/>
                <w:szCs w:val="20"/>
                <w:color w:val="auto"/>
              </w:rPr>
            </w:pPr>
            <w:r>
              <w:rPr>
                <w:rFonts w:ascii="Times New Roman" w:cs="Times New Roman" w:eastAsia="Times New Roman" w:hAnsi="Times New Roman"/>
                <w:sz w:val="18"/>
                <w:szCs w:val="18"/>
                <w:color w:val="FF0000"/>
                <w:strike w:val="1"/>
                <w:w w:val="98"/>
              </w:rPr>
              <w:t>CBR Loans in</w:t>
            </w:r>
          </w:p>
        </w:tc>
        <w:tc>
          <w:tcPr>
            <w:tcW w:w="60" w:type="dxa"/>
            <w:vAlign w:val="bottom"/>
            <w:shd w:val="clear" w:color="auto" w:fill="FFDEAD"/>
          </w:tcPr>
          <w:p>
            <w:pPr>
              <w:spacing w:after="0"/>
              <w:rPr>
                <w:sz w:val="7"/>
                <w:szCs w:val="7"/>
                <w:color w:val="auto"/>
              </w:rPr>
            </w:pPr>
          </w:p>
        </w:tc>
        <w:tc>
          <w:tcPr>
            <w:tcW w:w="160" w:type="dxa"/>
            <w:vAlign w:val="bottom"/>
            <w:tcBorders>
              <w:right w:val="single" w:sz="8" w:color="auto"/>
            </w:tcBorders>
            <w:shd w:val="clear" w:color="auto" w:fill="FFDEAD"/>
          </w:tcPr>
          <w:p>
            <w:pPr>
              <w:spacing w:after="0"/>
              <w:rPr>
                <w:sz w:val="7"/>
                <w:szCs w:val="7"/>
                <w:color w:val="auto"/>
              </w:rPr>
            </w:pPr>
          </w:p>
        </w:tc>
        <w:tc>
          <w:tcPr>
            <w:tcW w:w="1340" w:type="dxa"/>
            <w:vAlign w:val="bottom"/>
            <w:tcBorders>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shd w:val="clear" w:color="auto" w:fill="BFBFBF"/>
          </w:tcPr>
          <w:p>
            <w:pPr>
              <w:spacing w:after="0"/>
              <w:rPr>
                <w:sz w:val="7"/>
                <w:szCs w:val="7"/>
                <w:color w:val="auto"/>
              </w:rPr>
            </w:pPr>
          </w:p>
        </w:tc>
        <w:tc>
          <w:tcPr>
            <w:tcW w:w="440" w:type="dxa"/>
            <w:vAlign w:val="bottom"/>
            <w:tcBorders>
              <w:right w:val="single" w:sz="8" w:color="BFBFBF"/>
            </w:tcBorders>
            <w:shd w:val="clear" w:color="auto" w:fill="BFBFBF"/>
          </w:tcPr>
          <w:p>
            <w:pPr>
              <w:spacing w:after="0"/>
              <w:rPr>
                <w:sz w:val="7"/>
                <w:szCs w:val="7"/>
                <w:color w:val="auto"/>
              </w:rPr>
            </w:pPr>
          </w:p>
        </w:tc>
        <w:tc>
          <w:tcPr>
            <w:tcW w:w="1700" w:type="dxa"/>
            <w:vAlign w:val="bottom"/>
            <w:tcBorders>
              <w:right w:val="single" w:sz="8" w:color="auto"/>
            </w:tcBorders>
            <w:shd w:val="clear" w:color="auto" w:fill="BFBFBF"/>
          </w:tcPr>
          <w:p>
            <w:pPr>
              <w:spacing w:after="0"/>
              <w:rPr>
                <w:sz w:val="7"/>
                <w:szCs w:val="7"/>
                <w:color w:val="auto"/>
              </w:rPr>
            </w:pPr>
          </w:p>
        </w:tc>
        <w:tc>
          <w:tcPr>
            <w:tcW w:w="13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w w:val="98"/>
              </w:rPr>
              <w:t>Margin</w:t>
            </w:r>
          </w:p>
        </w:tc>
        <w:tc>
          <w:tcPr>
            <w:tcW w:w="1240" w:type="dxa"/>
            <w:vAlign w:val="bottom"/>
            <w:tcBorders>
              <w:right w:val="single" w:sz="8" w:color="auto"/>
            </w:tcBorders>
            <w:gridSpan w:val="2"/>
            <w:vMerge w:val="restart"/>
            <w:shd w:val="clear" w:color="auto" w:fill="BFBFBF"/>
          </w:tcPr>
          <w:p>
            <w:pPr>
              <w:ind w:left="220"/>
              <w:spacing w:after="0"/>
              <w:rPr>
                <w:sz w:val="20"/>
                <w:szCs w:val="20"/>
                <w:color w:val="auto"/>
              </w:rPr>
            </w:pPr>
            <w:r>
              <w:rPr>
                <w:rFonts w:ascii="Times New Roman" w:cs="Times New Roman" w:eastAsia="Times New Roman" w:hAnsi="Times New Roman"/>
                <w:sz w:val="18"/>
                <w:szCs w:val="18"/>
                <w:color w:val="auto"/>
              </w:rPr>
              <w:t>Applicable</w:t>
            </w:r>
          </w:p>
        </w:tc>
        <w:tc>
          <w:tcPr>
            <w:tcW w:w="200" w:type="dxa"/>
            <w:vAlign w:val="bottom"/>
            <w:shd w:val="clear" w:color="auto" w:fill="FFDEAD"/>
          </w:tcPr>
          <w:p>
            <w:pPr>
              <w:spacing w:after="0"/>
              <w:rPr>
                <w:sz w:val="7"/>
                <w:szCs w:val="7"/>
                <w:color w:val="auto"/>
              </w:rPr>
            </w:pPr>
          </w:p>
        </w:tc>
        <w:tc>
          <w:tcPr>
            <w:tcW w:w="920" w:type="dxa"/>
            <w:vAlign w:val="bottom"/>
            <w:gridSpan w:val="3"/>
            <w:vMerge w:val="continue"/>
            <w:shd w:val="clear" w:color="auto" w:fill="FFDEAD"/>
          </w:tcPr>
          <w:p>
            <w:pPr>
              <w:spacing w:after="0"/>
              <w:rPr>
                <w:sz w:val="7"/>
                <w:szCs w:val="7"/>
                <w:color w:val="auto"/>
              </w:rPr>
            </w:pPr>
          </w:p>
        </w:tc>
        <w:tc>
          <w:tcPr>
            <w:tcW w:w="220" w:type="dxa"/>
            <w:vAlign w:val="bottom"/>
            <w:tcBorders>
              <w:right w:val="single" w:sz="8" w:color="auto"/>
            </w:tcBorders>
            <w:shd w:val="clear" w:color="auto" w:fill="FFDEAD"/>
          </w:tcPr>
          <w:p>
            <w:pPr>
              <w:spacing w:after="0"/>
              <w:rPr>
                <w:sz w:val="7"/>
                <w:szCs w:val="7"/>
                <w:color w:val="auto"/>
              </w:rPr>
            </w:pPr>
          </w:p>
        </w:tc>
        <w:tc>
          <w:tcPr>
            <w:tcW w:w="720" w:type="dxa"/>
            <w:vAlign w:val="bottom"/>
            <w:gridSpan w:val="2"/>
            <w:vMerge w:val="continue"/>
            <w:shd w:val="clear" w:color="auto" w:fill="BFBFBF"/>
          </w:tcPr>
          <w:p>
            <w:pPr>
              <w:spacing w:after="0"/>
              <w:rPr>
                <w:sz w:val="7"/>
                <w:szCs w:val="7"/>
                <w:color w:val="auto"/>
              </w:rPr>
            </w:pPr>
          </w:p>
        </w:tc>
        <w:tc>
          <w:tcPr>
            <w:tcW w:w="520" w:type="dxa"/>
            <w:vAlign w:val="bottom"/>
            <w:tcBorders>
              <w:right w:val="single" w:sz="8" w:color="auto"/>
            </w:tcBorders>
            <w:shd w:val="clear" w:color="auto" w:fill="BFBFBF"/>
          </w:tcPr>
          <w:p>
            <w:pPr>
              <w:spacing w:after="0"/>
              <w:rPr>
                <w:sz w:val="7"/>
                <w:szCs w:val="7"/>
                <w:color w:val="auto"/>
              </w:rPr>
            </w:pPr>
          </w:p>
        </w:tc>
        <w:tc>
          <w:tcPr>
            <w:tcW w:w="140" w:type="dxa"/>
            <w:vAlign w:val="bottom"/>
            <w:shd w:val="clear" w:color="auto" w:fill="FFDEAD"/>
          </w:tcPr>
          <w:p>
            <w:pPr>
              <w:spacing w:after="0"/>
              <w:rPr>
                <w:sz w:val="7"/>
                <w:szCs w:val="7"/>
                <w:color w:val="auto"/>
              </w:rPr>
            </w:pPr>
          </w:p>
        </w:tc>
        <w:tc>
          <w:tcPr>
            <w:tcW w:w="60" w:type="dxa"/>
            <w:vAlign w:val="bottom"/>
            <w:shd w:val="clear" w:color="auto" w:fill="FFDEAD"/>
          </w:tcPr>
          <w:p>
            <w:pPr>
              <w:spacing w:after="0"/>
              <w:rPr>
                <w:sz w:val="7"/>
                <w:szCs w:val="7"/>
                <w:color w:val="auto"/>
              </w:rPr>
            </w:pPr>
          </w:p>
        </w:tc>
        <w:tc>
          <w:tcPr>
            <w:tcW w:w="1020" w:type="dxa"/>
            <w:vAlign w:val="bottom"/>
            <w:gridSpan w:val="2"/>
            <w:vMerge w:val="continue"/>
            <w:shd w:val="clear" w:color="auto" w:fill="FFDEAD"/>
          </w:tcPr>
          <w:p>
            <w:pPr>
              <w:spacing w:after="0"/>
              <w:rPr>
                <w:sz w:val="7"/>
                <w:szCs w:val="7"/>
                <w:color w:val="auto"/>
              </w:rPr>
            </w:pPr>
          </w:p>
        </w:tc>
        <w:tc>
          <w:tcPr>
            <w:tcW w:w="60" w:type="dxa"/>
            <w:vAlign w:val="bottom"/>
            <w:shd w:val="clear" w:color="auto" w:fill="FFDEAD"/>
          </w:tcPr>
          <w:p>
            <w:pPr>
              <w:spacing w:after="0"/>
              <w:rPr>
                <w:sz w:val="7"/>
                <w:szCs w:val="7"/>
                <w:color w:val="auto"/>
              </w:rPr>
            </w:pPr>
          </w:p>
        </w:tc>
        <w:tc>
          <w:tcPr>
            <w:tcW w:w="160" w:type="dxa"/>
            <w:vAlign w:val="bottom"/>
            <w:tcBorders>
              <w:right w:val="single" w:sz="8" w:color="auto"/>
            </w:tcBorders>
            <w:shd w:val="clear" w:color="auto" w:fill="FFDEAD"/>
          </w:tcPr>
          <w:p>
            <w:pPr>
              <w:spacing w:after="0"/>
              <w:rPr>
                <w:sz w:val="7"/>
                <w:szCs w:val="7"/>
                <w:color w:val="auto"/>
              </w:rPr>
            </w:pPr>
          </w:p>
        </w:tc>
        <w:tc>
          <w:tcPr>
            <w:tcW w:w="1340" w:type="dxa"/>
            <w:vAlign w:val="bottom"/>
            <w:tcBorders>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shd w:val="clear" w:color="auto" w:fill="BFBFBF"/>
          </w:tcPr>
          <w:p>
            <w:pPr>
              <w:spacing w:after="0"/>
              <w:rPr>
                <w:sz w:val="10"/>
                <w:szCs w:val="10"/>
                <w:color w:val="auto"/>
              </w:rPr>
            </w:pPr>
          </w:p>
        </w:tc>
        <w:tc>
          <w:tcPr>
            <w:tcW w:w="440" w:type="dxa"/>
            <w:vAlign w:val="bottom"/>
            <w:tcBorders>
              <w:right w:val="single" w:sz="8" w:color="BFBFBF"/>
            </w:tcBorders>
            <w:shd w:val="clear" w:color="auto" w:fill="BFBFBF"/>
          </w:tcPr>
          <w:p>
            <w:pPr>
              <w:spacing w:after="0"/>
              <w:rPr>
                <w:sz w:val="10"/>
                <w:szCs w:val="10"/>
                <w:color w:val="auto"/>
              </w:rPr>
            </w:pPr>
          </w:p>
        </w:tc>
        <w:tc>
          <w:tcPr>
            <w:tcW w:w="170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vMerge w:val="continue"/>
            <w:shd w:val="clear" w:color="auto" w:fill="BFBFBF"/>
          </w:tcPr>
          <w:p>
            <w:pPr>
              <w:spacing w:after="0"/>
              <w:rPr>
                <w:sz w:val="10"/>
                <w:szCs w:val="10"/>
                <w:color w:val="auto"/>
              </w:rPr>
            </w:pPr>
          </w:p>
        </w:tc>
        <w:tc>
          <w:tcPr>
            <w:tcW w:w="1240" w:type="dxa"/>
            <w:vAlign w:val="bottom"/>
            <w:tcBorders>
              <w:right w:val="single" w:sz="8" w:color="auto"/>
            </w:tcBorders>
            <w:gridSpan w:val="2"/>
            <w:vMerge w:val="continue"/>
            <w:shd w:val="clear" w:color="auto" w:fill="BFBFBF"/>
          </w:tcPr>
          <w:p>
            <w:pPr>
              <w:spacing w:after="0"/>
              <w:rPr>
                <w:sz w:val="10"/>
                <w:szCs w:val="10"/>
                <w:color w:val="auto"/>
              </w:rPr>
            </w:pPr>
          </w:p>
        </w:tc>
        <w:tc>
          <w:tcPr>
            <w:tcW w:w="200" w:type="dxa"/>
            <w:vAlign w:val="bottom"/>
            <w:shd w:val="clear" w:color="auto" w:fill="FFDEAD"/>
          </w:tcPr>
          <w:p>
            <w:pPr>
              <w:spacing w:after="0"/>
              <w:rPr>
                <w:sz w:val="10"/>
                <w:szCs w:val="10"/>
                <w:color w:val="auto"/>
              </w:rPr>
            </w:pPr>
          </w:p>
        </w:tc>
        <w:tc>
          <w:tcPr>
            <w:tcW w:w="240" w:type="dxa"/>
            <w:vAlign w:val="bottom"/>
            <w:shd w:val="clear" w:color="auto" w:fill="FFDEAD"/>
          </w:tcPr>
          <w:p>
            <w:pPr>
              <w:spacing w:after="0"/>
              <w:rPr>
                <w:sz w:val="10"/>
                <w:szCs w:val="10"/>
                <w:color w:val="auto"/>
              </w:rPr>
            </w:pPr>
          </w:p>
        </w:tc>
        <w:tc>
          <w:tcPr>
            <w:tcW w:w="440" w:type="dxa"/>
            <w:vAlign w:val="bottom"/>
            <w:vMerge w:val="restart"/>
            <w:shd w:val="clear" w:color="auto" w:fill="FFDEAD"/>
          </w:tcPr>
          <w:p>
            <w:pPr>
              <w:jc w:val="center"/>
              <w:spacing w:after="0"/>
              <w:rPr>
                <w:sz w:val="20"/>
                <w:szCs w:val="20"/>
                <w:color w:val="auto"/>
              </w:rPr>
            </w:pPr>
            <w:r>
              <w:rPr>
                <w:rFonts w:ascii="Times New Roman" w:cs="Times New Roman" w:eastAsia="Times New Roman" w:hAnsi="Times New Roman"/>
                <w:sz w:val="18"/>
                <w:szCs w:val="18"/>
                <w:color w:val="FF0000"/>
                <w:strike w:val="1"/>
                <w:w w:val="99"/>
              </w:rPr>
              <w:t>Loans</w:t>
            </w:r>
          </w:p>
        </w:tc>
        <w:tc>
          <w:tcPr>
            <w:tcW w:w="240" w:type="dxa"/>
            <w:vAlign w:val="bottom"/>
            <w:shd w:val="clear" w:color="auto" w:fill="FFDEAD"/>
          </w:tcPr>
          <w:p>
            <w:pPr>
              <w:spacing w:after="0"/>
              <w:rPr>
                <w:sz w:val="10"/>
                <w:szCs w:val="10"/>
                <w:color w:val="auto"/>
              </w:rPr>
            </w:pPr>
          </w:p>
        </w:tc>
        <w:tc>
          <w:tcPr>
            <w:tcW w:w="220" w:type="dxa"/>
            <w:vAlign w:val="bottom"/>
            <w:tcBorders>
              <w:right w:val="single" w:sz="8" w:color="auto"/>
            </w:tcBorders>
            <w:shd w:val="clear" w:color="auto" w:fill="FFDEAD"/>
          </w:tcPr>
          <w:p>
            <w:pPr>
              <w:spacing w:after="0"/>
              <w:rPr>
                <w:sz w:val="10"/>
                <w:szCs w:val="10"/>
                <w:color w:val="auto"/>
              </w:rPr>
            </w:pPr>
          </w:p>
        </w:tc>
        <w:tc>
          <w:tcPr>
            <w:tcW w:w="1240" w:type="dxa"/>
            <w:vAlign w:val="bottom"/>
            <w:tcBorders>
              <w:right w:val="single" w:sz="8" w:color="auto"/>
            </w:tcBorders>
            <w:gridSpan w:val="3"/>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FF0000"/>
                <w:strike w:val="1"/>
              </w:rPr>
              <w:t>Currencies other</w:t>
            </w:r>
          </w:p>
        </w:tc>
        <w:tc>
          <w:tcPr>
            <w:tcW w:w="140" w:type="dxa"/>
            <w:vAlign w:val="bottom"/>
            <w:shd w:val="clear" w:color="auto" w:fill="FFDEAD"/>
          </w:tcPr>
          <w:p>
            <w:pPr>
              <w:spacing w:after="0"/>
              <w:rPr>
                <w:sz w:val="10"/>
                <w:szCs w:val="10"/>
                <w:color w:val="auto"/>
              </w:rPr>
            </w:pPr>
          </w:p>
        </w:tc>
        <w:tc>
          <w:tcPr>
            <w:tcW w:w="1140" w:type="dxa"/>
            <w:vAlign w:val="bottom"/>
            <w:gridSpan w:val="4"/>
            <w:vMerge w:val="restart"/>
            <w:shd w:val="clear" w:color="auto" w:fill="FFDEAD"/>
          </w:tcPr>
          <w:p>
            <w:pPr>
              <w:jc w:val="center"/>
              <w:spacing w:after="0"/>
              <w:rPr>
                <w:sz w:val="20"/>
                <w:szCs w:val="20"/>
                <w:color w:val="auto"/>
              </w:rPr>
            </w:pPr>
            <w:r>
              <w:rPr>
                <w:rFonts w:ascii="Times New Roman" w:cs="Times New Roman" w:eastAsia="Times New Roman" w:hAnsi="Times New Roman"/>
                <w:sz w:val="18"/>
                <w:szCs w:val="18"/>
                <w:color w:val="FF0000"/>
                <w:strike w:val="1"/>
                <w:w w:val="99"/>
              </w:rPr>
              <w:t>Pounds Sterling</w:t>
            </w:r>
          </w:p>
        </w:tc>
        <w:tc>
          <w:tcPr>
            <w:tcW w:w="160" w:type="dxa"/>
            <w:vAlign w:val="bottom"/>
            <w:tcBorders>
              <w:right w:val="single" w:sz="8" w:color="auto"/>
            </w:tcBorders>
            <w:shd w:val="clear" w:color="auto" w:fill="FFDEAD"/>
          </w:tcPr>
          <w:p>
            <w:pPr>
              <w:spacing w:after="0"/>
              <w:rPr>
                <w:sz w:val="10"/>
                <w:szCs w:val="10"/>
                <w:color w:val="auto"/>
              </w:rPr>
            </w:pPr>
          </w:p>
        </w:tc>
        <w:tc>
          <w:tcPr>
            <w:tcW w:w="134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shd w:val="clear" w:color="auto" w:fill="BFBFBF"/>
          </w:tcPr>
          <w:p>
            <w:pPr>
              <w:spacing w:after="0"/>
              <w:rPr>
                <w:sz w:val="7"/>
                <w:szCs w:val="7"/>
                <w:color w:val="auto"/>
              </w:rPr>
            </w:pPr>
          </w:p>
        </w:tc>
        <w:tc>
          <w:tcPr>
            <w:tcW w:w="440" w:type="dxa"/>
            <w:vAlign w:val="bottom"/>
            <w:tcBorders>
              <w:right w:val="single" w:sz="8" w:color="BFBFBF"/>
            </w:tcBorders>
            <w:shd w:val="clear" w:color="auto" w:fill="BFBFBF"/>
          </w:tcPr>
          <w:p>
            <w:pPr>
              <w:spacing w:after="0"/>
              <w:rPr>
                <w:sz w:val="7"/>
                <w:szCs w:val="7"/>
                <w:color w:val="auto"/>
              </w:rPr>
            </w:pPr>
          </w:p>
        </w:tc>
        <w:tc>
          <w:tcPr>
            <w:tcW w:w="1700" w:type="dxa"/>
            <w:vAlign w:val="bottom"/>
            <w:tcBorders>
              <w:right w:val="single" w:sz="8" w:color="auto"/>
            </w:tcBorders>
            <w:shd w:val="clear" w:color="auto" w:fill="BFBFBF"/>
          </w:tcPr>
          <w:p>
            <w:pPr>
              <w:spacing w:after="0"/>
              <w:rPr>
                <w:sz w:val="7"/>
                <w:szCs w:val="7"/>
                <w:color w:val="auto"/>
              </w:rPr>
            </w:pPr>
          </w:p>
        </w:tc>
        <w:tc>
          <w:tcPr>
            <w:tcW w:w="1340" w:type="dxa"/>
            <w:vAlign w:val="bottom"/>
            <w:tcBorders>
              <w:right w:val="single" w:sz="8" w:color="auto"/>
            </w:tcBorders>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auto"/>
              </w:rPr>
              <w:t>Term Benchmark</w:t>
            </w:r>
          </w:p>
        </w:tc>
        <w:tc>
          <w:tcPr>
            <w:tcW w:w="1240" w:type="dxa"/>
            <w:vAlign w:val="bottom"/>
            <w:tcBorders>
              <w:right w:val="single" w:sz="8" w:color="auto"/>
            </w:tcBorders>
            <w:gridSpan w:val="2"/>
            <w:vMerge w:val="restart"/>
            <w:shd w:val="clear" w:color="auto" w:fill="BFBFBF"/>
          </w:tcPr>
          <w:p>
            <w:pPr>
              <w:ind w:left="340"/>
              <w:spacing w:after="0"/>
              <w:rPr>
                <w:sz w:val="20"/>
                <w:szCs w:val="20"/>
                <w:color w:val="auto"/>
              </w:rPr>
            </w:pPr>
            <w:r>
              <w:rPr>
                <w:rFonts w:ascii="Times New Roman" w:cs="Times New Roman" w:eastAsia="Times New Roman" w:hAnsi="Times New Roman"/>
                <w:sz w:val="18"/>
                <w:szCs w:val="18"/>
                <w:color w:val="auto"/>
              </w:rPr>
              <w:t>Margin</w:t>
            </w:r>
          </w:p>
        </w:tc>
        <w:tc>
          <w:tcPr>
            <w:tcW w:w="200" w:type="dxa"/>
            <w:vAlign w:val="bottom"/>
            <w:shd w:val="clear" w:color="auto" w:fill="FFDEAD"/>
          </w:tcPr>
          <w:p>
            <w:pPr>
              <w:spacing w:after="0"/>
              <w:rPr>
                <w:sz w:val="7"/>
                <w:szCs w:val="7"/>
                <w:color w:val="auto"/>
              </w:rPr>
            </w:pPr>
          </w:p>
        </w:tc>
        <w:tc>
          <w:tcPr>
            <w:tcW w:w="240" w:type="dxa"/>
            <w:vAlign w:val="bottom"/>
            <w:shd w:val="clear" w:color="auto" w:fill="FFDEAD"/>
          </w:tcPr>
          <w:p>
            <w:pPr>
              <w:spacing w:after="0"/>
              <w:rPr>
                <w:sz w:val="7"/>
                <w:szCs w:val="7"/>
                <w:color w:val="auto"/>
              </w:rPr>
            </w:pPr>
          </w:p>
        </w:tc>
        <w:tc>
          <w:tcPr>
            <w:tcW w:w="440" w:type="dxa"/>
            <w:vAlign w:val="bottom"/>
            <w:vMerge w:val="continue"/>
            <w:shd w:val="clear" w:color="auto" w:fill="FFDEAD"/>
          </w:tcPr>
          <w:p>
            <w:pPr>
              <w:spacing w:after="0"/>
              <w:rPr>
                <w:sz w:val="7"/>
                <w:szCs w:val="7"/>
                <w:color w:val="auto"/>
              </w:rPr>
            </w:pPr>
          </w:p>
        </w:tc>
        <w:tc>
          <w:tcPr>
            <w:tcW w:w="460" w:type="dxa"/>
            <w:vAlign w:val="bottom"/>
            <w:tcBorders>
              <w:right w:val="single" w:sz="8" w:color="auto"/>
            </w:tcBorders>
            <w:gridSpan w:val="2"/>
            <w:shd w:val="clear" w:color="auto" w:fill="FFDEAD"/>
          </w:tcPr>
          <w:p>
            <w:pPr>
              <w:spacing w:after="0"/>
              <w:rPr>
                <w:sz w:val="7"/>
                <w:szCs w:val="7"/>
                <w:color w:val="auto"/>
              </w:rPr>
            </w:pPr>
          </w:p>
        </w:tc>
        <w:tc>
          <w:tcPr>
            <w:tcW w:w="1240" w:type="dxa"/>
            <w:vAlign w:val="bottom"/>
            <w:tcBorders>
              <w:right w:val="single" w:sz="8" w:color="auto"/>
            </w:tcBorders>
            <w:gridSpan w:val="3"/>
            <w:vMerge w:val="continue"/>
            <w:shd w:val="clear" w:color="auto" w:fill="BFBFBF"/>
          </w:tcPr>
          <w:p>
            <w:pPr>
              <w:spacing w:after="0"/>
              <w:rPr>
                <w:sz w:val="7"/>
                <w:szCs w:val="7"/>
                <w:color w:val="auto"/>
              </w:rPr>
            </w:pPr>
          </w:p>
        </w:tc>
        <w:tc>
          <w:tcPr>
            <w:tcW w:w="140" w:type="dxa"/>
            <w:vAlign w:val="bottom"/>
            <w:shd w:val="clear" w:color="auto" w:fill="FFDEAD"/>
          </w:tcPr>
          <w:p>
            <w:pPr>
              <w:spacing w:after="0"/>
              <w:rPr>
                <w:sz w:val="7"/>
                <w:szCs w:val="7"/>
                <w:color w:val="auto"/>
              </w:rPr>
            </w:pPr>
          </w:p>
        </w:tc>
        <w:tc>
          <w:tcPr>
            <w:tcW w:w="1140" w:type="dxa"/>
            <w:vAlign w:val="bottom"/>
            <w:gridSpan w:val="4"/>
            <w:vMerge w:val="continue"/>
            <w:shd w:val="clear" w:color="auto" w:fill="FFDEAD"/>
          </w:tcPr>
          <w:p>
            <w:pPr>
              <w:spacing w:after="0"/>
              <w:rPr>
                <w:sz w:val="7"/>
                <w:szCs w:val="7"/>
                <w:color w:val="auto"/>
              </w:rPr>
            </w:pPr>
          </w:p>
        </w:tc>
        <w:tc>
          <w:tcPr>
            <w:tcW w:w="160" w:type="dxa"/>
            <w:vAlign w:val="bottom"/>
            <w:tcBorders>
              <w:right w:val="single" w:sz="8" w:color="auto"/>
            </w:tcBorders>
            <w:shd w:val="clear" w:color="auto" w:fill="FFDEAD"/>
          </w:tcPr>
          <w:p>
            <w:pPr>
              <w:spacing w:after="0"/>
              <w:rPr>
                <w:sz w:val="7"/>
                <w:szCs w:val="7"/>
                <w:color w:val="auto"/>
              </w:rPr>
            </w:pPr>
          </w:p>
        </w:tc>
        <w:tc>
          <w:tcPr>
            <w:tcW w:w="1340" w:type="dxa"/>
            <w:vAlign w:val="bottom"/>
            <w:tcBorders>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160" w:type="dxa"/>
            <w:vAlign w:val="bottom"/>
            <w:tcBorders>
              <w:left w:val="single" w:sz="8" w:color="auto"/>
              <w:right w:val="single" w:sz="8" w:color="auto"/>
            </w:tcBorders>
            <w:shd w:val="clear" w:color="auto" w:fill="BFBFBF"/>
          </w:tcPr>
          <w:p>
            <w:pPr>
              <w:spacing w:after="0"/>
              <w:rPr>
                <w:sz w:val="16"/>
                <w:szCs w:val="16"/>
                <w:color w:val="auto"/>
              </w:rPr>
            </w:pPr>
          </w:p>
        </w:tc>
        <w:tc>
          <w:tcPr>
            <w:tcW w:w="2140" w:type="dxa"/>
            <w:vAlign w:val="bottom"/>
            <w:tcBorders>
              <w:right w:val="single" w:sz="8" w:color="auto"/>
            </w:tcBorders>
            <w:gridSpan w:val="2"/>
            <w:shd w:val="clear" w:color="auto" w:fill="BFBFBF"/>
          </w:tcPr>
          <w:p>
            <w:pPr>
              <w:spacing w:after="0" w:line="189" w:lineRule="exact"/>
              <w:rPr>
                <w:sz w:val="20"/>
                <w:szCs w:val="20"/>
                <w:color w:val="auto"/>
              </w:rPr>
            </w:pPr>
            <w:r>
              <w:rPr>
                <w:rFonts w:ascii="Times New Roman" w:cs="Times New Roman" w:eastAsia="Times New Roman" w:hAnsi="Times New Roman"/>
                <w:sz w:val="18"/>
                <w:szCs w:val="18"/>
                <w:color w:val="auto"/>
              </w:rPr>
              <w:t>Consolidated Secured</w:t>
            </w:r>
          </w:p>
        </w:tc>
        <w:tc>
          <w:tcPr>
            <w:tcW w:w="1340" w:type="dxa"/>
            <w:vAlign w:val="bottom"/>
            <w:tcBorders>
              <w:right w:val="single" w:sz="8" w:color="auto"/>
            </w:tcBorders>
            <w:vMerge w:val="continue"/>
            <w:shd w:val="clear" w:color="auto" w:fill="BFBFBF"/>
          </w:tcPr>
          <w:p>
            <w:pPr>
              <w:spacing w:after="0"/>
              <w:rPr>
                <w:sz w:val="16"/>
                <w:szCs w:val="16"/>
                <w:color w:val="auto"/>
              </w:rPr>
            </w:pPr>
          </w:p>
        </w:tc>
        <w:tc>
          <w:tcPr>
            <w:tcW w:w="1240" w:type="dxa"/>
            <w:vAlign w:val="bottom"/>
            <w:tcBorders>
              <w:right w:val="single" w:sz="8" w:color="auto"/>
            </w:tcBorders>
            <w:gridSpan w:val="2"/>
            <w:vMerge w:val="continue"/>
            <w:shd w:val="clear" w:color="auto" w:fill="BFBFBF"/>
          </w:tcPr>
          <w:p>
            <w:pPr>
              <w:spacing w:after="0"/>
              <w:rPr>
                <w:sz w:val="16"/>
                <w:szCs w:val="16"/>
                <w:color w:val="auto"/>
              </w:rPr>
            </w:pPr>
          </w:p>
        </w:tc>
        <w:tc>
          <w:tcPr>
            <w:tcW w:w="200" w:type="dxa"/>
            <w:vAlign w:val="bottom"/>
            <w:shd w:val="clear" w:color="auto" w:fill="FFDEAD"/>
          </w:tcPr>
          <w:p>
            <w:pPr>
              <w:spacing w:after="0"/>
              <w:rPr>
                <w:sz w:val="16"/>
                <w:szCs w:val="16"/>
                <w:color w:val="auto"/>
              </w:rPr>
            </w:pPr>
          </w:p>
        </w:tc>
        <w:tc>
          <w:tcPr>
            <w:tcW w:w="240" w:type="dxa"/>
            <w:vAlign w:val="bottom"/>
            <w:shd w:val="clear" w:color="auto" w:fill="FFDEAD"/>
          </w:tcPr>
          <w:p>
            <w:pPr>
              <w:spacing w:after="0"/>
              <w:rPr>
                <w:sz w:val="16"/>
                <w:szCs w:val="16"/>
                <w:color w:val="auto"/>
              </w:rPr>
            </w:pPr>
          </w:p>
        </w:tc>
        <w:tc>
          <w:tcPr>
            <w:tcW w:w="440" w:type="dxa"/>
            <w:vAlign w:val="bottom"/>
            <w:shd w:val="clear" w:color="auto" w:fill="FFDEAD"/>
          </w:tcPr>
          <w:p>
            <w:pPr>
              <w:spacing w:after="0"/>
              <w:rPr>
                <w:sz w:val="16"/>
                <w:szCs w:val="16"/>
                <w:color w:val="auto"/>
              </w:rPr>
            </w:pPr>
          </w:p>
        </w:tc>
        <w:tc>
          <w:tcPr>
            <w:tcW w:w="240" w:type="dxa"/>
            <w:vAlign w:val="bottom"/>
            <w:shd w:val="clear" w:color="auto" w:fill="FFDEAD"/>
          </w:tcPr>
          <w:p>
            <w:pPr>
              <w:spacing w:after="0"/>
              <w:rPr>
                <w:sz w:val="16"/>
                <w:szCs w:val="16"/>
                <w:color w:val="auto"/>
              </w:rPr>
            </w:pPr>
          </w:p>
        </w:tc>
        <w:tc>
          <w:tcPr>
            <w:tcW w:w="220" w:type="dxa"/>
            <w:vAlign w:val="bottom"/>
            <w:tcBorders>
              <w:right w:val="single" w:sz="8" w:color="auto"/>
            </w:tcBorders>
            <w:shd w:val="clear" w:color="auto" w:fill="FFDEAD"/>
          </w:tcPr>
          <w:p>
            <w:pPr>
              <w:spacing w:after="0"/>
              <w:rPr>
                <w:sz w:val="16"/>
                <w:szCs w:val="16"/>
                <w:color w:val="auto"/>
              </w:rPr>
            </w:pPr>
          </w:p>
        </w:tc>
        <w:tc>
          <w:tcPr>
            <w:tcW w:w="1240" w:type="dxa"/>
            <w:vAlign w:val="bottom"/>
            <w:tcBorders>
              <w:right w:val="single" w:sz="8" w:color="auto"/>
            </w:tcBorders>
            <w:gridSpan w:val="3"/>
            <w:shd w:val="clear" w:color="auto" w:fill="BFBFBF"/>
          </w:tcPr>
          <w:p>
            <w:pPr>
              <w:spacing w:after="0" w:line="189" w:lineRule="exact"/>
              <w:rPr>
                <w:sz w:val="20"/>
                <w:szCs w:val="20"/>
                <w:color w:val="auto"/>
              </w:rPr>
            </w:pPr>
            <w:r>
              <w:rPr>
                <w:rFonts w:ascii="Times New Roman" w:cs="Times New Roman" w:eastAsia="Times New Roman" w:hAnsi="Times New Roman"/>
                <w:sz w:val="18"/>
                <w:szCs w:val="18"/>
                <w:color w:val="FF0000"/>
                <w:strike w:val="1"/>
              </w:rPr>
              <w:t>than Pounds</w:t>
            </w:r>
          </w:p>
        </w:tc>
        <w:tc>
          <w:tcPr>
            <w:tcW w:w="140" w:type="dxa"/>
            <w:vAlign w:val="bottom"/>
            <w:shd w:val="clear" w:color="auto" w:fill="FFDEAD"/>
          </w:tcPr>
          <w:p>
            <w:pPr>
              <w:spacing w:after="0"/>
              <w:rPr>
                <w:sz w:val="16"/>
                <w:szCs w:val="16"/>
                <w:color w:val="auto"/>
              </w:rPr>
            </w:pPr>
          </w:p>
        </w:tc>
        <w:tc>
          <w:tcPr>
            <w:tcW w:w="60" w:type="dxa"/>
            <w:vAlign w:val="bottom"/>
            <w:shd w:val="clear" w:color="auto" w:fill="FFDEAD"/>
          </w:tcPr>
          <w:p>
            <w:pPr>
              <w:spacing w:after="0"/>
              <w:rPr>
                <w:sz w:val="16"/>
                <w:szCs w:val="16"/>
                <w:color w:val="auto"/>
              </w:rPr>
            </w:pPr>
          </w:p>
        </w:tc>
        <w:tc>
          <w:tcPr>
            <w:tcW w:w="440" w:type="dxa"/>
            <w:vAlign w:val="bottom"/>
            <w:shd w:val="clear" w:color="auto" w:fill="FFDEAD"/>
          </w:tcPr>
          <w:p>
            <w:pPr>
              <w:spacing w:after="0"/>
              <w:rPr>
                <w:sz w:val="16"/>
                <w:szCs w:val="16"/>
                <w:color w:val="auto"/>
              </w:rPr>
            </w:pPr>
          </w:p>
        </w:tc>
        <w:tc>
          <w:tcPr>
            <w:tcW w:w="580" w:type="dxa"/>
            <w:vAlign w:val="bottom"/>
            <w:shd w:val="clear" w:color="auto" w:fill="FFDEAD"/>
          </w:tcPr>
          <w:p>
            <w:pPr>
              <w:spacing w:after="0"/>
              <w:rPr>
                <w:sz w:val="16"/>
                <w:szCs w:val="16"/>
                <w:color w:val="auto"/>
              </w:rPr>
            </w:pPr>
          </w:p>
        </w:tc>
        <w:tc>
          <w:tcPr>
            <w:tcW w:w="60" w:type="dxa"/>
            <w:vAlign w:val="bottom"/>
            <w:shd w:val="clear" w:color="auto" w:fill="FFDEAD"/>
          </w:tcPr>
          <w:p>
            <w:pPr>
              <w:spacing w:after="0"/>
              <w:rPr>
                <w:sz w:val="16"/>
                <w:szCs w:val="16"/>
                <w:color w:val="auto"/>
              </w:rPr>
            </w:pPr>
          </w:p>
        </w:tc>
        <w:tc>
          <w:tcPr>
            <w:tcW w:w="160" w:type="dxa"/>
            <w:vAlign w:val="bottom"/>
            <w:tcBorders>
              <w:right w:val="single" w:sz="8" w:color="auto"/>
            </w:tcBorders>
            <w:shd w:val="clear" w:color="auto" w:fill="FFDEAD"/>
          </w:tcPr>
          <w:p>
            <w:pPr>
              <w:spacing w:after="0"/>
              <w:rPr>
                <w:sz w:val="16"/>
                <w:szCs w:val="16"/>
                <w:color w:val="auto"/>
              </w:rPr>
            </w:pPr>
          </w:p>
        </w:tc>
        <w:tc>
          <w:tcPr>
            <w:tcW w:w="1340" w:type="dxa"/>
            <w:vAlign w:val="bottom"/>
            <w:tcBorders>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Borders>
              <w:left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Level</w:t>
            </w:r>
          </w:p>
        </w:tc>
        <w:tc>
          <w:tcPr>
            <w:tcW w:w="2140" w:type="dxa"/>
            <w:vAlign w:val="bottom"/>
            <w:tcBorders>
              <w:bottom w:val="single" w:sz="8" w:color="auto"/>
              <w:right w:val="single" w:sz="8" w:color="auto"/>
            </w:tcBorders>
            <w:gridSpan w:val="2"/>
            <w:shd w:val="clear" w:color="auto" w:fill="BFBFBF"/>
          </w:tcPr>
          <w:p>
            <w:pPr>
              <w:spacing w:after="0"/>
              <w:rPr>
                <w:sz w:val="20"/>
                <w:szCs w:val="20"/>
                <w:color w:val="auto"/>
              </w:rPr>
            </w:pPr>
            <w:r>
              <w:rPr>
                <w:rFonts w:ascii="Times New Roman" w:cs="Times New Roman" w:eastAsia="Times New Roman" w:hAnsi="Times New Roman"/>
                <w:sz w:val="18"/>
                <w:szCs w:val="18"/>
                <w:color w:val="auto"/>
              </w:rPr>
              <w:t>Leverage Ratio</w:t>
            </w:r>
          </w:p>
        </w:tc>
        <w:tc>
          <w:tcPr>
            <w:tcW w:w="134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Loans</w:t>
            </w:r>
          </w:p>
        </w:tc>
        <w:tc>
          <w:tcPr>
            <w:tcW w:w="1240" w:type="dxa"/>
            <w:vAlign w:val="bottom"/>
            <w:tcBorders>
              <w:bottom w:val="single" w:sz="8" w:color="auto"/>
              <w:right w:val="single" w:sz="8" w:color="auto"/>
            </w:tcBorders>
            <w:gridSpan w:val="2"/>
            <w:shd w:val="clear" w:color="auto" w:fill="BFBFBF"/>
          </w:tcPr>
          <w:p>
            <w:pPr>
              <w:spacing w:after="0"/>
              <w:rPr>
                <w:sz w:val="20"/>
                <w:szCs w:val="20"/>
                <w:color w:val="auto"/>
              </w:rPr>
            </w:pPr>
            <w:r>
              <w:rPr>
                <w:rFonts w:ascii="Times New Roman" w:cs="Times New Roman" w:eastAsia="Times New Roman" w:hAnsi="Times New Roman"/>
                <w:sz w:val="18"/>
                <w:szCs w:val="18"/>
                <w:color w:val="auto"/>
              </w:rPr>
              <w:t>ABR Loans</w:t>
            </w:r>
          </w:p>
        </w:tc>
        <w:tc>
          <w:tcPr>
            <w:tcW w:w="200" w:type="dxa"/>
            <w:vAlign w:val="bottom"/>
            <w:tcBorders>
              <w:bottom w:val="single" w:sz="8" w:color="auto"/>
            </w:tcBorders>
            <w:shd w:val="clear" w:color="auto" w:fill="FFDEAD"/>
          </w:tcPr>
          <w:p>
            <w:pPr>
              <w:spacing w:after="0"/>
              <w:rPr>
                <w:sz w:val="22"/>
                <w:szCs w:val="22"/>
                <w:color w:val="auto"/>
              </w:rPr>
            </w:pPr>
          </w:p>
        </w:tc>
        <w:tc>
          <w:tcPr>
            <w:tcW w:w="240" w:type="dxa"/>
            <w:vAlign w:val="bottom"/>
            <w:tcBorders>
              <w:bottom w:val="single" w:sz="8" w:color="auto"/>
            </w:tcBorders>
            <w:shd w:val="clear" w:color="auto" w:fill="FFDEAD"/>
          </w:tcPr>
          <w:p>
            <w:pPr>
              <w:spacing w:after="0"/>
              <w:rPr>
                <w:sz w:val="22"/>
                <w:szCs w:val="22"/>
                <w:color w:val="auto"/>
              </w:rPr>
            </w:pPr>
          </w:p>
        </w:tc>
        <w:tc>
          <w:tcPr>
            <w:tcW w:w="440" w:type="dxa"/>
            <w:vAlign w:val="bottom"/>
            <w:tcBorders>
              <w:bottom w:val="single" w:sz="8" w:color="auto"/>
            </w:tcBorders>
            <w:shd w:val="clear" w:color="auto" w:fill="FFDEAD"/>
          </w:tcPr>
          <w:p>
            <w:pPr>
              <w:spacing w:after="0"/>
              <w:rPr>
                <w:sz w:val="22"/>
                <w:szCs w:val="22"/>
                <w:color w:val="auto"/>
              </w:rPr>
            </w:pPr>
          </w:p>
        </w:tc>
        <w:tc>
          <w:tcPr>
            <w:tcW w:w="240" w:type="dxa"/>
            <w:vAlign w:val="bottom"/>
            <w:tcBorders>
              <w:bottom w:val="single" w:sz="8" w:color="auto"/>
            </w:tcBorders>
            <w:shd w:val="clear" w:color="auto" w:fill="FFDEAD"/>
          </w:tcPr>
          <w:p>
            <w:pPr>
              <w:spacing w:after="0"/>
              <w:rPr>
                <w:sz w:val="22"/>
                <w:szCs w:val="22"/>
                <w:color w:val="auto"/>
              </w:rPr>
            </w:pPr>
          </w:p>
        </w:tc>
        <w:tc>
          <w:tcPr>
            <w:tcW w:w="220" w:type="dxa"/>
            <w:vAlign w:val="bottom"/>
            <w:tcBorders>
              <w:bottom w:val="single" w:sz="8" w:color="auto"/>
              <w:right w:val="single" w:sz="8" w:color="auto"/>
            </w:tcBorders>
            <w:shd w:val="clear" w:color="auto" w:fill="FFDEAD"/>
          </w:tcPr>
          <w:p>
            <w:pPr>
              <w:spacing w:after="0"/>
              <w:rPr>
                <w:sz w:val="22"/>
                <w:szCs w:val="22"/>
                <w:color w:val="auto"/>
              </w:rPr>
            </w:pPr>
          </w:p>
        </w:tc>
        <w:tc>
          <w:tcPr>
            <w:tcW w:w="720" w:type="dxa"/>
            <w:vAlign w:val="bottom"/>
            <w:tcBorders>
              <w:bottom w:val="single" w:sz="8" w:color="auto"/>
            </w:tcBorders>
            <w:gridSpan w:val="2"/>
            <w:shd w:val="clear" w:color="auto" w:fill="BFBFBF"/>
          </w:tcPr>
          <w:p>
            <w:pPr>
              <w:spacing w:after="0"/>
              <w:rPr>
                <w:sz w:val="20"/>
                <w:szCs w:val="20"/>
                <w:color w:val="auto"/>
              </w:rPr>
            </w:pPr>
            <w:r>
              <w:rPr>
                <w:rFonts w:ascii="Times New Roman" w:cs="Times New Roman" w:eastAsia="Times New Roman" w:hAnsi="Times New Roman"/>
                <w:sz w:val="18"/>
                <w:szCs w:val="18"/>
                <w:color w:val="FF0000"/>
                <w:strike w:val="1"/>
              </w:rPr>
              <w:t>Sterling</w:t>
            </w: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140" w:type="dxa"/>
            <w:vAlign w:val="bottom"/>
            <w:tcBorders>
              <w:bottom w:val="single" w:sz="8" w:color="auto"/>
            </w:tcBorders>
            <w:shd w:val="clear" w:color="auto" w:fill="FFDEAD"/>
          </w:tcPr>
          <w:p>
            <w:pPr>
              <w:spacing w:after="0"/>
              <w:rPr>
                <w:sz w:val="22"/>
                <w:szCs w:val="22"/>
                <w:color w:val="auto"/>
              </w:rPr>
            </w:pPr>
          </w:p>
        </w:tc>
        <w:tc>
          <w:tcPr>
            <w:tcW w:w="60" w:type="dxa"/>
            <w:vAlign w:val="bottom"/>
            <w:tcBorders>
              <w:bottom w:val="single" w:sz="8" w:color="auto"/>
            </w:tcBorders>
            <w:shd w:val="clear" w:color="auto" w:fill="FFDEAD"/>
          </w:tcPr>
          <w:p>
            <w:pPr>
              <w:spacing w:after="0"/>
              <w:rPr>
                <w:sz w:val="22"/>
                <w:szCs w:val="22"/>
                <w:color w:val="auto"/>
              </w:rPr>
            </w:pPr>
          </w:p>
        </w:tc>
        <w:tc>
          <w:tcPr>
            <w:tcW w:w="440" w:type="dxa"/>
            <w:vAlign w:val="bottom"/>
            <w:tcBorders>
              <w:bottom w:val="single" w:sz="8" w:color="auto"/>
            </w:tcBorders>
            <w:shd w:val="clear" w:color="auto" w:fill="FFDEAD"/>
          </w:tcPr>
          <w:p>
            <w:pPr>
              <w:spacing w:after="0"/>
              <w:rPr>
                <w:sz w:val="22"/>
                <w:szCs w:val="22"/>
                <w:color w:val="auto"/>
              </w:rPr>
            </w:pPr>
          </w:p>
        </w:tc>
        <w:tc>
          <w:tcPr>
            <w:tcW w:w="580" w:type="dxa"/>
            <w:vAlign w:val="bottom"/>
            <w:tcBorders>
              <w:bottom w:val="single" w:sz="8" w:color="auto"/>
            </w:tcBorders>
            <w:shd w:val="clear" w:color="auto" w:fill="FFDEAD"/>
          </w:tcPr>
          <w:p>
            <w:pPr>
              <w:spacing w:after="0"/>
              <w:rPr>
                <w:sz w:val="22"/>
                <w:szCs w:val="22"/>
                <w:color w:val="auto"/>
              </w:rPr>
            </w:pPr>
          </w:p>
        </w:tc>
        <w:tc>
          <w:tcPr>
            <w:tcW w:w="60" w:type="dxa"/>
            <w:vAlign w:val="bottom"/>
            <w:tcBorders>
              <w:bottom w:val="single" w:sz="8" w:color="auto"/>
            </w:tcBorders>
            <w:shd w:val="clear" w:color="auto" w:fill="FFDEAD"/>
          </w:tcPr>
          <w:p>
            <w:pPr>
              <w:spacing w:after="0"/>
              <w:rPr>
                <w:sz w:val="22"/>
                <w:szCs w:val="22"/>
                <w:color w:val="auto"/>
              </w:rPr>
            </w:pPr>
          </w:p>
        </w:tc>
        <w:tc>
          <w:tcPr>
            <w:tcW w:w="160" w:type="dxa"/>
            <w:vAlign w:val="bottom"/>
            <w:tcBorders>
              <w:bottom w:val="single" w:sz="8" w:color="auto"/>
              <w:right w:val="single" w:sz="8" w:color="auto"/>
            </w:tcBorders>
            <w:shd w:val="clear" w:color="auto" w:fill="FFDEAD"/>
          </w:tcPr>
          <w:p>
            <w:pPr>
              <w:spacing w:after="0"/>
              <w:rPr>
                <w:sz w:val="22"/>
                <w:szCs w:val="22"/>
                <w:color w:val="auto"/>
              </w:rPr>
            </w:pPr>
          </w:p>
        </w:tc>
        <w:tc>
          <w:tcPr>
            <w:tcW w:w="134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Commitment Fee</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I</w:t>
            </w:r>
          </w:p>
        </w:tc>
        <w:tc>
          <w:tcPr>
            <w:tcW w:w="2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1.00 to 1.00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0.75%</w:t>
            </w:r>
          </w:p>
        </w:tc>
        <w:tc>
          <w:tcPr>
            <w:tcW w:w="5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3"/>
            <w:shd w:val="clear" w:color="auto" w:fill="FFDEAD"/>
          </w:tcPr>
          <w:p>
            <w:pPr>
              <w:jc w:val="right"/>
              <w:ind w:right="150"/>
              <w:spacing w:after="0"/>
              <w:rPr>
                <w:sz w:val="20"/>
                <w:szCs w:val="20"/>
                <w:color w:val="auto"/>
              </w:rPr>
            </w:pPr>
            <w:r>
              <w:rPr>
                <w:rFonts w:ascii="Times New Roman" w:cs="Times New Roman" w:eastAsia="Times New Roman" w:hAnsi="Times New Roman"/>
                <w:sz w:val="18"/>
                <w:szCs w:val="18"/>
                <w:color w:val="FF0000"/>
                <w:strike w:val="1"/>
                <w:w w:val="96"/>
              </w:rPr>
              <w:t>1.7826%</w:t>
            </w:r>
          </w:p>
        </w:tc>
        <w:tc>
          <w:tcPr>
            <w:tcW w:w="240" w:type="dxa"/>
            <w:vAlign w:val="bottom"/>
            <w:tcBorders>
              <w:bottom w:val="single" w:sz="8" w:color="auto"/>
            </w:tcBorders>
            <w:shd w:val="clear" w:color="auto" w:fill="FFDEAD"/>
          </w:tcPr>
          <w:p>
            <w:pPr>
              <w:spacing w:after="0"/>
              <w:rPr>
                <w:sz w:val="18"/>
                <w:szCs w:val="18"/>
                <w:color w:val="auto"/>
              </w:rPr>
            </w:pPr>
          </w:p>
        </w:tc>
        <w:tc>
          <w:tcPr>
            <w:tcW w:w="220" w:type="dxa"/>
            <w:vAlign w:val="bottom"/>
            <w:tcBorders>
              <w:bottom w:val="single" w:sz="8" w:color="auto"/>
              <w:right w:val="single" w:sz="8" w:color="auto"/>
            </w:tcBorders>
            <w:shd w:val="clear" w:color="auto" w:fill="FFDEAD"/>
          </w:tcPr>
          <w:p>
            <w:pPr>
              <w:spacing w:after="0"/>
              <w:rPr>
                <w:sz w:val="18"/>
                <w:szCs w:val="18"/>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1.75%</w:t>
            </w:r>
          </w:p>
        </w:tc>
        <w:tc>
          <w:tcPr>
            <w:tcW w:w="5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3"/>
            <w:shd w:val="clear" w:color="auto" w:fill="FFDEAD"/>
          </w:tcPr>
          <w:p>
            <w:pPr>
              <w:spacing w:after="0"/>
              <w:rPr>
                <w:sz w:val="20"/>
                <w:szCs w:val="20"/>
                <w:color w:val="auto"/>
              </w:rPr>
            </w:pPr>
            <w:r>
              <w:rPr>
                <w:rFonts w:ascii="Times New Roman" w:cs="Times New Roman" w:eastAsia="Times New Roman" w:hAnsi="Times New Roman"/>
                <w:sz w:val="18"/>
                <w:szCs w:val="18"/>
                <w:color w:val="FF0000"/>
                <w:strike w:val="1"/>
                <w:w w:val="96"/>
              </w:rPr>
              <w:t>1.7826%</w:t>
            </w:r>
          </w:p>
        </w:tc>
        <w:tc>
          <w:tcPr>
            <w:tcW w:w="580" w:type="dxa"/>
            <w:vAlign w:val="bottom"/>
            <w:tcBorders>
              <w:bottom w:val="single" w:sz="8" w:color="auto"/>
            </w:tcBorders>
            <w:shd w:val="clear" w:color="auto" w:fill="FFDEAD"/>
          </w:tcPr>
          <w:p>
            <w:pPr>
              <w:spacing w:after="0"/>
              <w:rPr>
                <w:sz w:val="18"/>
                <w:szCs w:val="18"/>
                <w:color w:val="auto"/>
              </w:rPr>
            </w:pPr>
          </w:p>
        </w:tc>
        <w:tc>
          <w:tcPr>
            <w:tcW w:w="60" w:type="dxa"/>
            <w:vAlign w:val="bottom"/>
            <w:tcBorders>
              <w:bottom w:val="single" w:sz="8" w:color="auto"/>
            </w:tcBorders>
            <w:shd w:val="clear" w:color="auto" w:fill="FFDEAD"/>
          </w:tcPr>
          <w:p>
            <w:pPr>
              <w:spacing w:after="0"/>
              <w:rPr>
                <w:sz w:val="18"/>
                <w:szCs w:val="18"/>
                <w:color w:val="auto"/>
              </w:rPr>
            </w:pPr>
          </w:p>
        </w:tc>
        <w:tc>
          <w:tcPr>
            <w:tcW w:w="160" w:type="dxa"/>
            <w:vAlign w:val="bottom"/>
            <w:tcBorders>
              <w:bottom w:val="single" w:sz="8" w:color="auto"/>
              <w:right w:val="single" w:sz="8" w:color="auto"/>
            </w:tcBorders>
            <w:shd w:val="clear" w:color="auto" w:fill="FFDEAD"/>
          </w:tcPr>
          <w:p>
            <w:pPr>
              <w:spacing w:after="0"/>
              <w:rPr>
                <w:sz w:val="18"/>
                <w:szCs w:val="18"/>
                <w:color w:val="auto"/>
              </w:rPr>
            </w:pP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II</w:t>
            </w:r>
          </w:p>
        </w:tc>
        <w:tc>
          <w:tcPr>
            <w:tcW w:w="2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&gt; 1.00 to 1.00 and ≤ 2.00 to</w:t>
            </w: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right w:val="single" w:sz="8" w:color="auto"/>
            </w:tcBorders>
          </w:tcPr>
          <w:p>
            <w:pPr>
              <w:spacing w:after="0"/>
              <w:rPr>
                <w:sz w:val="16"/>
                <w:szCs w:val="16"/>
                <w:color w:val="auto"/>
              </w:rPr>
            </w:pPr>
          </w:p>
        </w:tc>
        <w:tc>
          <w:tcPr>
            <w:tcW w:w="880" w:type="dxa"/>
            <w:vAlign w:val="bottom"/>
            <w:gridSpan w:val="3"/>
            <w:shd w:val="clear" w:color="auto" w:fill="FFDEAD"/>
          </w:tcPr>
          <w:p>
            <w:pPr>
              <w:jc w:val="right"/>
              <w:ind w:right="150"/>
              <w:spacing w:after="0" w:line="191" w:lineRule="exact"/>
              <w:rPr>
                <w:sz w:val="20"/>
                <w:szCs w:val="20"/>
                <w:color w:val="auto"/>
              </w:rPr>
            </w:pPr>
            <w:r>
              <w:rPr>
                <w:rFonts w:ascii="Times New Roman" w:cs="Times New Roman" w:eastAsia="Times New Roman" w:hAnsi="Times New Roman"/>
                <w:sz w:val="18"/>
                <w:szCs w:val="18"/>
                <w:color w:val="FF0000"/>
                <w:strike w:val="1"/>
                <w:w w:val="96"/>
              </w:rPr>
              <w:t>2.0326%</w:t>
            </w:r>
          </w:p>
        </w:tc>
        <w:tc>
          <w:tcPr>
            <w:tcW w:w="240" w:type="dxa"/>
            <w:vAlign w:val="bottom"/>
            <w:shd w:val="clear" w:color="auto" w:fill="FFDEAD"/>
          </w:tcPr>
          <w:p>
            <w:pPr>
              <w:spacing w:after="0"/>
              <w:rPr>
                <w:sz w:val="16"/>
                <w:szCs w:val="16"/>
                <w:color w:val="auto"/>
              </w:rPr>
            </w:pPr>
          </w:p>
        </w:tc>
        <w:tc>
          <w:tcPr>
            <w:tcW w:w="220" w:type="dxa"/>
            <w:vAlign w:val="bottom"/>
            <w:tcBorders>
              <w:right w:val="single" w:sz="8" w:color="auto"/>
            </w:tcBorders>
            <w:shd w:val="clear" w:color="auto" w:fill="FFDEAD"/>
          </w:tcPr>
          <w:p>
            <w:pPr>
              <w:spacing w:after="0"/>
              <w:rPr>
                <w:sz w:val="16"/>
                <w:szCs w:val="16"/>
                <w:color w:val="auto"/>
              </w:rPr>
            </w:pPr>
          </w:p>
        </w:tc>
        <w:tc>
          <w:tcPr>
            <w:tcW w:w="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520" w:type="dxa"/>
            <w:vAlign w:val="bottom"/>
            <w:tcBorders>
              <w:right w:val="single" w:sz="8" w:color="auto"/>
            </w:tcBorders>
          </w:tcPr>
          <w:p>
            <w:pPr>
              <w:spacing w:after="0"/>
              <w:rPr>
                <w:sz w:val="16"/>
                <w:szCs w:val="16"/>
                <w:color w:val="auto"/>
              </w:rPr>
            </w:pPr>
          </w:p>
        </w:tc>
        <w:tc>
          <w:tcPr>
            <w:tcW w:w="640" w:type="dxa"/>
            <w:vAlign w:val="bottom"/>
            <w:gridSpan w:val="3"/>
            <w:shd w:val="clear" w:color="auto" w:fill="FFDEAD"/>
          </w:tcPr>
          <w:p>
            <w:pPr>
              <w:spacing w:after="0" w:line="191" w:lineRule="exact"/>
              <w:rPr>
                <w:sz w:val="20"/>
                <w:szCs w:val="20"/>
                <w:color w:val="auto"/>
              </w:rPr>
            </w:pPr>
            <w:r>
              <w:rPr>
                <w:rFonts w:ascii="Times New Roman" w:cs="Times New Roman" w:eastAsia="Times New Roman" w:hAnsi="Times New Roman"/>
                <w:sz w:val="18"/>
                <w:szCs w:val="18"/>
                <w:color w:val="FF0000"/>
                <w:strike w:val="1"/>
                <w:w w:val="96"/>
              </w:rPr>
              <w:t>2.0326%</w:t>
            </w:r>
          </w:p>
        </w:tc>
        <w:tc>
          <w:tcPr>
            <w:tcW w:w="580" w:type="dxa"/>
            <w:vAlign w:val="bottom"/>
            <w:shd w:val="clear" w:color="auto" w:fill="FFDEAD"/>
          </w:tcPr>
          <w:p>
            <w:pPr>
              <w:spacing w:after="0"/>
              <w:rPr>
                <w:sz w:val="16"/>
                <w:szCs w:val="16"/>
                <w:color w:val="auto"/>
              </w:rPr>
            </w:pPr>
          </w:p>
        </w:tc>
        <w:tc>
          <w:tcPr>
            <w:tcW w:w="60" w:type="dxa"/>
            <w:vAlign w:val="bottom"/>
            <w:shd w:val="clear" w:color="auto" w:fill="FFDEAD"/>
          </w:tcPr>
          <w:p>
            <w:pPr>
              <w:spacing w:after="0"/>
              <w:rPr>
                <w:sz w:val="16"/>
                <w:szCs w:val="16"/>
                <w:color w:val="auto"/>
              </w:rPr>
            </w:pPr>
          </w:p>
        </w:tc>
        <w:tc>
          <w:tcPr>
            <w:tcW w:w="160" w:type="dxa"/>
            <w:vAlign w:val="bottom"/>
            <w:tcBorders>
              <w:right w:val="single" w:sz="8" w:color="auto"/>
            </w:tcBorders>
            <w:shd w:val="clear" w:color="auto" w:fill="FFDEAD"/>
          </w:tcPr>
          <w:p>
            <w:pPr>
              <w:spacing w:after="0"/>
              <w:rPr>
                <w:sz w:val="16"/>
                <w:szCs w:val="16"/>
                <w:color w:val="auto"/>
              </w:rPr>
            </w:pPr>
          </w:p>
        </w:tc>
        <w:tc>
          <w:tcPr>
            <w:tcW w:w="13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shd w:val="clear" w:color="auto" w:fill="FFDEAD"/>
          </w:tcPr>
          <w:p>
            <w:pPr>
              <w:spacing w:after="0"/>
              <w:rPr>
                <w:sz w:val="20"/>
                <w:szCs w:val="20"/>
                <w:color w:val="auto"/>
              </w:rPr>
            </w:pPr>
          </w:p>
        </w:tc>
        <w:tc>
          <w:tcPr>
            <w:tcW w:w="240" w:type="dxa"/>
            <w:vAlign w:val="bottom"/>
            <w:tcBorders>
              <w:bottom w:val="single" w:sz="8" w:color="auto"/>
            </w:tcBorders>
            <w:shd w:val="clear" w:color="auto" w:fill="FFDEAD"/>
          </w:tcPr>
          <w:p>
            <w:pPr>
              <w:spacing w:after="0"/>
              <w:rPr>
                <w:sz w:val="20"/>
                <w:szCs w:val="20"/>
                <w:color w:val="auto"/>
              </w:rPr>
            </w:pPr>
          </w:p>
        </w:tc>
        <w:tc>
          <w:tcPr>
            <w:tcW w:w="440" w:type="dxa"/>
            <w:vAlign w:val="bottom"/>
            <w:tcBorders>
              <w:bottom w:val="single" w:sz="8" w:color="auto"/>
            </w:tcBorders>
            <w:shd w:val="clear" w:color="auto" w:fill="FFDEAD"/>
          </w:tcPr>
          <w:p>
            <w:pPr>
              <w:spacing w:after="0"/>
              <w:rPr>
                <w:sz w:val="20"/>
                <w:szCs w:val="20"/>
                <w:color w:val="auto"/>
              </w:rPr>
            </w:pPr>
          </w:p>
        </w:tc>
        <w:tc>
          <w:tcPr>
            <w:tcW w:w="240" w:type="dxa"/>
            <w:vAlign w:val="bottom"/>
            <w:tcBorders>
              <w:bottom w:val="single" w:sz="8" w:color="auto"/>
            </w:tcBorders>
            <w:shd w:val="clear" w:color="auto" w:fill="FFDEAD"/>
          </w:tcPr>
          <w:p>
            <w:pPr>
              <w:spacing w:after="0"/>
              <w:rPr>
                <w:sz w:val="20"/>
                <w:szCs w:val="20"/>
                <w:color w:val="auto"/>
              </w:rPr>
            </w:pPr>
          </w:p>
        </w:tc>
        <w:tc>
          <w:tcPr>
            <w:tcW w:w="220" w:type="dxa"/>
            <w:vAlign w:val="bottom"/>
            <w:tcBorders>
              <w:bottom w:val="single" w:sz="8" w:color="auto"/>
              <w:right w:val="single" w:sz="8" w:color="auto"/>
            </w:tcBorders>
            <w:shd w:val="clear" w:color="auto" w:fill="FFDEAD"/>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shd w:val="clear" w:color="auto" w:fill="FFDEAD"/>
          </w:tcPr>
          <w:p>
            <w:pPr>
              <w:spacing w:after="0"/>
              <w:rPr>
                <w:sz w:val="20"/>
                <w:szCs w:val="20"/>
                <w:color w:val="auto"/>
              </w:rPr>
            </w:pPr>
          </w:p>
        </w:tc>
        <w:tc>
          <w:tcPr>
            <w:tcW w:w="60" w:type="dxa"/>
            <w:vAlign w:val="bottom"/>
            <w:tcBorders>
              <w:bottom w:val="single" w:sz="8" w:color="auto"/>
            </w:tcBorders>
            <w:shd w:val="clear" w:color="auto" w:fill="FFDEAD"/>
          </w:tcPr>
          <w:p>
            <w:pPr>
              <w:spacing w:after="0"/>
              <w:rPr>
                <w:sz w:val="20"/>
                <w:szCs w:val="20"/>
                <w:color w:val="auto"/>
              </w:rPr>
            </w:pPr>
          </w:p>
        </w:tc>
        <w:tc>
          <w:tcPr>
            <w:tcW w:w="440" w:type="dxa"/>
            <w:vAlign w:val="bottom"/>
            <w:tcBorders>
              <w:bottom w:val="single" w:sz="8" w:color="auto"/>
            </w:tcBorders>
            <w:shd w:val="clear" w:color="auto" w:fill="FFDEAD"/>
          </w:tcPr>
          <w:p>
            <w:pPr>
              <w:spacing w:after="0"/>
              <w:rPr>
                <w:sz w:val="20"/>
                <w:szCs w:val="20"/>
                <w:color w:val="auto"/>
              </w:rPr>
            </w:pPr>
          </w:p>
        </w:tc>
        <w:tc>
          <w:tcPr>
            <w:tcW w:w="580" w:type="dxa"/>
            <w:vAlign w:val="bottom"/>
            <w:tcBorders>
              <w:bottom w:val="single" w:sz="8" w:color="auto"/>
            </w:tcBorders>
            <w:shd w:val="clear" w:color="auto" w:fill="FFDEAD"/>
          </w:tcPr>
          <w:p>
            <w:pPr>
              <w:spacing w:after="0"/>
              <w:rPr>
                <w:sz w:val="20"/>
                <w:szCs w:val="20"/>
                <w:color w:val="auto"/>
              </w:rPr>
            </w:pPr>
          </w:p>
        </w:tc>
        <w:tc>
          <w:tcPr>
            <w:tcW w:w="60" w:type="dxa"/>
            <w:vAlign w:val="bottom"/>
            <w:tcBorders>
              <w:bottom w:val="single" w:sz="8" w:color="auto"/>
            </w:tcBorders>
            <w:shd w:val="clear" w:color="auto" w:fill="FFDEAD"/>
          </w:tcPr>
          <w:p>
            <w:pPr>
              <w:spacing w:after="0"/>
              <w:rPr>
                <w:sz w:val="20"/>
                <w:szCs w:val="20"/>
                <w:color w:val="auto"/>
              </w:rPr>
            </w:pPr>
          </w:p>
        </w:tc>
        <w:tc>
          <w:tcPr>
            <w:tcW w:w="160" w:type="dxa"/>
            <w:vAlign w:val="bottom"/>
            <w:tcBorders>
              <w:bottom w:val="single" w:sz="8" w:color="auto"/>
              <w:right w:val="single" w:sz="8" w:color="auto"/>
            </w:tcBorders>
            <w:shd w:val="clear" w:color="auto" w:fill="FFDEAD"/>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III</w:t>
            </w:r>
          </w:p>
        </w:tc>
        <w:tc>
          <w:tcPr>
            <w:tcW w:w="2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&gt; 2.00 to 1.00</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2.25%</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1.25%</w:t>
            </w:r>
          </w:p>
        </w:tc>
        <w:tc>
          <w:tcPr>
            <w:tcW w:w="5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3"/>
            <w:shd w:val="clear" w:color="auto" w:fill="FFDEAD"/>
          </w:tcPr>
          <w:p>
            <w:pPr>
              <w:jc w:val="right"/>
              <w:ind w:right="150"/>
              <w:spacing w:after="0"/>
              <w:rPr>
                <w:sz w:val="20"/>
                <w:szCs w:val="20"/>
                <w:color w:val="auto"/>
              </w:rPr>
            </w:pPr>
            <w:r>
              <w:rPr>
                <w:rFonts w:ascii="Times New Roman" w:cs="Times New Roman" w:eastAsia="Times New Roman" w:hAnsi="Times New Roman"/>
                <w:sz w:val="18"/>
                <w:szCs w:val="18"/>
                <w:color w:val="FF0000"/>
                <w:strike w:val="1"/>
                <w:w w:val="96"/>
              </w:rPr>
              <w:t>2.2826%</w:t>
            </w:r>
          </w:p>
        </w:tc>
        <w:tc>
          <w:tcPr>
            <w:tcW w:w="240" w:type="dxa"/>
            <w:vAlign w:val="bottom"/>
            <w:tcBorders>
              <w:bottom w:val="single" w:sz="8" w:color="auto"/>
            </w:tcBorders>
            <w:shd w:val="clear" w:color="auto" w:fill="FFDEAD"/>
          </w:tcPr>
          <w:p>
            <w:pPr>
              <w:spacing w:after="0"/>
              <w:rPr>
                <w:sz w:val="18"/>
                <w:szCs w:val="18"/>
                <w:color w:val="auto"/>
              </w:rPr>
            </w:pPr>
          </w:p>
        </w:tc>
        <w:tc>
          <w:tcPr>
            <w:tcW w:w="220" w:type="dxa"/>
            <w:vAlign w:val="bottom"/>
            <w:tcBorders>
              <w:bottom w:val="single" w:sz="8" w:color="auto"/>
              <w:right w:val="single" w:sz="8" w:color="auto"/>
            </w:tcBorders>
            <w:shd w:val="clear" w:color="auto" w:fill="FFDEAD"/>
          </w:tcPr>
          <w:p>
            <w:pPr>
              <w:spacing w:after="0"/>
              <w:rPr>
                <w:sz w:val="18"/>
                <w:szCs w:val="18"/>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2.25%</w:t>
            </w:r>
          </w:p>
        </w:tc>
        <w:tc>
          <w:tcPr>
            <w:tcW w:w="5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3"/>
            <w:shd w:val="clear" w:color="auto" w:fill="FFDEAD"/>
          </w:tcPr>
          <w:p>
            <w:pPr>
              <w:spacing w:after="0"/>
              <w:rPr>
                <w:sz w:val="20"/>
                <w:szCs w:val="20"/>
                <w:color w:val="auto"/>
              </w:rPr>
            </w:pPr>
            <w:r>
              <w:rPr>
                <w:rFonts w:ascii="Times New Roman" w:cs="Times New Roman" w:eastAsia="Times New Roman" w:hAnsi="Times New Roman"/>
                <w:sz w:val="18"/>
                <w:szCs w:val="18"/>
                <w:color w:val="FF0000"/>
                <w:strike w:val="1"/>
                <w:w w:val="96"/>
              </w:rPr>
              <w:t>2.2826%</w:t>
            </w:r>
          </w:p>
        </w:tc>
        <w:tc>
          <w:tcPr>
            <w:tcW w:w="580" w:type="dxa"/>
            <w:vAlign w:val="bottom"/>
            <w:tcBorders>
              <w:bottom w:val="single" w:sz="8" w:color="auto"/>
            </w:tcBorders>
            <w:shd w:val="clear" w:color="auto" w:fill="FFDEAD"/>
          </w:tcPr>
          <w:p>
            <w:pPr>
              <w:spacing w:after="0"/>
              <w:rPr>
                <w:sz w:val="18"/>
                <w:szCs w:val="18"/>
                <w:color w:val="auto"/>
              </w:rPr>
            </w:pPr>
          </w:p>
        </w:tc>
        <w:tc>
          <w:tcPr>
            <w:tcW w:w="60" w:type="dxa"/>
            <w:vAlign w:val="bottom"/>
            <w:tcBorders>
              <w:bottom w:val="single" w:sz="8" w:color="auto"/>
            </w:tcBorders>
            <w:shd w:val="clear" w:color="auto" w:fill="FFDEAD"/>
          </w:tcPr>
          <w:p>
            <w:pPr>
              <w:spacing w:after="0"/>
              <w:rPr>
                <w:sz w:val="18"/>
                <w:szCs w:val="18"/>
                <w:color w:val="auto"/>
              </w:rPr>
            </w:pPr>
          </w:p>
        </w:tc>
        <w:tc>
          <w:tcPr>
            <w:tcW w:w="160" w:type="dxa"/>
            <w:vAlign w:val="bottom"/>
            <w:tcBorders>
              <w:bottom w:val="single" w:sz="8" w:color="auto"/>
              <w:right w:val="single" w:sz="8" w:color="auto"/>
            </w:tcBorders>
            <w:shd w:val="clear" w:color="auto" w:fill="FFDEAD"/>
          </w:tcPr>
          <w:p>
            <w:pPr>
              <w:spacing w:after="0"/>
              <w:rPr>
                <w:sz w:val="18"/>
                <w:szCs w:val="18"/>
                <w:color w:val="auto"/>
              </w:rPr>
            </w:pP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right w:val="single" w:sz="8" w:color="BFBFBF"/>
            </w:tcBorders>
            <w:shd w:val="clear" w:color="auto" w:fill="BFBFBF"/>
          </w:tcPr>
          <w:p>
            <w:pPr>
              <w:spacing w:after="0"/>
              <w:rPr>
                <w:sz w:val="19"/>
                <w:szCs w:val="19"/>
                <w:color w:val="auto"/>
              </w:rPr>
            </w:pPr>
          </w:p>
        </w:tc>
        <w:tc>
          <w:tcPr>
            <w:tcW w:w="440" w:type="dxa"/>
            <w:vAlign w:val="bottom"/>
            <w:tcBorders>
              <w:right w:val="single" w:sz="8" w:color="auto"/>
            </w:tcBorders>
            <w:shd w:val="clear" w:color="auto" w:fill="BFBFBF"/>
          </w:tcPr>
          <w:p>
            <w:pPr>
              <w:spacing w:after="0"/>
              <w:rPr>
                <w:sz w:val="19"/>
                <w:szCs w:val="19"/>
                <w:color w:val="auto"/>
              </w:rPr>
            </w:pPr>
          </w:p>
        </w:tc>
        <w:tc>
          <w:tcPr>
            <w:tcW w:w="1700" w:type="dxa"/>
            <w:vAlign w:val="bottom"/>
            <w:tcBorders>
              <w:right w:val="single" w:sz="8" w:color="BFBFBF"/>
            </w:tcBorders>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auto"/>
              </w:rPr>
              <w:t>Specified</w:t>
            </w:r>
          </w:p>
        </w:tc>
        <w:tc>
          <w:tcPr>
            <w:tcW w:w="1340" w:type="dxa"/>
            <w:vAlign w:val="bottom"/>
            <w:tcBorders>
              <w:right w:val="single" w:sz="8" w:color="BFBFBF"/>
            </w:tcBorders>
            <w:shd w:val="clear" w:color="auto" w:fill="BFBFBF"/>
          </w:tcPr>
          <w:p>
            <w:pPr>
              <w:spacing w:after="0"/>
              <w:rPr>
                <w:sz w:val="19"/>
                <w:szCs w:val="19"/>
                <w:color w:val="auto"/>
              </w:rPr>
            </w:pPr>
          </w:p>
        </w:tc>
        <w:tc>
          <w:tcPr>
            <w:tcW w:w="680" w:type="dxa"/>
            <w:vAlign w:val="bottom"/>
            <w:tcBorders>
              <w:right w:val="single" w:sz="8" w:color="auto"/>
            </w:tcBorders>
            <w:shd w:val="clear" w:color="auto" w:fill="BFBFBF"/>
          </w:tcPr>
          <w:p>
            <w:pPr>
              <w:spacing w:after="0"/>
              <w:rPr>
                <w:sz w:val="19"/>
                <w:szCs w:val="19"/>
                <w:color w:val="auto"/>
              </w:rPr>
            </w:pPr>
          </w:p>
        </w:tc>
        <w:tc>
          <w:tcPr>
            <w:tcW w:w="560" w:type="dxa"/>
            <w:vAlign w:val="bottom"/>
            <w:tcBorders>
              <w:right w:val="single" w:sz="8" w:color="BFBFBF"/>
            </w:tcBorders>
            <w:shd w:val="clear" w:color="auto" w:fill="BFBFBF"/>
          </w:tcPr>
          <w:p>
            <w:pPr>
              <w:spacing w:after="0"/>
              <w:rPr>
                <w:sz w:val="19"/>
                <w:szCs w:val="19"/>
                <w:color w:val="auto"/>
              </w:rPr>
            </w:pPr>
          </w:p>
        </w:tc>
        <w:tc>
          <w:tcPr>
            <w:tcW w:w="200" w:type="dxa"/>
            <w:vAlign w:val="bottom"/>
            <w:shd w:val="clear" w:color="auto" w:fill="BFBFBF"/>
          </w:tcPr>
          <w:p>
            <w:pPr>
              <w:spacing w:after="0"/>
              <w:rPr>
                <w:sz w:val="19"/>
                <w:szCs w:val="19"/>
                <w:color w:val="auto"/>
              </w:rPr>
            </w:pPr>
          </w:p>
        </w:tc>
        <w:tc>
          <w:tcPr>
            <w:tcW w:w="2380" w:type="dxa"/>
            <w:vAlign w:val="bottom"/>
            <w:tcBorders>
              <w:right w:val="single" w:sz="8" w:color="auto"/>
            </w:tcBorders>
            <w:gridSpan w:val="7"/>
            <w:shd w:val="clear" w:color="auto" w:fill="BFBFBF"/>
          </w:tcPr>
          <w:p>
            <w:pPr>
              <w:ind w:left="120"/>
              <w:spacing w:after="0"/>
              <w:rPr>
                <w:sz w:val="20"/>
                <w:szCs w:val="20"/>
                <w:color w:val="auto"/>
              </w:rPr>
            </w:pPr>
            <w:r>
              <w:rPr>
                <w:rFonts w:ascii="Times New Roman" w:cs="Times New Roman" w:eastAsia="Times New Roman" w:hAnsi="Times New Roman"/>
                <w:sz w:val="18"/>
                <w:szCs w:val="18"/>
                <w:color w:val="auto"/>
              </w:rPr>
              <w:t>Applicable Margin</w:t>
            </w:r>
          </w:p>
        </w:tc>
        <w:tc>
          <w:tcPr>
            <w:tcW w:w="1440" w:type="dxa"/>
            <w:vAlign w:val="bottom"/>
            <w:tcBorders>
              <w:right w:val="single" w:sz="8" w:color="BFBFBF"/>
            </w:tcBorders>
            <w:gridSpan w:val="6"/>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auto"/>
              </w:rPr>
              <w:t>Applicable Margin</w:t>
            </w:r>
          </w:p>
        </w:tc>
        <w:tc>
          <w:tcPr>
            <w:tcW w:w="134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160" w:type="dxa"/>
            <w:vAlign w:val="bottom"/>
            <w:tcBorders>
              <w:left w:val="single" w:sz="8" w:color="auto"/>
              <w:right w:val="single" w:sz="8" w:color="BFBFBF"/>
            </w:tcBorders>
            <w:shd w:val="clear" w:color="auto" w:fill="BFBFBF"/>
          </w:tcPr>
          <w:p>
            <w:pPr>
              <w:spacing w:after="0"/>
              <w:rPr>
                <w:sz w:val="3"/>
                <w:szCs w:val="3"/>
                <w:color w:val="auto"/>
              </w:rPr>
            </w:pPr>
          </w:p>
        </w:tc>
        <w:tc>
          <w:tcPr>
            <w:tcW w:w="440" w:type="dxa"/>
            <w:vAlign w:val="bottom"/>
            <w:tcBorders>
              <w:right w:val="single" w:sz="8" w:color="auto"/>
            </w:tcBorders>
            <w:shd w:val="clear" w:color="auto" w:fill="BFBFBF"/>
          </w:tcPr>
          <w:p>
            <w:pPr>
              <w:spacing w:after="0"/>
              <w:rPr>
                <w:sz w:val="3"/>
                <w:szCs w:val="3"/>
                <w:color w:val="auto"/>
              </w:rPr>
            </w:pPr>
          </w:p>
        </w:tc>
        <w:tc>
          <w:tcPr>
            <w:tcW w:w="1700" w:type="dxa"/>
            <w:vAlign w:val="bottom"/>
            <w:tcBorders>
              <w:right w:val="single" w:sz="8" w:color="BFBFBF"/>
            </w:tcBorders>
            <w:vMerge w:val="continue"/>
            <w:shd w:val="clear" w:color="auto" w:fill="BFBFBF"/>
          </w:tcPr>
          <w:p>
            <w:pPr>
              <w:spacing w:after="0"/>
              <w:rPr>
                <w:sz w:val="3"/>
                <w:szCs w:val="3"/>
                <w:color w:val="auto"/>
              </w:rPr>
            </w:pPr>
          </w:p>
        </w:tc>
        <w:tc>
          <w:tcPr>
            <w:tcW w:w="1340" w:type="dxa"/>
            <w:vAlign w:val="bottom"/>
            <w:tcBorders>
              <w:right w:val="single" w:sz="8" w:color="BFBFBF"/>
            </w:tcBorders>
            <w:shd w:val="clear" w:color="auto" w:fill="BFBFBF"/>
          </w:tcPr>
          <w:p>
            <w:pPr>
              <w:spacing w:after="0"/>
              <w:rPr>
                <w:sz w:val="3"/>
                <w:szCs w:val="3"/>
                <w:color w:val="auto"/>
              </w:rPr>
            </w:pPr>
          </w:p>
        </w:tc>
        <w:tc>
          <w:tcPr>
            <w:tcW w:w="680" w:type="dxa"/>
            <w:vAlign w:val="bottom"/>
            <w:tcBorders>
              <w:right w:val="single" w:sz="8" w:color="auto"/>
            </w:tcBorders>
            <w:shd w:val="clear" w:color="auto" w:fill="BFBFBF"/>
          </w:tcPr>
          <w:p>
            <w:pPr>
              <w:spacing w:after="0"/>
              <w:rPr>
                <w:sz w:val="3"/>
                <w:szCs w:val="3"/>
                <w:color w:val="auto"/>
              </w:rPr>
            </w:pPr>
          </w:p>
        </w:tc>
        <w:tc>
          <w:tcPr>
            <w:tcW w:w="3140" w:type="dxa"/>
            <w:vAlign w:val="bottom"/>
            <w:tcBorders>
              <w:right w:val="single" w:sz="8" w:color="auto"/>
            </w:tcBorders>
            <w:gridSpan w:val="9"/>
            <w:vMerge w:val="restart"/>
            <w:shd w:val="clear" w:color="auto" w:fill="BFBFBF"/>
          </w:tcPr>
          <w:p>
            <w:pPr>
              <w:spacing w:after="0"/>
              <w:rPr>
                <w:sz w:val="20"/>
                <w:szCs w:val="20"/>
                <w:color w:val="auto"/>
              </w:rPr>
            </w:pPr>
            <w:r>
              <w:rPr>
                <w:rFonts w:ascii="Times New Roman" w:cs="Times New Roman" w:eastAsia="Times New Roman" w:hAnsi="Times New Roman"/>
                <w:sz w:val="18"/>
                <w:szCs w:val="18"/>
                <w:color w:val="auto"/>
              </w:rPr>
              <w:t>Adjusted Term SOFR Loans</w:t>
            </w:r>
          </w:p>
        </w:tc>
        <w:tc>
          <w:tcPr>
            <w:tcW w:w="1440" w:type="dxa"/>
            <w:vAlign w:val="bottom"/>
            <w:tcBorders>
              <w:right w:val="single" w:sz="8" w:color="BFBFBF"/>
            </w:tcBorders>
            <w:gridSpan w:val="6"/>
            <w:vMerge w:val="continue"/>
            <w:shd w:val="clear" w:color="auto" w:fill="BFBFBF"/>
          </w:tcPr>
          <w:p>
            <w:pPr>
              <w:spacing w:after="0"/>
              <w:rPr>
                <w:sz w:val="3"/>
                <w:szCs w:val="3"/>
                <w:color w:val="auto"/>
              </w:rPr>
            </w:pPr>
          </w:p>
        </w:tc>
        <w:tc>
          <w:tcPr>
            <w:tcW w:w="1340" w:type="dxa"/>
            <w:vAlign w:val="bottom"/>
            <w:tcBorders>
              <w:right w:val="single" w:sz="8" w:color="auto"/>
            </w:tcBorders>
            <w:shd w:val="clear" w:color="auto" w:fill="BFBFB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160" w:type="dxa"/>
            <w:vAlign w:val="bottom"/>
            <w:tcBorders>
              <w:left w:val="single" w:sz="8" w:color="auto"/>
              <w:bottom w:val="single" w:sz="8" w:color="auto"/>
              <w:right w:val="single" w:sz="8" w:color="BFBFBF"/>
            </w:tcBorders>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Level</w:t>
            </w:r>
          </w:p>
        </w:tc>
        <w:tc>
          <w:tcPr>
            <w:tcW w:w="440" w:type="dxa"/>
            <w:vAlign w:val="bottom"/>
            <w:tcBorders>
              <w:bottom w:val="single" w:sz="8" w:color="auto"/>
              <w:right w:val="single" w:sz="8" w:color="auto"/>
            </w:tcBorders>
            <w:shd w:val="clear" w:color="auto" w:fill="BFBFBF"/>
          </w:tcPr>
          <w:p>
            <w:pPr>
              <w:spacing w:after="0"/>
              <w:rPr>
                <w:sz w:val="20"/>
                <w:szCs w:val="20"/>
                <w:color w:val="auto"/>
              </w:rPr>
            </w:pPr>
          </w:p>
        </w:tc>
        <w:tc>
          <w:tcPr>
            <w:tcW w:w="1700" w:type="dxa"/>
            <w:vAlign w:val="bottom"/>
            <w:tcBorders>
              <w:bottom w:val="single" w:sz="8" w:color="auto"/>
              <w:right w:val="single" w:sz="8" w:color="BFBFBF"/>
            </w:tcBorders>
            <w:shd w:val="clear" w:color="auto" w:fill="BFBFBF"/>
          </w:tcPr>
          <w:p>
            <w:pPr>
              <w:spacing w:after="0"/>
              <w:rPr>
                <w:sz w:val="20"/>
                <w:szCs w:val="20"/>
                <w:color w:val="auto"/>
              </w:rPr>
            </w:pPr>
            <w:r>
              <w:rPr>
                <w:rFonts w:ascii="Times New Roman" w:cs="Times New Roman" w:eastAsia="Times New Roman" w:hAnsi="Times New Roman"/>
                <w:sz w:val="18"/>
                <w:szCs w:val="18"/>
                <w:color w:val="auto"/>
              </w:rPr>
              <w:t>Rating</w:t>
            </w:r>
          </w:p>
        </w:tc>
        <w:tc>
          <w:tcPr>
            <w:tcW w:w="1340" w:type="dxa"/>
            <w:vAlign w:val="bottom"/>
            <w:tcBorders>
              <w:bottom w:val="single" w:sz="8" w:color="auto"/>
              <w:right w:val="single" w:sz="8" w:color="BFBFBF"/>
            </w:tcBorders>
            <w:shd w:val="clear" w:color="auto" w:fill="BFBFBF"/>
          </w:tcPr>
          <w:p>
            <w:pPr>
              <w:spacing w:after="0"/>
              <w:rPr>
                <w:sz w:val="20"/>
                <w:szCs w:val="20"/>
                <w:color w:val="auto"/>
              </w:rPr>
            </w:pPr>
          </w:p>
        </w:tc>
        <w:tc>
          <w:tcPr>
            <w:tcW w:w="680" w:type="dxa"/>
            <w:vAlign w:val="bottom"/>
            <w:tcBorders>
              <w:bottom w:val="single" w:sz="8" w:color="auto"/>
              <w:right w:val="single" w:sz="8" w:color="auto"/>
            </w:tcBorders>
            <w:shd w:val="clear" w:color="auto" w:fill="BFBFBF"/>
          </w:tcPr>
          <w:p>
            <w:pPr>
              <w:spacing w:after="0"/>
              <w:rPr>
                <w:sz w:val="20"/>
                <w:szCs w:val="20"/>
                <w:color w:val="auto"/>
              </w:rPr>
            </w:pPr>
          </w:p>
        </w:tc>
        <w:tc>
          <w:tcPr>
            <w:tcW w:w="3140" w:type="dxa"/>
            <w:vAlign w:val="bottom"/>
            <w:tcBorders>
              <w:bottom w:val="single" w:sz="8" w:color="auto"/>
              <w:right w:val="single" w:sz="8" w:color="auto"/>
            </w:tcBorders>
            <w:gridSpan w:val="9"/>
            <w:vMerge w:val="continue"/>
            <w:shd w:val="clear" w:color="auto" w:fill="BFBFBF"/>
          </w:tcPr>
          <w:p>
            <w:pPr>
              <w:spacing w:after="0"/>
              <w:rPr>
                <w:sz w:val="20"/>
                <w:szCs w:val="20"/>
                <w:color w:val="auto"/>
              </w:rPr>
            </w:pPr>
          </w:p>
        </w:tc>
        <w:tc>
          <w:tcPr>
            <w:tcW w:w="1440" w:type="dxa"/>
            <w:vAlign w:val="bottom"/>
            <w:tcBorders>
              <w:bottom w:val="single" w:sz="8" w:color="auto"/>
              <w:right w:val="single" w:sz="8" w:color="BFBFBF"/>
            </w:tcBorders>
            <w:gridSpan w:val="6"/>
            <w:shd w:val="clear" w:color="auto" w:fill="BFBFBF"/>
          </w:tcPr>
          <w:p>
            <w:pPr>
              <w:spacing w:after="0"/>
              <w:rPr>
                <w:sz w:val="20"/>
                <w:szCs w:val="20"/>
                <w:color w:val="auto"/>
              </w:rPr>
            </w:pPr>
            <w:r>
              <w:rPr>
                <w:rFonts w:ascii="Times New Roman" w:cs="Times New Roman" w:eastAsia="Times New Roman" w:hAnsi="Times New Roman"/>
                <w:sz w:val="18"/>
                <w:szCs w:val="18"/>
                <w:color w:val="auto"/>
              </w:rPr>
              <w:t>ABR Loans</w:t>
            </w:r>
          </w:p>
        </w:tc>
        <w:tc>
          <w:tcPr>
            <w:tcW w:w="1340" w:type="dxa"/>
            <w:vAlign w:val="bottom"/>
            <w:tcBorders>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w:t>
            </w:r>
          </w:p>
        </w:tc>
        <w:tc>
          <w:tcPr>
            <w:tcW w:w="440" w:type="dxa"/>
            <w:vAlign w:val="bottom"/>
            <w:tcBorders>
              <w:right w:val="single" w:sz="8" w:color="auto"/>
            </w:tcBorders>
          </w:tcPr>
          <w:p>
            <w:pPr>
              <w:spacing w:after="0"/>
              <w:rPr>
                <w:sz w:val="16"/>
                <w:szCs w:val="16"/>
                <w:color w:val="auto"/>
              </w:rPr>
            </w:pPr>
          </w:p>
        </w:tc>
        <w:tc>
          <w:tcPr>
            <w:tcW w:w="3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Ba2 from Moody’s and</w:t>
            </w:r>
          </w:p>
        </w:tc>
        <w:tc>
          <w:tcPr>
            <w:tcW w:w="680" w:type="dxa"/>
            <w:vAlign w:val="bottom"/>
            <w:tcBorders>
              <w:right w:val="single" w:sz="8" w:color="auto"/>
            </w:tcBorders>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0.75%</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BB from S&amp;P</w:t>
            </w: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II</w:t>
            </w:r>
          </w:p>
        </w:tc>
        <w:tc>
          <w:tcPr>
            <w:tcW w:w="440" w:type="dxa"/>
            <w:vAlign w:val="bottom"/>
            <w:tcBorders>
              <w:right w:val="single" w:sz="8" w:color="auto"/>
            </w:tcBorders>
          </w:tcPr>
          <w:p>
            <w:pPr>
              <w:spacing w:after="0"/>
              <w:rPr>
                <w:sz w:val="16"/>
                <w:szCs w:val="16"/>
                <w:color w:val="auto"/>
              </w:rPr>
            </w:pPr>
          </w:p>
        </w:tc>
        <w:tc>
          <w:tcPr>
            <w:tcW w:w="3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Ba3 and &lt; Ba2 from Moody’s and</w:t>
            </w:r>
          </w:p>
        </w:tc>
        <w:tc>
          <w:tcPr>
            <w:tcW w:w="680" w:type="dxa"/>
            <w:vAlign w:val="bottom"/>
            <w:tcBorders>
              <w:right w:val="single" w:sz="8" w:color="auto"/>
            </w:tcBorders>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BB- and &lt; BB from S&amp;P</w:t>
            </w:r>
          </w:p>
        </w:tc>
        <w:tc>
          <w:tcPr>
            <w:tcW w:w="6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Level III</w:t>
            </w:r>
          </w:p>
        </w:tc>
        <w:tc>
          <w:tcPr>
            <w:tcW w:w="440" w:type="dxa"/>
            <w:vAlign w:val="bottom"/>
            <w:tcBorders>
              <w:right w:val="single" w:sz="8" w:color="auto"/>
            </w:tcBorders>
          </w:tcPr>
          <w:p>
            <w:pPr>
              <w:spacing w:after="0"/>
              <w:rPr>
                <w:sz w:val="16"/>
                <w:szCs w:val="16"/>
                <w:color w:val="auto"/>
              </w:rPr>
            </w:pPr>
          </w:p>
        </w:tc>
        <w:tc>
          <w:tcPr>
            <w:tcW w:w="3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&lt; Ba3 from Moody’s or</w:t>
            </w:r>
          </w:p>
        </w:tc>
        <w:tc>
          <w:tcPr>
            <w:tcW w:w="680" w:type="dxa"/>
            <w:vAlign w:val="bottom"/>
            <w:tcBorders>
              <w:right w:val="single" w:sz="8" w:color="auto"/>
            </w:tcBorders>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1.25%</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&lt; BB- from S&amp;P</w:t>
            </w: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Borders>
              <w:left w:val="single" w:sz="8" w:color="auto"/>
              <w:right w:val="single" w:sz="8" w:color="BFBFBF"/>
            </w:tcBorders>
            <w:shd w:val="clear" w:color="auto" w:fill="BFBFBF"/>
          </w:tcPr>
          <w:p>
            <w:pPr>
              <w:spacing w:after="0"/>
              <w:rPr>
                <w:sz w:val="19"/>
                <w:szCs w:val="19"/>
                <w:color w:val="auto"/>
              </w:rPr>
            </w:pPr>
          </w:p>
        </w:tc>
        <w:tc>
          <w:tcPr>
            <w:tcW w:w="440" w:type="dxa"/>
            <w:vAlign w:val="bottom"/>
            <w:tcBorders>
              <w:right w:val="single" w:sz="8" w:color="auto"/>
            </w:tcBorders>
            <w:shd w:val="clear" w:color="auto" w:fill="BFBFBF"/>
          </w:tcPr>
          <w:p>
            <w:pPr>
              <w:spacing w:after="0"/>
              <w:rPr>
                <w:sz w:val="19"/>
                <w:szCs w:val="19"/>
                <w:color w:val="auto"/>
              </w:rPr>
            </w:pPr>
          </w:p>
        </w:tc>
        <w:tc>
          <w:tcPr>
            <w:tcW w:w="1700" w:type="dxa"/>
            <w:vAlign w:val="bottom"/>
            <w:tcBorders>
              <w:right w:val="single" w:sz="8" w:color="BFBFBF"/>
            </w:tcBorders>
            <w:shd w:val="clear" w:color="auto" w:fill="BFBFBF"/>
          </w:tcPr>
          <w:p>
            <w:pPr>
              <w:spacing w:after="0"/>
              <w:rPr>
                <w:sz w:val="19"/>
                <w:szCs w:val="19"/>
                <w:color w:val="auto"/>
              </w:rPr>
            </w:pPr>
          </w:p>
        </w:tc>
        <w:tc>
          <w:tcPr>
            <w:tcW w:w="1340" w:type="dxa"/>
            <w:vAlign w:val="bottom"/>
            <w:tcBorders>
              <w:right w:val="single" w:sz="8" w:color="BFBFBF"/>
            </w:tcBorders>
            <w:shd w:val="clear" w:color="auto" w:fill="BFBFBF"/>
          </w:tcPr>
          <w:p>
            <w:pPr>
              <w:spacing w:after="0"/>
              <w:rPr>
                <w:sz w:val="19"/>
                <w:szCs w:val="19"/>
                <w:color w:val="auto"/>
              </w:rPr>
            </w:pPr>
          </w:p>
        </w:tc>
        <w:tc>
          <w:tcPr>
            <w:tcW w:w="680" w:type="dxa"/>
            <w:vAlign w:val="bottom"/>
            <w:tcBorders>
              <w:right w:val="single" w:sz="8" w:color="auto"/>
            </w:tcBorders>
            <w:shd w:val="clear" w:color="auto" w:fill="BFBFBF"/>
          </w:tcPr>
          <w:p>
            <w:pPr>
              <w:spacing w:after="0"/>
              <w:rPr>
                <w:sz w:val="19"/>
                <w:szCs w:val="19"/>
                <w:color w:val="auto"/>
              </w:rPr>
            </w:pPr>
          </w:p>
        </w:tc>
        <w:tc>
          <w:tcPr>
            <w:tcW w:w="560" w:type="dxa"/>
            <w:vAlign w:val="bottom"/>
            <w:tcBorders>
              <w:right w:val="single" w:sz="8" w:color="BFBFBF"/>
            </w:tcBorders>
            <w:shd w:val="clear" w:color="auto" w:fill="BFBFBF"/>
          </w:tcPr>
          <w:p>
            <w:pPr>
              <w:spacing w:after="0"/>
              <w:rPr>
                <w:sz w:val="19"/>
                <w:szCs w:val="19"/>
                <w:color w:val="auto"/>
              </w:rPr>
            </w:pPr>
          </w:p>
        </w:tc>
        <w:tc>
          <w:tcPr>
            <w:tcW w:w="200" w:type="dxa"/>
            <w:vAlign w:val="bottom"/>
            <w:shd w:val="clear" w:color="auto" w:fill="BFBFBF"/>
          </w:tcPr>
          <w:p>
            <w:pPr>
              <w:spacing w:after="0"/>
              <w:rPr>
                <w:sz w:val="19"/>
                <w:szCs w:val="19"/>
                <w:color w:val="auto"/>
              </w:rPr>
            </w:pPr>
          </w:p>
        </w:tc>
        <w:tc>
          <w:tcPr>
            <w:tcW w:w="2380" w:type="dxa"/>
            <w:vAlign w:val="bottom"/>
            <w:tcBorders>
              <w:right w:val="single" w:sz="8" w:color="auto"/>
            </w:tcBorders>
            <w:gridSpan w:val="7"/>
            <w:shd w:val="clear" w:color="auto" w:fill="BFBFBF"/>
          </w:tcPr>
          <w:p>
            <w:pPr>
              <w:ind w:left="120"/>
              <w:spacing w:after="0"/>
              <w:rPr>
                <w:sz w:val="20"/>
                <w:szCs w:val="20"/>
                <w:color w:val="auto"/>
              </w:rPr>
            </w:pPr>
            <w:r>
              <w:rPr>
                <w:rFonts w:ascii="Times New Roman" w:cs="Times New Roman" w:eastAsia="Times New Roman" w:hAnsi="Times New Roman"/>
                <w:sz w:val="18"/>
                <w:szCs w:val="18"/>
                <w:color w:val="auto"/>
              </w:rPr>
              <w:t>Applicable Margin</w:t>
            </w:r>
          </w:p>
        </w:tc>
        <w:tc>
          <w:tcPr>
            <w:tcW w:w="140" w:type="dxa"/>
            <w:vAlign w:val="bottom"/>
            <w:shd w:val="clear" w:color="auto" w:fill="BFBFBF"/>
          </w:tcPr>
          <w:p>
            <w:pPr>
              <w:spacing w:after="0"/>
              <w:rPr>
                <w:sz w:val="19"/>
                <w:szCs w:val="19"/>
                <w:color w:val="auto"/>
              </w:rPr>
            </w:pPr>
          </w:p>
        </w:tc>
        <w:tc>
          <w:tcPr>
            <w:tcW w:w="60" w:type="dxa"/>
            <w:vAlign w:val="bottom"/>
            <w:shd w:val="clear" w:color="auto" w:fill="BFBFBF"/>
          </w:tcPr>
          <w:p>
            <w:pPr>
              <w:spacing w:after="0"/>
              <w:rPr>
                <w:sz w:val="19"/>
                <w:szCs w:val="19"/>
                <w:color w:val="auto"/>
              </w:rPr>
            </w:pPr>
          </w:p>
        </w:tc>
        <w:tc>
          <w:tcPr>
            <w:tcW w:w="440" w:type="dxa"/>
            <w:vAlign w:val="bottom"/>
            <w:shd w:val="clear" w:color="auto" w:fill="BFBFBF"/>
          </w:tcPr>
          <w:p>
            <w:pPr>
              <w:spacing w:after="0"/>
              <w:rPr>
                <w:sz w:val="19"/>
                <w:szCs w:val="19"/>
                <w:color w:val="auto"/>
              </w:rPr>
            </w:pPr>
          </w:p>
        </w:tc>
        <w:tc>
          <w:tcPr>
            <w:tcW w:w="2140" w:type="dxa"/>
            <w:vAlign w:val="bottom"/>
            <w:tcBorders>
              <w:right w:val="single" w:sz="8" w:color="auto"/>
            </w:tcBorders>
            <w:gridSpan w:val="4"/>
            <w:shd w:val="clear" w:color="auto" w:fill="BFBFBF"/>
          </w:tcPr>
          <w:p>
            <w:pPr>
              <w:ind w:left="60"/>
              <w:spacing w:after="0"/>
              <w:rPr>
                <w:sz w:val="20"/>
                <w:szCs w:val="20"/>
                <w:color w:val="auto"/>
              </w:rPr>
            </w:pPr>
            <w:r>
              <w:rPr>
                <w:rFonts w:ascii="Times New Roman" w:cs="Times New Roman" w:eastAsia="Times New Roman" w:hAnsi="Times New Roman"/>
                <w:sz w:val="18"/>
                <w:szCs w:val="18"/>
                <w:color w:val="auto"/>
              </w:rPr>
              <w:t>Applicable Margin</w:t>
            </w:r>
          </w:p>
        </w:tc>
        <w:tc>
          <w:tcPr>
            <w:tcW w:w="0" w:type="dxa"/>
            <w:vAlign w:val="bottom"/>
          </w:tcPr>
          <w:p>
            <w:pPr>
              <w:spacing w:after="0"/>
              <w:rPr>
                <w:sz w:val="1"/>
                <w:szCs w:val="1"/>
                <w:color w:val="auto"/>
              </w:rPr>
            </w:pPr>
          </w:p>
        </w:tc>
      </w:tr>
      <w:tr>
        <w:trPr>
          <w:trHeight w:val="265"/>
        </w:trPr>
        <w:tc>
          <w:tcPr>
            <w:tcW w:w="1160" w:type="dxa"/>
            <w:vAlign w:val="bottom"/>
            <w:tcBorders>
              <w:left w:val="single" w:sz="8" w:color="auto"/>
              <w:bottom w:val="single" w:sz="8" w:color="auto"/>
              <w:right w:val="single" w:sz="8" w:color="BFBFBF"/>
            </w:tcBorders>
            <w:shd w:val="clear" w:color="auto" w:fill="BFBFBF"/>
          </w:tcPr>
          <w:p>
            <w:pPr>
              <w:ind w:left="20"/>
              <w:spacing w:after="0"/>
              <w:rPr>
                <w:sz w:val="20"/>
                <w:szCs w:val="20"/>
                <w:color w:val="auto"/>
              </w:rPr>
            </w:pPr>
            <w:r>
              <w:rPr>
                <w:rFonts w:ascii="Times New Roman" w:cs="Times New Roman" w:eastAsia="Times New Roman" w:hAnsi="Times New Roman"/>
                <w:sz w:val="18"/>
                <w:szCs w:val="18"/>
                <w:color w:val="auto"/>
              </w:rPr>
              <w:t>Level</w:t>
            </w:r>
          </w:p>
        </w:tc>
        <w:tc>
          <w:tcPr>
            <w:tcW w:w="440" w:type="dxa"/>
            <w:vAlign w:val="bottom"/>
            <w:tcBorders>
              <w:bottom w:val="single" w:sz="8" w:color="auto"/>
              <w:right w:val="single" w:sz="8" w:color="auto"/>
            </w:tcBorders>
            <w:shd w:val="clear" w:color="auto" w:fill="BFBFBF"/>
          </w:tcPr>
          <w:p>
            <w:pPr>
              <w:spacing w:after="0"/>
              <w:rPr>
                <w:sz w:val="23"/>
                <w:szCs w:val="23"/>
                <w:color w:val="auto"/>
              </w:rPr>
            </w:pPr>
          </w:p>
        </w:tc>
        <w:tc>
          <w:tcPr>
            <w:tcW w:w="3040" w:type="dxa"/>
            <w:vAlign w:val="bottom"/>
            <w:tcBorders>
              <w:bottom w:val="single" w:sz="8" w:color="auto"/>
              <w:right w:val="single" w:sz="8" w:color="BFBFBF"/>
            </w:tcBorders>
            <w:gridSpan w:val="2"/>
            <w:shd w:val="clear" w:color="auto" w:fill="BFBFBF"/>
          </w:tcPr>
          <w:p>
            <w:pPr>
              <w:spacing w:after="0"/>
              <w:rPr>
                <w:sz w:val="20"/>
                <w:szCs w:val="20"/>
                <w:color w:val="auto"/>
              </w:rPr>
            </w:pPr>
            <w:r>
              <w:rPr>
                <w:rFonts w:ascii="Times New Roman" w:cs="Times New Roman" w:eastAsia="Times New Roman" w:hAnsi="Times New Roman"/>
                <w:sz w:val="18"/>
                <w:szCs w:val="18"/>
                <w:color w:val="auto"/>
              </w:rPr>
              <w:t>Consolidated Secured Leverage Ratio</w:t>
            </w:r>
          </w:p>
        </w:tc>
        <w:tc>
          <w:tcPr>
            <w:tcW w:w="680" w:type="dxa"/>
            <w:vAlign w:val="bottom"/>
            <w:tcBorders>
              <w:bottom w:val="single" w:sz="8" w:color="auto"/>
              <w:right w:val="single" w:sz="8" w:color="auto"/>
            </w:tcBorders>
            <w:shd w:val="clear" w:color="auto" w:fill="BFBFBF"/>
          </w:tcPr>
          <w:p>
            <w:pPr>
              <w:spacing w:after="0"/>
              <w:rPr>
                <w:sz w:val="23"/>
                <w:szCs w:val="23"/>
                <w:color w:val="auto"/>
              </w:rPr>
            </w:pPr>
          </w:p>
        </w:tc>
        <w:tc>
          <w:tcPr>
            <w:tcW w:w="3140" w:type="dxa"/>
            <w:vAlign w:val="bottom"/>
            <w:tcBorders>
              <w:bottom w:val="single" w:sz="8" w:color="auto"/>
              <w:right w:val="single" w:sz="8" w:color="auto"/>
            </w:tcBorders>
            <w:gridSpan w:val="9"/>
            <w:shd w:val="clear" w:color="auto" w:fill="BFBFBF"/>
          </w:tcPr>
          <w:p>
            <w:pPr>
              <w:spacing w:after="0"/>
              <w:rPr>
                <w:sz w:val="20"/>
                <w:szCs w:val="20"/>
                <w:color w:val="auto"/>
              </w:rPr>
            </w:pPr>
            <w:r>
              <w:rPr>
                <w:rFonts w:ascii="Times New Roman" w:cs="Times New Roman" w:eastAsia="Times New Roman" w:hAnsi="Times New Roman"/>
                <w:sz w:val="18"/>
                <w:szCs w:val="18"/>
                <w:color w:val="auto"/>
              </w:rPr>
              <w:t>Adjusted Term SOFR Loans</w:t>
            </w:r>
          </w:p>
        </w:tc>
        <w:tc>
          <w:tcPr>
            <w:tcW w:w="1440" w:type="dxa"/>
            <w:vAlign w:val="bottom"/>
            <w:tcBorders>
              <w:bottom w:val="single" w:sz="8" w:color="auto"/>
              <w:right w:val="single" w:sz="8" w:color="BFBFBF"/>
            </w:tcBorders>
            <w:gridSpan w:val="6"/>
            <w:shd w:val="clear" w:color="auto" w:fill="BFBFBF"/>
          </w:tcPr>
          <w:p>
            <w:pPr>
              <w:spacing w:after="0"/>
              <w:rPr>
                <w:sz w:val="20"/>
                <w:szCs w:val="20"/>
                <w:color w:val="auto"/>
              </w:rPr>
            </w:pPr>
            <w:r>
              <w:rPr>
                <w:rFonts w:ascii="Times New Roman" w:cs="Times New Roman" w:eastAsia="Times New Roman" w:hAnsi="Times New Roman"/>
                <w:sz w:val="18"/>
                <w:szCs w:val="18"/>
                <w:color w:val="auto"/>
              </w:rPr>
              <w:t>ABR Loans</w:t>
            </w:r>
          </w:p>
        </w:tc>
        <w:tc>
          <w:tcPr>
            <w:tcW w:w="13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I</w:t>
            </w:r>
          </w:p>
        </w:tc>
        <w:tc>
          <w:tcPr>
            <w:tcW w:w="4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1.00 to 1.00</w:t>
            </w: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0.75%</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II</w:t>
            </w:r>
          </w:p>
        </w:tc>
        <w:tc>
          <w:tcPr>
            <w:tcW w:w="44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&gt; 1.00 to 1.00 and ≤ 2.00 to 1.00</w:t>
            </w:r>
          </w:p>
        </w:tc>
        <w:tc>
          <w:tcPr>
            <w:tcW w:w="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III</w:t>
            </w:r>
          </w:p>
        </w:tc>
        <w:tc>
          <w:tcPr>
            <w:tcW w:w="4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&gt; 2.00 to 1.00</w:t>
            </w: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In the event the Specified Rating assigned by Moody’s is not equivalent to the Specified Rating assigned by S&amp;P, the lower of the two Specified Ratings shall determine the Applicable Margin and the Commitment Fee, as applicable, unless the Specified Ratings are two or more levels apart, in which case the Applicable Margin and Commitment Fee, as applicable, shall be based on the Level applicable to the rating immediately above the lower of the two Specified Ratings. In the event either Moody’s or S&amp;P shall cease to assign a Specified Rating, then the Applicable Margin and Commitment Fee with respect to Revolving Loans and Revolving Commitments shall be based on Level III. 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79" w:name="page80"/>
    <w:bookmarkEnd w:id="79"/>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change in the Applicable Margin and Commitment Fee determined in accordance with any foregoing table that is based on Specified Ratings shall become effective on the </w:t>
      </w:r>
      <w:r>
        <w:rPr>
          <w:rFonts w:ascii="Times New Roman" w:cs="Times New Roman" w:eastAsia="Times New Roman" w:hAnsi="Times New Roman"/>
          <w:sz w:val="18"/>
          <w:szCs w:val="18"/>
          <w:b w:val="1"/>
          <w:bCs w:val="1"/>
          <w:u w:val="single" w:color="auto"/>
          <w:color w:val="0000FF"/>
        </w:rPr>
        <w:t>second Business Day following the</w:t>
      </w:r>
      <w:r>
        <w:rPr>
          <w:rFonts w:ascii="Times New Roman" w:cs="Times New Roman" w:eastAsia="Times New Roman" w:hAnsi="Times New Roman"/>
          <w:sz w:val="18"/>
          <w:szCs w:val="18"/>
          <w:color w:val="auto"/>
        </w:rPr>
        <w:t xml:space="preserve"> date of announcement or publication by the Borrower or either rating agency of any change in the Specified Ratings </w:t>
      </w:r>
      <w:r>
        <w:rPr>
          <w:rFonts w:ascii="Times New Roman" w:cs="Times New Roman" w:eastAsia="Times New Roman" w:hAnsi="Times New Roman"/>
          <w:sz w:val="18"/>
          <w:szCs w:val="18"/>
          <w:color w:val="FF0000"/>
          <w:strike w:val="1"/>
        </w:rPr>
        <w:t>or, in the absence of such announcement or publication, on the effective date of such change in the Specified Ratings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Changes in the Applicable Margin and Commitment Fee Rate determined in accordance with the foregoing table that is based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Consolidated Secured Leverage Ratio resulting from changes in the Consolidated Secured Leverage Ratio shall become effective on the </w:t>
      </w:r>
      <w:r>
        <w:rPr>
          <w:rFonts w:ascii="Times New Roman" w:cs="Times New Roman" w:eastAsia="Times New Roman" w:hAnsi="Times New Roman"/>
          <w:sz w:val="18"/>
          <w:szCs w:val="18"/>
          <w:color w:val="FF0000"/>
          <w:strike w:val="1"/>
        </w:rPr>
        <w:t>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Adjustment Date</w:t>
      </w:r>
      <w:r>
        <w:rPr>
          <w:rFonts w:ascii="Times New Roman" w:cs="Times New Roman" w:eastAsia="Times New Roman" w:hAnsi="Times New Roman"/>
          <w:sz w:val="18"/>
          <w:szCs w:val="18"/>
          <w:color w:val="FF0000"/>
          <w:strike w:val="1"/>
        </w:rPr>
        <w:t>”) on which financial statements are</w:t>
      </w:r>
      <w:r>
        <w:rPr>
          <w:rFonts w:ascii="Times New Roman" w:cs="Times New Roman" w:eastAsia="Times New Roman" w:hAnsi="Times New Roman"/>
          <w:sz w:val="18"/>
          <w:szCs w:val="18"/>
          <w:b w:val="1"/>
          <w:bCs w:val="1"/>
          <w:u w:val="single" w:color="auto"/>
          <w:color w:val="0000FF"/>
        </w:rPr>
        <w:t>second Business Day following the date on which the Compliance Certificate 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delivered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Lenders pursuant to Section </w:t>
      </w:r>
      <w:r>
        <w:rPr>
          <w:rFonts w:ascii="Times New Roman" w:cs="Times New Roman" w:eastAsia="Times New Roman" w:hAnsi="Times New Roman"/>
          <w:sz w:val="18"/>
          <w:szCs w:val="18"/>
          <w:color w:val="FF0000"/>
          <w:strike w:val="1"/>
        </w:rPr>
        <w:t>6.1(a)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6.2</w:t>
      </w: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color w:val="FF0000"/>
          <w:strike w:val="1"/>
        </w:rPr>
        <w:t>but in any event not later than the 55th day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the end of each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first three quarterly periods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fiscal year or the 100th day after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strike w:val="1"/>
        </w:rPr>
        <w:t>the end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each fiscal year, as the case may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shall remain in effect until the next change to be effected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paragraph. If </w:t>
      </w:r>
      <w:r>
        <w:rPr>
          <w:rFonts w:ascii="Times New Roman" w:cs="Times New Roman" w:eastAsia="Times New Roman" w:hAnsi="Times New Roman"/>
          <w:sz w:val="18"/>
          <w:szCs w:val="18"/>
          <w:color w:val="FF0000"/>
          <w:strike w:val="1"/>
        </w:rPr>
        <w:t>any financial statements referred to above are</w:t>
      </w:r>
      <w:r>
        <w:rPr>
          <w:rFonts w:ascii="Times New Roman" w:cs="Times New Roman" w:eastAsia="Times New Roman" w:hAnsi="Times New Roman"/>
          <w:sz w:val="18"/>
          <w:szCs w:val="18"/>
          <w:b w:val="1"/>
          <w:bCs w:val="1"/>
          <w:u w:val="single" w:color="auto"/>
          <w:color w:val="0000FF"/>
        </w:rPr>
        <w:t>the Compliance Certificate is</w:t>
      </w:r>
      <w:r>
        <w:rPr>
          <w:rFonts w:ascii="Times New Roman" w:cs="Times New Roman" w:eastAsia="Times New Roman" w:hAnsi="Times New Roman"/>
          <w:sz w:val="18"/>
          <w:szCs w:val="18"/>
          <w:color w:val="auto"/>
        </w:rPr>
        <w:t xml:space="preserve"> not delivered within the time periods specified </w:t>
      </w:r>
      <w:r>
        <w:rPr>
          <w:rFonts w:ascii="Times New Roman" w:cs="Times New Roman" w:eastAsia="Times New Roman" w:hAnsi="Times New Roman"/>
          <w:sz w:val="18"/>
          <w:szCs w:val="18"/>
          <w:color w:val="FF0000"/>
          <w:strike w:val="1"/>
        </w:rPr>
        <w:t>above</w:t>
      </w:r>
      <w:r>
        <w:rPr>
          <w:rFonts w:ascii="Times New Roman" w:cs="Times New Roman" w:eastAsia="Times New Roman" w:hAnsi="Times New Roman"/>
          <w:sz w:val="18"/>
          <w:szCs w:val="18"/>
          <w:b w:val="1"/>
          <w:bCs w:val="1"/>
          <w:u w:val="single" w:color="auto"/>
          <w:color w:val="0000FF"/>
        </w:rPr>
        <w: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Section 6.2(b)</w:t>
      </w:r>
      <w:r>
        <w:rPr>
          <w:rFonts w:ascii="Times New Roman" w:cs="Times New Roman" w:eastAsia="Times New Roman" w:hAnsi="Times New Roman"/>
          <w:sz w:val="18"/>
          <w:szCs w:val="18"/>
          <w:color w:val="000000"/>
        </w:rPr>
        <w:t>, then, until such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financial statements are</w:t>
      </w:r>
      <w:r>
        <w:rPr>
          <w:rFonts w:ascii="Times New Roman" w:cs="Times New Roman" w:eastAsia="Times New Roman" w:hAnsi="Times New Roman"/>
          <w:sz w:val="18"/>
          <w:szCs w:val="18"/>
          <w:b w:val="1"/>
          <w:bCs w:val="1"/>
          <w:u w:val="single" w:color="auto"/>
          <w:color w:val="0000FF"/>
        </w:rPr>
        <w:t>Compliance Certificate 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delivered, the Consolidated Secured Leverage Ratio as at the end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period that would have been covered thereby shall for the purposes of this definition be deemed to be greater than 2.00 to 1.00. Each determination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Secured Leverage Ratio pursuant to this pricing grid shall be made with respect to (or, in the case of clause (a) of the definition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the end of) the period of four consecutive fiscal quarters of the Company ending at the end of the period covered by the relevant </w:t>
      </w:r>
      <w:r>
        <w:rPr>
          <w:rFonts w:ascii="Times New Roman" w:cs="Times New Roman" w:eastAsia="Times New Roman" w:hAnsi="Times New Roman"/>
          <w:sz w:val="18"/>
          <w:szCs w:val="18"/>
          <w:color w:val="FF0000"/>
          <w:strike w:val="1"/>
        </w:rPr>
        <w:t>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statements</w:t>
      </w:r>
      <w:r>
        <w:rPr>
          <w:rFonts w:ascii="Times New Roman" w:cs="Times New Roman" w:eastAsia="Times New Roman" w:hAnsi="Times New Roman"/>
          <w:sz w:val="18"/>
          <w:szCs w:val="18"/>
          <w:b w:val="1"/>
          <w:bCs w:val="1"/>
          <w:u w:val="single" w:color="auto"/>
          <w:color w:val="0000FF"/>
        </w:rPr>
        <w:t>Compliance Certificate</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the facilities and properties owned, leased or operated by any Group Member.</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a Lender whose representatives may trade in securities of Holdings, the Borrower or any of their respective Subsidiaries while in possession of the financial statements provided by the Borrower under the terms of this Agreement.</w:t>
      </w:r>
    </w:p>
    <w:p>
      <w:pPr>
        <w:spacing w:after="0" w:line="162"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Vehicle Indebtedness</w:t>
      </w:r>
      <w:r>
        <w:rPr>
          <w:rFonts w:ascii="Times New Roman" w:cs="Times New Roman" w:eastAsia="Times New Roman" w:hAnsi="Times New Roman"/>
          <w:sz w:val="18"/>
          <w:szCs w:val="18"/>
          <w:color w:val="auto"/>
        </w:rPr>
        <w:t xml:space="preserve">”: Indebtedness (i) secured by, payable from or representing beneficial interests in Eligible Assets (including, for the avoidance of doubt, buses) or (ii) that is unsecured, the proceeds of which are used, directly or indirectly, to purchase Eligible Assets (including, for the avoidance of doubt, buses), which, in each case, provides for recourse to the Borrower or any Subsidiary (other than a Securitization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Recourse Vehicle Indebtedness shall not include any Indebtedness of the Borrower and Avis Budget Finance in respect of the Senior Unsecured Notes and any Permitted Refinancing thereof.</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Vehicle Indebtedness Threshold Amount</w:t>
      </w:r>
      <w:r>
        <w:rPr>
          <w:rFonts w:ascii="Times New Roman" w:cs="Times New Roman" w:eastAsia="Times New Roman" w:hAnsi="Times New Roman"/>
          <w:sz w:val="18"/>
          <w:szCs w:val="18"/>
          <w:color w:val="auto"/>
        </w:rPr>
        <w:t>”: $1,800,000,000.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0" w:name="page81"/>
    <w:bookmarkEnd w:id="80"/>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any settlement of or payment in a principal amount greater than $25,000,000 in respect of any property or casualty insurance claim or any condemnation proceeding relating to any asset of any Loan Party (other than ABG).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as defined in the definition of “Consolidated EBITDA”.</w:t>
      </w:r>
    </w:p>
    <w:p>
      <w:pPr>
        <w:spacing w:after="0" w:line="225"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(2) if such Benchmark is the Term SOFR Rate, 5:00 a.m. (Chicago time) on the day that is two Business Days preceding the date of such setting, (3) if such Benchmark is EURIBOR Rate, 11:00 a.m. Brussels time two TARGET Days preceding the date of such setting, (4) if the RFR for such Benchmark is SONIA, then four Business Days prior to such setting, (5) if following a Benchmark Transition Event and Benchmark Replacement Date with respect to Term CORRA, the RFR for such Benchmark is Daily Simple CORRA, then four RFR Business Days prior to such setting, (6) if such Benchmark is the Adjusted Term CORRA Rate, 1:00 p.m. Toronto local time on the day that is two Business Days preceding the date of such setting, or (7) if such Benchmark is none of the Term SOFR Rate, the EURIBOR Rate, SONIA, Daily Simple CORRA or the Adjusted Term CORRA Rate, the time determined by the Administrative Agent in its reasonable discretion.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has the meaning given such term in Section 10.1(d).</w:t>
      </w:r>
    </w:p>
    <w:p>
      <w:pPr>
        <w:spacing w:after="0" w:line="225"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Refinancing Debt</w:t>
      </w:r>
      <w:r>
        <w:rPr>
          <w:rFonts w:ascii="Times New Roman" w:cs="Times New Roman" w:eastAsia="Times New Roman" w:hAnsi="Times New Roman"/>
          <w:sz w:val="17"/>
          <w:szCs w:val="17"/>
          <w:color w:val="auto"/>
        </w:rPr>
        <w:t>”: Indebtedness (or commitments in respect thereof) incurred to refinance all of the outstanding Term Loans or Revolving Commitments having a like maturity date, in each case on a dollar-for-dollar basis from time to time, in whole or part, in the form of one or more new term facilities (each, a “</w:t>
      </w:r>
      <w:r>
        <w:rPr>
          <w:rFonts w:ascii="Times New Roman" w:cs="Times New Roman" w:eastAsia="Times New Roman" w:hAnsi="Times New Roman"/>
          <w:sz w:val="17"/>
          <w:szCs w:val="17"/>
          <w:u w:val="single" w:color="auto"/>
          <w:color w:val="auto"/>
        </w:rPr>
        <w:t>Refinancing Term Facility</w:t>
      </w:r>
      <w:r>
        <w:rPr>
          <w:rFonts w:ascii="Times New Roman" w:cs="Times New Roman" w:eastAsia="Times New Roman" w:hAnsi="Times New Roman"/>
          <w:sz w:val="17"/>
          <w:szCs w:val="17"/>
          <w:color w:val="auto"/>
        </w:rPr>
        <w:t>”) or new revolving credit facilities (each, a “</w:t>
      </w:r>
      <w:r>
        <w:rPr>
          <w:rFonts w:ascii="Times New Roman" w:cs="Times New Roman" w:eastAsia="Times New Roman" w:hAnsi="Times New Roman"/>
          <w:sz w:val="17"/>
          <w:szCs w:val="17"/>
          <w:u w:val="single" w:color="auto"/>
          <w:color w:val="auto"/>
        </w:rPr>
        <w:t>Refinancing Revolving Facility</w:t>
      </w:r>
      <w:r>
        <w:rPr>
          <w:rFonts w:ascii="Times New Roman" w:cs="Times New Roman" w:eastAsia="Times New Roman" w:hAnsi="Times New Roman"/>
          <w:sz w:val="17"/>
          <w:szCs w:val="17"/>
          <w:color w:val="auto"/>
        </w:rPr>
        <w:t>”; the Refinancing Term Facilities and the Refinancing Revolving Facilities, collectively, “</w:t>
      </w:r>
      <w:r>
        <w:rPr>
          <w:rFonts w:ascii="Times New Roman" w:cs="Times New Roman" w:eastAsia="Times New Roman" w:hAnsi="Times New Roman"/>
          <w:sz w:val="17"/>
          <w:szCs w:val="17"/>
          <w:u w:val="single" w:color="auto"/>
          <w:color w:val="auto"/>
        </w:rPr>
        <w:t>Refinancing Facilities</w:t>
      </w:r>
      <w:r>
        <w:rPr>
          <w:rFonts w:ascii="Times New Roman" w:cs="Times New Roman" w:eastAsia="Times New Roman" w:hAnsi="Times New Roman"/>
          <w:sz w:val="17"/>
          <w:szCs w:val="17"/>
          <w:color w:val="auto"/>
        </w:rPr>
        <w:t xml:space="preserve">”) made available under this Agreement with the consent of the Borrower and the Administrative Agent (which consent shall not be unreasonably withheld) and the lenders providing such financing (and no other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any refinancing of the Term Loans, any Refinancing Debt shall not mature prior to the maturity date of, or have a shorter weighted average life than, the Term Loans being refinanced, (B) in the case of any refinancing of the commitments under </w:t>
      </w:r>
      <w:r>
        <w:rPr>
          <w:rFonts w:ascii="Times New Roman" w:cs="Times New Roman" w:eastAsia="Times New Roman" w:hAnsi="Times New Roman"/>
          <w:sz w:val="17"/>
          <w:szCs w:val="17"/>
          <w:color w:val="FF0000"/>
          <w:strike w:val="1"/>
        </w:rPr>
        <w:t>the</w:t>
      </w:r>
      <w:r>
        <w:rPr>
          <w:rFonts w:ascii="Times New Roman" w:cs="Times New Roman" w:eastAsia="Times New Roman" w:hAnsi="Times New Roman"/>
          <w:sz w:val="17"/>
          <w:szCs w:val="17"/>
          <w:b w:val="1"/>
          <w:bCs w:val="1"/>
          <w:u w:val="single" w:color="auto"/>
          <w:color w:val="0000FF"/>
        </w:rPr>
        <w:t>any</w:t>
      </w:r>
      <w:r>
        <w:rPr>
          <w:rFonts w:ascii="Times New Roman" w:cs="Times New Roman" w:eastAsia="Times New Roman" w:hAnsi="Times New Roman"/>
          <w:sz w:val="17"/>
          <w:szCs w:val="17"/>
          <w:color w:val="auto"/>
        </w:rPr>
        <w:t xml:space="preserve"> Revolving Facility, any Refinancing Debt shall not mature, and there shall be no scheduled commitment reductions or scheduled amortization payments under any such Refinancing Debt, prior to the maturity date of the revolving commitments being refinanced, (C) the other terms and conditions of such Refinancing Debt (excluding pricing, premium, maturity, scheduled amortization and optional prepayment or redemption provisions) either (i) consistent with the terms of this Agreement or (ii) otherwise shall be customary market terms for indebtedness of such type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this clause (ii), a certificate of a Responsible Officer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after giving effect to the incurrence of Refinancing Debt (in the case of any Refinancing Debt in the form of a revolving credit facility, to the extent of any drawings to be made thereunder on the date of effectiveness of the related commitments) and the application of the net proceeds therefrom, (x) no Default or Event of Default shall have occurred and be continuing and (y) the Borrower shall be in pro forma compliance with Section 7.1, (E) there shall be no additional direct or contingent obligors with respect to such Refinancing Debt that are not, or will not become, Guarantors and (F) no Lender shall be obligated to provide any such Refinancing Debt.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Facilities</w:t>
      </w:r>
      <w:r>
        <w:rPr>
          <w:rFonts w:ascii="Times New Roman" w:cs="Times New Roman" w:eastAsia="Times New Roman" w:hAnsi="Times New Roman"/>
          <w:sz w:val="18"/>
          <w:szCs w:val="18"/>
          <w:color w:val="auto"/>
        </w:rPr>
        <w:t>”: as defined in the definition of “Refinancing Debt”.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Facility</w:t>
      </w:r>
      <w:r>
        <w:rPr>
          <w:rFonts w:ascii="Times New Roman" w:cs="Times New Roman" w:eastAsia="Times New Roman" w:hAnsi="Times New Roman"/>
          <w:sz w:val="18"/>
          <w:szCs w:val="18"/>
          <w:color w:val="auto"/>
        </w:rPr>
        <w:t>”: as defined in the definition of “Refinancing Debt”.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Facility</w:t>
      </w:r>
      <w:r>
        <w:rPr>
          <w:rFonts w:ascii="Times New Roman" w:cs="Times New Roman" w:eastAsia="Times New Roman" w:hAnsi="Times New Roman"/>
          <w:sz w:val="18"/>
          <w:szCs w:val="18"/>
          <w:color w:val="auto"/>
        </w:rPr>
        <w:t>”: as defined in the definition of “Refinancing Debt”.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as defined in Section 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as defined in Section 10.6(b).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Subsidiary</w:t>
      </w:r>
      <w:r>
        <w:rPr>
          <w:rFonts w:ascii="Times New Roman" w:cs="Times New Roman" w:eastAsia="Times New Roman" w:hAnsi="Times New Roman"/>
          <w:sz w:val="18"/>
          <w:szCs w:val="18"/>
          <w:color w:val="auto"/>
        </w:rPr>
        <w:t>”: any insurance subsidiary (if it becomes a Subsidiary through any Specified Transaction).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Regulation S-X, promulgated pursuant to the Securities Act of 1933, as such Regulation is in effect on the date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Regulation U of the Board as in effect from time to time.</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the obligation of the Borrower or relevant Subsidiary Borrower to reimburse an Issuing Lender pursuant to Section 3.5 for amounts drawn under Letters of Credit.</w:t>
      </w:r>
    </w:p>
    <w:p>
      <w:pPr>
        <w:spacing w:after="0" w:line="162"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Deferred Amount</w:t>
      </w:r>
      <w:r>
        <w:rPr>
          <w:rFonts w:ascii="Times New Roman" w:cs="Times New Roman" w:eastAsia="Times New Roman" w:hAnsi="Times New Roman"/>
          <w:sz w:val="18"/>
          <w:szCs w:val="18"/>
          <w:color w:val="auto"/>
        </w:rPr>
        <w:t>”: with respect to any Reinvestment Event, the aggregate Net Cash Proceeds received by any Loan Party (other than ABG) in connection therewith that are not applied to prepay the Tranche B Term Loans, the Tranche C Term Loans and the Tranche A Term Loans, or reduce the Revolving Commitments pursuant to Section 2.11(b) as a result of the delivery of a Reinvestment Notice.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Event</w:t>
      </w:r>
      <w:r>
        <w:rPr>
          <w:rFonts w:ascii="Times New Roman" w:cs="Times New Roman" w:eastAsia="Times New Roman" w:hAnsi="Times New Roman"/>
          <w:sz w:val="18"/>
          <w:szCs w:val="18"/>
          <w:color w:val="auto"/>
        </w:rPr>
        <w:t>”: any Asset Sale or Recovery Event in respect of which the Borrower has delivered a Reinvestment Notice.</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Notice</w:t>
      </w:r>
      <w:r>
        <w:rPr>
          <w:rFonts w:ascii="Times New Roman" w:cs="Times New Roman" w:eastAsia="Times New Roman" w:hAnsi="Times New Roman"/>
          <w:sz w:val="18"/>
          <w:szCs w:val="18"/>
          <w:color w:val="auto"/>
        </w:rPr>
        <w:t>”: a written notice executed by a Responsible Officer stating that no Event of Default has occurred and is continuing and that the Borrower (directly or indirectly through a Subsidiary) intends and expects to use all or a specified portion of the Net Cash Proceeds of an Asset Sale or Recovery Event to (a) acquire or repair assets useful in its business or (b) make acquisitions permitted under Section 7.7.</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Prepayment Amount</w:t>
      </w:r>
      <w:r>
        <w:rPr>
          <w:rFonts w:ascii="Times New Roman" w:cs="Times New Roman" w:eastAsia="Times New Roman" w:hAnsi="Times New Roman"/>
          <w:sz w:val="18"/>
          <w:szCs w:val="18"/>
          <w:color w:val="auto"/>
        </w:rPr>
        <w:t>”: with respect to any Reinvestment Event, the Reinvestment Deferred Amount relating thereto less any amount expended prior to the relevant Reinvestment Prepayment Date to acquire or repair assets useful in the Borrower’s business or to make acquisitions permitted under Section 7.7.</w:t>
      </w:r>
    </w:p>
    <w:p>
      <w:pPr>
        <w:spacing w:after="0" w:line="176"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Prepayment Date</w:t>
      </w:r>
      <w:r>
        <w:rPr>
          <w:rFonts w:ascii="Times New Roman" w:cs="Times New Roman" w:eastAsia="Times New Roman" w:hAnsi="Times New Roman"/>
          <w:sz w:val="18"/>
          <w:szCs w:val="18"/>
          <w:color w:val="auto"/>
        </w:rPr>
        <w:t>”: with respect to any Reinvestment Event, the earlier of (a) the date occurring twelve months after such Reinvestment Event and (b) the date on which the Borrower shall have determined not to, or shall have otherwise ceased to, acquire or repair assets useful in the Borrower’s business with all or any portion of the relevant Reinvestment Deferred Amount.</w:t>
      </w:r>
    </w:p>
    <w:p>
      <w:pPr>
        <w:spacing w:after="0" w:line="176"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Eligible Assets</w:t>
      </w:r>
      <w:r>
        <w:rPr>
          <w:rFonts w:ascii="Times New Roman" w:cs="Times New Roman" w:eastAsia="Times New Roman" w:hAnsi="Times New Roman"/>
          <w:sz w:val="18"/>
          <w:szCs w:val="18"/>
          <w:color w:val="auto"/>
        </w:rPr>
        <w:t>”: Eligible Assets that secure or are the direct or indirect source of payment for AESOP Indebtedness, Centre Point Indebtedness, Securitization Indebtedness, Recourse Vehicle Indebtedness or Additional Foreign Vehicle Indebtedness.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2" w:name="page83"/>
    <w:bookmarkEnd w:id="82"/>
    <w:p>
      <w:pPr>
        <w:ind w:right="46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“Related Parties” means, with respect to any specified Person, such Person’s Affiliates and the respective directors, officers, employees, agents and advisors of such Person and such Person’s Affiliates.</w:t>
      </w:r>
    </w:p>
    <w:p>
      <w:pPr>
        <w:spacing w:after="0" w:line="159" w:lineRule="exact"/>
        <w:rPr>
          <w:sz w:val="20"/>
          <w:szCs w:val="20"/>
          <w:color w:val="auto"/>
        </w:rPr>
      </w:pPr>
    </w:p>
    <w:p>
      <w:pPr>
        <w:jc w:val="both"/>
        <w:ind w:right="3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Taxes</w:t>
      </w:r>
      <w:r>
        <w:rPr>
          <w:rFonts w:ascii="Times New Roman" w:cs="Times New Roman" w:eastAsia="Times New Roman" w:hAnsi="Times New Roman"/>
          <w:sz w:val="18"/>
          <w:szCs w:val="18"/>
          <w:color w:val="auto"/>
        </w:rPr>
        <w:t>”: any and all Taxes required to be paid by the Borrower or any Parent other than Taxes directly attributable to (i) the income of any entity other than any Parent, Holdings, the Borrower or any of its Subsidiaries, (ii) owning the Capital Stock of any corporation or other entity other than any Parent, Holdings, the Borrower or any of its Subsidiaries or (iii) withholding taxes on payments actually made by any Parent other than to any other Parent, Holdings, the Borrower or any of its Subsidiaries.</w:t>
      </w:r>
    </w:p>
    <w:p>
      <w:pPr>
        <w:spacing w:after="0" w:line="18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w:t>
      </w:r>
    </w:p>
    <w:p>
      <w:pPr>
        <w:spacing w:after="0" w:line="1" w:lineRule="exact"/>
        <w:rPr>
          <w:sz w:val="20"/>
          <w:szCs w:val="20"/>
          <w:color w:val="auto"/>
        </w:rPr>
      </w:pPr>
    </w:p>
    <w:p>
      <w:pPr>
        <w:ind w:right="160" w:firstLine="8"/>
        <w:spacing w:after="0" w:line="255"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2" w:lineRule="exact"/>
        <w:rPr>
          <w:sz w:val="20"/>
          <w:szCs w:val="20"/>
          <w:color w:val="auto"/>
        </w:rPr>
      </w:pPr>
    </w:p>
    <w:p>
      <w:pPr>
        <w:ind w:right="16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xml:space="preserve">”: (i) with respect to any Term Benchmark Borrowing under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auto"/>
        </w:rPr>
        <w:t xml:space="preserve"> Revolving Facility (w) denominated in Dollars, the Adjusted Term SOFR Rate, (x) denominated in Australian Dollars or New Zealand Dollars, the Eurocurrency Base Rate, (y) denominated in Euros, the EURIBOR Rate or (z) denominated in Canadian Dollars, the Adjusted Term CORRA Rate, (ii) with respect to any Term Benchmark Borrowing under the Tranche B Term Facility, the Tranche C Term Facility or the Tranche A Term Facility denominated in Dollars, the Adjusted Term SOFR Rate, (iii) with respect to any RFR Borrowing (x) denominated in Pounds Sterling, the Daily Simple RFR or (y) denominated in Canadian Dollars, the Adjusted Daily Simple RFR.</w:t>
      </w:r>
    </w:p>
    <w:p>
      <w:pPr>
        <w:spacing w:after="0" w:line="182"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xml:space="preserve">”: (i) with respect to any Term Benchmark Borrowing under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auto"/>
        </w:rPr>
        <w:t xml:space="preserve"> Revolving Facility, the Tranche B Term Facility, the Tranche C Term Facility or the Tranche A Term Facility in each case denominated in Dollars, the Term SOFR Reference Rate, (ii) with respect to any Term Benchmark Borrowing denominated in Euros, the EURIBOR Screen Rate, (iii) with respect to any Term Benchmark Borrowing denominated in Australian Dollars, the AUD Screen Rate, (iv) with respect to any Term Benchmark Borrowing denominated in Canadian Dollars, Term CORRA and (v) with respect to any Term Benchmark Borrowing denominated in New Zealand Dollars, the BKBM Screen Rate.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Term Loan</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w:t>
      </w:r>
      <w:r>
        <w:rPr>
          <w:rFonts w:ascii="Times New Roman" w:cs="Times New Roman" w:eastAsia="Times New Roman" w:hAnsi="Times New Roman"/>
          <w:sz w:val="18"/>
          <w:szCs w:val="18"/>
          <w:color w:val="auto"/>
        </w:rPr>
        <w:t>”: as defined in Section 10.1(b).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any of the events set forth in Section 4043(c) of ERISA, other than those events as to which the thirty day notice period is waived under subsections .27, .28, .29, .30, .31, .32, .34 or .35 of PBGC Reg. § 4043.</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at any time, the holders of more than 50% of the sum of (i) the aggregate unpaid principal amount of the Tranche B Term Loans then outstanding, (ii) the aggregate unpaid principal amount of the Tranche C Term Loans then outstanding, (iii) the aggregate unpaid principal amount of the Tranche A Term Loans then outstanding and (iv) the Total Revolving Commitments then in effect or, if the Revolving Commitments have been terminated, the Total Revolving Extensions of Credit then outstanding.</w:t>
      </w:r>
    </w:p>
    <w:p>
      <w:pPr>
        <w:spacing w:after="0" w:line="180" w:lineRule="exact"/>
        <w:rPr>
          <w:sz w:val="20"/>
          <w:szCs w:val="20"/>
          <w:color w:val="auto"/>
        </w:rPr>
      </w:pPr>
    </w:p>
    <w:p>
      <w:pPr>
        <w:ind w:right="120"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Requirements of Law</w:t>
      </w:r>
      <w:r>
        <w:rPr>
          <w:rFonts w:ascii="Times New Roman" w:cs="Times New Roman" w:eastAsia="Times New Roman" w:hAnsi="Times New Roman"/>
          <w:sz w:val="17"/>
          <w:szCs w:val="17"/>
          <w:color w:val="auto"/>
        </w:rPr>
        <w:t>”: as to any Person, the Certificate of Incorporation and By-Laws or other organizational or governing documents of such Person, and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225"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the chief executive officer, president, chief accounting officer, chief financial officer, treasurer or assistant treasurer of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Effective Date</w:t>
      </w:r>
      <w:r>
        <w:rPr>
          <w:rFonts w:ascii="Times New Roman" w:cs="Times New Roman" w:eastAsia="Times New Roman" w:hAnsi="Times New Roman"/>
          <w:sz w:val="18"/>
          <w:szCs w:val="18"/>
          <w:color w:val="auto"/>
        </w:rPr>
        <w:t>”: the date on which the conditions specified in Section 5.1 are satisfied (or waived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as defined in Section 7.6.</w:t>
      </w:r>
    </w:p>
    <w:p>
      <w:pPr>
        <w:spacing w:after="0" w:line="225" w:lineRule="exact"/>
        <w:rPr>
          <w:sz w:val="20"/>
          <w:szCs w:val="20"/>
          <w:color w:val="auto"/>
        </w:rPr>
      </w:pPr>
    </w:p>
    <w:p>
      <w:pPr>
        <w:ind w:right="20" w:firstLine="1296"/>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Revaluation Date</w:t>
      </w:r>
      <w:r>
        <w:rPr>
          <w:rFonts w:ascii="Times New Roman" w:cs="Times New Roman" w:eastAsia="Times New Roman" w:hAnsi="Times New Roman"/>
          <w:sz w:val="17"/>
          <w:szCs w:val="17"/>
          <w:color w:val="auto"/>
        </w:rPr>
        <w:t>” shall mean (a) with respect to any Loan denominated in any Optional Currency, each of the following: (i) the date of the Borrowing of such Loan and (ii) with respect to any Term Benchmark Loan, each date of a conversion into or continuation of such Loan pursuant to the terms of this Agreement; (b) with respect to any Letter of Credit denominated in an Optional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68"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as to any Lender, the obligation of such Lender, if any, to make Revolving Loans and participate in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Loans and Letters of Credit in an aggregate principal and/or face amount not to exceed the amount set forth under the heading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b w:val="1"/>
          <w:bCs w:val="1"/>
          <w:u w:val="single" w:color="auto"/>
          <w:color w:val="0000FF"/>
        </w:rPr>
        <w:t>the 2028</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color w:val="008000"/>
          <w:strike w:val="1"/>
        </w:rPr>
        <w:t>” opposite such Lender’s name on Schedule 1.1A (as amended, supplemented or otherwise modified from time to time) or in the Assignment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8000"/>
          <w:strike w:val="1"/>
        </w:rPr>
        <w:t xml:space="preserve">and Assumption pursuant to which such Lender became a party hereto, as the same may be changed from time to time pursuant to the terms hereof. </w:t>
      </w:r>
      <w:r>
        <w:rPr>
          <w:rFonts w:ascii="Times New Roman" w:cs="Times New Roman" w:eastAsia="Times New Roman" w:hAnsi="Times New Roman"/>
          <w:sz w:val="18"/>
          <w:szCs w:val="18"/>
          <w:b w:val="1"/>
          <w:bCs w:val="1"/>
          <w:u w:val="single" w:color="auto"/>
          <w:color w:val="0000FF"/>
          <w:strike w:val="1"/>
        </w:rPr>
        <w:t>and</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b w:val="1"/>
          <w:bCs w:val="1"/>
          <w:u w:val="single" w:color="auto"/>
          <w:color w:val="0000FF"/>
          <w:strike w:val="1"/>
        </w:rPr>
        <w:t>the 2031 Revolving Commitment, as the context may require, and “Revolving Commitments” means, collectively, the 2028 Revolving Commitments and the 2031 Revolving Commitments.</w:t>
      </w:r>
    </w:p>
    <w:p>
      <w:pPr>
        <w:spacing w:after="0" w:line="183" w:lineRule="exact"/>
        <w:rPr>
          <w:sz w:val="20"/>
          <w:szCs w:val="20"/>
          <w:color w:val="auto"/>
        </w:rPr>
      </w:pPr>
    </w:p>
    <w:p>
      <w:pPr>
        <w:ind w:right="4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Period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008000"/>
          <w:strike w:val="1"/>
        </w:rPr>
        <w:t>period from and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Effective Date to the</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Date</w:t>
      </w:r>
      <w:r>
        <w:rPr>
          <w:rFonts w:ascii="Times New Roman" w:cs="Times New Roman" w:eastAsia="Times New Roman" w:hAnsi="Times New Roman"/>
          <w:sz w:val="18"/>
          <w:szCs w:val="18"/>
          <w:b w:val="1"/>
          <w:bCs w:val="1"/>
          <w:u w:val="single" w:color="auto"/>
          <w:color w:val="0000FF"/>
        </w:rPr>
        <w:t>Commitment Period and the 2031 Revolving Commitment Period, as the context may require</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4" w:name="page85"/>
    <w:bookmarkEnd w:id="8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as to any Revolving Lender at any time, an amount equal to the sum of (a) the Dollar Equivalent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aggregate principal amount of all Revolving Loans held by such Lender then outstanding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8000"/>
          <w:strike w:val="1"/>
        </w:rPr>
        <w:t xml:space="preserve"> (b) the Dollar Equivalent of such Lender’s Revolving Percentage of the L/C Obligations then outstanding and (c) such Lender’s Swingline Exposure.</w:t>
      </w:r>
      <w:r>
        <w:rPr>
          <w:rFonts w:ascii="Times New Roman" w:cs="Times New Roman" w:eastAsia="Times New Roman" w:hAnsi="Times New Roman"/>
          <w:sz w:val="18"/>
          <w:szCs w:val="18"/>
          <w:b w:val="1"/>
          <w:bCs w:val="1"/>
          <w:u w:val="single" w:color="auto"/>
          <w:color w:val="0000FF"/>
          <w:strike w:val="1"/>
        </w:rPr>
        <w:t>the 2028 Revolving Extensions of Credit and the 2031 Revolving</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b w:val="1"/>
          <w:bCs w:val="1"/>
          <w:u w:val="single" w:color="auto"/>
          <w:color w:val="0000FF"/>
          <w:strike w:val="1"/>
        </w:rPr>
        <w:t>Extensions of Credit, as the context may require.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“Revolving Facilities”: collectively, the 2028 Revolving Facility and the 2031 Revolving Facility, and each,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Revolving Facility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8000"/>
          <w:strike w:val="1"/>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000"/>
          <w:strike w:val="1"/>
        </w:rPr>
        <w:t>as defined in</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the definition of “Facility”</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jc w:val="both"/>
        <w:ind w:right="22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each Lender that has a Revolving Commitment or that 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Revolving Loans.</w:t>
      </w:r>
      <w:r>
        <w:rPr>
          <w:rFonts w:ascii="Times New Roman" w:cs="Times New Roman" w:eastAsia="Times New Roman" w:hAnsi="Times New Roman"/>
          <w:sz w:val="18"/>
          <w:szCs w:val="18"/>
          <w:b w:val="1"/>
          <w:bCs w:val="1"/>
          <w:u w:val="single" w:color="auto"/>
          <w:color w:val="0000FF"/>
        </w:rPr>
        <w:t>the 2028 Revolving Lenders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2031 Revolving Lenders, as the context may require, and “Revolving Lenders” means, collectively, the 2028 Revolving Lenders and the 2031 Revolving Lenders.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as defined in Section 2.4(a)</w:t>
      </w:r>
      <w:r>
        <w:rPr>
          <w:rFonts w:ascii="Times New Roman" w:cs="Times New Roman" w:eastAsia="Times New Roman" w:hAnsi="Times New Roman"/>
          <w:sz w:val="18"/>
          <w:szCs w:val="18"/>
          <w:b w:val="1"/>
          <w:bCs w:val="1"/>
          <w:u w:val="single" w:color="auto"/>
          <w:color w:val="0000FF"/>
        </w:rPr>
        <w:t>the 2028 Revolving Loans and the 2031 Revolving Loans, as the context may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require</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right="80" w:firstLine="129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Percentage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8000"/>
          <w:strike w:val="1"/>
        </w:rPr>
        <w:t>as to any Revolving Lender at any time, the percentage which such Lender’s Revolving Commitment then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8000"/>
          <w:strike w:val="1"/>
        </w:rPr>
        <w:t xml:space="preserve">constitutes of the Total Revolving Commitments or, at any time after the </w:t>
      </w:r>
      <w:r>
        <w:rPr>
          <w:rFonts w:ascii="Times New Roman" w:cs="Times New Roman" w:eastAsia="Times New Roman" w:hAnsi="Times New Roman"/>
          <w:sz w:val="17"/>
          <w:szCs w:val="17"/>
          <w:color w:val="FF0000"/>
          <w:strike w:val="1"/>
        </w:rPr>
        <w:t>Revolving</w:t>
      </w:r>
      <w:r>
        <w:rPr>
          <w:rFonts w:ascii="Times New Roman" w:cs="Times New Roman" w:eastAsia="Times New Roman" w:hAnsi="Times New Roman"/>
          <w:sz w:val="17"/>
          <w:szCs w:val="17"/>
          <w:color w:val="008000"/>
          <w:strike w:val="1"/>
        </w:rPr>
        <w:t xml:space="preserve"> Commitments shall have expired or terminated, the percentage which the aggregate principal amount of such Lender’s Revolving Loans then outstanding constitutes of the aggregate principal amount of the Revolving Loans then outstanding, </w:t>
      </w:r>
      <w:r>
        <w:rPr>
          <w:rFonts w:ascii="Times New Roman" w:cs="Times New Roman" w:eastAsia="Times New Roman" w:hAnsi="Times New Roman"/>
          <w:sz w:val="17"/>
          <w:szCs w:val="17"/>
          <w:u w:val="single" w:color="auto"/>
          <w:color w:val="008000"/>
          <w:strike w:val="1"/>
        </w:rPr>
        <w:t>provided</w:t>
      </w:r>
      <w:r>
        <w:rPr>
          <w:rFonts w:ascii="Times New Roman" w:cs="Times New Roman" w:eastAsia="Times New Roman" w:hAnsi="Times New Roman"/>
          <w:sz w:val="17"/>
          <w:szCs w:val="17"/>
          <w:color w:val="008000"/>
          <w:strike w:val="1"/>
        </w:rPr>
        <w:t xml:space="preserve">, that, in the event that the </w:t>
      </w:r>
      <w:r>
        <w:rPr>
          <w:rFonts w:ascii="Times New Roman" w:cs="Times New Roman" w:eastAsia="Times New Roman" w:hAnsi="Times New Roman"/>
          <w:sz w:val="17"/>
          <w:szCs w:val="17"/>
          <w:color w:val="FF0000"/>
          <w:strike w:val="1"/>
        </w:rPr>
        <w:t>Revolving</w:t>
      </w:r>
      <w:r>
        <w:rPr>
          <w:rFonts w:ascii="Times New Roman" w:cs="Times New Roman" w:eastAsia="Times New Roman" w:hAnsi="Times New Roman"/>
          <w:sz w:val="17"/>
          <w:szCs w:val="17"/>
          <w:color w:val="008000"/>
          <w:strike w:val="1"/>
        </w:rPr>
        <w:t xml:space="preserve"> Loans are paid in full prior to the reduction to zero of the Total Revolving Extensions of Credit, the Revolving Percentages shall be determined in a manner designed to ensure that the other outstanding Revolving Extensions of Credit shall be held by the Revolving Lenders on a comparable basis.</w:t>
      </w:r>
      <w:r>
        <w:rPr>
          <w:rFonts w:ascii="Times New Roman" w:cs="Times New Roman" w:eastAsia="Times New Roman" w:hAnsi="Times New Roman"/>
          <w:sz w:val="17"/>
          <w:szCs w:val="17"/>
          <w:b w:val="1"/>
          <w:bCs w:val="1"/>
          <w:u w:val="single" w:color="auto"/>
          <w:color w:val="0000FF"/>
          <w:strike w:val="1"/>
        </w:rPr>
        <w:t>the 2028 Revolving Percentage and the 2031 Revolving Percentage, as the context may require.</w:t>
      </w:r>
    </w:p>
    <w:p>
      <w:pPr>
        <w:spacing w:after="0" w:line="173"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the earlier of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December 27, 2028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and (ii) if more than $300,000,000 in the aggregate of any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Loans or Senior Unsecured Notes remain outstanding on the date that is 91 days prior to the date of the respective maturity date of the Term Loans or Senior Unsecured Notes, the date that is 91 days prior to the maturity date of the Term Loans or Senior Unsecured Notes, as applicable, or, in each case, if such date is not a Business Day, the immediately preceding Business Day.</w:t>
      </w:r>
      <w:r>
        <w:rPr>
          <w:rFonts w:ascii="Times New Roman" w:cs="Times New Roman" w:eastAsia="Times New Roman" w:hAnsi="Times New Roman"/>
          <w:sz w:val="18"/>
          <w:szCs w:val="18"/>
          <w:b w:val="1"/>
          <w:bCs w:val="1"/>
          <w:u w:val="single" w:color="auto"/>
          <w:color w:val="0000FF"/>
          <w:strike w:val="1"/>
        </w:rPr>
        <w:t>(a</w:t>
      </w:r>
      <w:r>
        <w:rPr>
          <w:rFonts w:ascii="Times New Roman" w:cs="Times New Roman" w:eastAsia="Times New Roman" w:hAnsi="Times New Roman"/>
          <w:sz w:val="18"/>
          <w:szCs w:val="18"/>
          <w:b w:val="1"/>
          <w:bCs w:val="1"/>
          <w:u w:val="single" w:color="auto"/>
          <w:color w:val="008000"/>
          <w:strike w:val="1"/>
        </w:rPr>
        <w:t>) with respect to</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b w:val="1"/>
          <w:bCs w:val="1"/>
          <w:u w:val="single" w:color="auto"/>
          <w:color w:val="0000FF"/>
          <w:strike w:val="1"/>
        </w:rPr>
        <w:t>the 2028 Revolving Facility, the 2028 Revolving</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b w:val="1"/>
          <w:bCs w:val="1"/>
          <w:u w:val="single" w:color="auto"/>
          <w:color w:val="0000FF"/>
          <w:strike w:val="1"/>
        </w:rPr>
        <w:t>Termination Date and (b) with respect to the 2031 Revolving Facility, the 2031 Revolving Termination Date.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for any RFR Loan denominated in (a) Pounds Sterling, SONIA, (b) Dollars, Daily Simple SOFR and (c) Canadian Dollars, Daily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Simple CORRA.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as to any Borrowing, the RFR Loans comprising such Borrowing.</w:t>
      </w:r>
    </w:p>
    <w:p>
      <w:pPr>
        <w:spacing w:after="0" w:line="225"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for any Loan denominated in (a) Pounds Sterling, any day except for (i) a Saturday, (ii) a Sunday or (iii) a day on which banks are closed for general business in London, (b) Dollars, a U.S. Government Securities Business Day and (c) Canadian Dollars, any day except for (i) a Saturday, (ii) a Sunday or (iii) a day on which commercial banks in Toronto are authorized or required by law to remain closed.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a Loan that bears interest at a rate based on Daily Simple RFR or Adjusted Daily Simple RFR, as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Standard &amp; Poor’s Financial Services LLC.</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008000"/>
          <w:strike w:val="1"/>
        </w:rPr>
        <w:t>“</w:t>
      </w:r>
      <w:r>
        <w:rPr>
          <w:rFonts w:ascii="Times New Roman" w:cs="Times New Roman" w:eastAsia="Times New Roman" w:hAnsi="Times New Roman"/>
          <w:sz w:val="18"/>
          <w:szCs w:val="18"/>
          <w:u w:val="single" w:color="auto"/>
          <w:color w:val="008000"/>
          <w:strike w:val="1"/>
        </w:rPr>
        <w:t>Sanctions</w:t>
      </w:r>
      <w:r>
        <w:rPr>
          <w:rFonts w:ascii="Times New Roman" w:cs="Times New Roman" w:eastAsia="Times New Roman" w:hAnsi="Times New Roman"/>
          <w:sz w:val="18"/>
          <w:szCs w:val="18"/>
          <w:color w:val="008000"/>
          <w:strike w:val="1"/>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spacing w:after="0" w:line="180"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at any time, a country, region or territory which is itself the subject or target of any Sanctions (at the time of the </w:t>
      </w:r>
      <w:r>
        <w:rPr>
          <w:rFonts w:ascii="Times New Roman" w:cs="Times New Roman" w:eastAsia="Times New Roman" w:hAnsi="Times New Roman"/>
          <w:sz w:val="18"/>
          <w:szCs w:val="18"/>
          <w:color w:val="FF0000"/>
          <w:strike w:val="1"/>
        </w:rPr>
        <w:t>Seventh</w:t>
      </w:r>
      <w:r>
        <w:rPr>
          <w:rFonts w:ascii="Times New Roman" w:cs="Times New Roman" w:eastAsia="Times New Roman" w:hAnsi="Times New Roman"/>
          <w:sz w:val="18"/>
          <w:szCs w:val="18"/>
          <w:b w:val="1"/>
          <w:bCs w:val="1"/>
          <w:u w:val="single" w:color="auto"/>
          <w:color w:val="0000FF"/>
        </w:rPr>
        <w:t>Eleventh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the so-called Donetsk People’s Republic, the so-called Luhansk People’s Republic, the Crimea Region of Ukraine, Cuba,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Iran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000000"/>
        </w:rPr>
        <w:t xml:space="preserve"> North Korea </w:t>
      </w:r>
      <w:r>
        <w:rPr>
          <w:rFonts w:ascii="Times New Roman" w:cs="Times New Roman" w:eastAsia="Times New Roman" w:hAnsi="Times New Roman"/>
          <w:sz w:val="18"/>
          <w:szCs w:val="18"/>
          <w:color w:val="FF0000"/>
          <w:strike w:val="1"/>
        </w:rPr>
        <w:t>and Syria</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at any time, </w:t>
      </w:r>
      <w:r>
        <w:rPr>
          <w:rFonts w:ascii="Times New Roman" w:cs="Times New Roman" w:eastAsia="Times New Roman" w:hAnsi="Times New Roman"/>
          <w:sz w:val="18"/>
          <w:szCs w:val="18"/>
          <w:b w:val="1"/>
          <w:bCs w:val="1"/>
          <w:u w:val="single" w:color="auto"/>
          <w:color w:val="0000FF"/>
        </w:rPr>
        <w:t>any Person subject or target of any Sanctions, including</w:t>
      </w:r>
      <w:r>
        <w:rPr>
          <w:rFonts w:ascii="Times New Roman" w:cs="Times New Roman" w:eastAsia="Times New Roman" w:hAnsi="Times New Roman"/>
          <w:sz w:val="18"/>
          <w:szCs w:val="18"/>
          <w:color w:val="auto"/>
        </w:rPr>
        <w:t xml:space="preserv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w:t>
      </w:r>
      <w:r>
        <w:rPr>
          <w:rFonts w:ascii="Times New Roman" w:cs="Times New Roman" w:eastAsia="Times New Roman" w:hAnsi="Times New Roman"/>
          <w:sz w:val="18"/>
          <w:szCs w:val="18"/>
          <w:b w:val="1"/>
          <w:bCs w:val="1"/>
          <w:u w:val="single" w:color="auto"/>
          <w:color w:val="0000FF"/>
        </w:rPr>
        <w:t>(including without limitation for purposes defining a Sanctioned Person,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ownership and control may be defined and/or established in and/or by any applicable laws, rules, regulations, or orders)</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8000"/>
        </w:rPr>
        <w:t xml:space="preserve">“Sanctions”: all economic or financial sanctions or trade embargoes </w:t>
      </w:r>
      <w:r>
        <w:rPr>
          <w:rFonts w:ascii="Times New Roman" w:cs="Times New Roman" w:eastAsia="Times New Roman" w:hAnsi="Times New Roman"/>
          <w:sz w:val="18"/>
          <w:szCs w:val="18"/>
          <w:b w:val="1"/>
          <w:bCs w:val="1"/>
          <w:u w:val="single" w:color="auto"/>
          <w:color w:val="0000FF"/>
        </w:rPr>
        <w:t>or similar restrictions</w:t>
      </w:r>
      <w:r>
        <w:rPr>
          <w:rFonts w:ascii="Times New Roman" w:cs="Times New Roman" w:eastAsia="Times New Roman" w:hAnsi="Times New Roman"/>
          <w:sz w:val="18"/>
          <w:szCs w:val="18"/>
          <w:b w:val="1"/>
          <w:bCs w:val="1"/>
          <w:u w:val="single" w:color="auto"/>
          <w:color w:val="008000"/>
        </w:rPr>
        <w:t xml:space="preserve">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Securities and Exchange Commission, any successor thereto and any analogous Governmental Authority.</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the Second Amendment, dated as of the Second Amendment Effective Date, to the Fifth Amended and Restated Credit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the “Second Amendment Effective Date”, as defined in the Second Amendment, which date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2020.</w:t>
      </w:r>
    </w:p>
    <w:p>
      <w:pPr>
        <w:spacing w:after="0" w:line="207"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Intercreditor Agreement</w:t>
      </w:r>
      <w:r>
        <w:rPr>
          <w:rFonts w:ascii="Times New Roman" w:cs="Times New Roman" w:eastAsia="Times New Roman" w:hAnsi="Times New Roman"/>
          <w:sz w:val="18"/>
          <w:szCs w:val="18"/>
          <w:color w:val="auto"/>
        </w:rPr>
        <w:t>”: a second lien intercreditor agreement entered into after the date hereof, in form and substance reasonably acceptable to the Borrower and the Administrative Agent.</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Entity</w:t>
      </w:r>
      <w:r>
        <w:rPr>
          <w:rFonts w:ascii="Times New Roman" w:cs="Times New Roman" w:eastAsia="Times New Roman" w:hAnsi="Times New Roman"/>
          <w:sz w:val="18"/>
          <w:szCs w:val="18"/>
          <w:color w:val="auto"/>
        </w:rPr>
        <w:t>”: any Subsidiary or other Person (a) engaged solely in the business of effecting asset securitization transactions and related activities or (b) whose primary purpose is to hold title or ownership interests in Eligible Assets, it being understood that each Canadian Securitization Entity, each European Securitization Entity and each Australian Securitization Entity shall be deemed to be a Securitization Entity.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6" w:name="page87"/>
    <w:bookmarkEnd w:id="86"/>
    <w:p>
      <w:pPr>
        <w:ind w:right="4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Indebtedness</w:t>
      </w:r>
      <w:r>
        <w:rPr>
          <w:rFonts w:ascii="Times New Roman" w:cs="Times New Roman" w:eastAsia="Times New Roman" w:hAnsi="Times New Roman"/>
          <w:sz w:val="18"/>
          <w:szCs w:val="18"/>
          <w:color w:val="auto"/>
        </w:rPr>
        <w:t>”: Indebtedness incurred by or attributable to a Securitization Entity that does not permit or provide for recourse (other than Standard Securitization Undertakings) to the Borrower or any Subsidiary of the Borrower (other than a Securitization Entity or a Foreign Subsidiary organized under the laws of Canada) or any property or asset of the Borrower or any Subsidiary of the Borrower (other than the property or assets of, or any equity interests or other securities issued by, a Securitization Entity or a Foreign Subsidiary organized under the laws of Canada).</w:t>
      </w:r>
    </w:p>
    <w:p>
      <w:pPr>
        <w:spacing w:after="0" w:line="183"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collective reference to the Guarantee and Collateral Agreement, the Mortgages, the First Lien Intercreditor Agreement (if any), the Second Lien Intercreditor Agreement (if any) and any other intercreditor agreement entered into in connection herewith and all other security documents hereafter delivered to the Administrative Agent granting a Lien on any property of any Person to secure the obligations and liabilities of any Loan Party (other than ABG) under any Loan Document.</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Unsecured Note Indenture</w:t>
      </w:r>
      <w:r>
        <w:rPr>
          <w:rFonts w:ascii="Times New Roman" w:cs="Times New Roman" w:eastAsia="Times New Roman" w:hAnsi="Times New Roman"/>
          <w:sz w:val="18"/>
          <w:szCs w:val="18"/>
          <w:color w:val="auto"/>
        </w:rPr>
        <w:t>”: each of the Indentures entered into by the Borrower and Avis Budget Finance in connection with the issuance of the Senior Unsecured Notes, together with all instruments and other agreements entered into by the Borrower, Avis Budget Finance, any Foreign Issuer and any other Subsidiary of the Borrower in connection therewith.</w:t>
      </w:r>
    </w:p>
    <w:p>
      <w:pPr>
        <w:spacing w:after="0" w:line="176" w:lineRule="exact"/>
        <w:rPr>
          <w:sz w:val="20"/>
          <w:szCs w:val="20"/>
          <w:color w:val="auto"/>
        </w:rPr>
      </w:pPr>
    </w:p>
    <w:p>
      <w:pPr>
        <w:ind w:firstLine="1296"/>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Unsecured Notes</w:t>
      </w:r>
      <w:r>
        <w:rPr>
          <w:rFonts w:ascii="Times New Roman" w:cs="Times New Roman" w:eastAsia="Times New Roman" w:hAnsi="Times New Roman"/>
          <w:sz w:val="17"/>
          <w:szCs w:val="17"/>
          <w:color w:val="auto"/>
        </w:rPr>
        <w:t>”: (i) the 4.125% senior notes of the Borrower and Avis Budget Finance due 2024, (ii) the 5.25% senior notes of the Borrower and Avis Budget Finance due 2025, (iii) the 4.50% senior notes of the Borrower and Avis Budget Finance due 2025, (iv) the 4.750% senior notes of the Borrower and Avis Budget Finance due 2026, (v) the 5.75% senior notes of the Borrower and Avis Budget Finance due 2027, (vi) the 5.375% senior notes of the Borrower and Avis Budget Finance due 2029 and (vii) the 4.75% senior notes of the Borrower and Avis Budget Finance due 2028.</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as described on Schedule 1.1D.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any Subsidiary that would be a “significant subsidiary” as defined in Article 1, Rule 1-02 of Regulation S-X.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any Plan that is covered by Title IV of ERISA, but that is not a Multiemployer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Sixth Amendment</w:t>
      </w:r>
      <w:r>
        <w:rPr>
          <w:rFonts w:ascii="Times New Roman" w:cs="Times New Roman" w:eastAsia="Times New Roman" w:hAnsi="Times New Roman"/>
          <w:sz w:val="18"/>
          <w:szCs w:val="18"/>
          <w:color w:val="auto"/>
        </w:rPr>
        <w:t>”: the Sixth Amendment, dated as of the Sixth Amendment Effective Date, to this Agreement.</w:t>
      </w:r>
    </w:p>
    <w:p>
      <w:pPr>
        <w:spacing w:after="0" w:line="225" w:lineRule="exact"/>
        <w:rPr>
          <w:sz w:val="20"/>
          <w:szCs w:val="20"/>
          <w:color w:val="auto"/>
        </w:rPr>
      </w:pPr>
    </w:p>
    <w:p>
      <w:pPr>
        <w:ind w:right="7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Sixth Amendment Effective Date</w:t>
      </w:r>
      <w:r>
        <w:rPr>
          <w:rFonts w:ascii="Times New Roman" w:cs="Times New Roman" w:eastAsia="Times New Roman" w:hAnsi="Times New Roman"/>
          <w:sz w:val="18"/>
          <w:szCs w:val="18"/>
          <w:color w:val="auto"/>
        </w:rPr>
        <w:t>”: the “Sixth Amendment Effective Date”, as defined in the Sixth Amendment, which date is December 8, 2023.</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w:t>
      </w:r>
      <w:r>
        <w:rPr>
          <w:rFonts w:ascii="Times New Roman" w:cs="Times New Roman" w:eastAsia="Times New Roman" w:hAnsi="Times New Roman"/>
          <w:sz w:val="18"/>
          <w:szCs w:val="18"/>
          <w:color w:val="auto"/>
        </w:rPr>
        <w:t>”: the Seventh Amendment, dated as of the Seventh Amendment Effective Date, to this Agreement.</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Seventh Amendment Effective Date</w:t>
      </w:r>
      <w:r>
        <w:rPr>
          <w:rFonts w:ascii="Times New Roman" w:cs="Times New Roman" w:eastAsia="Times New Roman" w:hAnsi="Times New Roman"/>
          <w:sz w:val="18"/>
          <w:szCs w:val="18"/>
          <w:color w:val="auto"/>
        </w:rPr>
        <w:t>”: the “Seventh Amendment Effective Date”, as defined in the Seventh Amendment, which date is December 27, 2023.</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a rate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the NYFRB (or a successor administrator of the secured overnight financing rate).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7" w:name="page88"/>
    <w:bookmarkEnd w:id="87"/>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as specified in the definition of “Daily Simple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as specified in the definition of “Daily Simple SOFR”.</w:t>
      </w:r>
    </w:p>
    <w:p>
      <w:pPr>
        <w:spacing w:after="0" w:line="225"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the Bank of England (or any successor administrator of the Sterling Overnight Index Average).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Cash Management Agreement</w:t>
      </w:r>
      <w:r>
        <w:rPr>
          <w:rFonts w:ascii="Times New Roman" w:cs="Times New Roman" w:eastAsia="Times New Roman" w:hAnsi="Times New Roman"/>
          <w:sz w:val="18"/>
          <w:szCs w:val="18"/>
          <w:color w:val="auto"/>
        </w:rPr>
        <w:t>”: any agreement providing for treasury, depositary or cash management services, including in connection with any automated clearing house transfers of funds or any similar transactions between the Borrower or any of its Subsidiaries and any Lender or affiliate thereof or any Agent or affiliate thereof, which has been designated by such Lender and the Borrower, by notice to the Administrative Agent, as a “Specified Cash Management Agreement”.</w:t>
      </w:r>
    </w:p>
    <w:p>
      <w:pPr>
        <w:spacing w:after="0" w:line="180"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Ratings</w:t>
      </w:r>
      <w:r>
        <w:rPr>
          <w:rFonts w:ascii="Times New Roman" w:cs="Times New Roman" w:eastAsia="Times New Roman" w:hAnsi="Times New Roman"/>
          <w:sz w:val="18"/>
          <w:szCs w:val="18"/>
          <w:color w:val="auto"/>
        </w:rPr>
        <w:t>”: the corporate credit rating assigned by Moody’s and the corporate issuer rating assigned by S&amp;P, in each case, with respect to the Borrower. In the event that either Moody’s or S&amp;P places the Borrower’s corporate credit rating on “Watchlist” for a possible downgrade in the case of Moody’s or the Borrowers’ corporate issuer rating on “CreditWatch” with negative implications in the case of S&amp;P (or, in each case, any successor, replacement or analogous list) the Specified Rating from such rating agency shall be the next lower rating below the then corporate credit rating or the corporate issuer rating, as the case may be, of the Borrower assigned by such rating agency.</w:t>
      </w:r>
    </w:p>
    <w:p>
      <w:pPr>
        <w:spacing w:after="0" w:line="18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Swap Agreement</w:t>
      </w:r>
      <w:r>
        <w:rPr>
          <w:rFonts w:ascii="Times New Roman" w:cs="Times New Roman" w:eastAsia="Times New Roman" w:hAnsi="Times New Roman"/>
          <w:sz w:val="18"/>
          <w:szCs w:val="18"/>
          <w:color w:val="auto"/>
        </w:rPr>
        <w:t>”: any Swap Agreement entered into by the Borrower or any of its Subsidiaries and any counterparty that at the time such Swap Agreement was entered into was an Agent, Lender or affiliate thereof, to hedge or mitigate its risk with respect to interest rates, currency exchange rates or commodity prices, including, without limitation, Swap Agreements entered into by such parties with respect to AESOP Indebtedness, Centre Point Indebtedness, Recourse Vehicle Indebtedness, Securitization Indebtedness or Additional Foreign Vehicle Indebtedness.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the Avis Europe Acquisition and any Permitted Acquisition.</w:t>
      </w:r>
    </w:p>
    <w:p>
      <w:pPr>
        <w:spacing w:after="0" w:line="225" w:lineRule="exact"/>
        <w:rPr>
          <w:sz w:val="20"/>
          <w:szCs w:val="20"/>
          <w:color w:val="auto"/>
        </w:rPr>
      </w:pPr>
    </w:p>
    <w:p>
      <w:pPr>
        <w:ind w:right="5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representations, warranties (and any related repurchase obligations), servicer obligations, guarantees, covenants and indemnities entered into by the Borrower or any Subsidiary of the Borrower of a type that are reasonably customary in securitizations.</w:t>
      </w:r>
    </w:p>
    <w:p>
      <w:pPr>
        <w:spacing w:after="0" w:line="176"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Eurocurrency Rate or Adjusted EURIBOR Rate, as applicable, for eurocurrency funding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8" w:name="page89"/>
    <w:bookmarkEnd w:id="88"/>
    <w:p>
      <w:pPr>
        <w:ind w:right="100"/>
        <w:spacing w:after="0" w:line="256" w:lineRule="auto"/>
        <w:rPr>
          <w:sz w:val="20"/>
          <w:szCs w:val="20"/>
          <w:color w:val="auto"/>
        </w:rPr>
      </w:pPr>
      <w:r>
        <w:rPr>
          <w:rFonts w:ascii="Times New Roman" w:cs="Times New Roman" w:eastAsia="Times New Roman" w:hAnsi="Times New Roman"/>
          <w:sz w:val="18"/>
          <w:szCs w:val="18"/>
          <w:color w:val="auto"/>
        </w:rPr>
        <w:t>(currently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(a) with respect to any Person, any corporation, association, joint venture, partnership, limited liability company or other business entity (whether now existing or hereafter organized) of which at least a majority of the voting stock or other ownership interests having ordinary voting power for the election of directors (or the equivalent) is, at the time as of which any determination is being made, owned or controlled by such Person or one or more subsidiaries of such Person or by such Person and one or more subsidiaries of such Person or (b) any partnership where more than 50% of the general partners of such partnership are owned or controlled, directly or indirectly, by (i) such Person and/or (ii) one or more Subsidiaries of such Person. Unless otherwise qualified, all references to a “Subsidiary” or to “Subsidiaries” in this Agreement shall refer to a Subsidiary or Subsidiaries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Borrower’s election, any Person in which an investment is made pursuant to Section 7.7(p) shall, so long as such investment is maintained in reliance on such Section, not be a “Subsidiary” of the Borrower for any purpose of this Agreement (other than Section 6.1) (each such Person referred to in this proviso being an “</w:t>
      </w:r>
      <w:r>
        <w:rPr>
          <w:rFonts w:ascii="Times New Roman" w:cs="Times New Roman" w:eastAsia="Times New Roman" w:hAnsi="Times New Roman"/>
          <w:sz w:val="18"/>
          <w:szCs w:val="18"/>
          <w:u w:val="single" w:color="auto"/>
          <w:color w:val="auto"/>
        </w:rPr>
        <w:t>Excluded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Borrower may elect to designate any Excluded Person as a “Subsidiary” at any time, upon which such Excluded Person shall be a “Subsidiary” for all purposes of this Agreement and be required to comply with all requirements applicable to such Subsidiary herein.</w:t>
      </w:r>
    </w:p>
    <w:p>
      <w:pPr>
        <w:spacing w:after="0" w:line="19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any Subsidiary of the Borrower that becomes a party hereto pursuant to Section 10.1(c)(i) until such time as such Subsidiary Borrower is removed as a party hereto pursuant to Section 10.1(c)(ii).</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each Wholly-Owned Subsidiary of the Borrower other than any Foreign Subsidiary, Excluded Subsidiary or Securitization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as defined in Section 7.4(e).</w:t>
      </w:r>
    </w:p>
    <w:p>
      <w:pPr>
        <w:spacing w:after="0" w:line="221"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“Supply Chain Finance Program” means the receivables financing, payables financing, supplier finance, reverse factoring and/or similar program(s) established or sponsored by Borrower and documented under one or more Supply Chain Finance Documents with one or more Supply Chain Finance Providers, pursuant to which (a) suppliers of Borrower may elect to sell, assign or otherwise transfer receivables owing by Borrower to a Supply Chain Finance Provider or (b) a Supply Chain Finance Provider may make advances, purchases, or other payments in respect of invoices, receivables, or payables, in each case on terms approved by Borrower.</w:t>
      </w:r>
    </w:p>
    <w:p>
      <w:pPr>
        <w:spacing w:after="0" w:line="179" w:lineRule="exact"/>
        <w:rPr>
          <w:sz w:val="20"/>
          <w:szCs w:val="20"/>
          <w:color w:val="auto"/>
        </w:rPr>
      </w:pPr>
    </w:p>
    <w:p>
      <w:pPr>
        <w:ind w:right="24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“Supply Chain Finance Documents” means each agreement, instrument, or undertaking entered into by Borrower and/or any Subsidiary in connection with any Supply Chain Finance Program, including any master purchase agreement, receivables purchase agreement, participation agreement, payment undertaking, approval platform terms, servicing agreement, fee letter, account bank agreement, control agreement, side letter, and any amendment, restatement, supplement, joinder, or replacement thereof.</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9" w:name="page90"/>
    <w:bookmarkEnd w:id="89"/>
    <w:p>
      <w:pPr>
        <w:ind w:right="160" w:firstLine="1296"/>
        <w:spacing w:after="0" w:line="291" w:lineRule="auto"/>
        <w:rPr>
          <w:sz w:val="20"/>
          <w:szCs w:val="20"/>
          <w:color w:val="auto"/>
        </w:rPr>
      </w:pPr>
      <w:r>
        <w:rPr>
          <w:rFonts w:ascii="Times New Roman" w:cs="Times New Roman" w:eastAsia="Times New Roman" w:hAnsi="Times New Roman"/>
          <w:sz w:val="17"/>
          <w:szCs w:val="17"/>
          <w:b w:val="1"/>
          <w:bCs w:val="1"/>
          <w:u w:val="single" w:color="auto"/>
          <w:color w:val="0000FF"/>
        </w:rPr>
        <w:t>“Supply Chain Finance Provider” means any bank, financial institution, fund, special purpose vehicle, platform provider, or other Person (and any of its successors or assigns) that (a) purchases, takes an assignment of, participates in, or funds receivables or payables under a Supply Chain Finance Program or (b) provides any advance, reimbursement, or other funding under a Supply Chain Finance Program.</w:t>
      </w:r>
    </w:p>
    <w:p>
      <w:pPr>
        <w:spacing w:after="0" w:line="153"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“Supply Chain Finance Agent” means Administrative Agent, or such other agent designated in writing by Administrative Agent and Borrower to act as agent for the Supply Chain Finance Providers for purposes of receiving the benefit of the Liens under the Security Documents and related enforcement, in each case on terms reasonably acceptable to Administrative Agent.</w:t>
      </w:r>
    </w:p>
    <w:p>
      <w:pPr>
        <w:spacing w:after="0" w:line="171"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0000FF"/>
        </w:rPr>
        <w:t>“Supply Chain Finance Obligations” means all obligations, liabilities and Indebtedness (if any) of Borrower and each other Loan Party arising under or in connection with any Supply Chain Finance Documents, whether now existing or hereafter arising, including (a) all payment obligations in respect of invoices, payables, or receivables approved or otherwise designated under a Supply Chain Finance Program, (b) all reimbursement obligations, fees, yield, discount, interest (including post-petition interest), penalties, breakage amounts, indemnities, increased cost amounts, and expense reimbursements, (c) all obligations in respect of any purchase price adjustment, repurchase, dilution, dispute, warranty or representation breach, and (d) all obligations to pay amounts due upon termination of any Supply Chain Finance Program.</w:t>
      </w:r>
    </w:p>
    <w:p>
      <w:pPr>
        <w:spacing w:after="0" w:line="182" w:lineRule="exact"/>
        <w:rPr>
          <w:sz w:val="20"/>
          <w:szCs w:val="20"/>
          <w:color w:val="auto"/>
        </w:rPr>
      </w:pPr>
    </w:p>
    <w:p>
      <w:pPr>
        <w:ind w:right="14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“Supply Chain Finance Exposure” means, at any time, the aggregate outstanding amount of obligations of Borrower and its Subsidiaries then owing or accrued under the Supply Chain Finance Obligations, as determined in accordance with the applicable Supply Chain Finance Documents; provided that, if such amount is not readily determinable, Supply Chain Finance Exposure shall be determined on a basis reasonably acceptable to Administrative Agent.</w:t>
      </w:r>
    </w:p>
    <w:p>
      <w:pPr>
        <w:spacing w:after="0" w:line="176" w:lineRule="exact"/>
        <w:rPr>
          <w:sz w:val="20"/>
          <w:szCs w:val="20"/>
          <w:color w:val="auto"/>
        </w:rPr>
      </w:pPr>
    </w:p>
    <w:p>
      <w:pPr>
        <w:ind w:right="60"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any agreement with respect to any swap, forward, future or derivative </w:t>
      </w:r>
      <w:r>
        <w:rPr>
          <w:rFonts w:ascii="Times New Roman" w:cs="Times New Roman" w:eastAsia="Times New Roman" w:hAnsi="Times New Roman"/>
          <w:sz w:val="18"/>
          <w:szCs w:val="18"/>
          <w:b w:val="1"/>
          <w:bCs w:val="1"/>
          <w:u w:val="single" w:color="auto"/>
          <w:color w:val="0000FF"/>
        </w:rPr>
        <w:t>or insurance</w:t>
      </w:r>
      <w:r>
        <w:rPr>
          <w:rFonts w:ascii="Times New Roman" w:cs="Times New Roman" w:eastAsia="Times New Roman" w:hAnsi="Times New Roman"/>
          <w:sz w:val="18"/>
          <w:szCs w:val="18"/>
          <w:color w:val="auto"/>
        </w:rPr>
        <w:t xml:space="preser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83" w:lineRule="exact"/>
        <w:rPr>
          <w:sz w:val="20"/>
          <w:szCs w:val="20"/>
          <w:color w:val="auto"/>
        </w:rPr>
      </w:pPr>
    </w:p>
    <w:p>
      <w:pPr>
        <w:ind w:right="3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as to any Lender (i) the amount set forth opposite such Lender’s name on Schedule 1.1A hereof under the heading “Swingline Commitment” or (ii) if such lender has entered into an Assignment and Assumption, the amount set forth for such lender as its Swingline Commitment in the Register maintained by the Administrative Agent pursuant to Section 10.6(b)(iv).</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xml:space="preserve">”: at any time, the aggregate principal amount of all Swingline Loans outstanding at such time. The Swingline Exposure of any Lender at any time shall be the sum of (a) its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Percentage of the total Swingline Exposure at such time related to Swingline Loans other than any Swingline Loans made by such Lender in its capacity as a Swingline Lender and (b) if such Lender shall be a Swingline Lender, the aggregate principal amount of all Swingline Loans made by such Lender outstanding at such time (to the extent that the other Lenders shall not have funded their participations in such Swingline Loans).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JPMorgan Chase Bank in its capacity as a lender of Swingline Loans.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as defined in Section 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as defined in Section 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as defined in the definition of “Permitted Acquisition”.</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right="6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as described on Schedule 1.1E.</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any taxes, charges or assessments, including but not limited to income, sales, use, transfer, rental, ad valorem, value-added, stamp, property consumption, franchise, license, capital, net worth, gross receipts, excise, occupancy, intangibles or similar tax, charges or assessments, and including any interest, additions to tax or penalties applicable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Tenth Amendment</w:t>
      </w:r>
      <w:r>
        <w:rPr>
          <w:rFonts w:ascii="Times New Roman" w:cs="Times New Roman" w:eastAsia="Times New Roman" w:hAnsi="Times New Roman"/>
          <w:sz w:val="18"/>
          <w:szCs w:val="18"/>
          <w:color w:val="auto"/>
        </w:rPr>
        <w:t>”: the Tenth Amendment, dated as of the Tenth Amendment Effective Date,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Tenth Amendment Effective Date</w:t>
      </w:r>
      <w:r>
        <w:rPr>
          <w:rFonts w:ascii="Times New Roman" w:cs="Times New Roman" w:eastAsia="Times New Roman" w:hAnsi="Times New Roman"/>
          <w:sz w:val="18"/>
          <w:szCs w:val="18"/>
          <w:color w:val="auto"/>
        </w:rPr>
        <w:t>”: the “Tenth Amendment Effective Date”, as defined in the Tenth Amendment, which date is July 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 the Eurocurrency Rate, the Adjusted EURIBOR Rate or the Adjusted Term CORRA Rate.</w:t>
      </w:r>
    </w:p>
    <w:p>
      <w:pPr>
        <w:spacing w:after="0" w:line="176"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for any calculation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that is two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Business Days prior to such Periodic Term CORRA Determination Day.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Candeal Benchmark Administration Services Inc., TSX Inc., or any successor administrator.</w:t>
      </w:r>
    </w:p>
    <w:p>
      <w:pPr>
        <w:spacing w:after="0" w:line="225" w:lineRule="exact"/>
        <w:rPr>
          <w:sz w:val="20"/>
          <w:szCs w:val="20"/>
          <w:color w:val="auto"/>
        </w:rPr>
      </w:pPr>
    </w:p>
    <w:p>
      <w:pPr>
        <w:ind w:right="6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Notice</w:t>
      </w:r>
      <w:r>
        <w:rPr>
          <w:rFonts w:ascii="Times New Roman" w:cs="Times New Roman" w:eastAsia="Times New Roman" w:hAnsi="Times New Roman"/>
          <w:sz w:val="18"/>
          <w:szCs w:val="18"/>
          <w:color w:val="auto"/>
        </w:rPr>
        <w:t>”: a notification by the Administrative Agent to the Lenders and the Borrower of the occurrence of a Term CORRA Reelection Event.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Reelection Event</w:t>
      </w:r>
      <w:r>
        <w:rPr>
          <w:rFonts w:ascii="Times New Roman" w:cs="Times New Roman" w:eastAsia="Times New Roman" w:hAnsi="Times New Roman"/>
          <w:sz w:val="18"/>
          <w:szCs w:val="18"/>
          <w:color w:val="auto"/>
        </w:rPr>
        <w:t xml:space="preserve">”: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that is not Term CORRA.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the forward-looking term rate based on CORRA.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Lenders</w:t>
      </w:r>
      <w:r>
        <w:rPr>
          <w:rFonts w:ascii="Times New Roman" w:cs="Times New Roman" w:eastAsia="Times New Roman" w:hAnsi="Times New Roman"/>
          <w:sz w:val="18"/>
          <w:szCs w:val="18"/>
          <w:color w:val="auto"/>
        </w:rPr>
        <w:t>”: the Tranche B Term Lenders, the Tranche C Term Lenders and the Tranche A Term Lenders.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the Tranche B Term Loans, the Tranche C Term Loans and the Tranche A Term Loans.</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Term SOFR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with respect to the Revolving Facility</w:t>
      </w:r>
      <w:r>
        <w:rPr>
          <w:rFonts w:ascii="Times New Roman" w:cs="Times New Roman" w:eastAsia="Times New Roman" w:hAnsi="Times New Roman"/>
          <w:sz w:val="18"/>
          <w:szCs w:val="18"/>
          <w:color w:val="FF0000"/>
          <w:strike w:val="1"/>
        </w:rPr>
        <w:t>, for the applicable Corresponding Tenor as of the applicable Reference Time, the forward-looking term rate based on SOFR that has been selected or recommended by the Relevant Governmental Body.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as specified under the definition of Term SOFR Reference Rate.</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Business Days prior to such Term SOFR Determination Day.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Restatement Effective Date</w:t>
      </w:r>
      <w:r>
        <w:rPr>
          <w:rFonts w:ascii="Times New Roman" w:cs="Times New Roman" w:eastAsia="Times New Roman" w:hAnsi="Times New Roman"/>
          <w:sz w:val="18"/>
          <w:szCs w:val="18"/>
          <w:color w:val="auto"/>
        </w:rPr>
        <w:t>”: October 3, 2014.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Commitments</w:t>
      </w:r>
      <w:r>
        <w:rPr>
          <w:rFonts w:ascii="Times New Roman" w:cs="Times New Roman" w:eastAsia="Times New Roman" w:hAnsi="Times New Roman"/>
          <w:sz w:val="18"/>
          <w:szCs w:val="18"/>
          <w:color w:val="auto"/>
        </w:rPr>
        <w:t>”: at any time, the aggregate amount of the Revolving Commitments then in effect.</w:t>
      </w:r>
    </w:p>
    <w:p>
      <w:pPr>
        <w:spacing w:after="0" w:line="225"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Extensions of Credit</w:t>
      </w:r>
      <w:r>
        <w:rPr>
          <w:rFonts w:ascii="Times New Roman" w:cs="Times New Roman" w:eastAsia="Times New Roman" w:hAnsi="Times New Roman"/>
          <w:sz w:val="18"/>
          <w:szCs w:val="18"/>
          <w:color w:val="auto"/>
        </w:rPr>
        <w:t>”: at any time, the aggregate amount of the Revolving Extensions of Credit of the Revolving Lenders outstanding at such time.</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Commitment</w:t>
      </w:r>
      <w:r>
        <w:rPr>
          <w:rFonts w:ascii="Times New Roman" w:cs="Times New Roman" w:eastAsia="Times New Roman" w:hAnsi="Times New Roman"/>
          <w:sz w:val="18"/>
          <w:szCs w:val="18"/>
          <w:color w:val="auto"/>
        </w:rPr>
        <w:t>”: as to any Lender, the “Tranche A Term Commitment” of such Lender, as such term is defined in the Ninth Amendment. The aggregate amount of the Tranche A Term Commitments as of the Ninth Amendment Effective Date is $500,000,000.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Facility</w:t>
      </w:r>
      <w:r>
        <w:rPr>
          <w:rFonts w:ascii="Times New Roman" w:cs="Times New Roman" w:eastAsia="Times New Roman" w:hAnsi="Times New Roman"/>
          <w:sz w:val="18"/>
          <w:szCs w:val="18"/>
          <w:color w:val="auto"/>
        </w:rPr>
        <w:t>” as defined in the definition of “Facility”.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Lenders</w:t>
      </w:r>
      <w:r>
        <w:rPr>
          <w:rFonts w:ascii="Times New Roman" w:cs="Times New Roman" w:eastAsia="Times New Roman" w:hAnsi="Times New Roman"/>
          <w:sz w:val="18"/>
          <w:szCs w:val="18"/>
          <w:color w:val="auto"/>
        </w:rPr>
        <w:t>”: each Lender that has a Tranche A Term Commitment or holds a Tranche A Term Loan.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w:t>
      </w:r>
      <w:r>
        <w:rPr>
          <w:rFonts w:ascii="Times New Roman" w:cs="Times New Roman" w:eastAsia="Times New Roman" w:hAnsi="Times New Roman"/>
          <w:sz w:val="18"/>
          <w:szCs w:val="18"/>
          <w:color w:val="auto"/>
        </w:rPr>
        <w:t>”: a Loan made pursuant to a Tranche A Term Commitment.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Term Loan Maturity Date</w:t>
      </w:r>
      <w:r>
        <w:rPr>
          <w:rFonts w:ascii="Times New Roman" w:cs="Times New Roman" w:eastAsia="Times New Roman" w:hAnsi="Times New Roman"/>
          <w:sz w:val="18"/>
          <w:szCs w:val="18"/>
          <w:color w:val="auto"/>
        </w:rPr>
        <w:t>”: December 15, 2025.</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Commitment</w:t>
      </w:r>
      <w:r>
        <w:rPr>
          <w:rFonts w:ascii="Times New Roman" w:cs="Times New Roman" w:eastAsia="Times New Roman" w:hAnsi="Times New Roman"/>
          <w:sz w:val="18"/>
          <w:szCs w:val="18"/>
          <w:color w:val="auto"/>
        </w:rPr>
        <w:t>”: as to any Lender, the “New Tranche B Term Commitment” of such Lender, as such term is defined in the Tenth Amendment. The aggregate amount of the Tranche B Term Commitments as of the Tenth Amendment Effective Date is $1,148,864,850.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Facility</w:t>
      </w:r>
      <w:r>
        <w:rPr>
          <w:rFonts w:ascii="Times New Roman" w:cs="Times New Roman" w:eastAsia="Times New Roman" w:hAnsi="Times New Roman"/>
          <w:sz w:val="18"/>
          <w:szCs w:val="18"/>
          <w:color w:val="auto"/>
        </w:rPr>
        <w:t>” as defined in the definition of “Facility”.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Lenders</w:t>
      </w:r>
      <w:r>
        <w:rPr>
          <w:rFonts w:ascii="Times New Roman" w:cs="Times New Roman" w:eastAsia="Times New Roman" w:hAnsi="Times New Roman"/>
          <w:sz w:val="18"/>
          <w:szCs w:val="18"/>
          <w:color w:val="auto"/>
        </w:rPr>
        <w:t>”: each Lender that has a Tranche B Term Commitment or holds a Tranche B Term Loan.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Loan</w:t>
      </w:r>
      <w:r>
        <w:rPr>
          <w:rFonts w:ascii="Times New Roman" w:cs="Times New Roman" w:eastAsia="Times New Roman" w:hAnsi="Times New Roman"/>
          <w:sz w:val="18"/>
          <w:szCs w:val="18"/>
          <w:color w:val="auto"/>
        </w:rPr>
        <w:t>”: a Loan made pursuant to a Tranche B Term Commitment.</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Term Loan Maturity Date</w:t>
      </w:r>
      <w:r>
        <w:rPr>
          <w:rFonts w:ascii="Times New Roman" w:cs="Times New Roman" w:eastAsia="Times New Roman" w:hAnsi="Times New Roman"/>
          <w:sz w:val="18"/>
          <w:szCs w:val="18"/>
          <w:color w:val="auto"/>
        </w:rPr>
        <w:t>”: the earlier of (i) seven years from the Tenth Amendment Effective Date and (ii) to the extent more than $100,000,000 of Early Maturity Trigger Indebtedness is then outstanding, the date that is 90 days prior to the earliest maturity date applicable to such Early Maturity Trigger Indebtedness.</w:t>
      </w:r>
    </w:p>
    <w:p>
      <w:pPr>
        <w:spacing w:after="0" w:line="176"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 Term Commitment</w:t>
      </w:r>
      <w:r>
        <w:rPr>
          <w:rFonts w:ascii="Times New Roman" w:cs="Times New Roman" w:eastAsia="Times New Roman" w:hAnsi="Times New Roman"/>
          <w:sz w:val="18"/>
          <w:szCs w:val="18"/>
          <w:color w:val="auto"/>
        </w:rPr>
        <w:t>”: as to any Lender, the “Tranche C Term Commitment” of such Lender, as such term is defined in the Sixth Amendment. The aggregate amount of the Tranche C Term Commitments as of the Sixth Amendment Effective Date is $538,750,000.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 Term Facility</w:t>
      </w:r>
      <w:r>
        <w:rPr>
          <w:rFonts w:ascii="Times New Roman" w:cs="Times New Roman" w:eastAsia="Times New Roman" w:hAnsi="Times New Roman"/>
          <w:sz w:val="18"/>
          <w:szCs w:val="18"/>
          <w:color w:val="auto"/>
        </w:rPr>
        <w:t>” as defined in the definition of “Facility”.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 Term Lenders</w:t>
      </w:r>
      <w:r>
        <w:rPr>
          <w:rFonts w:ascii="Times New Roman" w:cs="Times New Roman" w:eastAsia="Times New Roman" w:hAnsi="Times New Roman"/>
          <w:sz w:val="18"/>
          <w:szCs w:val="18"/>
          <w:color w:val="auto"/>
        </w:rPr>
        <w:t>”: each Lender that has a Tranche C Term Commitment or holds a Tranche C Term Loan.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 Term Loan</w:t>
      </w:r>
      <w:r>
        <w:rPr>
          <w:rFonts w:ascii="Times New Roman" w:cs="Times New Roman" w:eastAsia="Times New Roman" w:hAnsi="Times New Roman"/>
          <w:sz w:val="18"/>
          <w:szCs w:val="18"/>
          <w:color w:val="auto"/>
        </w:rPr>
        <w:t>”: a Loan made pursuant to a Tranche C Term Commitment.</w:t>
      </w:r>
    </w:p>
    <w:p>
      <w:pPr>
        <w:spacing w:after="0" w:line="225" w:lineRule="exact"/>
        <w:rPr>
          <w:sz w:val="20"/>
          <w:szCs w:val="20"/>
          <w:color w:val="auto"/>
        </w:rPr>
      </w:pPr>
    </w:p>
    <w:p>
      <w:pPr>
        <w:jc w:val="both"/>
        <w:ind w:right="60"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Tranche C Term Loan Maturity Date</w:t>
      </w:r>
      <w:r>
        <w:rPr>
          <w:rFonts w:ascii="Times New Roman" w:cs="Times New Roman" w:eastAsia="Times New Roman" w:hAnsi="Times New Roman"/>
          <w:sz w:val="17"/>
          <w:szCs w:val="17"/>
          <w:color w:val="auto"/>
        </w:rPr>
        <w:t>”: the earlier of (i) March 16, 2029 and (ii) to the extent more than $100,000,000 of Early Maturity Trigger Indebtedness is then outstanding, the date that is 90 days prior to the earliest maturity date applicable to such Early Maturity Trigger Indebtedness.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any Assignee or Participant.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as to any Loan, refers to whether the rate of interest on such Loan, or on the Loans comprising such Borrowing, is determined by reference to the Adjusted Term SOFR Rate, the Eurocurrency Rate, the Adjusted EURIBOR Rate, the Alternate Base Rate, the Daily Simple RFR, the Adjusted Daily Simple RFR or the Adjusted Term CORRA Rate.</w:t>
      </w:r>
    </w:p>
    <w:p>
      <w:pPr>
        <w:spacing w:after="0" w:line="176"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with respect to any Letter of Credit, the “Uniform Customs and Practice for Documentary Credits, International Chamber of Commerce (“ICC”) Publication No. 600 (or such later version thereof as may be in effect at the time of issuance).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3" w:name="page94"/>
    <w:bookmarkEnd w:id="93"/>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Amounts</w:t>
      </w:r>
      <w:r>
        <w:rPr>
          <w:rFonts w:ascii="Times New Roman" w:cs="Times New Roman" w:eastAsia="Times New Roman" w:hAnsi="Times New Roman"/>
          <w:sz w:val="18"/>
          <w:szCs w:val="18"/>
          <w:color w:val="auto"/>
        </w:rPr>
        <w:t>”: as defined in Section 3.4(a).</w:t>
      </w:r>
    </w:p>
    <w:p>
      <w:pPr>
        <w:spacing w:after="0" w:line="225"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Virginia Beach Parcel</w:t>
      </w:r>
      <w:r>
        <w:rPr>
          <w:rFonts w:ascii="Times New Roman" w:cs="Times New Roman" w:eastAsia="Times New Roman" w:hAnsi="Times New Roman"/>
          <w:sz w:val="18"/>
          <w:szCs w:val="18"/>
          <w:color w:val="auto"/>
        </w:rPr>
        <w:t>”: that certain real property located at 300 Centre Pointe Drive, Virginia Beach, VA, 23462-4415.</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as to any Person, any other Person all of the Capital Stock of which (other than directors’ qualifying shares required by law) is owned by such Person directly and/or through other Wholly Owned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any Loan Party and the Administrative Agent.</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WTH Funding LP</w:t>
      </w:r>
      <w:r>
        <w:rPr>
          <w:rFonts w:ascii="Times New Roman" w:cs="Times New Roman" w:eastAsia="Times New Roman" w:hAnsi="Times New Roman"/>
          <w:sz w:val="18"/>
          <w:szCs w:val="18"/>
          <w:color w:val="auto"/>
        </w:rPr>
        <w:t>”: WTH Funding Limited Partnership, an Ontario limited partnership, and any successor special purpose entity formed for the purpose of engaging in vehicle financings in Canada.</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1.2</w:t>
      </w:r>
      <w:r>
        <w:rPr>
          <w:sz w:val="20"/>
          <w:szCs w:val="20"/>
          <w:color w:val="auto"/>
        </w:rPr>
        <w:tab/>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right="200" w:firstLine="1304"/>
        <w:spacing w:after="0" w:line="282" w:lineRule="auto"/>
        <w:tabs>
          <w:tab w:leader="none" w:pos="1386" w:val="left"/>
        </w:tabs>
        <w:numPr>
          <w:ilvl w:val="0"/>
          <w:numId w:val="4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Unless otherwise specified therein, all terms defined in this Agreement shall have the defined meanings when used in the other Loan Documents or any certificate or other document made or delivered pursuant hereto or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ind w:left="-40" w:firstLine="1304"/>
        <w:spacing w:after="0" w:line="251" w:lineRule="auto"/>
        <w:tabs>
          <w:tab w:leader="none" w:pos="17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herein and in the other Loan Documents, and any certificate or other document made or delivered pursuant hereto or thereto, all terms of an accounting or financial nature relating to any Group Member not defined in Section 1.1 and accounting terms partly defined in Section 1.1, to the extent not defined, shall have the respective meanings given to them under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all accounting or financial terms used herein shall be construed, and all financial computations pursuant hereto shall be made, without giving effect to any election under Statement of Financial Accounting Standards 159 (or any other Financial Accounting Standard having a similar effect) to value any Indebtedness or other liabilities of any Group Member at “fair value”, as defined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the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anything to the contrary herein, any obligations of a Person under a lease (whether existing now or entered into in the future) that is not (or would not be) required to be classified and accounted for as a capital lease on a balance sheet of such Person under GAAP as in effect on the Restatement Effective Date shall not be treated as capital lease solely as a result of (x) the adoption of changes in or (y) changes in the application of GAAP after the Restatement Effective Date. In the event that the Borrower elects to prepare its financial statements in accordance with IFRS and such election results in a change in the method of calculation of financial covenants, standards or terms (collectively, the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in this Agreement, the Borrower and the Administrative Agent agree to enter into good faith negotiations in order to amend such provisions of this Agreement (including the levels applicable herein to any computation of the Consolidated Leverage Ratio, the Consolidated First Lien Leverage Ratio or the Consolidated Secured Leverage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204" w:lineRule="exact"/>
        <w:rPr>
          <w:rFonts w:ascii="Times New Roman" w:cs="Times New Roman" w:eastAsia="Times New Roman" w:hAnsi="Times New Roman"/>
          <w:sz w:val="18"/>
          <w:szCs w:val="18"/>
          <w:color w:val="auto"/>
        </w:rPr>
      </w:pPr>
    </w:p>
    <w:p>
      <w:pPr>
        <w:ind w:left="-40" w:right="20" w:firstLine="1304"/>
        <w:spacing w:after="0" w:line="255" w:lineRule="auto"/>
        <w:tabs>
          <w:tab w:leader="none" w:pos="17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and (iv) references to agreements or other Contractual Obligations shall, unless otherwise specified, be deemed to refer to such agreements or Contractual Obligations as amended, supplemented, restated or otherwise modified from time to time.</w:t>
      </w:r>
    </w:p>
    <w:p>
      <w:pPr>
        <w:spacing w:after="0" w:line="188" w:lineRule="exact"/>
        <w:rPr>
          <w:rFonts w:ascii="Times New Roman" w:cs="Times New Roman" w:eastAsia="Times New Roman" w:hAnsi="Times New Roman"/>
          <w:sz w:val="18"/>
          <w:szCs w:val="18"/>
          <w:color w:val="auto"/>
        </w:rPr>
      </w:pPr>
    </w:p>
    <w:p>
      <w:pPr>
        <w:ind w:left="-40" w:right="300" w:firstLine="1304"/>
        <w:spacing w:after="0" w:line="266" w:lineRule="auto"/>
        <w:tabs>
          <w:tab w:leader="none" w:pos="17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95" w:name="page96"/>
    <w:bookmarkEnd w:id="95"/>
    <w:p>
      <w:pPr>
        <w:ind w:left="1820" w:hanging="516"/>
        <w:spacing w:after="0"/>
        <w:tabs>
          <w:tab w:leader="none" w:pos="1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1.3 Interest Rates; Benchmark Notification</w:t>
      </w:r>
      <w:r>
        <w:rPr>
          <w:rFonts w:ascii="Times New Roman" w:cs="Times New Roman" w:eastAsia="Times New Roman" w:hAnsi="Times New Roman"/>
          <w:sz w:val="18"/>
          <w:szCs w:val="18"/>
          <w:color w:val="auto"/>
        </w:rPr>
        <w:t>. The interest rate on a Loan denominated in dollars or an Optional Currency may be derived from an interest rate benchmark that may be discontinued or is, or may in the future become, the subject of regulatory reform. Upon the occurrence of a Benchmark Transition Event or a Term CORRA Reelection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jc w:val="both"/>
        <w:ind w:right="10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1.4 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Application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spacing w:after="0" w:line="18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1.5 Limited Condition Acquisitions</w:t>
      </w:r>
      <w:r>
        <w:rPr>
          <w:rFonts w:ascii="Times New Roman" w:cs="Times New Roman" w:eastAsia="Times New Roman" w:hAnsi="Times New Roman"/>
          <w:sz w:val="18"/>
          <w:szCs w:val="18"/>
          <w:color w:val="auto"/>
        </w:rPr>
        <w:t>. In connection with the incurrence of any Indebtedness or Liens or the making of any Investments, Restricted Payments, restricted prepayments of Indebtedness, Dispositions or fundamental changes, in each case, in connection with a Limited Condition Acquisition (any of the foregoing, an “</w:t>
      </w:r>
      <w:r>
        <w:rPr>
          <w:rFonts w:ascii="Times New Roman" w:cs="Times New Roman" w:eastAsia="Times New Roman" w:hAnsi="Times New Roman"/>
          <w:sz w:val="18"/>
          <w:szCs w:val="18"/>
          <w:u w:val="single" w:color="auto"/>
          <w:color w:val="auto"/>
        </w:rPr>
        <w:t>LCA 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LCA Actions</w:t>
      </w:r>
      <w:r>
        <w:rPr>
          <w:rFonts w:ascii="Times New Roman" w:cs="Times New Roman" w:eastAsia="Times New Roman" w:hAnsi="Times New Roman"/>
          <w:sz w:val="18"/>
          <w:szCs w:val="18"/>
          <w:color w:val="auto"/>
        </w:rPr>
        <w:t>”), for purposes of determining compliance with any provision of this Agreement (other than Section 5.2(b)) which requires that no Default or Event of Default has occurred, is continuing or would result from any such LCA Action, as applicable, such condition shall, at the option of the Borrower (the Borrower’s election to exercise such option in connection with any Limited Condition Acquisition, an “</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be deemed satisfied, so long as no Default or Event of Default exists on the date the definitive agreements for such Limited Condition Acquisition are entered into (the “</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For the avoidance of doubt, if the Borrower has exercised the LCA Election, and any Default or Event of Default occurs following the LCA Test Date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194" w:lineRule="exact"/>
        <w:rPr>
          <w:sz w:val="20"/>
          <w:szCs w:val="20"/>
          <w:color w:val="auto"/>
        </w:rPr>
      </w:pPr>
    </w:p>
    <w:p>
      <w:pPr>
        <w:ind w:left="5540" w:right="4320" w:hanging="4236"/>
        <w:spacing w:after="0" w:line="532" w:lineRule="auto"/>
        <w:tabs>
          <w:tab w:leader="none" w:pos="18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incurrence of any LCA Action, for purposes of: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6" w:name="page97"/>
    <w:bookmarkEnd w:id="96"/>
    <w:p>
      <w:pPr>
        <w:ind w:left="660" w:right="220" w:firstLine="968"/>
        <w:spacing w:after="0" w:line="282" w:lineRule="auto"/>
        <w:tabs>
          <w:tab w:leader="none" w:pos="21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provision of this Agreement which requires the calculation of the Consolidated Leverage Ratio, the Consolidated Secured Leverage Ratio, the Consolidated First Lien Leverage Ratio or the Consolidated Coverage Ratio; or</w:t>
      </w:r>
    </w:p>
    <w:p>
      <w:pPr>
        <w:spacing w:after="0" w:line="161"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availability under baskets set forth in this Agreement (including any baskets based on a percentage of Consolidated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each case, upon the LCA Election, the date of determination of whether any such action is permitted hereunder, shall be the LCA Test Date, and if, after giving effect to the Limited Condition Acquisition and the other transactions to be entered into in connection therewith (including any incurrence of Indebtedness and the use of proceeds thereof) on a pro forma basis as if they had occurred at the beginning of the most recent four consecutive fiscal quarter period being used to calculate such financial ratio or basket ending prior to the LCA Test Date for which consolidated financial statements of the Borrower are available, the Borrower could have taken such action on the relevant LCA Test Date in compliance with such ratio or basket, such ratio or basket shall be deemed to have been complied with. For the avoidance of doubt, if the Borrower has made an LCA Election and any of the ratios or baskets for which compliance was determined or tested as of the LCA Test Date are exceeded as a result of fluctuations in any such ratio or basket, including due to fluctuations in Consolidated EBITDA of the Borrower or the Person subject to such Limited Condition Acquisition, at or prior to the consummation of the relevant transaction or action, such baskets or ratios will not be deemed to have been exceeded as a result of such fluctuations. If the Borrower has made an LCA Election for any Limited Condition Acquisition, then in connection with any subsequent calculation of any ratio or basket availability with respect to the incurrence of any Indebtedness or Liens or the making of any Investments, Restricted Payments, restricted prepayments of Indebtedness, Dispositions or fundamental changes, in each case,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Consolidated Net Income (and any other financial defined term derived therefrom) shall not include any Consolidated Net Income of or attributable to the target Person or assets associated with any such Limited Condition Acquisition for usages other than in connection with the applicable transaction pertaining to such Limited Condition Acquisition unless and until the closing of such Limited Condition Acquisition shall have actually occurred.</w:t>
      </w:r>
    </w:p>
    <w:p>
      <w:pPr>
        <w:spacing w:after="0" w:line="19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1.6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7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1.7</w:t>
      </w:r>
      <w:r>
        <w:rPr>
          <w:sz w:val="20"/>
          <w:szCs w:val="20"/>
          <w:color w:val="auto"/>
        </w:rPr>
        <w:tab/>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right="140" w:firstLine="1304"/>
        <w:spacing w:after="0" w:line="261" w:lineRule="auto"/>
        <w:tabs>
          <w:tab w:leader="none" w:pos="1386" w:val="left"/>
        </w:tabs>
        <w:numPr>
          <w:ilvl w:val="0"/>
          <w:numId w:val="4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The Administrative Agent or the Issuing Lender, as applicable, shall determine the Dollar Equivalent amounts of Term Benchmark Borrowings or Letter of Credit extensions denominated in Optional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Agreed Currency (other than Dollars) for purposes of the Loan Documents shall be such Dollar Equivalent amount as so determined by the Administrative Agent or the Issuing </w:t>
      </w:r>
      <w:r>
        <w:rPr>
          <w:rFonts w:ascii="Times New Roman" w:cs="Times New Roman" w:eastAsia="Times New Roman" w:hAnsi="Times New Roman"/>
          <w:sz w:val="18"/>
          <w:szCs w:val="18"/>
          <w:color w:val="FF0000"/>
          <w:strike w:val="1"/>
        </w:rPr>
        <w:t>Bank</w:t>
      </w:r>
      <w:r>
        <w:rPr>
          <w:rFonts w:ascii="Times New Roman" w:cs="Times New Roman" w:eastAsia="Times New Roman" w:hAnsi="Times New Roman"/>
          <w:sz w:val="18"/>
          <w:szCs w:val="18"/>
          <w:b w:val="1"/>
          <w:bCs w:val="1"/>
          <w:u w:val="single" w:color="auto"/>
          <w:color w:val="0000FF"/>
        </w:rPr>
        <w:t>Lender</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jc w:val="both"/>
        <w:ind w:right="40" w:firstLine="1304"/>
        <w:spacing w:after="0" w:line="258" w:lineRule="auto"/>
        <w:tabs>
          <w:tab w:leader="none" w:pos="18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Optional Currency, such amount shall be the Dollar Equivalent of such amount (rounded to the nearest unit of such Optional Currency, with 0.5 of a unit being rounded upward), as determined by the Administrative Agent or the Issuing Lender, as the case may be.</w:t>
      </w:r>
    </w:p>
    <w:p>
      <w:pPr>
        <w:spacing w:after="0" w:line="183"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7" w:lineRule="exact"/>
        <w:rPr>
          <w:sz w:val="20"/>
          <w:szCs w:val="20"/>
          <w:color w:val="auto"/>
        </w:rPr>
      </w:pPr>
    </w:p>
    <w:p>
      <w:pPr>
        <w:jc w:val="center"/>
        <w:ind w:right="6620"/>
        <w:spacing w:after="0"/>
        <w:tabs>
          <w:tab w:leader="none" w:pos="300" w:val="left"/>
        </w:tabs>
        <w:rPr>
          <w:sz w:val="20"/>
          <w:szCs w:val="20"/>
          <w:color w:val="auto"/>
        </w:rPr>
      </w:pPr>
      <w:r>
        <w:rPr>
          <w:rFonts w:ascii="Times New Roman" w:cs="Times New Roman" w:eastAsia="Times New Roman" w:hAnsi="Times New Roman"/>
          <w:sz w:val="18"/>
          <w:szCs w:val="18"/>
          <w:u w:val="single" w:color="auto"/>
          <w:color w:val="auto"/>
        </w:rPr>
        <w:t>2.1</w:t>
      </w:r>
      <w:r>
        <w:rPr>
          <w:sz w:val="20"/>
          <w:szCs w:val="20"/>
          <w:color w:val="auto"/>
        </w:rPr>
        <w:tab/>
      </w:r>
      <w:r>
        <w:rPr>
          <w:rFonts w:ascii="Times New Roman" w:cs="Times New Roman" w:eastAsia="Times New Roman" w:hAnsi="Times New Roman"/>
          <w:sz w:val="17"/>
          <w:szCs w:val="17"/>
          <w:u w:val="single" w:color="auto"/>
          <w:color w:val="auto"/>
        </w:rPr>
        <w:t>Term Commitments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right="60" w:firstLine="1304"/>
        <w:spacing w:after="0" w:line="261" w:lineRule="auto"/>
        <w:tabs>
          <w:tab w:leader="none" w:pos="18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Tranche B Term Lender severally agrees to, subject to the terms and conditions set forth in the Tenth Amendment, make a Tranche B Term Loan in Dollars to the Borrower on the Tenth Amendment Effective Date, in an amount not to exceed the amount of the Tranche B Term Commitment of such Lender. The Tranche B Term Loans may from time to time be Adjusted Term SOFR Loans or ABR Loans, as determined by the Borrower and notified to the Administrative Agent in accordance with Sections 2.2 and 2.12.</w:t>
      </w:r>
    </w:p>
    <w:p>
      <w:pPr>
        <w:spacing w:after="0" w:line="179" w:lineRule="exact"/>
        <w:rPr>
          <w:rFonts w:ascii="Times New Roman" w:cs="Times New Roman" w:eastAsia="Times New Roman" w:hAnsi="Times New Roman"/>
          <w:sz w:val="18"/>
          <w:szCs w:val="18"/>
          <w:color w:val="auto"/>
        </w:rPr>
      </w:pPr>
    </w:p>
    <w:p>
      <w:pPr>
        <w:jc w:val="both"/>
        <w:ind w:right="420" w:firstLine="1304"/>
        <w:spacing w:after="0" w:line="281" w:lineRule="auto"/>
        <w:tabs>
          <w:tab w:leader="none" w:pos="186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hereof, each Initial Tranche C Term Lender severally agrees to, subject to the terms and conditions set forth in the Sixth Amendment, make a Tranche C Term Loan in Dollars to the Borrower on the Sixth Amendment Effective Date, in an amount not to exceed the amount of the Tranche C Term Commitment of such Lender. The Tranche C Term Loans may from time to time be Adjusted Term SOFR Loans or ABR Loans, as determined by the Borrower and notified to the Administrative Agent in accordance with Sections 2.2 and 2.12.</w:t>
      </w:r>
    </w:p>
    <w:p>
      <w:pPr>
        <w:spacing w:after="0" w:line="164" w:lineRule="exact"/>
        <w:rPr>
          <w:rFonts w:ascii="Times New Roman" w:cs="Times New Roman" w:eastAsia="Times New Roman" w:hAnsi="Times New Roman"/>
          <w:sz w:val="17"/>
          <w:szCs w:val="17"/>
          <w:color w:val="auto"/>
        </w:rPr>
      </w:pPr>
    </w:p>
    <w:p>
      <w:pPr>
        <w:jc w:val="both"/>
        <w:ind w:right="40" w:firstLine="1304"/>
        <w:spacing w:after="0" w:line="261" w:lineRule="auto"/>
        <w:tabs>
          <w:tab w:leader="none" w:pos="18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Tranche A Term Lender severally agrees to, subject to the terms and conditions set forth in the Ninth Amendment, make a Tranche A Term Loan in Dollars to the Borrower on the Ninth Amendment Effective Date, in an amount not to exceed the amount of the Tranche A Term Commitment of such Lender. The Tranche A Term Loans may from time to time be Adjusted Term SOFR Loans or ABR Loans, as determined by the Borrower and notified to the Administrative Agent in accordance with Sections 2.2 and 2.12.</w:t>
      </w:r>
    </w:p>
    <w:p>
      <w:pPr>
        <w:spacing w:after="0" w:line="180"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2.2</w:t>
      </w:r>
      <w:r>
        <w:rPr>
          <w:sz w:val="20"/>
          <w:szCs w:val="20"/>
          <w:color w:val="auto"/>
        </w:rPr>
        <w:tab/>
      </w:r>
      <w:r>
        <w:rPr>
          <w:rFonts w:ascii="Times New Roman" w:cs="Times New Roman" w:eastAsia="Times New Roman" w:hAnsi="Times New Roman"/>
          <w:sz w:val="17"/>
          <w:szCs w:val="17"/>
          <w:u w:val="single" w:color="auto"/>
          <w:color w:val="auto"/>
        </w:rPr>
        <w:t>Procedure for Term Loan Borrowing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4" w:lineRule="auto"/>
        <w:tabs>
          <w:tab w:leader="none" w:pos="18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give the Administrative Agent irrevocable notice (which notice must be received by the Administrative Agent prior to (i) 12:00 Noon, New York City time, one Business Day prior to the anticipated Tenth Amendment Effective Date, in the case of Adjusted Term SOFR Loans, or (ii) 10:00 A.M., New York City time, on the day of the anticipated Tenth Amendment Effective Date in the case of ABR Loans) requesting that the Tranche B Term Lenders make the Tranche B Term Loans pursuant to the Tranche B Term Commitments on the Tenth Amendment Effective Date and specifying the amount to be borrowed. Upon receipt of such notice the Administrative Agent shall promptly notify each applicable Tranche B Term Lender thereof. Subject to the terms and conditions set forth in the Tenth Amendment, not later than 12:00 Noon, New York City time, on the Tenth Amendment Effective Date, each applicable Tranche B Term Lender shall make available to the Administrative Agent at the Funding Office an amount in immediately available funds equal to the Tranche B Term Loan or Tranche B Term Loans to be made by such Lender pursuant to its Tranche B Term Commitment.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right="220"/>
        <w:spacing w:after="0" w:line="282" w:lineRule="auto"/>
        <w:rPr>
          <w:sz w:val="20"/>
          <w:szCs w:val="20"/>
          <w:color w:val="auto"/>
        </w:rPr>
      </w:pPr>
      <w:r>
        <w:rPr>
          <w:rFonts w:ascii="Times New Roman" w:cs="Times New Roman" w:eastAsia="Times New Roman" w:hAnsi="Times New Roman"/>
          <w:sz w:val="18"/>
          <w:szCs w:val="18"/>
          <w:color w:val="auto"/>
        </w:rPr>
        <w:t>Administrative Agent shall credit the account of the Borrower on the books of such office of the Administrative Agent with the aggregate of the amounts made available to the Administrative Agent by the Tranche B Term Lenders in immediately available funds.</w:t>
      </w:r>
    </w:p>
    <w:p>
      <w:pPr>
        <w:spacing w:after="0" w:line="162" w:lineRule="exact"/>
        <w:rPr>
          <w:sz w:val="20"/>
          <w:szCs w:val="20"/>
          <w:color w:val="auto"/>
        </w:rPr>
      </w:pPr>
    </w:p>
    <w:p>
      <w:pPr>
        <w:ind w:right="40" w:firstLine="1304"/>
        <w:spacing w:after="0" w:line="253" w:lineRule="auto"/>
        <w:tabs>
          <w:tab w:leader="none" w:pos="18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give the Administrative Agent irrevocable notice (which notice must be received by the Administrative Agent prior to (i) 12:00 Noon, New York City time, one Business Day prior to the anticipated Sixth Amendment Effective Date, in the case of Adjusted Term SOFR Loans, or (ii) 10:00 A.M., New York City time, on the day of the anticipated Sixth Amendment Effective Date in the case of ABR Loans) requesting that the Tranche C Term Lenders make the Tranche C Term Loans pursuant to the Tranche C Term Commitments on the Sixth Amendment Effective Date and specifying the amount to be borrowed. Upon receipt of such notice the Administrative Agent shall promptly notify each applicable Tranche C Term Lender thereof. Subject to the terms and conditions set forth in the Sixth Amendment, not later than 12:00 Noon, New York City time, on the Sixth Amendment Effective Date, each applicable Tranche C Term Lender shall make available to the Administrative Agent at the Funding Office an amount in immediately available funds equal to the Tranche C Term Loan or Tranche C Term Loans to be made by such Lender pursuant to its Tranche C Term Commitment. The Administrative Agent shall credit the account of the Borrower on the books of such office of the Administrative Agent with the aggregate of the amounts made available to the Administrative Agent by the Tranche C Term Lenders in immediately available funds.</w:t>
      </w:r>
    </w:p>
    <w:p>
      <w:pPr>
        <w:spacing w:after="0" w:line="194" w:lineRule="exact"/>
        <w:rPr>
          <w:rFonts w:ascii="Times New Roman" w:cs="Times New Roman" w:eastAsia="Times New Roman" w:hAnsi="Times New Roman"/>
          <w:sz w:val="18"/>
          <w:szCs w:val="18"/>
          <w:color w:val="auto"/>
        </w:rPr>
      </w:pPr>
    </w:p>
    <w:p>
      <w:pPr>
        <w:ind w:firstLine="1304"/>
        <w:spacing w:after="0" w:line="253" w:lineRule="auto"/>
        <w:tabs>
          <w:tab w:leader="none" w:pos="18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give the Administrative Agent irrevocable notice (which notice must be received by the Administrative Agent prior to (i) 12:00 Noon, New York City time, one Business Day prior to the anticipated Ninth Amendment Effective Date, in the case of Adjusted Term SOFR Loans, or (ii) 10:00 A.M., New York City time, on the day of the anticipated Ninth Amendment Effective Date in the case of ABR Loans) requesting that the Tranche A Term Lenders make the Tranche A Term Loans pursuant to the Tranche A Term Commitments on the Ninth Amendment Effective Date and specifying the amount to be borrowed. Upon receipt of such notice the Administrative Agent shall promptly notify each applicable Tranche A Term Lender thereof. Subject to the terms and conditions set forth in the Ninth Amendment, not later than 12:00 Noon, New York City time, on the Ninth Amendment Effective Date, each applicable Tranche A Term Lender shall make available to the Administrative Agent at the Funding Office an amount in immediately available funds equal to the Tranche A Term Loan or Tranche A Term Loans to be made by such Lender pursuant to its Tranche A Term Commitment. The Administrative Agent shall credit the account of the Borrower on the books of such office of the Administrative Agent with the aggregate of the amounts made available to the Administrative Agent by the Tranche A Term Lenders in immediately available funds.</w:t>
      </w:r>
    </w:p>
    <w:p>
      <w:pPr>
        <w:spacing w:after="0" w:line="194"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2.3</w:t>
      </w:r>
      <w:r>
        <w:rPr>
          <w:sz w:val="20"/>
          <w:szCs w:val="20"/>
          <w:color w:val="auto"/>
        </w:rPr>
        <w:tab/>
      </w:r>
      <w:r>
        <w:rPr>
          <w:rFonts w:ascii="Times New Roman" w:cs="Times New Roman" w:eastAsia="Times New Roman" w:hAnsi="Times New Roman"/>
          <w:sz w:val="17"/>
          <w:szCs w:val="17"/>
          <w:u w:val="single" w:color="auto"/>
          <w:color w:val="auto"/>
        </w:rPr>
        <w:t>Repayment of Term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58" w:lineRule="auto"/>
        <w:tabs>
          <w:tab w:leader="none" w:pos="18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B Term Loans shall be repayable in installments on each March 31, June 30, September 30 and December 31 of each year, commencing with September 30, 2025, and ending with the Tranche B Term Loan Maturity Date, in an aggregate principal amount equal to (i) in the case of each such installment due prior to the Tranche B Term Loan Maturity Date, 0.25% of the aggregate principal amount of the Tranche B Term Loans made on the Tenth Amendment Effective Date and (ii) in the case of the installment due on the Tranche B Term Loan Maturity Date, the entire remaining balance of the Tranche B Term Loans, subject to reduction pursuant to Section 2.17(b).</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8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C Term Loans shall be repayable in installments on each March 31, June 30, September 30 and December 31 of each year, commencing with March 31, 2023, and ending with the Tranche C Term Loan Maturity Date, in an aggregate principal amount equal to (i) in the case of each such installment due prior to the Tranche C Term Loan Maturity Date, 0.25% of the aggregate principal amount of the Tranche C Term Loans made on the Sixth Amendment Effective Date and (ii)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ind w:right="20"/>
        <w:spacing w:after="0" w:line="282" w:lineRule="auto"/>
        <w:rPr>
          <w:sz w:val="20"/>
          <w:szCs w:val="20"/>
          <w:color w:val="auto"/>
        </w:rPr>
      </w:pPr>
      <w:r>
        <w:rPr>
          <w:rFonts w:ascii="Times New Roman" w:cs="Times New Roman" w:eastAsia="Times New Roman" w:hAnsi="Times New Roman"/>
          <w:sz w:val="18"/>
          <w:szCs w:val="18"/>
          <w:color w:val="auto"/>
        </w:rPr>
        <w:t>the case of the installment due on the Tranche C Term Loan Maturity Date, the entire remaining balance of the Tranche C Term Loans, subject to reduction pursuant to Section 2.17(b).</w:t>
      </w:r>
    </w:p>
    <w:p>
      <w:pPr>
        <w:spacing w:after="0" w:line="162" w:lineRule="exact"/>
        <w:rPr>
          <w:sz w:val="20"/>
          <w:szCs w:val="20"/>
          <w:color w:val="auto"/>
        </w:rPr>
      </w:pPr>
    </w:p>
    <w:p>
      <w:pPr>
        <w:ind w:firstLine="1304"/>
        <w:spacing w:after="0" w:line="256" w:lineRule="auto"/>
        <w:tabs>
          <w:tab w:leader="none" w:pos="18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A Term Loans shall be repayable in installments on each March 31, June 30, September 30 and December 31 of each year, commencing with March 31, 2025, and ending with the Tranche A Term Loan Maturity Date, in an aggregate principal amount equal to (i) in the case of the installments paid on March 31, 2025 and June 30, 2025, 2.50% of the aggregate principal amount of the Tranche A Term Loans made on the Ninth Amendment Effective Date, (ii) in the case of the installment paid on September 30, 2025, 5.00% of the aggregate principal amount of the Tranche A Term Loans made on the Ninth Amendment Effective Date and (iii) in the case of the installment due on the Tranche A Term Loan Maturity Date, the entire remaining balance of the Tranche A Term Loans, subject to reduction pursuant to Section 2.17(b).</w:t>
      </w:r>
    </w:p>
    <w:p>
      <w:pPr>
        <w:spacing w:after="0" w:line="18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2.4</w:t>
      </w:r>
      <w:r>
        <w:rPr>
          <w:sz w:val="20"/>
          <w:szCs w:val="20"/>
          <w:color w:val="auto"/>
        </w:rPr>
        <w:tab/>
      </w:r>
      <w:r>
        <w:rPr>
          <w:rFonts w:ascii="Times New Roman" w:cs="Times New Roman" w:eastAsia="Times New Roman" w:hAnsi="Times New Roman"/>
          <w:sz w:val="17"/>
          <w:szCs w:val="17"/>
          <w:u w:val="single" w:color="auto"/>
          <w:color w:val="auto"/>
        </w:rPr>
        <w:t>Revolving Commitments</w:t>
      </w:r>
      <w:r>
        <w:rPr>
          <w:rFonts w:ascii="Times New Roman" w:cs="Times New Roman" w:eastAsia="Times New Roman" w:hAnsi="Times New Roman"/>
          <w:sz w:val="17"/>
          <w:szCs w:val="17"/>
          <w:b w:val="1"/>
          <w:bCs w:val="1"/>
          <w:u w:val="single" w:color="auto"/>
          <w:color w:val="0000FF"/>
        </w:rPr>
        <w:t>.</w:t>
      </w:r>
    </w:p>
    <w:p>
      <w:pPr>
        <w:spacing w:after="0" w:line="225" w:lineRule="exact"/>
        <w:rPr>
          <w:sz w:val="20"/>
          <w:szCs w:val="20"/>
          <w:color w:val="auto"/>
        </w:rPr>
      </w:pPr>
    </w:p>
    <w:p>
      <w:pPr>
        <w:ind w:right="20" w:firstLine="1304"/>
        <w:spacing w:after="0" w:line="254" w:lineRule="auto"/>
        <w:tabs>
          <w:tab w:leader="none" w:pos="1386" w:val="left"/>
        </w:tabs>
        <w:numPr>
          <w:ilvl w:val="0"/>
          <w:numId w:val="5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Subject to the terms and conditions hereof, each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Lender severally agrees to make revolving credit loans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in Dollars and in any Optional Currency to the Borrower or any Subsidiary Borrower from time to time during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Commitment Period in an aggregate principal amount at any one time outstanding which will not result (after giving effect to any application of proceeds of such Borrowing pursuant to Section 2.6(b)) in (i) the outstanding principal amount of such Lender’s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Extensions of Credit exceeding the amount of such Lender’s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Commitment or (ii)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Total Revolving Extensions of Credit exceeding the aggregate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Commitments. During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Commitment Period the Borrower and any Subsidiary Borrower may use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Commitments by borrowing, prepaying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Loans in whole or in part, and reborrowing, all in accordance with the terms and conditions hereof.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Loans may from time to time be Term Benchmark Loans (it being understood that Term Benchmark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Loans denominated in Dollars shall be Adjusted Term SOFR Loans), RFR Loans (for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Loans denominated in Pounds Sterling) or ABR Loans, as determined by the Borrower or any Subsidiary Borrower and notified to the Administrative Agent in accordance with Sections 2.5 and 2.12. ABR Loans shall be denominated only in Dollars, and, for the avoidance of doubt, in no event shall Loans denominated in Pounds Sterling be Eurocurrency Loans.</w:t>
      </w:r>
    </w:p>
    <w:p>
      <w:pPr>
        <w:spacing w:after="0" w:line="182" w:lineRule="exact"/>
        <w:rPr>
          <w:sz w:val="20"/>
          <w:szCs w:val="20"/>
          <w:color w:val="auto"/>
        </w:rPr>
      </w:pPr>
    </w:p>
    <w:p>
      <w:pPr>
        <w:ind w:firstLine="1304"/>
        <w:spacing w:after="0" w:line="253" w:lineRule="auto"/>
        <w:tabs>
          <w:tab w:leader="none" w:pos="1831" w:val="left"/>
        </w:tabs>
        <w:numPr>
          <w:ilvl w:val="0"/>
          <w:numId w:val="5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Subject to the terms and conditions hereof, each 2031 Revolving Lender severally agrees to make revolving credit loans (“2031 Revolving Loans”) in Dollars and in any Optional Currency to the Borrower or any Subsidiary Borrower from time to time during the 2031 Revolving Commitment Period in an aggregate principal amount at any one time outstanding which will not result (after giving effect to any application of proceeds of such Borrowing pursuant to Section 2.6(b)) in (i) the outstanding principal amount of such Lender’s 2031 Revolving Extensions of Credit exceeding the amount of such Lender’s 2031 Revolving Commitment or (ii) the 2031 Total Revolving Extensions of Credit exceeding the aggregate 2031 Revolving Commitments. During the 2031 Revolving Commitment Period the Borrower and any Subsidiary Borrower may use the 2031 Revolving Commitments by borrowing, prepaying the 2031 Revolving Loans in whole or in part, and reborrowing, all in accordance with the terms and conditions hereof. The 2031 Revolving Loans may from time to time be Term Benchmark Loans (it being understood that Term Benchmark 2031 Revolving Loans denominated in Dollars shall be Adjusted Term SOFR Loans), RFR Loans (for 2031 Revolving Loans denominated in Pounds Sterling) or ABR Loans, as determined by the Borrower or any Subsidiary Borrower and notified to the Administrative Agent in accordance with Sections 2.5 and 2.12. ABR Loans shall be denominated only in Dollars, and, for the avoidance of doubt, in no event shall Loans denominated in Pounds Sterling be Eurocurrency Loans.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00" w:name="page101"/>
    <w:bookmarkEnd w:id="100"/>
    <w:p>
      <w:pPr>
        <w:ind w:right="24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b w:val="1"/>
          <w:bCs w:val="1"/>
          <w:u w:val="single" w:color="auto"/>
          <w:color w:val="0000FF"/>
        </w:rPr>
        <w:t>c</w:t>
      </w:r>
      <w:r>
        <w:rPr>
          <w:rFonts w:ascii="Times New Roman" w:cs="Times New Roman" w:eastAsia="Times New Roman" w:hAnsi="Times New Roman"/>
          <w:sz w:val="18"/>
          <w:szCs w:val="18"/>
          <w:color w:val="auto"/>
        </w:rPr>
        <w:t xml:space="preserve">) The Borrower and any relevant Subsidiary Borrower shall repay all outstanding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Loans on the </w:t>
      </w:r>
      <w:r>
        <w:rPr>
          <w:rFonts w:ascii="Times New Roman" w:cs="Times New Roman" w:eastAsia="Times New Roman" w:hAnsi="Times New Roman"/>
          <w:sz w:val="18"/>
          <w:szCs w:val="18"/>
          <w:b w:val="1"/>
          <w:bCs w:val="1"/>
          <w:u w:val="single" w:color="auto"/>
          <w:color w:val="0000FF"/>
        </w:rPr>
        <w:t>2028</w:t>
      </w:r>
      <w:r>
        <w:rPr>
          <w:rFonts w:ascii="Times New Roman" w:cs="Times New Roman" w:eastAsia="Times New Roman" w:hAnsi="Times New Roman"/>
          <w:sz w:val="18"/>
          <w:szCs w:val="18"/>
          <w:color w:val="auto"/>
        </w:rPr>
        <w:t xml:space="preserve"> Revolving Termination Date. </w:t>
      </w:r>
      <w:r>
        <w:rPr>
          <w:rFonts w:ascii="Times New Roman" w:cs="Times New Roman" w:eastAsia="Times New Roman" w:hAnsi="Times New Roman"/>
          <w:sz w:val="18"/>
          <w:szCs w:val="18"/>
          <w:b w:val="1"/>
          <w:bCs w:val="1"/>
          <w:u w:val="single" w:color="auto"/>
          <w:color w:val="0000FF"/>
        </w:rPr>
        <w:t>The Borrower and any relevant Subsidiary Borrower shall repay all outstanding 2031 Revolving Loans on the 2031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Termination Date.</w:t>
      </w:r>
    </w:p>
    <w:p>
      <w:pPr>
        <w:spacing w:after="0" w:line="17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u w:val="single" w:color="auto"/>
          <w:color w:val="auto"/>
        </w:rPr>
        <w:t>2.5 Procedure for Revolving Loan Borrowing</w:t>
      </w:r>
      <w:r>
        <w:rPr>
          <w:rFonts w:ascii="Times New Roman" w:cs="Times New Roman" w:eastAsia="Times New Roman" w:hAnsi="Times New Roman"/>
          <w:sz w:val="18"/>
          <w:szCs w:val="18"/>
          <w:color w:val="auto"/>
        </w:rPr>
        <w:t xml:space="preserve">. The Borrower and any Subsidiary Borrower may borrow under the Revolving Commitments during the Revolving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the relevant Subsidiary Borrower shall give the Administrative Agent irrevocable notice (which notice must be received by the Administrative Agent prior to (a) 12:00 Noon, New York City time, three Business Days prior to the requested Borrowing Date, in the case of Term Benchmark Loans, (b) 11:00 a.m., New York City time, five Business Days prior to the requested Borrowing Date, in the case of RFR Loans denominated in Pounds Sterling or (c) 12:00 Noon, New York City Time, on the date of the proposed borrowing, in the case of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borrowing of ABR Loans under the Revolving Facility to finance payments required by Section 3.5 may be given not later than 12:00 Noon, New York City time, on the date of the proposed borrowing), specifying (i) the amount and Type of Revolving Loans to be borrowed, (ii) the requested Borrowing Date and (iii) in the case of Term Benchmark Loans, the respective amounts of each such Type of Loan, the Agreed Currency with respect thereto and the respective lengths of the initial Interest Period therefor. If no election as to the Type of a Revolving Loan is specified in any such notice, then the requested borrowing shall be an ABR Loan. If no Agreed Currency with respect to any Term Benchmark Loans is specified in any such notice, then the Borrower or the relevant Subsidiary Borrower shall be deemed to have requested a borrowing in Dollars. If no Interest Period with respect to any Term Benchmark Loan is specified in any such notice, then the Borrower or the relevant Subsidiary Borrower shall be deemed to have selected an Interest Period of one month’s duration. Each borrowing under the Revolving Commitments shall be in an amount equal to (x) in the case of ABR Loans, $1,000,000 or a whole multiple thereof (or, if the then aggregate Available Revolving Commitments are less than $1,000,000, such lesser amount), (y) in the case of Term Benchmark Loans, $5,000,000 or a whole multiple of $1,000,000 in excess thereof and (z) in the case of RFR Loans, $5,000,000 or a whole multiple of $1,000,000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Swingline Lender may request, on behalf of the Borrower or any Subsidiary Borrower, borrowings under the Revolving Commitments that are ABR Loans in other amounts pursuant to Section 2.7. Upon receipt of any such notice from the Borrower or any Subsidiary Borrower, the Administrative Agent shall promptly notify each Revolving Lender thereof. Each Revolving Lender will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borrowing available to the Administrative Agent for the account of the Borrower or the relevant Subsidiary Borrower at the Funding Office prior to 2:00 P.M., New York City time, on the Borrowing Date requested by the Borrower in funds immediately available to the Administrative Agent. Such borrowing will then be made available to the Borrower or the relevant Subsidiary Borrower by the Administrative Agent crediting the account of the Borrower or the relevant Subsidiary Borrower on the books of such office or such other account as the Borrower or relevant Subsidiary Borrower may specify to the Administrative Agent in writing with the aggregate of the amounts made available to the Administrative Agent by the Revolving Lenders and in like funds as received by the Administrative Agent. Each Revolving Lender at its option may make any Revolving Loan by causing any domestic or foreign branch of such Revolving Lender or Affiliate of such Revolving Lender to make such Revolving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or Subsidiary Borrower to repay such Revolving Loan in accordance with the terms of this Agreement.</w:t>
      </w:r>
    </w:p>
    <w:p>
      <w:pPr>
        <w:spacing w:after="0" w:line="199"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Notwithstanding anything to the contrary in this Agreement, in no event shall any Borrower be permitted to request pursuant to this Section 2.5,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ind w:right="1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Central Bank Rate, the Canadian Prime Rate, Daily Simple SOFR and Daily Simple CORRA shall only apply to the extent provided in Sections 2.12(b) (solely with respect to the Central Bank Rate and the Canadian Prime Rate), 2.16(a) and 2.16(g)), as applicable.</w:t>
      </w:r>
    </w:p>
    <w:p>
      <w:pPr>
        <w:spacing w:after="0" w:line="15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2.6</w:t>
      </w:r>
      <w:r>
        <w:rPr>
          <w:sz w:val="20"/>
          <w:szCs w:val="20"/>
          <w:color w:val="auto"/>
        </w:rPr>
        <w:tab/>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firstLine="1304"/>
        <w:spacing w:after="0" w:line="253" w:lineRule="auto"/>
        <w:tabs>
          <w:tab w:leader="none" w:pos="1386" w:val="left"/>
        </w:tabs>
        <w:numPr>
          <w:ilvl w:val="0"/>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Subject to the terms and conditions hereof, each Swingline Lender severally agrees to make a portion of the credit otherwise available to the Borrower and any Subsidiary Borrower under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from time to time during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 Period by making swing line loans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in Dollars to the Borrower and any Subsidiary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of Swingline Loans made by such Swingline Lender outstanding at any time shall not exceed such Swingline Lender’s Swingline Commitment then in effect, (ii) the outstanding principal amount of such Swingline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Extensions of Credit shall not exceed the amount of such Swingline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 and (iii) the Borrower or the relevant Subsidiary Borrower shall not request, and a Swingline Lender shall not make, any Swingline Loan if, after giving effect to the making of such Swingline Loan, the aggregate amount of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Available Revolving Commitments would be less than zero. During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 Period, the Borrower and any Subsidiary Borrower may use the Swingline Commitment by borrowing, repaying and reborrowing, all in accordance with the terms and conditions hereof. Swingline Loans shall be ABR Loans only.</w:t>
      </w:r>
    </w:p>
    <w:p>
      <w:pPr>
        <w:spacing w:after="0" w:line="194" w:lineRule="exact"/>
        <w:rPr>
          <w:sz w:val="20"/>
          <w:szCs w:val="20"/>
          <w:color w:val="auto"/>
        </w:rPr>
      </w:pPr>
    </w:p>
    <w:p>
      <w:pPr>
        <w:ind w:right="100" w:firstLine="1304"/>
        <w:spacing w:after="0" w:line="258" w:lineRule="auto"/>
        <w:tabs>
          <w:tab w:leader="none" w:pos="18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relevant Subsidiary Borrower shall repay to the Administrative Agent for the account of the Swingline Lenders the then unpaid principal amount of each Swingline Loan on the earlier of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Termination Date and the first date after such Swingline Loan is made that is the 15th or last day of a calendar month and is at least two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 is borrowed, the Borrower or relevant Subsidiary Borrower shall repay all Swingline Loans then outstanding and the proceeds of any such borrowing of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 shall be applied by the Administrative Agent to repay any Swingline Loans outstanding.</w:t>
      </w:r>
    </w:p>
    <w:p>
      <w:pPr>
        <w:spacing w:after="0" w:line="17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2.7</w:t>
      </w:r>
      <w:r>
        <w:rPr>
          <w:sz w:val="20"/>
          <w:szCs w:val="20"/>
          <w:color w:val="auto"/>
        </w:rPr>
        <w:tab/>
      </w:r>
      <w:r>
        <w:rPr>
          <w:rFonts w:ascii="Times New Roman" w:cs="Times New Roman" w:eastAsia="Times New Roman" w:hAnsi="Times New Roman"/>
          <w:sz w:val="17"/>
          <w:szCs w:val="17"/>
          <w:u w:val="single" w:color="auto"/>
          <w:color w:val="auto"/>
        </w:rPr>
        <w:t>Procedure for Swingline Borrowing; Refunding of Swingline Loans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20" w:firstLine="1304"/>
        <w:spacing w:after="0" w:line="253" w:lineRule="auto"/>
        <w:tabs>
          <w:tab w:leader="none" w:pos="1386" w:val="left"/>
        </w:tabs>
        <w:numPr>
          <w:ilvl w:val="0"/>
          <w:numId w:val="5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Whenever the Borrower or any Subsidiary Borrower desires that a Swingline Lender make Swingline Loans it shall give the Administrative Agent irrevocable </w:t>
      </w:r>
      <w:r>
        <w:rPr>
          <w:rFonts w:ascii="Times New Roman" w:cs="Times New Roman" w:eastAsia="Times New Roman" w:hAnsi="Times New Roman"/>
          <w:sz w:val="18"/>
          <w:szCs w:val="18"/>
          <w:color w:val="FF0000"/>
          <w:strike w:val="1"/>
        </w:rPr>
        <w:t>telephonic notice confirmed promptly in writing (which telephonic</w:t>
      </w:r>
      <w:r>
        <w:rPr>
          <w:rFonts w:ascii="Times New Roman" w:cs="Times New Roman" w:eastAsia="Times New Roman" w:hAnsi="Times New Roman"/>
          <w:sz w:val="18"/>
          <w:szCs w:val="18"/>
          <w:b w:val="1"/>
          <w:bCs w:val="1"/>
          <w:u w:val="single" w:color="auto"/>
          <w:color w:val="0000FF"/>
        </w:rPr>
        <w:t>written notice by telecopy or electronic mail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transmit by electronic communication including an Approved Borrower Portal, if arrangements for such transmission have been approved by the Administrative Agent) (which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notice must be received by the Administrative Agent not later than 1:00 P.M., New York City time, on the proposed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Borrowing Date), specifying (i) the amount to be borrowed and (ii) the requested Borrowing Date (which shall be a Business Day during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000000"/>
        </w:rPr>
        <w:t xml:space="preserve"> Revolving Commitment Period). The Administrative Agent will promptly advise the Swingline Lenders of any such notice received from the Borrower. Each borrowing under the Swingline Commitment shall be in an amount equal to $500,000 or a whole multiple of $100,000 in excess thereof. Not later than 3:00 P.M., New York City time, on the Borrowing Date specified in a notice in respect of Swingline Loans, each Swingline Lender shall make its ratable portion of the requested Swingline Loan (such ratable portion to be calculated based upon such Swingline Lender’s Swingline Commitment to the total Swingline Commitments of all of the Swingline Lenders) available to the Administrative Agent at the Funding Office in immediately available funds. The Administrative Agent shall make the proceeds of such Swingline Loan available to the Borrower or relevant Subsidiary Borrower on such Borrowing Date by depositing such proceeds in the account of the Borrower or relevant Subsidiary Borrower with the Administrative Agent or such other account as the Borrower or relevant</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Subsidiary Borrower may specify to the Administrative Agent in writing on such Borrowing Date in immediately available funds.</w:t>
      </w:r>
    </w:p>
    <w:p>
      <w:pPr>
        <w:spacing w:after="0" w:line="225" w:lineRule="exact"/>
        <w:rPr>
          <w:sz w:val="20"/>
          <w:szCs w:val="20"/>
          <w:color w:val="auto"/>
        </w:rPr>
      </w:pPr>
    </w:p>
    <w:p>
      <w:pPr>
        <w:ind w:firstLine="1304"/>
        <w:spacing w:after="0" w:line="252" w:lineRule="auto"/>
        <w:tabs>
          <w:tab w:leader="none" w:pos="18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Swingline Lender, at any time and from time to time in its sole and absolute discretion may, on behalf of the Borrower or relevant Subsidiary Borrower (each of which hereby irrevocably directs each Swingline Lender to act on its behalf), by written notice given to the Administrative Agent require each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to make, and each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hereby agrees to make, a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 in an amount equal to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Percentage of the aggregate amount of the Swingline Loans (the “</w:t>
      </w:r>
      <w:r>
        <w:rPr>
          <w:rFonts w:ascii="Times New Roman" w:cs="Times New Roman" w:eastAsia="Times New Roman" w:hAnsi="Times New Roman"/>
          <w:sz w:val="18"/>
          <w:szCs w:val="18"/>
          <w:u w:val="single" w:color="auto"/>
          <w:color w:val="auto"/>
        </w:rPr>
        <w:t>Refunded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outstanding on the date of such notice, to repay the Swingline Lenders. Promptly upon receipt of such notice, the Administrative Agent will give notice thereof to each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specifying in such notice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at the Funding Office in immediately available funds, for the account of such Swingline Lenders,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Percentage of such Swingline Loans. The proceeds of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 shall be promptly made available by the Administrative Agent to the Swingline Lenders for application by the Swingline Lenders to the repayment of the Refunded Swingline Loans. The Borrower and relevant Subsidiary Borrower irrevocably authorize each Swingline Lender to charge the Borrower’s and relevant Subsidiary Borrower’s accounts with the Administrative Agent (up to the amount available in each such account) in order to immediately pay the amount of such Refunded Swingline Loans to the extent amounts received from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are not sufficient to repay in full such Refunded Swingline Loans.</w:t>
      </w:r>
    </w:p>
    <w:p>
      <w:pPr>
        <w:spacing w:after="0" w:line="191" w:lineRule="exact"/>
        <w:rPr>
          <w:rFonts w:ascii="Times New Roman" w:cs="Times New Roman" w:eastAsia="Times New Roman" w:hAnsi="Times New Roman"/>
          <w:sz w:val="18"/>
          <w:szCs w:val="18"/>
          <w:color w:val="auto"/>
        </w:rPr>
      </w:pPr>
    </w:p>
    <w:p>
      <w:pPr>
        <w:ind w:right="60" w:firstLine="1304"/>
        <w:spacing w:after="0" w:line="255" w:lineRule="auto"/>
        <w:tabs>
          <w:tab w:leader="none" w:pos="18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time a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 would have otherwise been made pursuant to Section 2.7(b), one of the events described in Section 8(f) shall have occurred and be continuing with respect to the Borrower or relevant Subsidiary Borrower or if for any other reason, as determined by any Swingline Lender in its sole discretion,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 may not be made as contemplated by Section 2.7(b), each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shall, on the date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 was to have been made pursuant to the notice referred to in Section 2.7(b), purchase for cash an undivided participating interest in the then outstanding Swingline Loans by paying to the Administrative Agent at the Funding Office in immediately available funds for the account of the Swingline Lenders an amount (the “</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equal to (i)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sum of the aggregate principal amount of Swingline Loans then outstanding that were to have been repaid with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w:t>
      </w:r>
    </w:p>
    <w:p>
      <w:pPr>
        <w:spacing w:after="0" w:line="184" w:lineRule="exact"/>
        <w:rPr>
          <w:rFonts w:ascii="Times New Roman" w:cs="Times New Roman" w:eastAsia="Times New Roman" w:hAnsi="Times New Roman"/>
          <w:sz w:val="18"/>
          <w:szCs w:val="18"/>
          <w:color w:val="auto"/>
        </w:rPr>
      </w:pPr>
    </w:p>
    <w:p>
      <w:pPr>
        <w:ind w:firstLine="1304"/>
        <w:spacing w:after="0" w:line="255" w:lineRule="auto"/>
        <w:tabs>
          <w:tab w:leader="none" w:pos="18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Swingline Lender has received from any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such Lender’s Swingline Participation Amount, such Swingline Lender receives any payment on account of the Swingline Loans, such Swingline Lender will distribute such amount to the Administrative Agent and any such amounts received by the Administrative Agent shall be promptly remitted by the Administrative Agent to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Revolving Lenders that shall have made their payments pursuant to paragraph (c) above and to the Swingline Lender, as their interests may appear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18"/>
          <w:szCs w:val="18"/>
          <w:u w:val="single" w:color="auto"/>
          <w:color w:val="000000"/>
        </w:rPr>
        <w:t>pro rata</w:t>
      </w:r>
      <w:r>
        <w:rPr>
          <w:rFonts w:ascii="Times New Roman" w:cs="Times New Roman" w:eastAsia="Times New Roman" w:hAnsi="Times New Roman"/>
          <w:sz w:val="18"/>
          <w:szCs w:val="18"/>
          <w:color w:val="000000"/>
        </w:rPr>
        <w:t xml:space="preserve"> portion of such payment if such payment is not sufficient to pay the principal of and interest on all Swingline Loans then due);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in the event that such payment received by such Swingline Lender is required to be returned,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000000"/>
        </w:rPr>
        <w:t xml:space="preserve"> Revolving Lender will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return to such Swingline Lender any portion thereof previously distributed to it by the Administrative Agent.</w:t>
      </w:r>
    </w:p>
    <w:p>
      <w:pPr>
        <w:spacing w:after="0" w:line="221" w:lineRule="exact"/>
        <w:rPr>
          <w:sz w:val="20"/>
          <w:szCs w:val="20"/>
          <w:color w:val="auto"/>
        </w:rPr>
      </w:pPr>
    </w:p>
    <w:p>
      <w:pPr>
        <w:ind w:right="100" w:firstLine="1304"/>
        <w:spacing w:after="0" w:line="255" w:lineRule="auto"/>
        <w:tabs>
          <w:tab w:leader="none" w:pos="18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obligation to make the Loans referred to in Section 2.7(b) and to purchase participating interests pursuant to Section 2.7(c) shall be absolute and unconditional and shall not be affected by any circumstance, including (i) any setoff, counterclaim, recoupment, defense or other right that such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or the Borrower or any Subsidiary Borrower may have against any Swingline Lender, the Borrower or any Subsidiary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Subsidiary Borrower, (iv) any breach of this Agreement or any other Loan Document by the Borrower, any Subsidiary Borrower, any other Loan Party or any other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 or (v) any other circumstance, happening or event whatsoever, whether or not similar to any of the foregoing.</w:t>
      </w:r>
    </w:p>
    <w:p>
      <w:pPr>
        <w:spacing w:after="0" w:line="188" w:lineRule="exact"/>
        <w:rPr>
          <w:rFonts w:ascii="Times New Roman" w:cs="Times New Roman" w:eastAsia="Times New Roman" w:hAnsi="Times New Roman"/>
          <w:sz w:val="18"/>
          <w:szCs w:val="18"/>
          <w:color w:val="auto"/>
        </w:rPr>
      </w:pPr>
    </w:p>
    <w:p>
      <w:pPr>
        <w:ind w:right="140" w:firstLine="1304"/>
        <w:spacing w:after="0" w:line="261" w:lineRule="auto"/>
        <w:tabs>
          <w:tab w:leader="none" w:pos="17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2.8</w:t>
      </w:r>
      <w:r>
        <w:rPr>
          <w:sz w:val="20"/>
          <w:szCs w:val="20"/>
          <w:color w:val="auto"/>
        </w:rPr>
        <w:tab/>
      </w:r>
      <w:r>
        <w:rPr>
          <w:rFonts w:ascii="Times New Roman" w:cs="Times New Roman" w:eastAsia="Times New Roman" w:hAnsi="Times New Roman"/>
          <w:sz w:val="18"/>
          <w:szCs w:val="18"/>
          <w:u w:val="single" w:color="auto"/>
          <w:color w:val="auto"/>
        </w:rPr>
        <w:t>Commitment Fees, etc</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firstLine="1304"/>
        <w:spacing w:after="0" w:line="261" w:lineRule="auto"/>
        <w:tabs>
          <w:tab w:leader="none" w:pos="1386" w:val="left"/>
        </w:tabs>
        <w:numPr>
          <w:ilvl w:val="0"/>
          <w:numId w:val="6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The Borrower agrees to pay to the Administrative Agent for the account of each Revolving Lender a commitment fee for the period from and including the date hereof to the last day of the Revolving Commitment Period, computed at the Commitment Fee Rate on the average daily amount of the Available Revolving Commitment of such Lender during the period for which payment is made, payable quarterly in arrears on each Fee Payment Date, commencing on the first such date to occur after the date hereof.</w:t>
      </w:r>
    </w:p>
    <w:p>
      <w:pPr>
        <w:spacing w:after="0" w:line="180" w:lineRule="exact"/>
        <w:rPr>
          <w:sz w:val="20"/>
          <w:szCs w:val="20"/>
          <w:color w:val="auto"/>
        </w:rPr>
      </w:pPr>
    </w:p>
    <w:p>
      <w:pPr>
        <w:ind w:right="840" w:firstLine="1304"/>
        <w:spacing w:after="0" w:line="282" w:lineRule="auto"/>
        <w:tabs>
          <w:tab w:leader="none" w:pos="181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the fees in the amounts and on the dates as set forth in any fee agreements with the Administrative Agent and to perform any other obligations contained therein.</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2.9 Termination or Reduction of Revolving Commitments</w:t>
      </w:r>
      <w:r>
        <w:rPr>
          <w:rFonts w:ascii="Times New Roman" w:cs="Times New Roman" w:eastAsia="Times New Roman" w:hAnsi="Times New Roman"/>
          <w:sz w:val="18"/>
          <w:szCs w:val="18"/>
          <w:color w:val="auto"/>
        </w:rPr>
        <w:t xml:space="preserve">. The Borrower shall have the right, upon not less than three Business Days’ notice to the Administrative Agent, to terminate the Revolving Commitments or, from time to time, to reduce the amount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Revolving Commitments shall be permitted if, after giving effect thereto and to any prepayments of the Revolving Loans and Swingline Loans made on the effective date thereof, the Total Revolving Extensions of Credit would exceed the Total Revolving Commitments. Any such reduction shall be in an amount equal to $1,000,000, or a whole multiple thereof, and shall reduce permanently the Revolving Commitments then in effect. Each notice delivered by the Borrower pursuant to this Section 2.9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the Revolving Commitments delivered by the Borrower may state that such notice is conditioned upon the effectiveness of other credit facilities or a Change in Control, in either case, which such notice may be revoked by the Borrower (by notice to the Administrative Agent on or prior to the specified effective date) if such condition is not satisfied. Notwithstanding the foregoing, the revocation of a termination notice shall not affect the Borrower’s obligation to indemnify any Lender in accordance with Section 2.20 for any loss or expense sustained or incurred as a consequence thereof.</w:t>
      </w:r>
    </w:p>
    <w:p>
      <w:pPr>
        <w:spacing w:after="0" w:line="19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2.10</w:t>
      </w:r>
      <w:r>
        <w:rPr>
          <w:sz w:val="20"/>
          <w:szCs w:val="20"/>
          <w:color w:val="auto"/>
        </w:rPr>
        <w:tab/>
      </w: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ind w:left="-80" w:right="20" w:firstLine="1304"/>
        <w:spacing w:after="0" w:line="252" w:lineRule="auto"/>
        <w:tabs>
          <w:tab w:leader="none" w:pos="1306" w:val="left"/>
        </w:tabs>
        <w:numPr>
          <w:ilvl w:val="0"/>
          <w:numId w:val="6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The Borrower and any relevant Subsidiary Borrower may at any time and from time to time prepay the Loans, in whole or in part, without premium or penalty (except in the case of Tranche C Term Loans as otherwise provided in paragraph (b) below) upon irrevocable notice (except as otherwise provided below) delivered to the Administrative Agent no later than (i) 12:00 Noon, New York City time, three Business Days prior thereto, in the case of Term Benchmark Loans, (ii) 11:00 a.m., New York City time, five Business Days before the date of prepayment in the case of prepayment of an RFR Revolving Borrowing denominated in Sterling and (iii) 12:00 Noon, New York City time, on the day of such prepayment, in the case of ABR Loans, which notice shall specify the date and amount of prepayment and whether the prepayment is of Term Benchmark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Borrower or relevant Subsidiary Borrower shall also pay any amounts owing pursuant to Section 2.20;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Borrower may state that such notice is conditioned upon the effectiveness of other credit facilities or a Change in Control, in either case, which such notice may be revoked by the Borrower (by further notice to the Administrative Agent on or prior to the specified effective date) if such condition is not satisfied. Notwithstanding the foregoing, the revocation of a termination notice shall not affect the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and Revolving Loans shall be in an aggregate principal amount of $1,000,000 or a whole multiple thereof. Partial prepayments of Swingline Loans shall be in an aggregate principal amount of $100,000 or a whole multiple thereof.</w:t>
      </w:r>
    </w:p>
    <w:p>
      <w:pPr>
        <w:spacing w:after="0" w:line="195" w:lineRule="exact"/>
        <w:rPr>
          <w:sz w:val="20"/>
          <w:szCs w:val="20"/>
          <w:color w:val="auto"/>
        </w:rPr>
      </w:pPr>
    </w:p>
    <w:p>
      <w:pPr>
        <w:ind w:left="-80" w:firstLine="1304"/>
        <w:spacing w:after="0" w:line="253" w:lineRule="auto"/>
        <w:tabs>
          <w:tab w:leader="none" w:pos="17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optional prepayment of the Tranche C Term Loans using proceeds of any credit facility term loans incurred by the Borrower for which, the interest rate payable thereon on the date of such prepayment is lower than the Adjusted Term SOFR Rate on the date of such prepayment plus the Applicable Margin with respect to the Tranche C Term Loans on the date of such prepayment with the primary purpose of refinancing Tranche C Term Loans at a lower interest rate or (ii) repricing of the Tranche C Term Loans pursuant to an amendment to this Agreement resulting in the interest rate payable thereon on the date of such amendment being lower than the Adjusted Term SOFR Rate on the date immediately prior to such amendment plus the Applicable Margin with respect to the Tranche C Term Loans on the date immediately prior to such amendment, shall be accompanied by a prepayment fee equal to 1.00% of the aggregate principal amount of such prepayment (or, in the case of clause (ii) above, of the aggregate amount of Tranche C Term Loans outstanding immediately prior to such amendment) if made on or prior to the date that is six months after the Sixth Amendment Effective Date. Such fee shall be paid by the Borrower to the Administrative Agent for the account of the Tranche C Term Lenders on the date of such prepayment or amendment (as the case may be).</w:t>
      </w:r>
    </w:p>
    <w:p>
      <w:pPr>
        <w:spacing w:after="0" w:line="194" w:lineRule="exact"/>
        <w:rPr>
          <w:rFonts w:ascii="Times New Roman" w:cs="Times New Roman" w:eastAsia="Times New Roman" w:hAnsi="Times New Roman"/>
          <w:sz w:val="18"/>
          <w:szCs w:val="18"/>
          <w:color w:val="auto"/>
        </w:rPr>
      </w:pPr>
    </w:p>
    <w:p>
      <w:pPr>
        <w:ind w:left="-80" w:firstLine="1304"/>
        <w:spacing w:after="0" w:line="254" w:lineRule="auto"/>
        <w:tabs>
          <w:tab w:leader="none" w:pos="17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optional prepayment of the Tranche B Term Loans using proceeds of any credit facility term loans incurred by the Borrower for which, the interest rate payable thereon on the date of such prepayment is lower than the Adjusted Term SOFR Rate on the date of such prepayment plus the Applicable Margin with respect to the Tranche B Term Loans on the date of such prepayment with the primary purpose of refinancing Tranche B Term Loans at a lower interest rate or (ii) repricing of the Tranche B Term Loans pursuant to an amendment to this Agreement resulting in the interest rate payable thereon on the date of such amendment being lower than the Adjusted Term SOFR Rate on the date immediately prior to such amendment plus the Applicable Margin with respect to the Tranche B Term Loans on the date immediately prior to such amendment, shall be accompanied by a prepayment fee equal to 1.00% of the aggregate principal amount of such prepayment (or, in the case of clause (ii) above, of the aggregate amount of Tranche B Term Loans outstanding immediately prior to such amendment) if made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580" w:right="399" w:bottom="1440" w:gutter="0" w:footer="0" w:header="0"/>
        </w:sectPr>
      </w:pPr>
    </w:p>
    <w:bookmarkStart w:id="105" w:name="page106"/>
    <w:bookmarkEnd w:id="105"/>
    <w:p>
      <w:pPr>
        <w:ind w:right="20"/>
        <w:spacing w:after="0" w:line="282" w:lineRule="auto"/>
        <w:rPr>
          <w:sz w:val="20"/>
          <w:szCs w:val="20"/>
          <w:color w:val="auto"/>
        </w:rPr>
      </w:pPr>
      <w:r>
        <w:rPr>
          <w:rFonts w:ascii="Times New Roman" w:cs="Times New Roman" w:eastAsia="Times New Roman" w:hAnsi="Times New Roman"/>
          <w:sz w:val="18"/>
          <w:szCs w:val="18"/>
          <w:color w:val="auto"/>
        </w:rPr>
        <w:t>on or prior to the date that is six months after the Tenth Amendment Effective Date. Such fee shall be paid by the Borrower to the Administrative Agent for the account of the Tranche B Term Lenders on the date of such prepayment or amendment (as the case may be).</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2.11</w:t>
      </w:r>
      <w:r>
        <w:rPr>
          <w:sz w:val="20"/>
          <w:szCs w:val="20"/>
          <w:color w:val="auto"/>
        </w:rPr>
        <w:tab/>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right="20" w:firstLine="1304"/>
        <w:spacing w:after="0" w:line="255" w:lineRule="auto"/>
        <w:tabs>
          <w:tab w:leader="none" w:pos="1386" w:val="left"/>
        </w:tabs>
        <w:numPr>
          <w:ilvl w:val="0"/>
          <w:numId w:val="6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If any Indebtedness shall be issued or incurred by any Group Member (other than ABG) (excluding any Indebtedness incurred in accordance with Section 7.2), an amount equal to 100% of the Net Cash Proceeds thereof shall be applied on the date of such issuance or incurrence, or in the event such Net Cash Proceeds are received after 12:00 Noon, New York City time, on the next Business Day, toward the prepayment of the Term Loans as set forth in Section 2.11(c);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Indebtedness shall be issued or incurred by any Group Member (other than such Indebtedness incurred to refinance (i) any Loans incurred pursuant to this Agreement or (ii) the Senior Unsecured Notes), an amount equal to 100% of the Net Cash Proceeds thereof shall be applied on the date of such issuance or incurrence, or in the event such Net Cash Proceeds are received after 12:00 Noon, New York City time, on the next Business Day, toward the prepayment of the Tranche A Term Loans.</w:t>
      </w:r>
    </w:p>
    <w:p>
      <w:pPr>
        <w:spacing w:after="0" w:line="189" w:lineRule="exact"/>
        <w:rPr>
          <w:sz w:val="20"/>
          <w:szCs w:val="20"/>
          <w:color w:val="auto"/>
        </w:rPr>
      </w:pPr>
    </w:p>
    <w:p>
      <w:pPr>
        <w:ind w:right="40" w:firstLine="1304"/>
        <w:spacing w:after="0" w:line="272" w:lineRule="auto"/>
        <w:tabs>
          <w:tab w:leader="none" w:pos="182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any date any Loan Party (other than ABG) shall receive Net Cash Proceeds from any Asset Sale or Recovery Event then, unless a Reinvestment Notice shall be delivered in respect thereof, 100% of such Net Cash Proceeds or, in the case of any Disposition permitted by Section 7.5(f), 100% of such Net Cash Proceeds, shall be applied within three Business Days toward the prepayment of the Term Loans as set forth in Section</w:t>
      </w:r>
    </w:p>
    <w:p>
      <w:pPr>
        <w:spacing w:after="0" w:line="1" w:lineRule="exact"/>
        <w:rPr>
          <w:rFonts w:ascii="Times New Roman" w:cs="Times New Roman" w:eastAsia="Times New Roman" w:hAnsi="Times New Roman"/>
          <w:sz w:val="17"/>
          <w:szCs w:val="17"/>
          <w:color w:val="auto"/>
        </w:rPr>
      </w:pPr>
    </w:p>
    <w:p>
      <w:pPr>
        <w:ind w:right="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2.11(c);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Reinvestment Prepayment Date, an amount equal to the Reinvestment Prepayment Amount with respect to the relevant Reinvestment Event shall be applied toward the prepayment of the Term Loans as set forth in Section 2.11(c).</w:t>
      </w:r>
    </w:p>
    <w:p>
      <w:pPr>
        <w:spacing w:after="0" w:line="181" w:lineRule="exact"/>
        <w:rPr>
          <w:rFonts w:ascii="Times New Roman" w:cs="Times New Roman" w:eastAsia="Times New Roman" w:hAnsi="Times New Roman"/>
          <w:sz w:val="17"/>
          <w:szCs w:val="17"/>
          <w:color w:val="auto"/>
        </w:rPr>
      </w:pPr>
    </w:p>
    <w:p>
      <w:pPr>
        <w:ind w:right="180" w:firstLine="1304"/>
        <w:spacing w:after="0" w:line="261" w:lineRule="auto"/>
        <w:tabs>
          <w:tab w:leader="none" w:pos="18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to be applied in connection with prepayments of the outstanding Term Loans pursuant to this Section 2.11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ABR Loans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Term Benchmark Loans and, in each case, in accordance with Section 2.17(b). Each prepayment of the Term Loans under this Section 2.11 shall be accompanied by accrued interest to the date of such prepayment on the amount prepaid. If no Term Loans are outstanding, such remaining amounts shall be retained by the relevant Group Member.</w:t>
      </w:r>
    </w:p>
    <w:p>
      <w:pPr>
        <w:spacing w:after="0" w:line="179" w:lineRule="exact"/>
        <w:rPr>
          <w:rFonts w:ascii="Times New Roman" w:cs="Times New Roman" w:eastAsia="Times New Roman" w:hAnsi="Times New Roman"/>
          <w:sz w:val="18"/>
          <w:szCs w:val="18"/>
          <w:color w:val="auto"/>
        </w:rPr>
      </w:pPr>
    </w:p>
    <w:p>
      <w:pPr>
        <w:ind w:firstLine="1304"/>
        <w:spacing w:after="0" w:line="253" w:lineRule="auto"/>
        <w:tabs>
          <w:tab w:leader="none" w:pos="181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prepayment of Term Loans pursuant to Section 2.11(b), any Term Lender, at its option (but solely to the extent the Borrower elects for this clause (d) to be applicable to a given prepayment), may elect not to accept such prepayment as provided below. The Borrower may notify the Administrative Agent of any event giving rise to a prepayment under Section 2.11(b) at least five Business Days prior to the date of such prepayment. Each such notice shall specify the date of such prepayment and provide a reasonably detailed calculation of the amount of such prepayment that is required to be made under Section 2.11(b) (the “</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The Administrative Agent will promptly notify each Term Lender of the contents of any such prepayment notice so received from the Borrower, including the date on which such prepayment is to be made (the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Any Term Lender may (but solely to the extent the Borrower elects for this clause (d) to be applicable to a given prepayment) decline to accept all (but not less than all) of its share of any such prepayment (any such Lender,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by providing written notice to the Administrative Agent no later than 5:00 p.m. (New York City time) one Business Day after the date of such Term Lender’s receipt of notice from the Administrative Agent regarding such prepayment. If any Term Lender does not give a notice to the Administrative Agent within the time frame specified above informing the Administrative Agent that it declines to accept the applicable prepayment, then such Lender will be deemed to have accepted such prepayment. On any Prepayment Date, an amount equal to the Prepayment Amount minus the portion of thereof allocable to Declining Lenders, in each case for such Prepayment Date, shall be paid to the Administrative Agent by the Borrower and applied by the Administrative Agent ratably to prepay Term</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6" w:name="page107"/>
    <w:bookmarkEnd w:id="106"/>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Loans owing to Term Lenders (other than Declining Lenders) in the manner described in this Section 2.11 for such prepayment. Any amounts that would otherwise have been applied to prepay Term Loans owing to Declining Lenders shall be retained by the Borrower (such amounts, “</w:t>
      </w:r>
      <w:r>
        <w:rPr>
          <w:rFonts w:ascii="Times New Roman" w:cs="Times New Roman" w:eastAsia="Times New Roman" w:hAnsi="Times New Roman"/>
          <w:sz w:val="17"/>
          <w:szCs w:val="17"/>
          <w:u w:val="single" w:color="auto"/>
          <w:color w:val="auto"/>
        </w:rPr>
        <w:t>Declined Amounts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2.12</w:t>
      </w:r>
      <w:r>
        <w:rPr>
          <w:sz w:val="20"/>
          <w:szCs w:val="20"/>
          <w:color w:val="auto"/>
        </w:rPr>
        <w:tab/>
      </w:r>
      <w:r>
        <w:rPr>
          <w:rFonts w:ascii="Times New Roman" w:cs="Times New Roman" w:eastAsia="Times New Roman" w:hAnsi="Times New Roman"/>
          <w:sz w:val="17"/>
          <w:szCs w:val="17"/>
          <w:u w:val="single" w:color="auto"/>
          <w:color w:val="auto"/>
        </w:rPr>
        <w:t>Conversion and Continuation Options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firstLine="1304"/>
        <w:spacing w:after="0" w:line="254" w:lineRule="auto"/>
        <w:tabs>
          <w:tab w:leader="none" w:pos="1386" w:val="left"/>
        </w:tabs>
        <w:numPr>
          <w:ilvl w:val="0"/>
          <w:numId w:val="6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The Borrower or any Subsidiary Borrower may elect from time to time to convert Term Benchmark Loans to ABR Loans by giving the Administrative Agent prior irrevocable notice of such election no later than 11:00 A.M., New York City time, on the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may only be made on the last day of an Interest Period with respect thereto. The Borrower or any Subsidiary Borrower may elect from time to time to convert ABR Loans to Term Benchmark Loans by giving the Administrative Agent prior irrevocable notice of such election no later than 12:00 Noon,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ABR Loan under a particular Facility may be converted into a Term Benchmark Loan when any Event of Default has occurred and is continuing and the Administrative Agent or the Majority Facility Lenders in respect of such Facility have determined in its or their sole discretion not to permit such conversions. Upon receipt of any such notice the Administrative Agent shall promptly notify each relevant Lender thereof.</w:t>
      </w:r>
    </w:p>
    <w:p>
      <w:pPr>
        <w:spacing w:after="0" w:line="188" w:lineRule="exact"/>
        <w:rPr>
          <w:sz w:val="20"/>
          <w:szCs w:val="20"/>
          <w:color w:val="auto"/>
        </w:rPr>
      </w:pPr>
    </w:p>
    <w:p>
      <w:pPr>
        <w:ind w:firstLine="1304"/>
        <w:spacing w:after="0" w:line="252" w:lineRule="auto"/>
        <w:tabs>
          <w:tab w:leader="none" w:pos="18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Borrower or relevant Subsidiary Borrower giving irrevocable notice to the Administrative Agent, in accordance with the applicable provisions of the term “Interest Period” set forth in Section 1.1, of the length of the next Interest Period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Term Benchmark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(and the Administrative Agent shall notify the Borrower within a reasonable amount of time of any such determination),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Borrower or such Subsidiary Borrower shall fail to give any required notice as described above in this paragraph such Loans </w:t>
      </w:r>
      <w:r>
        <w:rPr>
          <w:rFonts w:ascii="Times New Roman" w:cs="Times New Roman" w:eastAsia="Times New Roman" w:hAnsi="Times New Roman"/>
          <w:sz w:val="18"/>
          <w:szCs w:val="18"/>
          <w:b w:val="1"/>
          <w:bCs w:val="1"/>
          <w:u w:val="single" w:color="auto"/>
          <w:color w:val="0000FF"/>
        </w:rPr>
        <w:t>(i) if denominated in Dollars</w:t>
      </w:r>
      <w:r>
        <w:rPr>
          <w:rFonts w:ascii="Times New Roman" w:cs="Times New Roman" w:eastAsia="Times New Roman" w:hAnsi="Times New Roman"/>
          <w:sz w:val="18"/>
          <w:szCs w:val="18"/>
          <w:color w:val="auto"/>
        </w:rPr>
        <w:t xml:space="preserve"> shall be automatically continued as Term Benchmark Loans having an Interest Period of one month in duration</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or if such continuation is not permitted pursuant to the preceding proviso such Loans shall be automatically converted to ABR Loans on the last day of such then expiring Interest Period </w:t>
      </w:r>
      <w:r>
        <w:rPr>
          <w:rFonts w:ascii="Times New Roman" w:cs="Times New Roman" w:eastAsia="Times New Roman" w:hAnsi="Times New Roman"/>
          <w:sz w:val="18"/>
          <w:szCs w:val="18"/>
          <w:b w:val="1"/>
          <w:bCs w:val="1"/>
          <w:u w:val="single" w:color="auto"/>
          <w:color w:val="0000FF"/>
        </w:rPr>
        <w:t>and (ii)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 xml:space="preserve">denominated in an Optional Currency, shall be automatically continued as Term Benchmark Loans in its original Optional Currency having an Interest Period of one month in duration, or if such continuation is not permitted pursuant to the preceding proviso, shall bear interest at the Central Bank Rate (or in the case of Canadian Dollars, the Canadian Prime Rate) for the applicable Optional Currency plus the CBR Spread; provided that, if the Administrative Agent determines (which determination shall be conclusive and binding absent manifest error) that the Central Bank Rate (or in the case of Canadian Dollars, the Canadian Prime Rate) for the applicable Optional Currency cannot be determined, any outstanding affected Term Benchmark Loans denominated in any Optional Currency shall either be (A) converted to ABR Loans denominated in Dollars (in an amount equal to the Dollar Equivalent of such Optional Currency) at </w:t>
      </w:r>
      <w:r>
        <w:rPr>
          <w:rFonts w:ascii="Times New Roman" w:cs="Times New Roman" w:eastAsia="Times New Roman" w:hAnsi="Times New Roman"/>
          <w:sz w:val="18"/>
          <w:szCs w:val="18"/>
          <w:b w:val="1"/>
          <w:bCs w:val="1"/>
          <w:u w:val="single" w:color="auto"/>
          <w:color w:val="008000"/>
        </w:rPr>
        <w:t>the end of</w:t>
      </w:r>
      <w:r>
        <w:rPr>
          <w:rFonts w:ascii="Times New Roman" w:cs="Times New Roman" w:eastAsia="Times New Roman" w:hAnsi="Times New Roman"/>
          <w:sz w:val="18"/>
          <w:szCs w:val="18"/>
          <w:b w:val="1"/>
          <w:bCs w:val="1"/>
          <w:u w:val="single" w:color="auto"/>
          <w:color w:val="0000FF"/>
        </w:rPr>
        <w:t xml:space="preserve"> the Interest Period, as applicable, therefor or (B) prepaid at </w:t>
      </w:r>
      <w:r>
        <w:rPr>
          <w:rFonts w:ascii="Times New Roman" w:cs="Times New Roman" w:eastAsia="Times New Roman" w:hAnsi="Times New Roman"/>
          <w:sz w:val="18"/>
          <w:szCs w:val="18"/>
          <w:b w:val="1"/>
          <w:bCs w:val="1"/>
          <w:u w:val="single" w:color="auto"/>
          <w:color w:val="008000"/>
        </w:rPr>
        <w:t>the end of</w:t>
      </w:r>
      <w:r>
        <w:rPr>
          <w:rFonts w:ascii="Times New Roman" w:cs="Times New Roman" w:eastAsia="Times New Roman" w:hAnsi="Times New Roman"/>
          <w:sz w:val="18"/>
          <w:szCs w:val="18"/>
          <w:b w:val="1"/>
          <w:bCs w:val="1"/>
          <w:u w:val="single" w:color="auto"/>
          <w:color w:val="0000FF"/>
        </w:rPr>
        <w:t xml:space="preserve"> the applicable Interest Period, as applicable, in full; provided that if no election is made by the Borrower by the earlier of (x) the date that is three Business Days after receipt by the Borrower of such notice and (y) the last day of the current Interest Period for the applicable Term Benchmark Loan, the Borrower shall be deemed to have elected clause (A) above</w:t>
      </w:r>
      <w:r>
        <w:rPr>
          <w:rFonts w:ascii="Times New Roman" w:cs="Times New Roman" w:eastAsia="Times New Roman" w:hAnsi="Times New Roman"/>
          <w:sz w:val="18"/>
          <w:szCs w:val="18"/>
          <w:color w:val="000000"/>
        </w:rPr>
        <w:t>. Upon receipt of any such notice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Administrative Agent shall promptly notify each relevant Lender thereof.</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7" w:name="page108"/>
    <w:bookmarkEnd w:id="107"/>
    <w:p>
      <w:pPr>
        <w:ind w:firstLine="1304"/>
        <w:spacing w:after="0" w:line="259" w:lineRule="auto"/>
        <w:tabs>
          <w:tab w:leader="none" w:pos="1810" w:val="left"/>
        </w:tabs>
        <w:numPr>
          <w:ilvl w:val="0"/>
          <w:numId w:val="70"/>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Notwithstanding the foregoing, in no event shall any Borrower be permitted to request pursuant to this Section 2.12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2.12(b) (solely with respect to the Central Bank Rate and the Canadian Prime Rate), 2.16(a) and 2.16(g), as applicable.</w:t>
      </w:r>
    </w:p>
    <w:p>
      <w:pPr>
        <w:spacing w:after="0" w:line="183"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2.13 Limitations on Term Benchmark Borrowings and RFR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(a) after giving effect thereto, the aggregate principal amount of the Term Benchmark Loans comprising each Borrowing shall be equal to $5,000,000 or a whole multiple of $1,000,000 in excess thereof and (b) no more than ten Term Benchmark Borrowings shall be outstanding at any one time. Notwithstanding anything to the contrary in this Agreement, all borrowings, conversions and continuations of RFR Loans shall be in such amounts and be made pursuant to such elections so that, (a) after giving effect thereto, the aggregate principal amount of the RFR Loans comprising each RFR Borrowing shall be equal to $5,000,000 or a whole multiple of $1,000,000 in excess thereof and (b) no more than ten RFR Borrowings shall be outstanding at any one time.</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2.14</w:t>
      </w:r>
      <w:r>
        <w:rPr>
          <w:sz w:val="20"/>
          <w:szCs w:val="20"/>
          <w:color w:val="auto"/>
        </w:rPr>
        <w:tab/>
      </w:r>
      <w:r>
        <w:rPr>
          <w:rFonts w:ascii="Times New Roman" w:cs="Times New Roman" w:eastAsia="Times New Roman" w:hAnsi="Times New Roman"/>
          <w:sz w:val="17"/>
          <w:szCs w:val="17"/>
          <w:u w:val="single" w:color="auto"/>
          <w:color w:val="auto"/>
        </w:rPr>
        <w:t>Interest Rates and Payment Dates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600" w:firstLine="1304"/>
        <w:spacing w:after="0" w:line="312" w:lineRule="auto"/>
        <w:tabs>
          <w:tab w:leader="none" w:pos="1386" w:val="left"/>
        </w:tabs>
        <w:numPr>
          <w:ilvl w:val="0"/>
          <w:numId w:val="71"/>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auto"/>
        </w:rPr>
        <w:t>(a) Each Term Benchmark Loan shall bear interest at the Eurocurrency Rate, the Adjusted Term SOFR Rate, the Adjusted EURIBOR Rate or the Adjusted Term CORRA Rate, as applicable, for the Interest Period in effect for such Borrowing plus the Applicable Margin.</w:t>
      </w:r>
    </w:p>
    <w:p>
      <w:pPr>
        <w:spacing w:after="0" w:line="140" w:lineRule="exact"/>
        <w:rPr>
          <w:sz w:val="20"/>
          <w:szCs w:val="20"/>
          <w:color w:val="auto"/>
        </w:rPr>
      </w:pPr>
    </w:p>
    <w:p>
      <w:pPr>
        <w:ind w:right="40" w:firstLine="1304"/>
        <w:spacing w:after="0" w:line="266" w:lineRule="auto"/>
        <w:tabs>
          <w:tab w:leader="none" w:pos="182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RFR Loan shall bear interest at a rate per annum equal to (i) with respect to RFR Loans denominated in Dollars or Canadian Dollars, the applicable Adjusted Daily Simple RFR plus the Applicable Margin and (ii) with respect to RFR Loans denominated in Pounds Sterling, the applicable Daily Simple RFR plus the Applicable Margin.</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ABR Loan shall bear interest at a rate per annum equal to the ABR plus the Applicable Margin.</w:t>
      </w:r>
    </w:p>
    <w:p>
      <w:pPr>
        <w:spacing w:after="0" w:line="225" w:lineRule="exact"/>
        <w:rPr>
          <w:rFonts w:ascii="Times New Roman" w:cs="Times New Roman" w:eastAsia="Times New Roman" w:hAnsi="Times New Roman"/>
          <w:sz w:val="18"/>
          <w:szCs w:val="18"/>
          <w:color w:val="auto"/>
        </w:rPr>
      </w:pPr>
    </w:p>
    <w:p>
      <w:pPr>
        <w:ind w:right="20" w:firstLine="1304"/>
        <w:spacing w:after="0" w:line="254" w:lineRule="auto"/>
        <w:tabs>
          <w:tab w:leader="none" w:pos="182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or (y) in the case of Reimbursement Obligations, the rate applicable to ABR Loans under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and (ii) if all or a portion of any interest payable on any Loan or Reimbursement Obligation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(or, in the case of any such other amounts that do not relate to a particular Facility, the rate then applicable to ABR Loans under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in each case, with respect to clauses (i) and (ii) above, from the date of such non-payment until such amount is paid in full (as well after as before judgment).</w:t>
      </w:r>
    </w:p>
    <w:p>
      <w:pPr>
        <w:spacing w:after="0" w:line="188" w:lineRule="exact"/>
        <w:rPr>
          <w:rFonts w:ascii="Times New Roman" w:cs="Times New Roman" w:eastAsia="Times New Roman" w:hAnsi="Times New Roman"/>
          <w:sz w:val="18"/>
          <w:szCs w:val="18"/>
          <w:color w:val="auto"/>
        </w:rPr>
      </w:pPr>
    </w:p>
    <w:p>
      <w:pPr>
        <w:ind w:right="60" w:firstLine="1304"/>
        <w:spacing w:after="0" w:line="282" w:lineRule="auto"/>
        <w:tabs>
          <w:tab w:leader="none" w:pos="18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paragraph (c) of this Section shall be payable from time to time on demand.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8" w:name="page109"/>
    <w:bookmarkEnd w:id="108"/>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2.15</w:t>
      </w:r>
      <w:r>
        <w:rPr>
          <w:sz w:val="20"/>
          <w:szCs w:val="20"/>
          <w:color w:val="auto"/>
        </w:rPr>
        <w:tab/>
      </w:r>
      <w:r>
        <w:rPr>
          <w:rFonts w:ascii="Times New Roman" w:cs="Times New Roman" w:eastAsia="Times New Roman" w:hAnsi="Times New Roman"/>
          <w:sz w:val="17"/>
          <w:szCs w:val="17"/>
          <w:u w:val="single" w:color="auto"/>
          <w:color w:val="auto"/>
        </w:rPr>
        <w:t>Computation of Interest and Fees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60" w:firstLine="1304"/>
        <w:spacing w:after="0" w:line="254" w:lineRule="auto"/>
        <w:tabs>
          <w:tab w:leader="none" w:pos="1386" w:val="left"/>
        </w:tabs>
        <w:numPr>
          <w:ilvl w:val="0"/>
          <w:numId w:val="7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Interest computed by reference to the Term SOFR Rate, the EURIBOR Rate or Daily Simple RFR with respect to Dollars hereunder shall be computed on the basis of a year of 360 days. Interest computed by reference to the Eurocurrency Base Rate with respect to Australian Dollars and New Zealand Dollars, the Daily Simple RFR with respect to Pounds Sterling, the Alternate Base Rate at times when the Alternate Base Rate is based on the Prime Rate, Term CORRA or the Canadian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Eurocurrency Rate, Eurocurrency Base Rate, Adjusted Term SOFR Rate, Term SOFR Rate, Adjusted EURIBOR Rate, EURIBOR Rate, Adjusted Daily Simple RFR, Daily Simple RFR, Adjusted Term CORRA Rate or the Term CORRA shall be determined by the Administrative Agent, and such determination shall be conclusive absent manifest error.</w:t>
      </w:r>
    </w:p>
    <w:p>
      <w:pPr>
        <w:spacing w:after="0" w:line="188" w:lineRule="exact"/>
        <w:rPr>
          <w:sz w:val="20"/>
          <w:szCs w:val="20"/>
          <w:color w:val="auto"/>
        </w:rPr>
      </w:pPr>
    </w:p>
    <w:p>
      <w:pPr>
        <w:ind w:right="80" w:firstLine="1304"/>
        <w:spacing w:after="0" w:line="261" w:lineRule="auto"/>
        <w:tabs>
          <w:tab w:leader="none" w:pos="18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determination of an interest rate by the Administrative Agent pursuant to any provision of this Agreement shall be conclusive and binding on the Borrower, any Subsidiary Borrower and the Lenders in the absence of manifest error. The Administrative Agent shall, at the request of the Borrower or any Subsidiary Borrower, deliver to the Borrower or such Subsidiary Borrower a statement showing the quotations used by the Administrative Agent in determining any interest rate pursuant to Section 2.14(a).</w:t>
      </w:r>
    </w:p>
    <w:p>
      <w:pPr>
        <w:spacing w:after="0" w:line="180"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2.16</w:t>
      </w:r>
      <w:r>
        <w:rPr>
          <w:sz w:val="20"/>
          <w:szCs w:val="20"/>
          <w:color w:val="auto"/>
        </w:rPr>
        <w:tab/>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20" w:hanging="516"/>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(f) and (g) of this Section‎ 2.16 if:</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56" w:lineRule="auto"/>
        <w:tabs>
          <w:tab w:leader="none" w:pos="216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Loan, that adequate and reasonable means do not exist for ascertaining the Eurocurrency Rate, the Eurocurrency Base Rate, the Adjusted Term SOFR Rate, the Term SOFR Rate, the Adjusted EURIBOR Rate, the EURIBOR Rate, the Adjusted Term CORRA Rate or Term CORRA (including because the Relevant Screen Rate is not available or published on a current basis), for the applicable Agreed Currency and such Interest Period or (B) at any time, that adequate and reasonable means do not exist for ascertaining the applicable Daily Simple RFR, RFR or Adjusted Daily Simple RFR for the applicable Agreed Currency; or</w:t>
      </w:r>
    </w:p>
    <w:p>
      <w:pPr>
        <w:spacing w:after="0" w:line="187" w:lineRule="exact"/>
        <w:rPr>
          <w:rFonts w:ascii="Times New Roman" w:cs="Times New Roman" w:eastAsia="Times New Roman" w:hAnsi="Times New Roman"/>
          <w:sz w:val="18"/>
          <w:szCs w:val="18"/>
          <w:color w:val="auto"/>
        </w:rPr>
      </w:pPr>
    </w:p>
    <w:p>
      <w:pPr>
        <w:ind w:left="660" w:firstLine="968"/>
        <w:spacing w:after="0" w:line="255" w:lineRule="auto"/>
        <w:tabs>
          <w:tab w:leader="none" w:pos="221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Eurocurrency Rate, the Eurocurrency Base Rate, the Adjusted Term SOFR Rate, the Term SOFR Rate, the Adjusted EURIBOR Rate, the EURIBOR Rate, the Adjusted Term CORRA Rate or Term CORRA for the applicable Agreed Currency and such Interest Period will not adequately and fairly reflect the cost to such Lenders (or Lender) of making or maintaining their Loans (or its Loan) included in such Loan for the applicable Agreed Currency and such Interest Period or (B) at any time, the applicable Daily Simple RFR, RFR or Adjusted Daily Simple RFR for the applicable Agreed Currency will not adequately and fairly reflect the cost to such Lenders (or Lender) of making or maintaining their Loans (or its Loan) included in such Borrowing for the applicable Agreed Currency;</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Borrower and the Lenders by telephone, telecopy or electronic mail as promptly as practicable thereafter and, until the Administrative Agent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9" w:name="page110"/>
    <w:bookmarkEnd w:id="109"/>
    <w:p>
      <w:pPr>
        <w:spacing w:after="0" w:line="251" w:lineRule="auto"/>
        <w:rPr>
          <w:sz w:val="20"/>
          <w:szCs w:val="20"/>
          <w:color w:val="auto"/>
        </w:rPr>
      </w:pPr>
      <w:r>
        <w:rPr>
          <w:rFonts w:ascii="Times New Roman" w:cs="Times New Roman" w:eastAsia="Times New Roman" w:hAnsi="Times New Roman"/>
          <w:sz w:val="18"/>
          <w:szCs w:val="18"/>
          <w:color w:val="auto"/>
        </w:rPr>
        <w:t xml:space="preserve">notifies the Borrower and the Lenders that the circumstances giving rise to such notice no longer exist, (A) any Interest Election Request that requests the conversion of any Borrowing to, or continuation of any Borrowing as, a Term Benchmark Borrowing or any Borrowing Request that requests a Term Benchmark Borrowing shall instead be deemed to be an Interest Election Request or a Borrowing Request, as applicable, for (x) an RFR Borrowing denominated in Dollars so long as the Adjusted Daily Simple RFR is not also the subject of Section 2.16(a)(i) or (ii) above or (y) an ABR Borrowing if the Adjusted Daily Simple RFR also is the subject of Section 2.16(a)(i) or (ii) above and (C) if any Borrowing Request requests a Term Benchmark Borrowing or an RFR Borrowing for the relevant rate above in an Optional Currency, then such request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2.16(a) with respect to a Relevant Rate applicable to such Term Benchmark Loan or RFR Loan, then until the Administrative Agent notifies the Borrower and the Lenders that the circumstances giving rise to such notice no longer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(or in the case of Canadian Dollars, the Canadian Prime Rate) for the applicable Agreed Currency plus the </w:t>
      </w:r>
      <w:r>
        <w:rPr>
          <w:rFonts w:ascii="Times New Roman" w:cs="Times New Roman" w:eastAsia="Times New Roman" w:hAnsi="Times New Roman"/>
          <w:sz w:val="18"/>
          <w:szCs w:val="18"/>
          <w:color w:val="FF0000"/>
          <w:strike w:val="1"/>
        </w:rPr>
        <w:t>Applicable Margin</w:t>
      </w:r>
      <w:r>
        <w:rPr>
          <w:rFonts w:ascii="Times New Roman" w:cs="Times New Roman" w:eastAsia="Times New Roman" w:hAnsi="Times New Roman"/>
          <w:sz w:val="18"/>
          <w:szCs w:val="18"/>
          <w:b w:val="1"/>
          <w:bCs w:val="1"/>
          <w:u w:val="single" w:color="auto"/>
          <w:color w:val="0000FF"/>
        </w:rPr>
        <w:t>CBR Spread</w:t>
      </w:r>
      <w:r>
        <w:rPr>
          <w:rFonts w:ascii="Times New Roman" w:cs="Times New Roman" w:eastAsia="Times New Roman" w:hAnsi="Times New Roman"/>
          <w:sz w:val="18"/>
          <w:szCs w:val="18"/>
          <w:color w:val="auto"/>
        </w:rPr>
        <w:t xml:space="preserve">; provided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(or in the case of Canadian Dollars, the Canadian Prime Rate) for the applicable Agreed Currency plus the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Margin</w:t>
      </w:r>
      <w:r>
        <w:rPr>
          <w:rFonts w:ascii="Times New Roman" w:cs="Times New Roman" w:eastAsia="Times New Roman" w:hAnsi="Times New Roman"/>
          <w:sz w:val="18"/>
          <w:szCs w:val="18"/>
          <w:b w:val="1"/>
          <w:bCs w:val="1"/>
          <w:u w:val="single" w:color="auto"/>
          <w:color w:val="0000FF"/>
        </w:rPr>
        <w:t>CBR Spread</w:t>
      </w:r>
      <w:r>
        <w:rPr>
          <w:rFonts w:ascii="Times New Roman" w:cs="Times New Roman" w:eastAsia="Times New Roman" w:hAnsi="Times New Roman"/>
          <w:sz w:val="18"/>
          <w:szCs w:val="18"/>
          <w:color w:val="000000"/>
        </w:rPr>
        <w:t>; provided that, if the Administrative Agent determines (which determination shall be conclusive and binding absent manifest error)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the Central Bank Rate (or in the case of Canadian Dollars, the Canadian Prime Rate) for the applicable Agreed Currency cannot be determined, any outstanding affected RFR Loans denominated in any Agreed Currency other than Dollars, at the Borrower’s election, shall either (A) be converted into ABR Loans denominated in Dollars (in an amount equal to the Dollar Equivalent of such Optional Currency) immediately or (B) be prepaid in full immediately.</w:t>
      </w:r>
    </w:p>
    <w:p>
      <w:pPr>
        <w:spacing w:after="0" w:line="203" w:lineRule="exact"/>
        <w:rPr>
          <w:sz w:val="20"/>
          <w:szCs w:val="20"/>
          <w:color w:val="auto"/>
        </w:rPr>
      </w:pPr>
    </w:p>
    <w:p>
      <w:pPr>
        <w:ind w:left="1820" w:hanging="516"/>
        <w:spacing w:after="0"/>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ind w:right="20"/>
        <w:spacing w:after="0" w:line="258" w:lineRule="auto"/>
        <w:rPr>
          <w:sz w:val="20"/>
          <w:szCs w:val="20"/>
          <w:color w:val="auto"/>
        </w:rPr>
      </w:pPr>
      <w:r>
        <w:rPr>
          <w:rFonts w:ascii="Times New Roman" w:cs="Times New Roman" w:eastAsia="Times New Roman" w:hAnsi="Times New Roman"/>
          <w:sz w:val="18"/>
          <w:szCs w:val="18"/>
          <w:color w:val="auto"/>
        </w:rPr>
        <w:t>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3" w:lineRule="exact"/>
        <w:rPr>
          <w:sz w:val="20"/>
          <w:szCs w:val="20"/>
          <w:color w:val="auto"/>
        </w:rPr>
      </w:pPr>
    </w:p>
    <w:p>
      <w:pPr>
        <w:ind w:left="1820" w:hanging="516"/>
        <w:spacing w:after="0"/>
        <w:tabs>
          <w:tab w:leader="none" w:pos="1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53" w:lineRule="auto"/>
        <w:tabs>
          <w:tab w:leader="none" w:pos="182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(d)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91" w:lineRule="exact"/>
        <w:rPr>
          <w:rFonts w:ascii="Times New Roman" w:cs="Times New Roman" w:eastAsia="Times New Roman" w:hAnsi="Times New Roman"/>
          <w:sz w:val="18"/>
          <w:szCs w:val="18"/>
          <w:color w:val="auto"/>
        </w:rPr>
      </w:pPr>
    </w:p>
    <w:p>
      <w:pPr>
        <w:ind w:right="20" w:firstLine="1304"/>
        <w:spacing w:after="0" w:line="270" w:lineRule="auto"/>
        <w:tabs>
          <w:tab w:leader="none" w:pos="180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the Borrower or any Lender</w:t>
      </w:r>
    </w:p>
    <w:p>
      <w:pPr>
        <w:spacing w:after="0" w:line="2" w:lineRule="exact"/>
        <w:rPr>
          <w:rFonts w:ascii="Times New Roman" w:cs="Times New Roman" w:eastAsia="Times New Roman" w:hAnsi="Times New Roman"/>
          <w:sz w:val="17"/>
          <w:szCs w:val="17"/>
          <w:color w:val="auto"/>
        </w:rPr>
      </w:pPr>
    </w:p>
    <w:p>
      <w:pPr>
        <w:jc w:val="both"/>
        <w:ind w:right="3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Document, except, in each case, as expressly required pursuant to this Section‎ 2.16.</w:t>
      </w:r>
    </w:p>
    <w:p>
      <w:pPr>
        <w:spacing w:after="0" w:line="206" w:lineRule="exact"/>
        <w:rPr>
          <w:rFonts w:ascii="Times New Roman" w:cs="Times New Roman" w:eastAsia="Times New Roman" w:hAnsi="Times New Roman"/>
          <w:sz w:val="17"/>
          <w:szCs w:val="17"/>
          <w:color w:val="auto"/>
        </w:rPr>
      </w:pPr>
    </w:p>
    <w:p>
      <w:pPr>
        <w:ind w:firstLine="1304"/>
        <w:spacing w:after="0" w:line="254" w:lineRule="auto"/>
        <w:tabs>
          <w:tab w:leader="none" w:pos="17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Term SOFR, the Term SOFR Rate, Eurocurrency Base Rate, EURIBOR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11" w:name="page112"/>
    <w:bookmarkEnd w:id="11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6" w:lineRule="exact"/>
        <w:rPr>
          <w:sz w:val="20"/>
          <w:szCs w:val="20"/>
          <w:color w:val="auto"/>
        </w:rPr>
      </w:pPr>
    </w:p>
    <w:p>
      <w:pPr>
        <w:ind w:firstLine="1304"/>
        <w:spacing w:after="0" w:line="267" w:lineRule="auto"/>
        <w:tabs>
          <w:tab w:leader="none" w:pos="182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a Term Benchmark Borrowing denominated in Dollars into a request for a Borrowing of or conversion to (A) an RFR Borrowing denominated in Dollars so long as the Adjusted Daily Simple RFR is not the subject of a Benchmark Transition Event or (B) an ABR Borrowing if the Adjusted Daily Simple RFR is the subject of a Benchmark Transition Event or (y) any Term Benchmark Borrowing or RFR Borrowing denominated in an Optional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w:t>
      </w:r>
    </w:p>
    <w:p>
      <w:pPr>
        <w:spacing w:after="0" w:line="3" w:lineRule="exact"/>
        <w:rPr>
          <w:rFonts w:ascii="Times New Roman" w:cs="Times New Roman" w:eastAsia="Times New Roman" w:hAnsi="Times New Roman"/>
          <w:sz w:val="17"/>
          <w:szCs w:val="17"/>
          <w:color w:val="auto"/>
        </w:rPr>
      </w:pPr>
    </w:p>
    <w:p>
      <w:pPr>
        <w:ind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such time as a Benchmark Replacement for such Agreed Currency is implemented pursuant to this Section‎ 2.16, (i) if such Term Benchmark Loan is denominated in Dollars, then on the last day of the Interest Period applicable to such Loan (or the next succeeding Business Day if such day is not a Business Day), such Loan shall be converted by the Administrative Agent to, and shall constitute (x) an RFR Borrowing denominated in Dollars so long as the Adjusted Daily Simple RFR is not the subject of a Benchmark Transition Event or (y) an ABR Loan if the Adjusted Daily Simple RFR is the subject of a Benchmark Transition Event,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(or in the case of Canadian Dollars, the Canadian Prime Rate) for the applicable Agreed Currency plus the </w:t>
      </w:r>
      <w:r>
        <w:rPr>
          <w:rFonts w:ascii="Times New Roman" w:cs="Times New Roman" w:eastAsia="Times New Roman" w:hAnsi="Times New Roman"/>
          <w:sz w:val="18"/>
          <w:szCs w:val="18"/>
          <w:color w:val="FF0000"/>
          <w:strike w:val="1"/>
        </w:rPr>
        <w:t>Applicable Margin</w:t>
      </w:r>
      <w:r>
        <w:rPr>
          <w:rFonts w:ascii="Times New Roman" w:cs="Times New Roman" w:eastAsia="Times New Roman" w:hAnsi="Times New Roman"/>
          <w:sz w:val="18"/>
          <w:szCs w:val="18"/>
          <w:b w:val="1"/>
          <w:bCs w:val="1"/>
          <w:u w:val="single" w:color="auto"/>
          <w:color w:val="0000FF"/>
        </w:rPr>
        <w:t>CBR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Spread</w:t>
      </w:r>
      <w:r>
        <w:rPr>
          <w:rFonts w:ascii="Times New Roman" w:cs="Times New Roman" w:eastAsia="Times New Roman" w:hAnsi="Times New Roman"/>
          <w:sz w:val="18"/>
          <w:szCs w:val="18"/>
          <w:color w:val="000000"/>
        </w:rPr>
        <w:t>; provided that, if the Administrative Agent determines (which determination shall be conclusive and binding absent manifest error) that the Central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Bank Rate (or in the case of Canadian Dollars, the Canadian Prime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(or in the case of Canadian Dollars, the Canadian Prime Rate) for the applicable Agreed Currency plus the </w:t>
      </w:r>
      <w:r>
        <w:rPr>
          <w:rFonts w:ascii="Times New Roman" w:cs="Times New Roman" w:eastAsia="Times New Roman" w:hAnsi="Times New Roman"/>
          <w:sz w:val="18"/>
          <w:szCs w:val="18"/>
          <w:color w:val="FF0000"/>
          <w:strike w:val="1"/>
        </w:rPr>
        <w:t>Applicable Margin</w:t>
      </w:r>
      <w:r>
        <w:rPr>
          <w:rFonts w:ascii="Times New Roman" w:cs="Times New Roman" w:eastAsia="Times New Roman" w:hAnsi="Times New Roman"/>
          <w:sz w:val="18"/>
          <w:szCs w:val="18"/>
          <w:b w:val="1"/>
          <w:bCs w:val="1"/>
          <w:u w:val="single" w:color="auto"/>
          <w:color w:val="0000FF"/>
        </w:rPr>
        <w:t>CBR Spread</w:t>
      </w:r>
      <w:r>
        <w:rPr>
          <w:rFonts w:ascii="Times New Roman" w:cs="Times New Roman" w:eastAsia="Times New Roman" w:hAnsi="Times New Roman"/>
          <w:sz w:val="18"/>
          <w:szCs w:val="18"/>
          <w:color w:val="000000"/>
        </w:rPr>
        <w:t>; provided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RFR Loans denominated in any Agreed Currency, at the Borrower’s election, shall either (a) be converted into ABR Loans denominated in Dollars (in an amount equal to the Dollar Equivalent of such Optional Currency) immediately or (b) be prepaid in full immediately.</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2.17</w:t>
      </w:r>
      <w:r>
        <w:rPr>
          <w:sz w:val="20"/>
          <w:szCs w:val="20"/>
          <w:color w:val="auto"/>
        </w:rPr>
        <w:tab/>
      </w:r>
      <w:r>
        <w:rPr>
          <w:rFonts w:ascii="Times New Roman" w:cs="Times New Roman" w:eastAsia="Times New Roman" w:hAnsi="Times New Roman"/>
          <w:sz w:val="17"/>
          <w:szCs w:val="17"/>
          <w:u w:val="single" w:color="auto"/>
          <w:color w:val="auto"/>
        </w:rPr>
        <w:t>Pro Rata Treatment and Payments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ind w:left="-20" w:right="80" w:firstLine="1304"/>
        <w:spacing w:after="0" w:line="266" w:lineRule="auto"/>
        <w:tabs>
          <w:tab w:leader="none" w:pos="1366" w:val="left"/>
        </w:tabs>
        <w:numPr>
          <w:ilvl w:val="0"/>
          <w:numId w:val="7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Each borrowing of Revolving Loans by the Borrower or any Subsidiary Borrower from the Lenders hereunder, each payment by the Borrower on account of any commitment fee and any reduction of the Commitments of the Lenders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Revolving Percentages of the relevant Lenders.</w:t>
      </w:r>
    </w:p>
    <w:p>
      <w:pPr>
        <w:spacing w:after="0" w:line="176" w:lineRule="exact"/>
        <w:rPr>
          <w:sz w:val="20"/>
          <w:szCs w:val="20"/>
          <w:color w:val="auto"/>
        </w:rPr>
      </w:pPr>
    </w:p>
    <w:p>
      <w:pPr>
        <w:ind w:left="-20" w:firstLine="1304"/>
        <w:spacing w:after="0" w:line="256" w:lineRule="auto"/>
        <w:tabs>
          <w:tab w:leader="none" w:pos="180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Borrower on account of principal of and interest on the Term Loans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outstanding principal amounts of the Term Loans then held by the Term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Borrower, all or a portion of any optional prepayments of the Term Loans made in accordance with Section 2.10 may be applied to repay the Term Loans as directed by the Borrower. The amount of each such optional principal prepayment of the Term Loans shall be applied to reduce the then remaining installments of the Tranche B Term Loans, Tranche C Term Loans and/or Tranche A Term Loans, as applicable, as directed by the Borrower. Amounts prepaid on account of the Term Loans may not be reborrowed.</w:t>
      </w:r>
    </w:p>
    <w:p>
      <w:pPr>
        <w:spacing w:after="0" w:line="187" w:lineRule="exact"/>
        <w:rPr>
          <w:rFonts w:ascii="Times New Roman" w:cs="Times New Roman" w:eastAsia="Times New Roman" w:hAnsi="Times New Roman"/>
          <w:sz w:val="18"/>
          <w:szCs w:val="18"/>
          <w:color w:val="auto"/>
        </w:rPr>
      </w:pPr>
    </w:p>
    <w:p>
      <w:pPr>
        <w:ind w:left="-20" w:firstLine="1304"/>
        <w:spacing w:after="0" w:line="266" w:lineRule="auto"/>
        <w:tabs>
          <w:tab w:leader="none" w:pos="17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Borrower or any Subsidiary Borrower on account of principal of and interest on the Revolving Loans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outstanding principal amounts of the Revolving Loans then held by the Revolving Lenders.</w:t>
      </w:r>
    </w:p>
    <w:p>
      <w:pPr>
        <w:spacing w:after="0" w:line="175" w:lineRule="exact"/>
        <w:rPr>
          <w:rFonts w:ascii="Times New Roman" w:cs="Times New Roman" w:eastAsia="Times New Roman" w:hAnsi="Times New Roman"/>
          <w:sz w:val="18"/>
          <w:szCs w:val="18"/>
          <w:color w:val="auto"/>
        </w:rPr>
      </w:pPr>
    </w:p>
    <w:p>
      <w:pPr>
        <w:ind w:left="-20" w:right="20" w:firstLine="1304"/>
        <w:spacing w:after="0" w:line="253" w:lineRule="auto"/>
        <w:tabs>
          <w:tab w:leader="none" w:pos="17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(including prepayments) to be made by the Borrower or any Subsidiary Borrower hereunder, whether on account of principal, interest, fees or otherwise, shall be made without setoff or counterclaim and shall be made prior to 1:00 P.M., New York City time, on the due date thereof to the Administrative Agent, for the account of the Lenders, at the </w:t>
      </w:r>
      <w:r>
        <w:rPr>
          <w:rFonts w:ascii="Times New Roman" w:cs="Times New Roman" w:eastAsia="Times New Roman" w:hAnsi="Times New Roman"/>
          <w:sz w:val="18"/>
          <w:szCs w:val="18"/>
          <w:color w:val="FF0000"/>
          <w:strike w:val="1"/>
        </w:rPr>
        <w:t>Funding Office</w:t>
      </w:r>
      <w:r>
        <w:rPr>
          <w:rFonts w:ascii="Times New Roman" w:cs="Times New Roman" w:eastAsia="Times New Roman" w:hAnsi="Times New Roman"/>
          <w:sz w:val="18"/>
          <w:szCs w:val="18"/>
          <w:b w:val="1"/>
          <w:bCs w:val="1"/>
          <w:u w:val="single" w:color="auto"/>
          <w:color w:val="0000FF"/>
        </w:rPr>
        <w:t>office or offices as described in the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Questionnaire provided by the Administrative Agent to the Borrower from time to time</w:t>
      </w:r>
      <w:r>
        <w:rPr>
          <w:rFonts w:ascii="Times New Roman" w:cs="Times New Roman" w:eastAsia="Times New Roman" w:hAnsi="Times New Roman"/>
          <w:sz w:val="18"/>
          <w:szCs w:val="18"/>
          <w:color w:val="000000"/>
        </w:rPr>
        <w:t>, in Dollars or in any other applicable currency and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immediately available funds. The Administrative Agent shall distribute such payments to the Lenders promptly upon receipt in like funds as received.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Any obligation under this Agreement denominated in currency other than Dollars should be payable in such currency unless the obligor, the obligee and the Administrative Agent shall otherwise agree.</w:t>
      </w:r>
    </w:p>
    <w:p>
      <w:pPr>
        <w:spacing w:after="0" w:line="189" w:lineRule="exact"/>
        <w:rPr>
          <w:rFonts w:ascii="Times New Roman" w:cs="Times New Roman" w:eastAsia="Times New Roman" w:hAnsi="Times New Roman"/>
          <w:sz w:val="18"/>
          <w:szCs w:val="18"/>
          <w:color w:val="auto"/>
        </w:rPr>
      </w:pPr>
    </w:p>
    <w:p>
      <w:pPr>
        <w:ind w:left="-20" w:right="20" w:firstLine="1304"/>
        <w:spacing w:after="0" w:line="254" w:lineRule="auto"/>
        <w:tabs>
          <w:tab w:leader="none" w:pos="17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13" w:name="page114"/>
    <w:bookmarkEnd w:id="113"/>
    <w:p>
      <w:pPr>
        <w:ind w:right="180"/>
        <w:spacing w:after="0" w:line="282" w:lineRule="auto"/>
        <w:rPr>
          <w:sz w:val="20"/>
          <w:szCs w:val="20"/>
          <w:color w:val="auto"/>
        </w:rPr>
      </w:pPr>
      <w:r>
        <w:rPr>
          <w:rFonts w:ascii="Times New Roman" w:cs="Times New Roman" w:eastAsia="Times New Roman" w:hAnsi="Times New Roman"/>
          <w:sz w:val="18"/>
          <w:szCs w:val="18"/>
          <w:color w:val="auto"/>
        </w:rPr>
        <w:t>within three Business Days after such Borrowing Date, the Administrative Agent shall also be entitled to recover such amount with interest thereon at the rate per annum applicable to ABR Loans under the relevant Facility, on demand, from the Borrower or relevant Subsidiary Borrower.</w:t>
      </w:r>
    </w:p>
    <w:p>
      <w:pPr>
        <w:spacing w:after="0" w:line="162" w:lineRule="exact"/>
        <w:rPr>
          <w:sz w:val="20"/>
          <w:szCs w:val="20"/>
          <w:color w:val="auto"/>
        </w:rPr>
      </w:pPr>
    </w:p>
    <w:p>
      <w:pPr>
        <w:ind w:right="60" w:firstLine="1304"/>
        <w:spacing w:after="0" w:line="254" w:lineRule="auto"/>
        <w:tabs>
          <w:tab w:leader="none" w:pos="179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Borrower or relevant Subsidiary Borrower prior to the date of any payment due to be made by the Borrower or such Subsidiary Borrower hereunder that the Borrower or such Subsidiary Borrower will not make such payment to the Administrative Agent, the Administrative Agent may assume that the Borrower or such Subsidiary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Borrower or relevant Subsidiary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 or any Subsidiary Borrower.</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Requirements of Law</w:t>
      </w:r>
      <w:r>
        <w:rPr>
          <w:rFonts w:ascii="Times New Roman" w:cs="Times New Roman" w:eastAsia="Times New Roman" w:hAnsi="Times New Roman"/>
          <w:sz w:val="17"/>
          <w:szCs w:val="17"/>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-5080</wp:posOffset>
            </wp:positionV>
            <wp:extent cx="14185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18590" cy="8890"/>
                    </a:xfrm>
                    <a:prstGeom prst="rect">
                      <a:avLst/>
                    </a:prstGeom>
                    <a:noFill/>
                  </pic:spPr>
                </pic:pic>
              </a:graphicData>
            </a:graphic>
          </wp:anchor>
        </w:drawing>
      </w:r>
    </w:p>
    <w:p>
      <w:pPr>
        <w:spacing w:after="0" w:line="209" w:lineRule="exact"/>
        <w:rPr>
          <w:sz w:val="20"/>
          <w:szCs w:val="20"/>
          <w:color w:val="auto"/>
        </w:rPr>
      </w:pPr>
    </w:p>
    <w:p>
      <w:pPr>
        <w:jc w:val="both"/>
        <w:ind w:right="140" w:firstLine="1304"/>
        <w:spacing w:after="0" w:line="266" w:lineRule="auto"/>
        <w:tabs>
          <w:tab w:leader="none" w:pos="1386" w:val="left"/>
        </w:tabs>
        <w:numPr>
          <w:ilvl w:val="0"/>
          <w:numId w:val="8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75" w:lineRule="exact"/>
        <w:rPr>
          <w:rFonts w:ascii="Times New Roman" w:cs="Times New Roman" w:eastAsia="Times New Roman" w:hAnsi="Times New Roman"/>
          <w:sz w:val="18"/>
          <w:szCs w:val="18"/>
          <w:color w:val="FF0000"/>
          <w:strike w:val="1"/>
        </w:rPr>
      </w:pPr>
    </w:p>
    <w:p>
      <w:pPr>
        <w:ind w:left="660" w:right="260" w:firstLine="968"/>
        <w:spacing w:after="0" w:line="266" w:lineRule="auto"/>
        <w:tabs>
          <w:tab w:leader="none" w:pos="216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subject any Lender to any additional tax of any kind whatsoever with respect to this Agreement, any Letter of Credit, any Application or any Term Benchmark Loan made by it (except for taxes addressed by Section 2.19 (including any Excluded Taxes) and changes in the rate of tax on the overall net or gross income of such Lender);</w:t>
      </w:r>
    </w:p>
    <w:p>
      <w:pPr>
        <w:spacing w:after="0" w:line="175" w:lineRule="exact"/>
        <w:rPr>
          <w:rFonts w:ascii="Times New Roman" w:cs="Times New Roman" w:eastAsia="Times New Roman" w:hAnsi="Times New Roman"/>
          <w:sz w:val="18"/>
          <w:szCs w:val="18"/>
          <w:color w:val="auto"/>
        </w:rPr>
      </w:pPr>
    </w:p>
    <w:p>
      <w:pPr>
        <w:jc w:val="both"/>
        <w:ind w:left="660" w:right="180" w:firstLine="968"/>
        <w:spacing w:after="0" w:line="261" w:lineRule="auto"/>
        <w:tabs>
          <w:tab w:leader="none" w:pos="221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Adjusted Term SOFR Rate or Adjusted Term CORRA Rate, as applicable; or</w:t>
      </w:r>
    </w:p>
    <w:p>
      <w:pPr>
        <w:spacing w:after="0" w:line="179" w:lineRule="exact"/>
        <w:rPr>
          <w:rFonts w:ascii="Times New Roman" w:cs="Times New Roman" w:eastAsia="Times New Roman" w:hAnsi="Times New Roman"/>
          <w:sz w:val="18"/>
          <w:szCs w:val="18"/>
          <w:color w:val="auto"/>
        </w:rPr>
      </w:pPr>
    </w:p>
    <w:p>
      <w:pPr>
        <w:ind w:left="2260" w:hanging="632"/>
        <w:spacing w:after="0"/>
        <w:tabs>
          <w:tab w:leader="none" w:pos="22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on such Lender any other condition not described in (or excepted from) the foregoing (i) and (ii);</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such Lender by an amount that such Lender deems to be material, of making, converting into, continuing or maintaining Term Benchmark Loans or issuing or participating in Letters of Credit, or to reduce any amount receivable hereunder in respect thereof, then, in any such case, the Borrower or relevant Subsidiary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or relevant Subsidiary Borrower (with a copy to the Administrative Agent) of the event by reason of which it has become so entitled.</w:t>
      </w:r>
    </w:p>
    <w:p>
      <w:pPr>
        <w:spacing w:after="0" w:line="187" w:lineRule="exact"/>
        <w:rPr>
          <w:sz w:val="20"/>
          <w:szCs w:val="20"/>
          <w:color w:val="auto"/>
        </w:rPr>
      </w:pPr>
    </w:p>
    <w:p>
      <w:pPr>
        <w:ind w:right="100" w:firstLine="1304"/>
        <w:spacing w:after="0" w:line="282" w:lineRule="auto"/>
        <w:tabs>
          <w:tab w:leader="none" w:pos="18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spacing w:after="0" w:line="255" w:lineRule="auto"/>
        <w:rPr>
          <w:sz w:val="20"/>
          <w:szCs w:val="20"/>
          <w:color w:val="auto"/>
        </w:rPr>
      </w:pPr>
      <w:r>
        <w:rPr>
          <w:rFonts w:ascii="Times New Roman" w:cs="Times New Roman" w:eastAsia="Times New Roman" w:hAnsi="Times New Roman"/>
          <w:sz w:val="18"/>
          <w:szCs w:val="18"/>
          <w:color w:val="auto"/>
        </w:rPr>
        <w:t>request or directive regarding capital adequacy or liquidity requirements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189" w:lineRule="exact"/>
        <w:rPr>
          <w:sz w:val="20"/>
          <w:szCs w:val="20"/>
          <w:color w:val="auto"/>
        </w:rPr>
      </w:pPr>
    </w:p>
    <w:p>
      <w:pPr>
        <w:ind w:right="100" w:firstLine="1304"/>
        <w:spacing w:after="0" w:line="255" w:lineRule="auto"/>
        <w:tabs>
          <w:tab w:leader="none" w:pos="180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as to any additional amounts payable pursuant to this Section submitted by any Lender to the Borrower or relevant Subsidiary Borrower (with a copy to the Administrative Agent) shall be conclusive in the absence of manifest error. Notwithstanding anything to the contrary in this Section, the Borrower or relevant Subsidiary Borrower shall not be required to compensate a Lender pursuant to this Section for any amounts incurred more than six months prior to the date that such Lender notifies the Borrower or such Subsidiary Borrower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claim have a retroactive effect, then such six-month period shall be extended to include the period of such retroactive effect. The obligations of the Borrower or relevant Subsidiary Borrower pursuant to this Section shall survive the termination of this Agreement and the payment of the Loans and all other amounts payable hereunder.</w:t>
      </w:r>
    </w:p>
    <w:p>
      <w:pPr>
        <w:spacing w:after="0" w:line="188" w:lineRule="exact"/>
        <w:rPr>
          <w:rFonts w:ascii="Times New Roman" w:cs="Times New Roman" w:eastAsia="Times New Roman" w:hAnsi="Times New Roman"/>
          <w:sz w:val="18"/>
          <w:szCs w:val="18"/>
          <w:color w:val="auto"/>
        </w:rPr>
      </w:pPr>
    </w:p>
    <w:p>
      <w:pPr>
        <w:ind w:right="60" w:firstLine="1304"/>
        <w:spacing w:after="0" w:line="258" w:lineRule="auto"/>
        <w:tabs>
          <w:tab w:leader="none" w:pos="18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 Requirement of Law, regardless of the date enacted, adopted, issued or implemented.</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2.19</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firstLine="1304"/>
        <w:spacing w:after="0" w:line="253" w:lineRule="auto"/>
        <w:tabs>
          <w:tab w:leader="none" w:pos="1386" w:val="left"/>
        </w:tabs>
        <w:numPr>
          <w:ilvl w:val="0"/>
          <w:numId w:val="8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All payments made by or on behalf of the Borrower or any Subsidiary Borrower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(a) net income taxes and franchise taxes (imposed in lieu of net income taxes) imposed on the Administrative Agent or any Lender by the jurisdiction (or any political subdivision or taxing authority thereof or therein) under the laws of which the Administrative Agent or such Lender is organized or incorporated or in which its principal office is located or, in the case of any Lender, in which its applicable lending office is located, and any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and (b) any branch profit taxes imposed by the United States or any similar tax imposed by any other Governmental Authority; provided that, if any such non-excluded taxes, levies, imposts, duties, charges, fees, deductions or withholdings (“</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or Other Taxes are required to be withheld from any amounts payable to the Administrative Agent or any Lender hereunder, as determined in good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faith by the applicable Withholding Agent, (x) such amounts shall be paid to the relevant Governmental Authority in accordance with applicable law and</w:t>
      </w:r>
    </w:p>
    <w:p>
      <w:pPr>
        <w:spacing w:after="0" w:line="27" w:lineRule="exact"/>
        <w:rPr>
          <w:sz w:val="20"/>
          <w:szCs w:val="20"/>
          <w:color w:val="auto"/>
        </w:rPr>
      </w:pPr>
    </w:p>
    <w:p>
      <w:pPr>
        <w:ind w:right="40" w:firstLine="8"/>
        <w:spacing w:after="0" w:line="251"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so payable by the Borrower or applicable Subsidiary Borrower to the Administrative Agent or such Lender shall be increased to the extent necessary to yield to the Administrative Agent or such Lender (after payment of all Non-Excluded Taxes and Other Taxes) interest or any such other amounts payable hereunder at the rates or in the amounts specified in this Agreement as if such withholding or deduction had not been made, provided further, however, that neither the Borrower nor any Subsidiary Borrower shall be required to increase any such amounts payable to any Lender with respect to any Taxes (i) that are attributable to such Lender’s failure to comply with the requirements of paragraph (e) or (f) of this Section, (ii) that are United States withholding taxes resulting from any Requirement of Law (including FATCA) in effect on (and, in the case of FATCA, including any regulations or official interpretations thereof issued after) the date such Lender becomes a party to this Agreement (or designates a new lending office or offices) except, in the case of an assignment or designation of a new lending office, to the extent that the Lender making such assignment or designation was entitled, at the time of such assignment or designation, to receive additional amounts from the Borrower or the relevant Subsidiary Borrower with respect to Non-Excluded Taxes pursuant to this section or (iii) that are imposed as a result of a Lender’s gross negligence or willful misconduct (amounts described in the foregoing clauses (a), (b), (i), (ii) and (iii),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right="100" w:firstLine="1304"/>
        <w:spacing w:after="0" w:line="282" w:lineRule="auto"/>
        <w:tabs>
          <w:tab w:leader="none" w:pos="182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or any relevant Subsidiary Borrower shall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right="60" w:firstLine="1304"/>
        <w:spacing w:after="0" w:line="272" w:lineRule="auto"/>
        <w:tabs>
          <w:tab w:leader="none" w:pos="1807"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any Non-Excluded Taxes or Other Taxes are payable by the Borrower or any Subsidiary Borrower, as promptly as possible thereafter the Borrower or such Subsidiary Borrower shall send to the Administrative Agent for its own account or for the account of the relevant Lender, as the case may be, a certified copy of an original official receipt received by the Borrower or such Subsidiary Borrower showing payment thereof. If (i) the Borrower or any Subsidiary Borrower fails to pay any Non-Excluded Taxes or Other Taxes when due to the appropriate taxing authority, (ii) the Borrower or any Subsidiary Borrower fails to remit to the Administrative Agent the required receipts or other required documentary evidence or (iii) any Non-Excluded Taxes or Other Taxes are imposed directly upon the Administrative Agent or any Lender, the Borrower and each Subsidiary Borrower shall indemnify the Administrative Agent and the Lenders for such amounts and any incremental taxes, interest or penalties that may become payable by the Administrative Agent or any Lender as a result of any such failure, in the case of (i) and (ii), or any such direct imposition, in the case of (iii).</w:t>
      </w:r>
    </w:p>
    <w:p>
      <w:pPr>
        <w:spacing w:after="0" w:line="171" w:lineRule="exact"/>
        <w:rPr>
          <w:rFonts w:ascii="Times New Roman" w:cs="Times New Roman" w:eastAsia="Times New Roman" w:hAnsi="Times New Roman"/>
          <w:sz w:val="17"/>
          <w:szCs w:val="17"/>
          <w:color w:val="auto"/>
        </w:rPr>
      </w:pPr>
    </w:p>
    <w:p>
      <w:pPr>
        <w:ind w:firstLine="1304"/>
        <w:spacing w:after="0" w:line="258" w:lineRule="auto"/>
        <w:tabs>
          <w:tab w:leader="none" w:pos="182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3" w:lineRule="exact"/>
        <w:rPr>
          <w:rFonts w:ascii="Times New Roman" w:cs="Times New Roman" w:eastAsia="Times New Roman" w:hAnsi="Times New Roman"/>
          <w:sz w:val="18"/>
          <w:szCs w:val="18"/>
          <w:color w:val="auto"/>
        </w:rPr>
      </w:pPr>
    </w:p>
    <w:p>
      <w:pPr>
        <w:ind w:firstLine="1304"/>
        <w:spacing w:after="0" w:line="255" w:lineRule="auto"/>
        <w:tabs>
          <w:tab w:leader="none" w:pos="181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Transferee) (i) that is not a “United States Person” as defined in Section 7701(a)(30) of the Code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shall deliver to the Borrower and the Administrative Agent (or, in the case of a Participant, to the Lender from which the related participation shall have been purchased) (x) two copies of either U.S. IRS Form W-8BEN, Form W-8BEN-E, Form W-8ECI or Form W-8IMY (together with any applicable underlying IRS forms) (y) in the case of a Non-U.S. Lender claiming exemption from U.S. federal withholding tax under Section 871(h) or 881(c) of the Code with respect to payments of “portfolio interest”, a statement substantially in the form of Exhibit F and the applicable Form W-8, or any subsequent versions thereof or successors thereto, properly completed and duly executed by such Non-U.S. Lender claiming complete exemption from, or a reduced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ind w:right="40"/>
        <w:spacing w:after="0" w:line="255" w:lineRule="auto"/>
        <w:rPr>
          <w:sz w:val="20"/>
          <w:szCs w:val="20"/>
          <w:color w:val="auto"/>
        </w:rPr>
      </w:pPr>
      <w:r>
        <w:rPr>
          <w:rFonts w:ascii="Times New Roman" w:cs="Times New Roman" w:eastAsia="Times New Roman" w:hAnsi="Times New Roman"/>
          <w:sz w:val="18"/>
          <w:szCs w:val="18"/>
          <w:color w:val="auto"/>
        </w:rPr>
        <w:t>rate of, U.S. federal withholding tax on payments under this Agreement and the other Loan Documents, or (z) any other form prescribed by applicable requirements of U.S. federal income tax law (including FATCA)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 and (ii) that is a “United States Person” as defined in Section 7701(a)</w:t>
      </w:r>
    </w:p>
    <w:p>
      <w:pPr>
        <w:spacing w:after="0" w:line="3" w:lineRule="exact"/>
        <w:rPr>
          <w:sz w:val="20"/>
          <w:szCs w:val="20"/>
          <w:color w:val="auto"/>
        </w:rPr>
      </w:pPr>
    </w:p>
    <w:p>
      <w:pPr>
        <w:ind w:right="120" w:firstLine="8"/>
        <w:spacing w:after="0" w:line="251" w:lineRule="auto"/>
        <w:tabs>
          <w:tab w:leader="none" w:pos="3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shall deliver to the Borrower and the Administrative Agent (or in the case of a Participant, to the Lender from which the related participation shall have been purchased) two copies of U.S. Internal Revenue Service Form W-9 (or any successor form) certifying that such Lender is exempt from U.S. federal withholding tax. Such forms shall be delivered by each Lender on or before the date it becomes a party to this Agreement (or, in the case of any Participant, on or before the date such Participant purchases the related participation) and from time to time thereafter upon the request of the Borrower or the Administrative Agent. In addition, each Lender shall deliver such forms promptly upon the obsolescence or invalidity of any form previously delivered by such Lender at any other time prescribed by applicable law or as reasonably requested by the Borrower. Each Non-U.S. Lender shall promptly notify the Borrower and the Administrative Agent at any time it determines that it is no longer in a position to provide any previously delivered certificate to the Borrower (and any other form of certification adopted by the U.S. taxing authorities for such purpose). Notwithstanding any other provision of this Section, a Non -U.S. Lender shall not be required to deliver any form pursuant to this Section that such Non -U.S. Lender is not legally able to deliver.</w:t>
      </w:r>
    </w:p>
    <w:p>
      <w:pPr>
        <w:spacing w:after="0" w:line="192" w:lineRule="exact"/>
        <w:rPr>
          <w:rFonts w:ascii="Times New Roman" w:cs="Times New Roman" w:eastAsia="Times New Roman" w:hAnsi="Times New Roman"/>
          <w:sz w:val="18"/>
          <w:szCs w:val="18"/>
          <w:color w:val="auto"/>
        </w:rPr>
      </w:pPr>
    </w:p>
    <w:p>
      <w:pPr>
        <w:ind w:firstLine="1304"/>
        <w:spacing w:after="0" w:line="256" w:lineRule="auto"/>
        <w:tabs>
          <w:tab w:leader="none" w:pos="178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or Transferee that is entitled to an exemption from or reduction of non-U.S. withholding tax under the law of the jurisdiction in which the Borrower or any Subsidiary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provided that such Lender is legally entitled to complete, execute and deliver such documentation.</w:t>
      </w:r>
    </w:p>
    <w:p>
      <w:pPr>
        <w:spacing w:after="0" w:line="187" w:lineRule="exact"/>
        <w:rPr>
          <w:rFonts w:ascii="Times New Roman" w:cs="Times New Roman" w:eastAsia="Times New Roman" w:hAnsi="Times New Roman"/>
          <w:sz w:val="18"/>
          <w:szCs w:val="18"/>
          <w:color w:val="auto"/>
        </w:rPr>
      </w:pPr>
    </w:p>
    <w:p>
      <w:pPr>
        <w:ind w:right="20" w:firstLine="1304"/>
        <w:spacing w:after="0" w:line="252" w:lineRule="auto"/>
        <w:tabs>
          <w:tab w:leader="none" w:pos="182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any Transferee or any Lender determines, in its sole good faith discretion, that it has received a refund of any Taxes or Other Taxes as to which it has been indemnified by the Borrower or any Subsidiary Borrower or with respect to which the Borrower or any Subsidiary Borrower has paid additional amounts pursuant to Section 2.18 or this Section 2.19, it shall pay over such refund to the Borrower or such Subsidiary Borrower (but only to the extent of indemnity payments made, or additional amounts paid, by the Borrower or such Subsidiary Borrower under Section 2.18 or this Section 2.19 with respect to the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or such Subsidiary Borrower, upon the request of the Administrative Agent, such Transferee or such Lender, agrees to repay the amount paid over to the Borrower or such Subsidiary Borrower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require the Administrative Agent, any Transferee or any Lender to make available its tax returns (or any other information relating to its taxes which it deems confidential) to the Borrower, any Subsidiary Borrower or any other Person.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imposed and the indemnification payments or additional amounts with respect to such Tax had never been paid.</w:t>
      </w:r>
    </w:p>
    <w:p>
      <w:pPr>
        <w:spacing w:after="0" w:line="225" w:lineRule="exact"/>
        <w:rPr>
          <w:sz w:val="20"/>
          <w:szCs w:val="20"/>
          <w:color w:val="auto"/>
        </w:rPr>
      </w:pPr>
    </w:p>
    <w:p>
      <w:pPr>
        <w:ind w:left="1820" w:hanging="516"/>
        <w:spacing w:after="0"/>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2.19.</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shall survive the termination of this Agreement and the payment of the Loans and all other amounts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hereunder.</w:t>
      </w:r>
    </w:p>
    <w:p>
      <w:pPr>
        <w:spacing w:after="0" w:line="206" w:lineRule="exact"/>
        <w:rPr>
          <w:rFonts w:ascii="Times New Roman" w:cs="Times New Roman" w:eastAsia="Times New Roman" w:hAnsi="Times New Roman"/>
          <w:sz w:val="18"/>
          <w:szCs w:val="18"/>
          <w:color w:val="auto"/>
        </w:rPr>
      </w:pPr>
    </w:p>
    <w:p>
      <w:pPr>
        <w:ind w:right="180" w:firstLine="1304"/>
        <w:spacing w:after="0" w:line="253" w:lineRule="auto"/>
        <w:tabs>
          <w:tab w:leader="none" w:pos="178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withholding Taxes imposed under FATCA, from and after the Restatement Effective Date, the Borrower, each Subsidiary Borrower and the Administrative Agent shall treat (and the Lenders hereby authorize the Administrative Agent to treat) the Loans as not qualifying as a “grandfathered obligation” within the meaning of Section 1.1471-2(b)(2)(i) of the United States Treasury Regulations. Notwithstanding anything to the contrary contained in any Loan Document, the Borrower shall indemnify the Administrative Agent, and hold it harmless from, any and all losses, claims, damages, liabilities and related expenses, including the reasonable out-of-pocket fees, charges and disbursements of any counsel for any of the foregoing, incurred by or asserted against it arising out of, in connection with, or as a result of this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no obligation hereunder to the Administrative Agent to the extent such losses, claims, damages, liabilities and related expenses are found by a final and nonappealable decision of a court of competent jurisdiction to have resulted from the gross negligence or willful misconduct of the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that the Borrower shall not be liable for the fees and disbursements of more than one separate firm for the Administrative Agent in connection with any one action or any separate but substantially similar or related actions in the same jurisdiction, nor shall the Borrower be liable for any settlement or extra-judicial resolution of the Administrative Agent’s claims without the Borrower’s written consent.</w:t>
      </w:r>
    </w:p>
    <w:p>
      <w:pPr>
        <w:spacing w:after="0" w:line="191" w:lineRule="exact"/>
        <w:rPr>
          <w:rFonts w:ascii="Times New Roman" w:cs="Times New Roman" w:eastAsia="Times New Roman" w:hAnsi="Times New Roman"/>
          <w:sz w:val="18"/>
          <w:szCs w:val="18"/>
          <w:color w:val="auto"/>
        </w:rPr>
      </w:pPr>
    </w:p>
    <w:p>
      <w:pPr>
        <w:ind w:right="760" w:firstLine="1304"/>
        <w:spacing w:after="0" w:line="282" w:lineRule="auto"/>
        <w:tabs>
          <w:tab w:leader="none" w:pos="18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2.19, the term “Lender” includes the Issuing Lender and the Swingline Lender and the term “applicable law” includes FATCA.</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2.20</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4" w:lineRule="auto"/>
        <w:tabs>
          <w:tab w:leader="none" w:pos="18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Loans that are not RFR Loans, the Borrower or relevant Subsidiary Borrower agrees to indemnify each Lender for, and to hold each Lender harmless from, any actual loss or expense that such Lender may sustain or incur as a consequence of (a) default by the Borrower or relevant Subsidiary Borrower in making a borrowing of, conversion into or continuation of Term Benchmark Loans after the Borrower or such Subsidiary Borrower has given a notice requesting the same in accordance with the provisions of this Agreement, (b) default by the Borrower or relevant Subsidiary Borrower in making any prepayment of or conversion from Term Benchmark Loans after the Borrower or such Subsidiary Borrower has given a notice thereof in accordance with the provisions of this Agreement or (c) the making of a prepayment of Term Benchmark Loans on a day that is not the last day of an Interest Period with respect thereto. A certificate as to any amounts payable pursuant to this Section submitted to the Borrower or relevant Subsidiary Borrower by any Lender shall be conclusive in the absence of manifest error. This covenant shall survive the termination of this Agreement and the payment of the Loans and all other amounts payable hereunder.</w:t>
      </w:r>
    </w:p>
    <w:p>
      <w:pPr>
        <w:spacing w:after="0" w:line="188"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2.21 Change of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2.18 or 2.19(a)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sole judgment of such Lender, cause such Lender and its lending office(s) to suffer no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shall affect or postpone any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obligations of the Borrower or any Subsidiary Borrower or the rights of any Lender pursuant to Section 2.18 or 2.19(a).</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2.22 Replacement of Lenders</w:t>
      </w:r>
      <w:r>
        <w:rPr>
          <w:rFonts w:ascii="Times New Roman" w:cs="Times New Roman" w:eastAsia="Times New Roman" w:hAnsi="Times New Roman"/>
          <w:sz w:val="18"/>
          <w:szCs w:val="18"/>
          <w:color w:val="auto"/>
        </w:rPr>
        <w:t xml:space="preserve">. The Borrower shall be permitted to replace any Lender that (a) requests reimbursement for amounts owing pursuant to Section 2.18 or 2.19(a), (b) becomes a Defaulting Lender or (c) fails to give its consent for any issue requiring the consent of 100% of the Lenders or all affected Lenders (and such Lender is an affected Lender) and for which Lenders holding 51% of the Loans and/or Commitments required for such vote have consented, with a replacement financial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replacement does not conflict with any Requirement of Law,</w:t>
      </w:r>
    </w:p>
    <w:p>
      <w:pPr>
        <w:spacing w:after="0" w:line="3" w:lineRule="exact"/>
        <w:rPr>
          <w:sz w:val="20"/>
          <w:szCs w:val="20"/>
          <w:color w:val="auto"/>
        </w:rPr>
      </w:pPr>
    </w:p>
    <w:p>
      <w:pPr>
        <w:ind w:right="180" w:firstLine="8"/>
        <w:spacing w:after="0" w:line="265" w:lineRule="auto"/>
        <w:tabs>
          <w:tab w:leader="none" w:pos="26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shall have occurred and be continuing at the time of such replacement, (iii) prior to any such replacement, such Lender shall have taken no action under Section 2.21 so as to eliminate the continued need for payment of amounts owing pursuant to Section 2.18 or 2.19(a), (iv) the replacement financial institution shall purchase, at par, all Loans and other amounts owing to such replaced Lender on or prior to the date of replacement,</w:t>
      </w:r>
    </w:p>
    <w:p>
      <w:pPr>
        <w:ind w:firstLine="8"/>
        <w:spacing w:after="0" w:line="252"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liable to such replaced Lender under Section 2.20 if any Term Benchmark Loan owing to such replaced Lender shall be purchased other than on the last day of the Interest Period relating thereto, (vi) the replacement financial institution shall be reasonably satisfactory to the Administrative Agent, (vii) the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obligated to pay the registration and processing fee referred to therein), (viii) until such time as such replacement shall be consummated, the Borrower shall pay all additional amounts (if any) required pursuant to Section 2.18 or 2.19(a), as the case may be, and (ix) any such replacement shall not be deemed to be a waiver of any rights that the Borrower, the Administrative Agent or any other Lender shall have against the replaced Lender.</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2.23</w:t>
      </w:r>
      <w:r>
        <w:rPr>
          <w:sz w:val="20"/>
          <w:szCs w:val="20"/>
          <w:color w:val="auto"/>
        </w:rPr>
        <w:tab/>
      </w:r>
      <w:r>
        <w:rPr>
          <w:rFonts w:ascii="Times New Roman" w:cs="Times New Roman" w:eastAsia="Times New Roman" w:hAnsi="Times New Roman"/>
          <w:sz w:val="17"/>
          <w:szCs w:val="17"/>
          <w:u w:val="single" w:color="auto"/>
          <w:color w:val="auto"/>
        </w:rPr>
        <w:t>Incremental Facilities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304"/>
        <w:spacing w:after="0" w:line="252" w:lineRule="auto"/>
        <w:tabs>
          <w:tab w:leader="none" w:pos="180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Restatement Effective Date and before the Final Term Loan Maturity Date (with respect to Term Loans), the </w:t>
      </w:r>
      <w:r>
        <w:rPr>
          <w:rFonts w:ascii="Times New Roman" w:cs="Times New Roman" w:eastAsia="Times New Roman" w:hAnsi="Times New Roman"/>
          <w:sz w:val="18"/>
          <w:szCs w:val="18"/>
          <w:b w:val="1"/>
          <w:bCs w:val="1"/>
          <w:u w:val="single" w:color="auto"/>
          <w:color w:val="0000FF"/>
        </w:rPr>
        <w:t>Final</w:t>
      </w:r>
      <w:r>
        <w:rPr>
          <w:rFonts w:ascii="Times New Roman" w:cs="Times New Roman" w:eastAsia="Times New Roman" w:hAnsi="Times New Roman"/>
          <w:sz w:val="18"/>
          <w:szCs w:val="18"/>
          <w:color w:val="auto"/>
        </w:rPr>
        <w:t xml:space="preserve"> Revolving Termination Date (with respect to Revolving Loans), as applicable, the Borrower, by written notice to the Administrative Agent, may request the establishment of (x) one or more (A) additional tranches of term loans or (B) increases (an “</w:t>
      </w:r>
      <w:r>
        <w:rPr>
          <w:rFonts w:ascii="Times New Roman" w:cs="Times New Roman" w:eastAsia="Times New Roman" w:hAnsi="Times New Roman"/>
          <w:sz w:val="18"/>
          <w:szCs w:val="18"/>
          <w:u w:val="single" w:color="auto"/>
          <w:color w:val="auto"/>
        </w:rPr>
        <w:t>Incremental Term Loan Increase</w:t>
      </w:r>
      <w:r>
        <w:rPr>
          <w:rFonts w:ascii="Times New Roman" w:cs="Times New Roman" w:eastAsia="Times New Roman" w:hAnsi="Times New Roman"/>
          <w:sz w:val="18"/>
          <w:szCs w:val="18"/>
          <w:color w:val="auto"/>
        </w:rPr>
        <w:t>”) to an existing tranche of term loans (the commitments thereto,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xml:space="preserve">”) and/or (y) one or more increases in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(the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together with the Incremental Term Loan Commitments, the “</w:t>
      </w:r>
      <w:r>
        <w:rPr>
          <w:rFonts w:ascii="Times New Roman" w:cs="Times New Roman" w:eastAsia="Times New Roman" w:hAnsi="Times New Roman"/>
          <w:sz w:val="18"/>
          <w:szCs w:val="18"/>
          <w:u w:val="single" w:color="auto"/>
          <w:color w:val="auto"/>
        </w:rPr>
        <w:t>Incremental Loan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each such request shall be for not less than $25,000,000 (or such lesser amount up to the Maximum Facilities Amount) and (y) after giving effect to each such request and the proposed use of proceeds thereof, the aggregate amount (the “</w:t>
      </w:r>
      <w:r>
        <w:rPr>
          <w:rFonts w:ascii="Times New Roman" w:cs="Times New Roman" w:eastAsia="Times New Roman" w:hAnsi="Times New Roman"/>
          <w:sz w:val="18"/>
          <w:szCs w:val="18"/>
          <w:u w:val="single" w:color="auto"/>
          <w:color w:val="auto"/>
        </w:rPr>
        <w:t>Maximum Facilities Amount</w:t>
      </w:r>
      <w:r>
        <w:rPr>
          <w:rFonts w:ascii="Times New Roman" w:cs="Times New Roman" w:eastAsia="Times New Roman" w:hAnsi="Times New Roman"/>
          <w:sz w:val="18"/>
          <w:szCs w:val="18"/>
          <w:color w:val="auto"/>
        </w:rPr>
        <w:t xml:space="preserve">”) of the Facilities (which term, for the avoidance of doubt, shall be amended pursuant to the Incremental Commitment Agreement to include any additional tranches of term loans so requested, if applicable), together with any Incremental Equivalent Debt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shall not exceed the greater of (A) $3,000,000,000 and (B) an amount equal to 350% of Consolidated EBITDA determined to give pro forma effect to any related transactions consummated concurrently therewith, for the most recently ended period of four consecutive fiscal quarters for which financial statements have been delivered pursuant to Section 6.1. Each such notice shall specify the date (each, an “Increased Amount Date”) on which the Borrower proposes that the Incremental Loan Commitments shall be effective, which shall be a date not less than 10 Business Days after the date on which such notice is delivered to the Administrative Agent. The Borrower may approach any Lender or any Person to provide or arrange all or a portion of the Incremental Loan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Lender will be required to provide such Incremental Loan Commitment, (ii) any entity providing all or a portion of the Incremental Loan Commitments other than a Lender, an affiliate of a Lender or an Approved Fund, shall be reasonably acceptable to the Administrative Agent (with such acceptance by the Administrative Agent to not be unreasonably withheld or delayed) and (iii) any entity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ind w:right="740"/>
        <w:spacing w:after="0" w:line="282" w:lineRule="auto"/>
        <w:rPr>
          <w:sz w:val="20"/>
          <w:szCs w:val="20"/>
          <w:color w:val="auto"/>
        </w:rPr>
      </w:pPr>
      <w:r>
        <w:rPr>
          <w:rFonts w:ascii="Times New Roman" w:cs="Times New Roman" w:eastAsia="Times New Roman" w:hAnsi="Times New Roman"/>
          <w:sz w:val="18"/>
          <w:szCs w:val="18"/>
          <w:color w:val="auto"/>
        </w:rPr>
        <w:t>providing all or a portion of the Incremental Revolving Commitments other than a Lender, an affiliate of a Lender or an Approved Fund, shall be reasonably acceptable to each Issuing Lender (with such acceptance by the Issuing Lenders to not be unreasonably withheld or delayed).</w:t>
      </w:r>
    </w:p>
    <w:p>
      <w:pPr>
        <w:spacing w:after="0" w:line="162" w:lineRule="exact"/>
        <w:rPr>
          <w:sz w:val="20"/>
          <w:szCs w:val="20"/>
          <w:color w:val="auto"/>
        </w:rPr>
      </w:pPr>
    </w:p>
    <w:p>
      <w:pPr>
        <w:ind w:left="1820" w:hanging="516"/>
        <w:spacing w:after="0"/>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each case, such Incremental Loan Commitments shall become effective as of the applicable Increased Amount Date, </w:t>
      </w:r>
      <w:r>
        <w:rPr>
          <w:rFonts w:ascii="Times New Roman" w:cs="Times New Roman" w:eastAsia="Times New Roman" w:hAnsi="Times New Roman"/>
          <w:sz w:val="18"/>
          <w:szCs w:val="18"/>
          <w:u w:val="single" w:color="auto"/>
          <w:color w:val="auto"/>
        </w:rPr>
        <w:t>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660" w:right="120" w:firstLine="968"/>
        <w:spacing w:after="0" w:line="282" w:lineRule="auto"/>
        <w:tabs>
          <w:tab w:leader="none" w:pos="216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such Increased Amount Date before or after giving effect to such Incremental Loan Commitments,</w:t>
      </w:r>
    </w:p>
    <w:p>
      <w:pPr>
        <w:spacing w:after="0" w:line="161" w:lineRule="exact"/>
        <w:rPr>
          <w:rFonts w:ascii="Times New Roman" w:cs="Times New Roman" w:eastAsia="Times New Roman" w:hAnsi="Times New Roman"/>
          <w:sz w:val="18"/>
          <w:szCs w:val="18"/>
          <w:color w:val="auto"/>
        </w:rPr>
      </w:pPr>
    </w:p>
    <w:p>
      <w:pPr>
        <w:ind w:left="660" w:right="40" w:firstLine="968"/>
        <w:spacing w:after="0" w:line="266" w:lineRule="auto"/>
        <w:tabs>
          <w:tab w:leader="none" w:pos="22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in compliance with Section 7.1 as of the most recently ended fiscal quarter for which financial statements have been delivered pursuant to Section 6.1 after giving effect to such Incremental Loan Commitments and the use of proceeds thereof and assuming any related Specified Transaction has occurred,</w:t>
      </w:r>
    </w:p>
    <w:p>
      <w:pPr>
        <w:spacing w:after="0" w:line="175" w:lineRule="exact"/>
        <w:rPr>
          <w:rFonts w:ascii="Times New Roman" w:cs="Times New Roman" w:eastAsia="Times New Roman" w:hAnsi="Times New Roman"/>
          <w:sz w:val="18"/>
          <w:szCs w:val="18"/>
          <w:color w:val="auto"/>
        </w:rPr>
      </w:pPr>
    </w:p>
    <w:p>
      <w:pPr>
        <w:ind w:left="660" w:right="320" w:firstLine="968"/>
        <w:spacing w:after="0" w:line="282" w:lineRule="auto"/>
        <w:tabs>
          <w:tab w:leader="none" w:pos="226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Incremental Term Loan (other than any Incremental Tranche A Term Loan) shall be greater than or equal to the then-remaining weighted average life to maturity of the Term Loans,</w:t>
      </w:r>
    </w:p>
    <w:p>
      <w:pPr>
        <w:spacing w:after="0" w:line="161" w:lineRule="exact"/>
        <w:rPr>
          <w:rFonts w:ascii="Times New Roman" w:cs="Times New Roman" w:eastAsia="Times New Roman" w:hAnsi="Times New Roman"/>
          <w:sz w:val="18"/>
          <w:szCs w:val="18"/>
          <w:color w:val="auto"/>
        </w:rPr>
      </w:pPr>
    </w:p>
    <w:p>
      <w:pPr>
        <w:ind w:left="2240" w:hanging="612"/>
        <w:spacing w:after="0"/>
        <w:tabs>
          <w:tab w:leader="none" w:pos="2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69" w:lineRule="auto"/>
        <w:tabs>
          <w:tab w:leader="none" w:pos="220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margin in respect of any Incremental Revolving Loans that is in effect on the Increased Amount Date (after giving effect to original issue discount (“</w:t>
      </w:r>
      <w:r>
        <w:rPr>
          <w:rFonts w:ascii="Times New Roman" w:cs="Times New Roman" w:eastAsia="Times New Roman" w:hAnsi="Times New Roman"/>
          <w:sz w:val="17"/>
          <w:szCs w:val="17"/>
          <w:u w:val="single" w:color="auto"/>
          <w:color w:val="auto"/>
        </w:rPr>
        <w:t>OID</w:t>
      </w:r>
      <w:r>
        <w:rPr>
          <w:rFonts w:ascii="Times New Roman" w:cs="Times New Roman" w:eastAsia="Times New Roman" w:hAnsi="Times New Roman"/>
          <w:sz w:val="17"/>
          <w:szCs w:val="17"/>
          <w:color w:val="auto"/>
        </w:rPr>
        <w:t>”) or upfront fees, (which shall be deemed to constitute like amounts of OID, with OID being equated to interest rates in a manner determined by the Administrative Agent based on a four-year life to maturity) paid to all of the Incremental Revolving Lenders in connection therewith but excluding any customary arrangement, commitment or other similar fees payable to one or more arrangers (or their affiliates) in connection therewith) shall not exceed the sum of (x) the Applicable Margin for the Revolving Loans made pursuant to the Revolving Commitments that is in effect on the Increased Amount Date, and (y) the OID or the upfront fees paid to all of the Lenders in respect of such Revolving Commitments, which shall be equated to interest rate based on a four-year life to maturity, or if it does so exceed the sum of such Applicable Margin and such fees, such Applicable Margin for the Revolving Loans made pursuant to the Revolving Commitments, shall be increased so that the interest rate margin in respect of such Incremental Revolving Loans that is in effect on the Increased Amount Date (giving effect to any OID issued or such upfront fees paid to all of the Incremental Lenders in connection therewith as set forth above) is no greater than the sum of (x) the Applicable Margin for the Revolving Loans made pursuant to the Revolving Commitments that is in effect on the Increased Amount Date, and (y) the OID or the upfront fees paid to all of the Lenders in respect of such Revolving Commitments,</w:t>
      </w:r>
    </w:p>
    <w:p>
      <w:pPr>
        <w:spacing w:after="0" w:line="178" w:lineRule="exact"/>
        <w:rPr>
          <w:rFonts w:ascii="Times New Roman" w:cs="Times New Roman" w:eastAsia="Times New Roman" w:hAnsi="Times New Roman"/>
          <w:sz w:val="17"/>
          <w:szCs w:val="17"/>
          <w:color w:val="auto"/>
        </w:rPr>
      </w:pPr>
    </w:p>
    <w:p>
      <w:pPr>
        <w:ind w:left="660" w:firstLine="968"/>
        <w:spacing w:after="0" w:line="254" w:lineRule="auto"/>
        <w:tabs>
          <w:tab w:leader="none" w:pos="22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Term Loans (other than any Incremental Tranche A Term Loans), if the final maturity date of any Incremental Term Loans denominated in any currency (except for any Incremental Tranche A Term Loans) is not at least one year later than the Final Term Loan Maturity Date of any Term Loans denominated in such currency, the interest rate margin in respect of such Incremental Term Loans denominated in such currency (after giving effect to OID or upfront fees paid to all of the Incremental Term Loan Lenders in connection therewith but excluding any customary arrangement, commitment, underwriting, ticking or other similar fees payable to one or more arrangers (or their affiliates) in connection therewith, any amendment or consent fees or any other fees not paid to all relevant Lenders generally) (with fees and OID being equated to interest rate in the manner set forth above)) shall not exceed by more than 50 basis points the sum of (1) the Applicable Margin for the Term Loans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0" w:name="page121"/>
    <w:bookmarkEnd w:id="120"/>
    <w:p>
      <w:pPr>
        <w:ind w:left="660" w:right="160"/>
        <w:spacing w:after="0" w:line="253" w:lineRule="auto"/>
        <w:rPr>
          <w:sz w:val="20"/>
          <w:szCs w:val="20"/>
          <w:color w:val="auto"/>
        </w:rPr>
      </w:pPr>
      <w:r>
        <w:rPr>
          <w:rFonts w:ascii="Times New Roman" w:cs="Times New Roman" w:eastAsia="Times New Roman" w:hAnsi="Times New Roman"/>
          <w:sz w:val="18"/>
          <w:szCs w:val="18"/>
          <w:color w:val="auto"/>
        </w:rPr>
        <w:t>denominated in such currency that is in effect on the Increased Amount Date (other than any Incremental Tranche A Term Loans), and (2) the upfront fees paid to all of the Lenders in respect of such Term Loans denominated in such currency, which shall be equated to interest rate based on a four-year life to maturity, or if it does so exceed by more than 50 basis points the sum of such Applicable Margin and such fees, the Applicable Margin for such Term Loans denominated in such currency shall be increased so that the interest rate margin in respect of such Incremental Term Loans denominated in such currency (after giving effect to any OID issued or such upfront fees paid to all of the Incremental Term Loan Lenders in connection therewith as set forth above (but excluding any customary arrangement, commitment, underwriting, ticking or other similar fees payable to one or more arrangers (or their affiliates) in connection therewith, any amendment or consent fees or any other fees not paid to all relevant Lenders generally)) is no greater than the sum of (1) the Applicable Margin for such Term Loans denominated in such currency that is in effect on the Increased Amount Date, (2) the OID or upfront fees paid to all of the Lenders in respect of such Term Loans denominated in such currency and (3) 50 basis points,</w:t>
      </w:r>
    </w:p>
    <w:p>
      <w:pPr>
        <w:spacing w:after="0" w:line="194" w:lineRule="exact"/>
        <w:rPr>
          <w:sz w:val="20"/>
          <w:szCs w:val="20"/>
          <w:color w:val="auto"/>
        </w:rPr>
      </w:pPr>
    </w:p>
    <w:p>
      <w:pPr>
        <w:ind w:left="2300" w:hanging="672"/>
        <w:spacing w:after="0"/>
        <w:tabs>
          <w:tab w:leader="none" w:pos="2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660" w:right="60" w:firstLine="968"/>
        <w:spacing w:after="0" w:line="255" w:lineRule="auto"/>
        <w:tabs>
          <w:tab w:leader="none" w:pos="23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Revolving Commitments, the Incremental Term Loan Commitments shall be effected, in each case, pursuant to one or more incremental commitment agreements in a form reasonably acceptable to the Administrative Agent (each, a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Agreement</w:t>
      </w:r>
      <w:r>
        <w:rPr>
          <w:rFonts w:ascii="Times New Roman" w:cs="Times New Roman" w:eastAsia="Times New Roman" w:hAnsi="Times New Roman"/>
          <w:sz w:val="18"/>
          <w:szCs w:val="18"/>
          <w:color w:val="auto"/>
        </w:rPr>
        <w:t>”) executed and delivered by the Borrower, the applicable Incremental Revolving Lender or the Incremental Term Loan Lender and the Administrative Agent pursuant to which the applicable Incremental Revolving Lender or Incremental Term Loan Lender agrees to be bound to the terms of this Agreement as a Lender. Except for Incremental Term Loans made in connection with an Incremental Term Loan Increase, any Incremental Term Loans made on an Increased Amount Date shall be designated a separate tranche of Incremental Term Loans for all purposes of this Agreement, and the provisions of clauses (vi) and (vii) above shall be determined separately for each tranche of Term Loans.</w:t>
      </w:r>
    </w:p>
    <w:p>
      <w:pPr>
        <w:spacing w:after="0" w:line="18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case of any Incremental Loan Commitments implemented to finance a Permitted Acquisition, satisfaction of the conditions set forth in clauses (i) and (ii) may, at the option of the Borrower, be determined solely as of the date on which the definitive agreement governing such Permitted Acquisition is executed, calculated to give pro forma effect to such acquisition as if it had occurred on such date of determination.</w:t>
      </w:r>
    </w:p>
    <w:p>
      <w:pPr>
        <w:spacing w:after="0" w:line="180" w:lineRule="exact"/>
        <w:rPr>
          <w:sz w:val="20"/>
          <w:szCs w:val="20"/>
          <w:color w:val="auto"/>
        </w:rPr>
      </w:pPr>
    </w:p>
    <w:p>
      <w:pPr>
        <w:ind w:firstLine="1304"/>
        <w:spacing w:after="0" w:line="253" w:lineRule="auto"/>
        <w:tabs>
          <w:tab w:leader="none" w:pos="18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Increased Amount Date on which Incremental Revolving Commitments are effected, subject to the satisfaction of the foregoing terms and conditions, (x) each of the Lenders with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being increased shall assign to each Person with an Incremental Revolving Commitment (each, an “</w:t>
      </w:r>
      <w:r>
        <w:rPr>
          <w:rFonts w:ascii="Times New Roman" w:cs="Times New Roman" w:eastAsia="Times New Roman" w:hAnsi="Times New Roman"/>
          <w:sz w:val="18"/>
          <w:szCs w:val="18"/>
          <w:u w:val="single" w:color="auto"/>
          <w:color w:val="auto"/>
        </w:rPr>
        <w:t>Incremental Revolving Lender</w:t>
      </w:r>
      <w:r>
        <w:rPr>
          <w:rFonts w:ascii="Times New Roman" w:cs="Times New Roman" w:eastAsia="Times New Roman" w:hAnsi="Times New Roman"/>
          <w:sz w:val="18"/>
          <w:szCs w:val="18"/>
          <w:color w:val="auto"/>
        </w:rPr>
        <w:t xml:space="preserve">”) and each of the Incremental Revolving Lenders shall purchase from each of the Lenders with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at the principal amount thereof, such interests in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 outstanding on such Increased Amount Date as shall be necessary in order that, after giving effect to all such assignments and purchases,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 will be held by existing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Lenders and Incremental Revolving Lenders ratably in accordance with their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after giving effect to the addition of such Incremental Revolving Commitments to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(y) each Incremental Revolving Commitment shall be deemed for all purposes a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 and each Loan made thereunder (an “</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xml:space="preserve">”) shall be deemed, for all purposes, a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 and (z) each Incremental Revolving Lender shall become a Lender with respect to the Incremental Revolving Commitment and all matters relating thereto. The terms and provisions of the Incremental Revolving Loans and Incremental Revolving Commitments shall be substantially identical to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Loans and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Commitments of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Facility.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1" w:name="page122"/>
    <w:bookmarkEnd w:id="121"/>
    <w:p>
      <w:pPr>
        <w:ind w:firstLine="1304"/>
        <w:spacing w:after="0" w:line="258" w:lineRule="auto"/>
        <w:tabs>
          <w:tab w:leader="none" w:pos="182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Term Loan Commitments are effected, subject to the satisfaction of the foregoing terms and conditions and unless otherwise provided in the applicable Incremental Commitment Agreement, (i) each Person with an Incremental Term Loan Commitment (each, an “</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shall make a Loan to the Borrower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in an amount equal to its Incremental Term Loan Commitment, and (ii) each Incremental Term Loan Lender shall become a Lender hereunder with respect to the Incremental Term Loan Commitment and the Incremental Term Loans made pursuant thereto.</w:t>
      </w:r>
    </w:p>
    <w:p>
      <w:pPr>
        <w:spacing w:after="0" w:line="183"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60" w:firstLine="1304"/>
        <w:spacing w:after="0" w:line="266" w:lineRule="auto"/>
        <w:tabs>
          <w:tab w:leader="none" w:pos="179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Commitment Agreement may, without the consent of any other Lenders, effect such amendments to this Agreement and the other Loan Documents as may be necessary or appropriate, in the opinion of the Administrative Agent, to effect the provisions of this Section 2.23.</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avoidance of doubt, (i) the Tranche B Term Loans and the Tranche C Term Loans constitute Incremental Term Loans, (ii) the Tranche A Term Loans constitute Incremental Tranche A Term Loans, and (iii) the Tranche A Term Lenders shall be Incremental Term Loan Lenders, in each case, for all purposes of this Agreement and the other Loan Documents.</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2.24 Prepayments Required Due to Currency Fluctuation</w:t>
      </w:r>
      <w:r>
        <w:rPr>
          <w:rFonts w:ascii="Times New Roman" w:cs="Times New Roman" w:eastAsia="Times New Roman" w:hAnsi="Times New Roman"/>
          <w:sz w:val="18"/>
          <w:szCs w:val="18"/>
          <w:color w:val="auto"/>
        </w:rPr>
        <w:t xml:space="preserve">. On the last Business Day of each fiscal quarter, or at such other time as is reasonably determined by the Administrative Agent or the Issuing Lender, as applicable, the Administrative Agent or the Issuing Lender, as applicable, shall determine the Dollar Equivalent of aggregate outstanding Revolving Extensions of Credit. If, at the time of such determination the aggregate outstanding Revolving Extensions of Credit exceed the Revolving Commitments then in effect by 5% or more, then within five Business Days of notice to the Borrower, the Borrower or the relevant Subsidiary Borrower shall prepay Revolving Loans or Swingline Loans or cash collateralize the outstanding Letters of Credit in an aggregate principal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Administrative Agent or the Issuing Lender, as applicable, to determine the Dollar Equivalent Amount of the aggregate outstanding Revolving Extensions of Credit as provided in this Section 2.24 shall not subject the Administrative Agent to any liability hereunder.</w:t>
      </w:r>
    </w:p>
    <w:p>
      <w:pPr>
        <w:spacing w:after="0" w:line="192"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2.25 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820" w:hanging="516"/>
        <w:spacing w:after="0"/>
        <w:tabs>
          <w:tab w:leader="none" w:pos="1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Revolving Commitment of such Defaulting Lender pursuant to Section 2.8;</w:t>
      </w:r>
    </w:p>
    <w:p>
      <w:pPr>
        <w:spacing w:after="0" w:line="225" w:lineRule="exact"/>
        <w:rPr>
          <w:rFonts w:ascii="Times New Roman" w:cs="Times New Roman" w:eastAsia="Times New Roman" w:hAnsi="Times New Roman"/>
          <w:sz w:val="18"/>
          <w:szCs w:val="18"/>
          <w:color w:val="auto"/>
        </w:rPr>
      </w:pPr>
    </w:p>
    <w:p>
      <w:pPr>
        <w:ind w:right="60" w:firstLine="1304"/>
        <w:spacing w:after="0" w:line="261" w:lineRule="auto"/>
        <w:tabs>
          <w:tab w:leader="none" w:pos="182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and Revolving Extensions of such Defaulting Lender shall not be included in determining whether the Required Lenders have taken or may take any action hereunder (including any consent to any amendment,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to the vote of a Defaulting Lender in the case of an amendment, waiver or other modification requiring the consent of such Lender or each Lender affected thereby;</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Obligations exist at the time a Revolving Lender is a Defaulting Lender then:</w:t>
      </w:r>
    </w:p>
    <w:p>
      <w:pPr>
        <w:spacing w:after="0" w:line="225"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16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 precedent in Section 5.2(b) of the Credit Agreement and following notice by the Administrative Agent, all or any part of the Defaulting Lender’s ratable participating interest in the L/C Obligations shall be reallocated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2" w:name="page123"/>
    <w:bookmarkEnd w:id="122"/>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among the Revolving Lenders </w:t>
      </w:r>
      <w:r>
        <w:rPr>
          <w:rFonts w:ascii="Times New Roman" w:cs="Times New Roman" w:eastAsia="Times New Roman" w:hAnsi="Times New Roman"/>
          <w:sz w:val="18"/>
          <w:szCs w:val="18"/>
          <w:b w:val="1"/>
          <w:bCs w:val="1"/>
          <w:u w:val="single" w:color="auto"/>
          <w:color w:val="0000FF"/>
        </w:rPr>
        <w:t>under the applicable Revolving Facility</w:t>
      </w:r>
      <w:r>
        <w:rPr>
          <w:rFonts w:ascii="Times New Roman" w:cs="Times New Roman" w:eastAsia="Times New Roman" w:hAnsi="Times New Roman"/>
          <w:sz w:val="18"/>
          <w:szCs w:val="18"/>
          <w:color w:val="auto"/>
        </w:rPr>
        <w:t xml:space="preserve"> that are not Defaulting Lenders in accordance with their respective Revolving Percentages but, in any case, only to the extent the sum of the outstanding Revolving Extensions of Credit of all Revolving Lenders </w:t>
      </w:r>
      <w:r>
        <w:rPr>
          <w:rFonts w:ascii="Times New Roman" w:cs="Times New Roman" w:eastAsia="Times New Roman" w:hAnsi="Times New Roman"/>
          <w:sz w:val="18"/>
          <w:szCs w:val="18"/>
          <w:b w:val="1"/>
          <w:bCs w:val="1"/>
          <w:u w:val="single" w:color="auto"/>
          <w:color w:val="0000FF"/>
        </w:rPr>
        <w:t>under the applicable Revolving 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are not Defaulting Lenders before giving effect to such reallocation plus such Defaulting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ratable participating interest in the L/C Obligations does not exceed the total of the Revolving Commitments of all Revolving Lenders </w:t>
      </w:r>
      <w:r>
        <w:rPr>
          <w:rFonts w:ascii="Times New Roman" w:cs="Times New Roman" w:eastAsia="Times New Roman" w:hAnsi="Times New Roman"/>
          <w:sz w:val="18"/>
          <w:szCs w:val="18"/>
          <w:b w:val="1"/>
          <w:bCs w:val="1"/>
          <w:u w:val="single" w:color="auto"/>
          <w:color w:val="0000FF"/>
        </w:rPr>
        <w:t>under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applicable Revolving Facility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are not Defaulting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if such condition precedent is not satisfied on the date of such notice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by the Administrative Agent, the Borrower shall within five Business Days following notice by the Administrative Agent, either (x) cash collateralize such Defaulting Lender’s ratable participating interest in the L/C Obligations or (y) backstop such Defaulting Lender’s participating interest in the L/C Obligations with a letter of credit reasonably satisfactory to the applicable Issuing Lender;</w:t>
      </w:r>
    </w:p>
    <w:p>
      <w:pPr>
        <w:spacing w:after="0" w:line="189" w:lineRule="exact"/>
        <w:rPr>
          <w:sz w:val="20"/>
          <w:szCs w:val="20"/>
          <w:color w:val="auto"/>
        </w:rPr>
      </w:pPr>
    </w:p>
    <w:p>
      <w:pPr>
        <w:ind w:right="40" w:firstLine="968"/>
        <w:spacing w:after="0" w:line="277" w:lineRule="auto"/>
        <w:tabs>
          <w:tab w:leader="none" w:pos="155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reallocation described in clause (i) above cannot, or can only partially, be effected as a result of the limitations set forth therein, the Borrower shall within five Business Days following notice by the Administrative Agent, either (x) cash collateralize such Defaulting Lender’s participating interest in the L/C Obligations (after giving effect to any partial reallocation pursuant to clause (i) above) or (y) backstop such Defaulting Lender’s participating interest in the L/C Obligations (after giving effect to any partial reallocation pursuant to clause (i) above) with a letter of credit reasonably satisfactory to the applicable Issuing Lender, in each case, for so long as such L/C Obligations are outstanding;</w:t>
      </w:r>
    </w:p>
    <w:p>
      <w:pPr>
        <w:spacing w:after="0" w:line="167" w:lineRule="exact"/>
        <w:rPr>
          <w:rFonts w:ascii="Times New Roman" w:cs="Times New Roman" w:eastAsia="Times New Roman" w:hAnsi="Times New Roman"/>
          <w:sz w:val="17"/>
          <w:szCs w:val="17"/>
          <w:color w:val="auto"/>
        </w:rPr>
      </w:pPr>
    </w:p>
    <w:p>
      <w:pPr>
        <w:ind w:firstLine="968"/>
        <w:spacing w:after="0" w:line="266" w:lineRule="auto"/>
        <w:tabs>
          <w:tab w:leader="none" w:pos="160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cash collateralizes or backstops any portion of such Defaulting Lender’s L/C Obligations pursuant to this paragraph (a), the Borrower shall not be required to pay any fees to such Defaulting Lender pursuant to Section 3.3 with respect to such Defaulting Lender’s L/C Obligations during the period such Defaulting Lender’s L/C Obligations are cash collateralized or backstopped;</w:t>
      </w:r>
    </w:p>
    <w:p>
      <w:pPr>
        <w:spacing w:after="0" w:line="175" w:lineRule="exact"/>
        <w:rPr>
          <w:rFonts w:ascii="Times New Roman" w:cs="Times New Roman" w:eastAsia="Times New Roman" w:hAnsi="Times New Roman"/>
          <w:sz w:val="18"/>
          <w:szCs w:val="18"/>
          <w:color w:val="auto"/>
        </w:rPr>
      </w:pPr>
    </w:p>
    <w:p>
      <w:pPr>
        <w:jc w:val="both"/>
        <w:ind w:right="500" w:firstLine="968"/>
        <w:spacing w:after="0" w:line="266" w:lineRule="auto"/>
        <w:tabs>
          <w:tab w:leader="none" w:pos="15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Obligations attributable to the Defaulting Lenders that are Revolving Lenders is reallocated pursuant to this paragraph (a), then the fees payable to the Lenders pursuant to Sections 2.8 and 3.3 shall be adjusted in accordance with the non-Defaulting Lenders’ respective Revolving Percentages;</w:t>
      </w:r>
    </w:p>
    <w:p>
      <w:pPr>
        <w:spacing w:after="0" w:line="175" w:lineRule="exact"/>
        <w:rPr>
          <w:rFonts w:ascii="Times New Roman" w:cs="Times New Roman" w:eastAsia="Times New Roman" w:hAnsi="Times New Roman"/>
          <w:sz w:val="18"/>
          <w:szCs w:val="18"/>
          <w:color w:val="auto"/>
        </w:rPr>
      </w:pPr>
    </w:p>
    <w:p>
      <w:pPr>
        <w:ind w:right="20" w:firstLine="968"/>
        <w:spacing w:after="0" w:line="281" w:lineRule="auto"/>
        <w:tabs>
          <w:tab w:leader="none" w:pos="154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Defaulting Lender’s participating interest in L/C Obligations is neither cash collateralized, backstopped nor reallocated pursuant to this paragraph (a), then, without prejudice to any rights or remedies of the Issuing Lenders or any Lender hereunder, all letter of credit fees payable under Section 3.3 with respect to such Defaulting Lender’s participating interest in all L/C Obligations shall be payable to the applicable Issuing Lenders until such participating interest in all L/C Obligations is backstopped, cash collateralized and/or reallocated;</w:t>
      </w:r>
    </w:p>
    <w:p>
      <w:pPr>
        <w:spacing w:after="0" w:line="164" w:lineRule="exact"/>
        <w:rPr>
          <w:rFonts w:ascii="Times New Roman" w:cs="Times New Roman" w:eastAsia="Times New Roman" w:hAnsi="Times New Roman"/>
          <w:sz w:val="17"/>
          <w:szCs w:val="17"/>
          <w:color w:val="auto"/>
        </w:rPr>
      </w:pPr>
    </w:p>
    <w:p>
      <w:pPr>
        <w:jc w:val="both"/>
        <w:ind w:right="200" w:firstLine="968"/>
        <w:spacing w:after="0" w:line="312" w:lineRule="auto"/>
        <w:tabs>
          <w:tab w:leader="none" w:pos="159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subsequent request for issuance, amendment or increase of any Letter of Credit shall be subject to reallocating or cash collateralizing the relating L/C Obligations attributable to any Defaulting Lender that is a Revolving Lender in the manner described above; and</w:t>
      </w:r>
    </w:p>
    <w:p>
      <w:pPr>
        <w:spacing w:after="0" w:line="139" w:lineRule="exact"/>
        <w:rPr>
          <w:rFonts w:ascii="Times New Roman" w:cs="Times New Roman" w:eastAsia="Times New Roman" w:hAnsi="Times New Roman"/>
          <w:sz w:val="17"/>
          <w:szCs w:val="17"/>
          <w:color w:val="auto"/>
        </w:rPr>
      </w:pPr>
    </w:p>
    <w:p>
      <w:pPr>
        <w:jc w:val="both"/>
        <w:ind w:right="80" w:firstLine="968"/>
        <w:spacing w:after="0" w:line="281" w:lineRule="auto"/>
        <w:tabs>
          <w:tab w:leader="none" w:pos="164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 Revolving Lender ceases to be a Defaulting Lender, all outstanding L/C Obligations shall be immediately reallocated ratably to the Revolving Lenders </w:t>
      </w:r>
      <w:r>
        <w:rPr>
          <w:rFonts w:ascii="Times New Roman" w:cs="Times New Roman" w:eastAsia="Times New Roman" w:hAnsi="Times New Roman"/>
          <w:sz w:val="17"/>
          <w:szCs w:val="17"/>
          <w:b w:val="1"/>
          <w:bCs w:val="1"/>
          <w:u w:val="single" w:color="auto"/>
          <w:color w:val="0000FF"/>
        </w:rPr>
        <w:t>under the applicable Revolving Facility</w:t>
      </w:r>
      <w:r>
        <w:rPr>
          <w:rFonts w:ascii="Times New Roman" w:cs="Times New Roman" w:eastAsia="Times New Roman" w:hAnsi="Times New Roman"/>
          <w:sz w:val="17"/>
          <w:szCs w:val="17"/>
          <w:color w:val="auto"/>
        </w:rPr>
        <w:t xml:space="preserve"> who are not Defaulting Lenders and any cash collateral posted in respect of such Lender’s participating interest shall be returned to the Borrower and any letter of credit issued to backstop such Lender’s participating interest shall be terminated, cancelled or returned to the Borrower for cancellation, in each case, within three Business Days.</w:t>
      </w:r>
    </w:p>
    <w:p>
      <w:pPr>
        <w:spacing w:after="0" w:line="16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123" w:name="page124"/>
    <w:bookmarkEnd w:id="123"/>
    <w:p>
      <w:pPr>
        <w:jc w:val="both"/>
        <w:ind w:left="660" w:right="260"/>
        <w:spacing w:after="0" w:line="266" w:lineRule="auto"/>
        <w:rPr>
          <w:sz w:val="20"/>
          <w:szCs w:val="20"/>
          <w:color w:val="auto"/>
        </w:rPr>
      </w:pPr>
      <w:r>
        <w:rPr>
          <w:rFonts w:ascii="Times New Roman" w:cs="Times New Roman" w:eastAsia="Times New Roman" w:hAnsi="Times New Roman"/>
          <w:sz w:val="18"/>
          <w:szCs w:val="18"/>
          <w:color w:val="auto"/>
        </w:rPr>
        <w:t>Subject to Section 10.19,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6" w:lineRule="exact"/>
        <w:rPr>
          <w:sz w:val="20"/>
          <w:szCs w:val="20"/>
          <w:color w:val="auto"/>
        </w:rPr>
      </w:pPr>
    </w:p>
    <w:p>
      <w:pPr>
        <w:ind w:right="100" w:firstLine="1304"/>
        <w:spacing w:after="0" w:line="266" w:lineRule="auto"/>
        <w:tabs>
          <w:tab w:leader="none" w:pos="182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Loans are outstanding at the time a Lender is a Defaulting Lender, the Borrower shall within five Business Days following notice by the Administrative Agent prepay such Swingline Loans or, if agreed by the Swingline Lenders, cash collateralize the participating interests in the Swingline Loans of the Defaulting Lender on terms reasonably satisfactory to the Swingline Lenders; and</w:t>
      </w:r>
    </w:p>
    <w:p>
      <w:pPr>
        <w:spacing w:after="0" w:line="175" w:lineRule="exact"/>
        <w:rPr>
          <w:rFonts w:ascii="Times New Roman" w:cs="Times New Roman" w:eastAsia="Times New Roman" w:hAnsi="Times New Roman"/>
          <w:sz w:val="18"/>
          <w:szCs w:val="18"/>
          <w:color w:val="auto"/>
        </w:rPr>
      </w:pPr>
    </w:p>
    <w:p>
      <w:pPr>
        <w:ind w:right="120" w:firstLine="1304"/>
        <w:spacing w:after="0" w:line="266" w:lineRule="auto"/>
        <w:tabs>
          <w:tab w:leader="none" w:pos="181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notice by the Administrative Agent to the Borrower pursuant to clauses (c) or (d) above, no Swingline Lender shall be required to fund any Swingline Loan and no Issuing Lender shall be required to issue or increase any Letter of Credit unless it is reasonably satisfied that the reallocation and cash collateral requirements described in clauses (c) and (d) above shall be provided for.</w:t>
      </w:r>
    </w:p>
    <w:p>
      <w:pPr>
        <w:spacing w:after="0" w:line="176"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In the event that the Administrative Agent, the Borrower, each Swingline Lender and each Issuing Lender each agrees that a Defaulting Lender has adequately remedied all matters that caused such Lender to be a Defaulting Lender, then the Swingline Exposure and L/C Obligations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Revolving Percentage.</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2.26</w:t>
      </w:r>
      <w:r>
        <w:rPr>
          <w:sz w:val="20"/>
          <w:szCs w:val="20"/>
          <w:color w:val="auto"/>
        </w:rPr>
        <w:tab/>
      </w:r>
      <w:r>
        <w:rPr>
          <w:rFonts w:ascii="Times New Roman" w:cs="Times New Roman" w:eastAsia="Times New Roman" w:hAnsi="Times New Roman"/>
          <w:sz w:val="17"/>
          <w:szCs w:val="17"/>
          <w:u w:val="single" w:color="auto"/>
          <w:color w:val="auto"/>
        </w:rPr>
        <w:t>Extension of the Facilities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firstLine="1304"/>
        <w:spacing w:after="0" w:line="252" w:lineRule="auto"/>
        <w:tabs>
          <w:tab w:leader="none" w:pos="181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made from time to time by the Borrower to all Lenders under any Facility holding Term Loans or Revolving Commitments with a like maturity date, on a pro rata basis (based on the aggregate Term Loans or Revolving Commitments with a like maturity date) and on the same terms to each such Lender, the Borrower is hereby permitted to consummate from time to time transactions with individual Lenders that accept the terms contained in such Extension Offers to extend the maturity date of each such Lender’s Term Loan or Revolving Commitment and otherwise modify the terms of such Term Loans or Revolving Commitments pursuant to the terms of the relevant Extension Offer (including, without limitation, by increasing or decreasing the interest rate or fees payable in respect of such Term Loans or Revolving Commitments (and related outstandings))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and each group of Term Loans or Revolving Commitments, as so extended, as well as the original Term Loans or Revolving Commitments not so extended, being a “tranche”; any Extended Credits shall constitute a separate tranche of Term Loans or Revolving Commitments from the tranche of Term Loans or Revolving Commitments from which they were converted), so long as the following terms are satisfied: (i) no Default or Event of Default shall have occurred and be continuing at the time the offering document in respect of an Extension Offer is delivered to the Lenders, (ii) except as to interest rates, fees and final maturity and related provisions including call protection (which shall be set forth in the relevant Extension Offer), the Term Loan or Revolving Commitment of any Lender that agrees to an Extension with respect to such Term Loan or Revolving Commitment extended pursuant to an Extension (an “</w:t>
      </w:r>
      <w:r>
        <w:rPr>
          <w:rFonts w:ascii="Times New Roman" w:cs="Times New Roman" w:eastAsia="Times New Roman" w:hAnsi="Times New Roman"/>
          <w:sz w:val="18"/>
          <w:szCs w:val="18"/>
          <w:u w:val="single" w:color="auto"/>
          <w:color w:val="auto"/>
        </w:rPr>
        <w:t>Extended Credit</w:t>
      </w:r>
      <w:r>
        <w:rPr>
          <w:rFonts w:ascii="Times New Roman" w:cs="Times New Roman" w:eastAsia="Times New Roman" w:hAnsi="Times New Roman"/>
          <w:sz w:val="18"/>
          <w:szCs w:val="18"/>
          <w:color w:val="auto"/>
        </w:rPr>
        <w:t xml:space="preserve">”), and the related outstandings, shall be a Term Loan or Revolving Commitment (or related outstandings, as the case may be) with the same terms as the original Term Loan or Revolving Commitments (and related outstandings) from which they were converted;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in the event that the interest rate margins for the Loans made pursuant to any Extended Credit (each, an “</w:t>
      </w:r>
      <w:r>
        <w:rPr>
          <w:rFonts w:ascii="Times New Roman" w:cs="Times New Roman" w:eastAsia="Times New Roman" w:hAnsi="Times New Roman"/>
          <w:sz w:val="18"/>
          <w:szCs w:val="18"/>
          <w:u w:val="single" w:color="auto"/>
          <w:color w:val="auto"/>
        </w:rPr>
        <w:t>Extended Loan</w:t>
      </w:r>
      <w:r>
        <w:rPr>
          <w:rFonts w:ascii="Times New Roman" w:cs="Times New Roman" w:eastAsia="Times New Roman" w:hAnsi="Times New Roman"/>
          <w:sz w:val="18"/>
          <w:szCs w:val="18"/>
          <w:color w:val="auto"/>
        </w:rPr>
        <w:t>”) having a maturity within twelve months of the maturity date of the Term Loan or Revolving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ind w:right="20"/>
        <w:spacing w:after="0" w:line="257" w:lineRule="auto"/>
        <w:rPr>
          <w:sz w:val="20"/>
          <w:szCs w:val="20"/>
          <w:color w:val="auto"/>
        </w:rPr>
      </w:pPr>
      <w:r>
        <w:rPr>
          <w:rFonts w:ascii="Times New Roman" w:cs="Times New Roman" w:eastAsia="Times New Roman" w:hAnsi="Times New Roman"/>
          <w:sz w:val="18"/>
          <w:szCs w:val="18"/>
          <w:color w:val="auto"/>
        </w:rPr>
        <w:t>Commitment being extended is higher than the interest rate margins for the Loans that are being extended, then the interest rate margining for the Loans that are not being extended shall be increased to the extent necessary so that such interest rate margins are equal to the interest rate margins of such Extended Loans incurred pursuant to such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the interest rate margins applicable to the Extended Loans or the Loans,</w:t>
      </w:r>
    </w:p>
    <w:p>
      <w:pPr>
        <w:spacing w:after="0" w:line="1" w:lineRule="exact"/>
        <w:rPr>
          <w:sz w:val="20"/>
          <w:szCs w:val="20"/>
          <w:color w:val="auto"/>
        </w:rPr>
      </w:pPr>
    </w:p>
    <w:p>
      <w:pPr>
        <w:ind w:right="20" w:firstLine="8"/>
        <w:spacing w:after="0" w:line="265" w:lineRule="auto"/>
        <w:tabs>
          <w:tab w:leader="none" w:pos="25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OID or upfront fees (which shall be deemed to constitute like amounts of OID, with OID being equated to interest rates in a manner determined by the Administrative Agent based on a four-year maturity) paid to all Lenders in respect of the Extended Loans or the Loans, as applicable, shall be included, and</w:t>
      </w:r>
    </w:p>
    <w:p>
      <w:pPr>
        <w:ind w:left="260" w:hanging="252"/>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arrangement or commitment fees payable to one or more arrangers (or their affiliates) in connection with such Extension shall be excluded),</w:t>
      </w:r>
    </w:p>
    <w:p>
      <w:pPr>
        <w:spacing w:after="0" w:line="9"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 the case of Extensions of Revolving Commitments (“</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xml:space="preserve">”, the borrowing and repayment (except for (A) payments of interest and fees at different rates on Extended Commitments (and related outstandings), (B) repayments required upon the maturity date of the non-extending Commitments and (C) repayment made in connection with a permanent repayment and termination of commitments) of Loans with respect to Extended Commitments after the applicable Extension date shall be made on a pro rata basis with all other Revolving Commitments, (3) in the case of Extended Commitments, the repayment of Loans with respect to, and termination of, Extended Commitments after the applicable Extension date shall be made on a pro rata basis with all other Revolving Commitments, except that the Borrower shall be permitted to permanently repay and terminate commitments of any such tranche on a greater than a pro rata basis as compared to any other tranche with a later maturity date than such tranche and (4) assignments and participations of Extended Credits and the related outstandings shall be governed by the same assignment and participation provisions applicable to Revolving Commitments and Revolving Loans and (5) at no time shall there be Revolving Commitments hereunder (including Extended Commitments and any original Revolving Commitments) which have more than three different maturity dates, (iii) if the aggregate principal amount of Term Loans or Revolving Commitments in respect of which Lenders shall have accepted the relevant Extension Offer shall exceed the maximum aggregate principal amount of Term Loans or Revolving Commitments, as the case may be, offered to be extended by the Borrower pursuant to such Extension Offer, then the Term Loans or Revolving Commitments (and the related outstandings) of such Lenders shall be extended ratably up to such maximum amount based on the respective principal amounts (but not to exceed actual holdings of record) with respect to which such Lenders have accepted such Extension Offer, (iv) if the aggregate principal amount of Term Loans or Revolving Commitments in respect of which Lenders shall have accepted the relevant Extension Offer shall be less than the maximum aggregate principal amount of Term Loans or Revolving Commitments, as the case may be, offered to be extended by the Borrower pursuant to such Extension Offer, then the Borrower may require each Lender that does not accept such Extension Offer to assign pursuant to Section 10.6 its pro rata share of the outstanding Loans, Revolving Commitments and/or participations in Letters of Credit (as applicable) offered to be extended pursuant to such Extension Offer to one or more assignees which have agreed to such assignment and to extend the applicable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each Lender that does not respond affirmatively within thirty (30) days of the date the offering document in respect of an Extension Offer is delivered to the Lenders shall be deemed not to have accepted such Extension Offer, (2) each assigning Lender shall have received payment of an amount equal to the outstanding principal of its Loans and funded participations in LC Disbursements, accrued interest thereon, accrued fees and all other amounts payable to it hereunder, from the assignee (to the extent of such outstanding principal and accrued interest and fees) or the Borrower (in the case of all other amounts), (3) the processing and recordation fee specified in Section 10.6(b) shall be paid by the Borrower or such assignee and (4) the assigning Lender shall continue to be entitled to the rights under Section 10.5 for any period prior to the effectiveness of such assignment, (v) all documentation in respect of such Extension shall be consistent with the foregoing and (vi) any applicable Minimum Extension Condition shall be satisfied unless waived by the Borrower.</w:t>
      </w:r>
    </w:p>
    <w:p>
      <w:pPr>
        <w:spacing w:after="0" w:line="208" w:lineRule="exact"/>
        <w:rPr>
          <w:rFonts w:ascii="Times New Roman" w:cs="Times New Roman" w:eastAsia="Times New Roman" w:hAnsi="Times New Roman"/>
          <w:sz w:val="18"/>
          <w:szCs w:val="18"/>
          <w:color w:val="auto"/>
        </w:rPr>
      </w:pPr>
    </w:p>
    <w:p>
      <w:pPr>
        <w:ind w:right="380" w:firstLine="1304"/>
        <w:spacing w:after="0" w:line="282" w:lineRule="auto"/>
        <w:tabs>
          <w:tab w:leader="none" w:pos="18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Extensions consummated by the Borrower pursuant to this Section, (i) such Extensions shall not constitute voluntary or mandatory payments or prepayments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ind w:right="80"/>
        <w:spacing w:after="0" w:line="255" w:lineRule="auto"/>
        <w:rPr>
          <w:sz w:val="20"/>
          <w:szCs w:val="20"/>
          <w:color w:val="auto"/>
        </w:rPr>
      </w:pPr>
      <w:r>
        <w:rPr>
          <w:rFonts w:ascii="Times New Roman" w:cs="Times New Roman" w:eastAsia="Times New Roman" w:hAnsi="Times New Roman"/>
          <w:sz w:val="18"/>
          <w:szCs w:val="18"/>
          <w:color w:val="auto"/>
        </w:rPr>
        <w:t>purposes of Section 2.10 or Section 2.11 and (ii) each Extension Offer shall specify the minimum amount of Term Loans or Revolving Commitments to be tendered, which shall be a minimum amount approved by the Administrative Agent (a “</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waive the Minimum Extension Condition. The Administrative Agent and the Lenders hereby consent to the transactions contemplated by this Section (including, for the avoidance of doubt, payment of any interest, fees or premium in respect of any Extended Commitments on such terms as may be set forth in the relevant Extension Offer) and hereby waive the requirements of any provision of this Agreement (including, without limitation, Sections 2.9, 2.10, 2.11, 2.17 and 10.7) or any other Loan Document that may otherwise prohibit any such Extension or any other transaction contemplated by this Section.</w:t>
      </w:r>
    </w:p>
    <w:p>
      <w:pPr>
        <w:spacing w:after="0" w:line="189" w:lineRule="exact"/>
        <w:rPr>
          <w:sz w:val="20"/>
          <w:szCs w:val="20"/>
          <w:color w:val="auto"/>
        </w:rPr>
      </w:pPr>
    </w:p>
    <w:p>
      <w:pPr>
        <w:ind w:firstLine="1304"/>
        <w:spacing w:after="0" w:line="252" w:lineRule="auto"/>
        <w:tabs>
          <w:tab w:leader="none" w:pos="18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Administrative Agent shall be required to effectuate any Extension, such consent not to be unreasonably withheld. No consent of any Lender shall be required to effectuate any Extension, other than (A) the consent of each Lender agreeing to such Extension with respect to one or more of its Revolving Commitments or Term Loans (or a portion thereof) (or, in the case of an Extension pursuant to clause (iv) of Section 2.26(a), the consent of the assignee agreeing to the assignment of one or more Revolving Commitments or Term Loans, the Revolving Loans or Term Loans and/or participations in Letters of Credit) and (B) in the case of Extended Commitments, the consent of each Issuing Lender, which consent shall not be unreasonably withheld or delayed. All Extended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tranches or sub-tranches in respect of Revolving Commitments and Term Loans so extended and such technical amendments as may be necessary or appropriate in the reasonable opinion of the Administrative Agent and the Borrower in connection with the establishment of such new tranches or sub-tranches, in each case on terms consistent with this Section. In addition, if so provided in such amendment and with the consent of the Issuing Lenders, participations in Letters of Credit expiring on or after the Revolving Termination Date with respect to Revolving Commitments not so extended shall be re-allocated from Lenders holding Revolving Commitments to Lenders holding Revolving Commitments extended pursuant to such amendment in accordance with the terms of such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93" w:lineRule="exact"/>
        <w:rPr>
          <w:rFonts w:ascii="Times New Roman" w:cs="Times New Roman" w:eastAsia="Times New Roman" w:hAnsi="Times New Roman"/>
          <w:sz w:val="18"/>
          <w:szCs w:val="18"/>
          <w:color w:val="auto"/>
        </w:rPr>
      </w:pPr>
    </w:p>
    <w:p>
      <w:pPr>
        <w:ind w:right="20" w:firstLine="1304"/>
        <w:spacing w:after="0" w:line="258" w:lineRule="auto"/>
        <w:tabs>
          <w:tab w:leader="none" w:pos="182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Extension, the Borrower shall provide the Administrative Agent at least five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spacing w:after="0" w:line="179" w:lineRule="exact"/>
        <w:rPr>
          <w:sz w:val="20"/>
          <w:szCs w:val="20"/>
          <w:color w:val="auto"/>
        </w:rPr>
      </w:pPr>
    </w:p>
    <w:p>
      <w:pPr>
        <w:ind w:right="140" w:firstLine="1296"/>
        <w:spacing w:after="0" w:line="286" w:lineRule="auto"/>
        <w:rPr>
          <w:sz w:val="20"/>
          <w:szCs w:val="20"/>
          <w:color w:val="auto"/>
        </w:rPr>
      </w:pPr>
      <w:r>
        <w:rPr>
          <w:rFonts w:ascii="Times New Roman" w:cs="Times New Roman" w:eastAsia="Times New Roman" w:hAnsi="Times New Roman"/>
          <w:sz w:val="18"/>
          <w:szCs w:val="18"/>
          <w:u w:val="single" w:color="auto"/>
          <w:color w:val="auto"/>
        </w:rPr>
        <w:t>2.27 Restatement Date Transactions</w:t>
      </w:r>
      <w:r>
        <w:rPr>
          <w:rFonts w:ascii="Times New Roman" w:cs="Times New Roman" w:eastAsia="Times New Roman" w:hAnsi="Times New Roman"/>
          <w:sz w:val="18"/>
          <w:szCs w:val="18"/>
          <w:color w:val="auto"/>
        </w:rPr>
        <w:t>. It is understood and agreed that the Revolving Facility (as defined in this Agreement</w:t>
      </w:r>
      <w:r>
        <w:rPr>
          <w:rFonts w:ascii="Times New Roman" w:cs="Times New Roman" w:eastAsia="Times New Roman" w:hAnsi="Times New Roman"/>
          <w:sz w:val="18"/>
          <w:szCs w:val="18"/>
          <w:color w:val="FF0000"/>
          <w:strike w:val="1"/>
        </w:rPr>
        <w: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Restatement Effective Date) was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 Refinancing Revolving Facility in respect of the Revolving Facility (as defined in the Existing Credit Agreement).</w:t>
      </w:r>
    </w:p>
    <w:p>
      <w:pPr>
        <w:spacing w:after="0" w:line="155"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2.28</w:t>
      </w:r>
      <w:r>
        <w:rPr>
          <w:sz w:val="20"/>
          <w:szCs w:val="20"/>
          <w:color w:val="auto"/>
        </w:rPr>
        <w:tab/>
      </w:r>
      <w:r>
        <w:rPr>
          <w:rFonts w:ascii="Times New Roman" w:cs="Times New Roman" w:eastAsia="Times New Roman" w:hAnsi="Times New Roman"/>
          <w:sz w:val="17"/>
          <w:szCs w:val="17"/>
          <w:u w:val="single" w:color="auto"/>
          <w:color w:val="auto"/>
        </w:rPr>
        <w:t>Ancillary Letter of Credit Facilities</w:t>
      </w:r>
      <w:r>
        <w:rPr>
          <w:rFonts w:ascii="Times New Roman" w:cs="Times New Roman" w:eastAsia="Times New Roman" w:hAnsi="Times New Roman"/>
          <w:sz w:val="17"/>
          <w:szCs w:val="17"/>
          <w:u w:val="single" w:color="auto"/>
          <w:color w:val="FF0000"/>
        </w:rPr>
        <w: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left="80" w:right="180" w:firstLine="1289"/>
        <w:spacing w:after="0" w:line="282" w:lineRule="auto"/>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 Subsidiary Borrower may enter into one or more Ancillary Letter of Credit Facilities with an Ancillary Letter of Credit Issuing Lender at any time subject to compliance with the requirements set forth in this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ind w:left="1600" w:hanging="251"/>
        <w:spacing w:after="0"/>
        <w:tabs>
          <w:tab w:leader="none" w:pos="16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w:t>
      </w:r>
    </w:p>
    <w:p>
      <w:pPr>
        <w:spacing w:after="0" w:line="225" w:lineRule="exact"/>
        <w:rPr>
          <w:rFonts w:ascii="Times New Roman" w:cs="Times New Roman" w:eastAsia="Times New Roman" w:hAnsi="Times New Roman"/>
          <w:sz w:val="18"/>
          <w:szCs w:val="18"/>
          <w:color w:val="auto"/>
        </w:rPr>
      </w:pPr>
    </w:p>
    <w:p>
      <w:pPr>
        <w:ind w:left="640" w:right="420" w:firstLine="968"/>
        <w:spacing w:after="0" w:line="282" w:lineRule="auto"/>
        <w:tabs>
          <w:tab w:leader="none" w:pos="214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(or such shorter period agreed to by the Administrative Agent) prior to the first date on which such Ancillary Letter of Credit Facility is proposed to be made available, a notice in writing specifying:</w:t>
      </w:r>
    </w:p>
    <w:p>
      <w:pPr>
        <w:spacing w:after="0" w:line="161" w:lineRule="exact"/>
        <w:rPr>
          <w:rFonts w:ascii="Times New Roman" w:cs="Times New Roman" w:eastAsia="Times New Roman" w:hAnsi="Times New Roman"/>
          <w:sz w:val="18"/>
          <w:szCs w:val="18"/>
          <w:color w:val="auto"/>
        </w:rPr>
      </w:pPr>
    </w:p>
    <w:p>
      <w:pPr>
        <w:ind w:left="2560" w:hanging="304"/>
        <w:spacing w:after="0"/>
        <w:tabs>
          <w:tab w:leader="none" w:pos="2560"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to which extensions of credit will be made available thereunder;</w:t>
      </w:r>
    </w:p>
    <w:p>
      <w:pPr>
        <w:spacing w:after="0" w:line="225" w:lineRule="exact"/>
        <w:rPr>
          <w:rFonts w:ascii="Times New Roman" w:cs="Times New Roman" w:eastAsia="Times New Roman" w:hAnsi="Times New Roman"/>
          <w:sz w:val="18"/>
          <w:szCs w:val="18"/>
          <w:color w:val="auto"/>
        </w:rPr>
      </w:pPr>
    </w:p>
    <w:p>
      <w:pPr>
        <w:ind w:left="1940" w:right="20" w:firstLine="316"/>
        <w:spacing w:after="0" w:line="266" w:lineRule="auto"/>
        <w:tabs>
          <w:tab w:leader="none" w:pos="2549"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Business Day on which such Ancillary Letter of Credit Facility shall be made and the expiration date of such Ancillary Letter of Credit Facility (which shall be no later than the date that is twelve months prior to the Revolving Termination Date);</w:t>
      </w:r>
    </w:p>
    <w:p>
      <w:pPr>
        <w:spacing w:after="0" w:line="175" w:lineRule="exact"/>
        <w:rPr>
          <w:rFonts w:ascii="Times New Roman" w:cs="Times New Roman" w:eastAsia="Times New Roman" w:hAnsi="Times New Roman"/>
          <w:sz w:val="18"/>
          <w:szCs w:val="18"/>
          <w:color w:val="auto"/>
        </w:rPr>
      </w:pPr>
    </w:p>
    <w:p>
      <w:pPr>
        <w:ind w:left="2540" w:hanging="284"/>
        <w:spacing w:after="0"/>
        <w:tabs>
          <w:tab w:leader="none" w:pos="2540"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Ancillary Letter of Credit Issuing Lender(s); and</w:t>
      </w:r>
    </w:p>
    <w:p>
      <w:pPr>
        <w:spacing w:after="0" w:line="225" w:lineRule="exact"/>
        <w:rPr>
          <w:rFonts w:ascii="Times New Roman" w:cs="Times New Roman" w:eastAsia="Times New Roman" w:hAnsi="Times New Roman"/>
          <w:sz w:val="18"/>
          <w:szCs w:val="18"/>
          <w:color w:val="auto"/>
        </w:rPr>
      </w:pPr>
    </w:p>
    <w:p>
      <w:pPr>
        <w:ind w:left="1940" w:right="80" w:firstLine="316"/>
        <w:spacing w:after="0" w:line="282" w:lineRule="auto"/>
        <w:tabs>
          <w:tab w:leader="none" w:pos="2559"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currency of the Ancillary Letter of Credit Facility Commitment with respect to such Ancillary Letter of Credit Facility;</w:t>
      </w:r>
    </w:p>
    <w:p>
      <w:pPr>
        <w:spacing w:after="0" w:line="161" w:lineRule="exact"/>
        <w:rPr>
          <w:rFonts w:ascii="Times New Roman" w:cs="Times New Roman" w:eastAsia="Times New Roman" w:hAnsi="Times New Roman"/>
          <w:sz w:val="18"/>
          <w:szCs w:val="18"/>
          <w:color w:val="auto"/>
        </w:rPr>
      </w:pPr>
    </w:p>
    <w:p>
      <w:pPr>
        <w:ind w:left="640" w:right="280" w:firstLine="968"/>
        <w:spacing w:after="0" w:line="282" w:lineRule="auto"/>
        <w:tabs>
          <w:tab w:leader="none" w:pos="219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by the Administrative Agent, a copy of the Ancillary Letter of Credit Facility Documents with respect to such Ancillary Letter of Credit Facility; and</w:t>
      </w:r>
    </w:p>
    <w:p>
      <w:pPr>
        <w:spacing w:after="0" w:line="161" w:lineRule="exact"/>
        <w:rPr>
          <w:rFonts w:ascii="Times New Roman" w:cs="Times New Roman" w:eastAsia="Times New Roman" w:hAnsi="Times New Roman"/>
          <w:sz w:val="18"/>
          <w:szCs w:val="18"/>
          <w:color w:val="auto"/>
        </w:rPr>
      </w:pPr>
    </w:p>
    <w:p>
      <w:pPr>
        <w:ind w:left="640" w:right="340" w:firstLine="968"/>
        <w:spacing w:after="0" w:line="282" w:lineRule="auto"/>
        <w:tabs>
          <w:tab w:leader="none" w:pos="224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by the Administrative Agent, such other information that the Administrative Agent may reasonably request in connection with such Ancillary Letter of Credit Facility.</w:t>
      </w:r>
    </w:p>
    <w:p>
      <w:pPr>
        <w:spacing w:after="0" w:line="161" w:lineRule="exact"/>
        <w:rPr>
          <w:rFonts w:ascii="Times New Roman" w:cs="Times New Roman" w:eastAsia="Times New Roman" w:hAnsi="Times New Roman"/>
          <w:sz w:val="18"/>
          <w:szCs w:val="18"/>
          <w:color w:val="auto"/>
        </w:rPr>
      </w:pPr>
    </w:p>
    <w:p>
      <w:pPr>
        <w:ind w:left="-20" w:firstLine="1304"/>
        <w:spacing w:after="0" w:line="266" w:lineRule="auto"/>
        <w:tabs>
          <w:tab w:leader="none" w:pos="1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the extent that this Agreement or any other Loan Document imposes any obligation on any Ancillary Letter of Credit Issuing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Lender and such Ancillary Letter of Credit Issuing Lender is an Affiliate of a Revolving Lender and not a party thereto, the relevant Revolving Lender shall ensure that such obligation is performed by such Affiliate in compliance with the terms hereof or such other Loan Document.</w:t>
      </w:r>
    </w:p>
    <w:p>
      <w:pPr>
        <w:spacing w:after="0" w:line="172" w:lineRule="exact"/>
        <w:rPr>
          <w:sz w:val="20"/>
          <w:szCs w:val="20"/>
          <w:color w:val="auto"/>
        </w:rPr>
      </w:pPr>
    </w:p>
    <w:p>
      <w:pPr>
        <w:ind w:left="640" w:right="80" w:firstLine="97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xml:space="preserve">) Each Ancillary Letter of Credit Issuing Lender, in its capacity as such, hereby appoints the Administrative Agent as its agent for purposes of the Loan Documents and for the avoidance of doubt agrees the Administrative Agent may rely on the applicable protections and indemnities set forth herein (including those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with respect to its role as agent under the Loan Documents for such Ancillary Letter of Credit Issuing Lender.</w:t>
      </w:r>
    </w:p>
    <w:p>
      <w:pPr>
        <w:spacing w:after="0" w:line="180" w:lineRule="exact"/>
        <w:rPr>
          <w:sz w:val="20"/>
          <w:szCs w:val="20"/>
          <w:color w:val="auto"/>
        </w:rPr>
      </w:pPr>
    </w:p>
    <w:p>
      <w:pPr>
        <w:jc w:val="both"/>
        <w:ind w:left="60" w:right="60" w:firstLine="1289"/>
        <w:spacing w:after="0" w:line="261" w:lineRule="auto"/>
        <w:tabs>
          <w:tab w:leader="none" w:pos="18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conditions of any Ancillary Letter of Credit Facility shall be as agreed by the applicable Ancillary Letter of Credit Issuing Lenders and the Borrower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terms shall at all times: (i) permit extensions of credit thereunder to be made only to the Borrowers and (ii) provide that any letter of credit issued under such Ancillary Letter of Credit Facility shall have an expiration date that is not later than the date that is twelve months prior to the </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Revolving Termination Date.</w:t>
      </w:r>
    </w:p>
    <w:p>
      <w:pPr>
        <w:spacing w:after="0" w:line="179" w:lineRule="exact"/>
        <w:rPr>
          <w:rFonts w:ascii="Times New Roman" w:cs="Times New Roman" w:eastAsia="Times New Roman" w:hAnsi="Times New Roman"/>
          <w:sz w:val="18"/>
          <w:szCs w:val="18"/>
          <w:color w:val="auto"/>
        </w:rPr>
      </w:pPr>
    </w:p>
    <w:p>
      <w:pPr>
        <w:ind w:left="60" w:right="120" w:firstLine="1289"/>
        <w:spacing w:after="0" w:line="282" w:lineRule="auto"/>
        <w:tabs>
          <w:tab w:leader="none" w:pos="187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Ancillary Letter of Credit Facility expires in accordance with its terms, the Ancillary Letter of Credit Facility Commitment of the Ancillary Letter of Credit Issuing Lender shall be reduced to zero.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27" w:name="page128"/>
    <w:bookmarkEnd w:id="127"/>
    <w:p>
      <w:pPr>
        <w:ind w:left="1860" w:hanging="491"/>
        <w:spacing w:after="0"/>
        <w:tabs>
          <w:tab w:leader="none" w:pos="1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hereunder to the contrary, no Ancillary Letter of Credit Facility Document is or shall be 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Loan Document.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LETTERS OF CREDIT</w:t>
      </w:r>
    </w:p>
    <w:p>
      <w:pPr>
        <w:spacing w:after="0" w:line="27"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3.1</w:t>
      </w:r>
      <w:r>
        <w:rPr>
          <w:sz w:val="20"/>
          <w:szCs w:val="20"/>
          <w:color w:val="auto"/>
        </w:rPr>
        <w:tab/>
      </w:r>
      <w:r>
        <w:rPr>
          <w:rFonts w:ascii="Times New Roman" w:cs="Times New Roman" w:eastAsia="Times New Roman" w:hAnsi="Times New Roman"/>
          <w:sz w:val="17"/>
          <w:szCs w:val="17"/>
          <w:u w:val="single" w:color="auto"/>
          <w:color w:val="auto"/>
        </w:rPr>
        <w:t>L/C Commitment</w:t>
      </w:r>
      <w:r>
        <w:rPr>
          <w:rFonts w:ascii="Times New Roman" w:cs="Times New Roman" w:eastAsia="Times New Roman" w:hAnsi="Times New Roman"/>
          <w:sz w:val="17"/>
          <w:szCs w:val="17"/>
          <w:b w:val="1"/>
          <w:bCs w:val="1"/>
          <w:u w:val="single" w:color="auto"/>
          <w:color w:val="0000FF"/>
        </w:rPr>
        <w:t>.</w:t>
      </w:r>
    </w:p>
    <w:p>
      <w:pPr>
        <w:spacing w:after="0" w:line="207" w:lineRule="exact"/>
        <w:rPr>
          <w:sz w:val="20"/>
          <w:szCs w:val="20"/>
          <w:color w:val="auto"/>
        </w:rPr>
      </w:pPr>
    </w:p>
    <w:p>
      <w:pPr>
        <w:ind w:firstLine="1304"/>
        <w:spacing w:after="0" w:line="251" w:lineRule="auto"/>
        <w:tabs>
          <w:tab w:leader="none" w:pos="1386" w:val="left"/>
        </w:tabs>
        <w:numPr>
          <w:ilvl w:val="0"/>
          <w:numId w:val="10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Subject to the terms and conditions hereof, each Issuing Lender, in reliance on the agreements of the other Revolving Lenders set forth in Section 3.4(a), agrees to issue standby letters of credit and, in the sole discretion of the applicable Issuing Lender, bank guarantees or other local equivalent instruments similar to standby letters of credit (collectively,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providing for the payment of cash upon the honoring of a presentation thereunder, for the account of the Borrower or any Subsidiary Borrower for the support of its or its Subsidiaries’ obligations on any Business Day during the Revolving Commitment Period in such form as may be approved from time to time by such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Issuing Lender shall not issue any Letter of Credit if, after giving effect to such issuance, (i) the Dollar Equivalent of the then outstanding L/C Obligations of such Issuing Lender would exceed such Issuing Lender’s L/C Commitment then in effect, (ii) the outstanding principal amount of any Lender’s Revolving Extensions of Credit shall exceed the amount of such Lender’s Revolving Commitment or (iii) the aggregate amount of the Available Revolving Commitments would be less than zero. Each Letter of Credit shall (i) be denominated in Dollars or an Optional Currency and (ii) expire no later than the earlier of (x) the first anniversary of its date of issuance and (y) the date that is five Business Days prior to the Revolving Termination Date (the “</w:t>
      </w:r>
      <w:r>
        <w:rPr>
          <w:rFonts w:ascii="Times New Roman" w:cs="Times New Roman" w:eastAsia="Times New Roman" w:hAnsi="Times New Roman"/>
          <w:sz w:val="18"/>
          <w:szCs w:val="18"/>
          <w:u w:val="single" w:color="auto"/>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with a one-year term may provide for the automatic extension or extension thereof for additional one-year periods (which shall in no event extend beyond the date referred to in clause (y) above). Each request by the Borrower or any Subsidiary Borrower for the issuance of or amendment of a Letter of Credit shall be deemed to be a representation by the Borrower or any Subsidiary Borrower that the Letter of Credit or amendment so requested complies with the conditions set forth in the proviso to the preceding sentence. Within the foregoing limits, and subject to the terms and conditions hereof, the Borrower’s or Subsidiary Borrower’s ability to obtain Letters of Credit shall be fully revolving, and accordingly, the Borrower or Subsidiary Borrower may, during the foregoing period, obtain Letter of Credit to replace Letters of Credit that have expired or that have been drawn upon and reimbursed. If the Borrower so requests in any applicable Application, the Issuing Lender may, in its sole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Issuing Lender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Issuing Lender, the Borrower shall not be required to make a specific request to the Issuing Lender for any such extension. Once an Auto-Extension Letter of Credit has been issued, the Lenders shall be deemed to have authorized (but may not require) the Issuing Lender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Issuing Lender shall not permit any such extension if (A) the Issuing Lender has determined that it would not be permitted, or would have no obligation, at such time to issue such Letter of Credit in its revised form (as extended) under the terms hereof (by reason of the provisions of clause (y) of Section 3.1(a) or Section 3.1(b)),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Section 5.2 is not then satisfied, and in each such case directing the Issuing Lender not to permit such extension. Each Issuing Lender at its option may issue any Letter of Credit by causing any domestic or foreign branch or Affiliate</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of such Issuing Lender to issue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obligations of the Borrower, any Subsidiary Borrower or any L/C Participant in respect of such Letter of Credit under the terms of this Agreement. </w:t>
      </w:r>
      <w:r>
        <w:rPr>
          <w:rFonts w:ascii="Times New Roman" w:cs="Times New Roman" w:eastAsia="Times New Roman" w:hAnsi="Times New Roman"/>
          <w:sz w:val="18"/>
          <w:szCs w:val="18"/>
          <w:b w:val="1"/>
          <w:bCs w:val="1"/>
          <w:u w:val="single" w:color="auto"/>
          <w:color w:val="0000FF"/>
        </w:rPr>
        <w:t>For the avoidance of doubt, a Letter of</w:t>
      </w:r>
    </w:p>
    <w:p>
      <w:pPr>
        <w:ind w:right="280"/>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Credit may be issued under the 2028 Revolving Facility or the 2031 Revolving Facility, at the applicable Borrower’s or Subsidiary Borrower’s election, and each applicable defined term used herein in relation to a Letter of Credit shall be as defined </w:t>
      </w:r>
      <w:r>
        <w:rPr>
          <w:rFonts w:ascii="Times New Roman" w:cs="Times New Roman" w:eastAsia="Times New Roman" w:hAnsi="Times New Roman"/>
          <w:sz w:val="18"/>
          <w:szCs w:val="18"/>
          <w:b w:val="1"/>
          <w:bCs w:val="1"/>
          <w:u w:val="single" w:color="auto"/>
          <w:color w:val="008000"/>
        </w:rPr>
        <w:t>with respect to the Revolving Facility</w:t>
      </w:r>
      <w:r>
        <w:rPr>
          <w:rFonts w:ascii="Times New Roman" w:cs="Times New Roman" w:eastAsia="Times New Roman" w:hAnsi="Times New Roman"/>
          <w:sz w:val="18"/>
          <w:szCs w:val="18"/>
          <w:b w:val="1"/>
          <w:bCs w:val="1"/>
          <w:u w:val="single" w:color="auto"/>
          <w:color w:val="0000FF"/>
        </w:rPr>
        <w:t xml:space="preserve"> under which such Letter of Credit was issued as the context requires (including, without limitation, “Available Revolving Commitments”, “Revolving Commitment”, “Revolving Commitment Period”, “Revolving Extensions of Credit”, “Revolving Percentage” and “Revolving Termination Date”).</w:t>
      </w:r>
    </w:p>
    <w:p>
      <w:pPr>
        <w:spacing w:after="0" w:line="187" w:lineRule="exact"/>
        <w:rPr>
          <w:sz w:val="20"/>
          <w:szCs w:val="20"/>
          <w:color w:val="auto"/>
        </w:rPr>
      </w:pPr>
    </w:p>
    <w:p>
      <w:pPr>
        <w:ind w:firstLine="1304"/>
        <w:spacing w:after="0" w:line="267" w:lineRule="auto"/>
        <w:tabs>
          <w:tab w:leader="none" w:pos="182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Issuing Lender shall at any time be obligated to issue any Letter of Credit if (i) such issuance would conflict with, or cause such Issuing Lender or any L/C Participant to exceed any limits imposed by, any applicable Requirement of Law, (ii) any order, judgment or decree of any Governmental Authority or arbitrator shall by its terms purport to enjoin or restrain the Issuing Lender from issuing the Letter of Credit, or any Requirement of Law applicable to the Issuing Lender or any request or directive (whether or not having the force of law) from any Governmental Authority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Restatement Effective Date, or shall impose upon the Issuing Lender any unreimbursed loss, cost or expense which was not applicable on the Restatement Effective Date and which the Issuing Lender in good faith deems material to it, (iii) the issuance of the Letter of Credit would violate one or more policies of the Issuing Lender applicable to letters of credit generally or</w:t>
      </w:r>
    </w:p>
    <w:p>
      <w:pPr>
        <w:spacing w:after="0" w:line="5"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Issuing Lender does not as of the issuance date of the requested Letter of Credit issue Letters of Credit in the requested currency.</w:t>
      </w:r>
    </w:p>
    <w:p>
      <w:pPr>
        <w:spacing w:after="0" w:line="206" w:lineRule="exact"/>
        <w:rPr>
          <w:rFonts w:ascii="Times New Roman" w:cs="Times New Roman" w:eastAsia="Times New Roman" w:hAnsi="Times New Roman"/>
          <w:sz w:val="18"/>
          <w:szCs w:val="18"/>
          <w:color w:val="auto"/>
        </w:rPr>
      </w:pPr>
    </w:p>
    <w:p>
      <w:pPr>
        <w:ind w:right="40" w:firstLine="1304"/>
        <w:spacing w:after="0" w:line="254" w:lineRule="auto"/>
        <w:tabs>
          <w:tab w:leader="none" w:pos="181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by the Issuing Lender and the Borrower or Subsidiary Borrower, as applicable, when a Letter of Credit is issued, the rules of the ISP shall apply to each standby Letter of Credit. Notwithstanding the foregoing, the Issuing Lender shall not be responsible to the Borrower or Subsidiary Borrower for, and the Issuing Lender’s rights and remedies against the Borrower shall not be impaired by, any action or inaction of the Issuing Lender required or permitted under any law, order, or practice that is required or permitted to be applied to any Letter of Credit or this Agreement, including the Requirement of Law or any order of a jurisdiction where the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2"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3.2 Procedure for Issuance of Letter of Credit</w:t>
      </w:r>
      <w:r>
        <w:rPr>
          <w:rFonts w:ascii="Times New Roman" w:cs="Times New Roman" w:eastAsia="Times New Roman" w:hAnsi="Times New Roman"/>
          <w:sz w:val="18"/>
          <w:szCs w:val="18"/>
          <w:color w:val="auto"/>
        </w:rPr>
        <w:t xml:space="preserve">. The Borrower or any Subsidiary Borrower may from time to time request that any Issuing Lender issue or amend a Letter of Credit by delivering to such Issuing Lender at its address for notices specified herein </w:t>
      </w:r>
      <w:r>
        <w:rPr>
          <w:rFonts w:ascii="Times New Roman" w:cs="Times New Roman" w:eastAsia="Times New Roman" w:hAnsi="Times New Roman"/>
          <w:sz w:val="18"/>
          <w:szCs w:val="18"/>
          <w:b w:val="1"/>
          <w:bCs w:val="1"/>
          <w:u w:val="single" w:color="auto"/>
          <w:color w:val="0000FF"/>
        </w:rPr>
        <w:t>(or transmit by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communication, including an Approved Borrower Portal, if arrangements for doing so have been approved by the respective Issuing Lender)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Application therefor, completed to the satisfaction of such Issuing Lender, and such other certificates, documents and other papers and information as such Issuing Lender may request</w:t>
      </w:r>
      <w:r>
        <w:rPr>
          <w:rFonts w:ascii="Times New Roman" w:cs="Times New Roman" w:eastAsia="Times New Roman" w:hAnsi="Times New Roman"/>
          <w:sz w:val="18"/>
          <w:szCs w:val="18"/>
          <w:b w:val="1"/>
          <w:bCs w:val="1"/>
          <w:u w:val="single" w:color="auto"/>
          <w:color w:val="0000FF"/>
        </w:rPr>
        <w:t>; provided that each Application shall specify whether the Letter of Credit is being issued under the 2028 Revolving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Facility or the 2031 Revolving Facility</w:t>
      </w:r>
      <w:r>
        <w:rPr>
          <w:rFonts w:ascii="Times New Roman" w:cs="Times New Roman" w:eastAsia="Times New Roman" w:hAnsi="Times New Roman"/>
          <w:sz w:val="18"/>
          <w:szCs w:val="18"/>
          <w:color w:val="000000"/>
        </w:rPr>
        <w:t>. Upon receipt of any Application, the relevant Issuing Lender will process such Application and the certificates,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documents and other papers and information delivered to it in connection therewith in accordance with its customary procedures and shall promptly issue the Letter of Credit requested thereby (but in no event shall any Issuing Lender be required to issue any Letter of Credit earlier than three Business Days after its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9" w:name="page130"/>
    <w:bookmarkEnd w:id="129"/>
    <w:p>
      <w:pPr>
        <w:spacing w:after="0" w:line="256" w:lineRule="auto"/>
        <w:rPr>
          <w:sz w:val="20"/>
          <w:szCs w:val="20"/>
          <w:color w:val="auto"/>
        </w:rPr>
      </w:pPr>
      <w:r>
        <w:rPr>
          <w:rFonts w:ascii="Times New Roman" w:cs="Times New Roman" w:eastAsia="Times New Roman" w:hAnsi="Times New Roman"/>
          <w:sz w:val="18"/>
          <w:szCs w:val="18"/>
          <w:color w:val="auto"/>
        </w:rPr>
        <w:t xml:space="preserve">receipt of the Application therefor and all such other certificates, documents and other papers and information relating thereto) by issuing the original of such Letter of Credit to the beneficiary thereof or as otherwise may be agreed to by the relevant Issuing Lender and the Borrower or relevant Subsidiary Borrower. The relevant Issuing Lender shall furnish a copy of such Letter of Credit to the Borrower or relevant Subsidiary Borrower promptly following the issuance thereof. The relevant Issuing Lender shall promptly furnish to the Administrative Agent, which shall in turn promptly furnish to the Lenders, notice of the issuance of each Letter of Credit (including the amount thereof </w:t>
      </w:r>
      <w:r>
        <w:rPr>
          <w:rFonts w:ascii="Times New Roman" w:cs="Times New Roman" w:eastAsia="Times New Roman" w:hAnsi="Times New Roman"/>
          <w:sz w:val="18"/>
          <w:szCs w:val="18"/>
          <w:b w:val="1"/>
          <w:bCs w:val="1"/>
          <w:u w:val="single" w:color="auto"/>
          <w:color w:val="0000FF"/>
        </w:rPr>
        <w:t>and whether the Letter of Credit is being issued under the 2028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Facility or the 2031 Revolving Facility</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3.3</w:t>
      </w:r>
      <w:r>
        <w:rPr>
          <w:sz w:val="20"/>
          <w:szCs w:val="20"/>
          <w:color w:val="auto"/>
        </w:rPr>
        <w:tab/>
      </w:r>
      <w:r>
        <w:rPr>
          <w:rFonts w:ascii="Times New Roman" w:cs="Times New Roman" w:eastAsia="Times New Roman" w:hAnsi="Times New Roman"/>
          <w:sz w:val="17"/>
          <w:szCs w:val="17"/>
          <w:u w:val="single" w:color="auto"/>
          <w:color w:val="auto"/>
        </w:rPr>
        <w:t>Fees and Other Charges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100" w:firstLine="1304"/>
        <w:spacing w:after="0" w:line="254" w:lineRule="auto"/>
        <w:tabs>
          <w:tab w:leader="none" w:pos="1386" w:val="left"/>
        </w:tabs>
        <w:numPr>
          <w:ilvl w:val="0"/>
          <w:numId w:val="11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The Borrower will pay a fee on the Dollar Equivalent (as determined by the Administrative Agent in accordance with the definition thereof) of all outstanding Letters of Credit issued for the account of the Borrower and any relevant Subsidiary Borrower at a per annum rate equal to the Applicable Margin then in effect with respect to Term Benchmark Loans under the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auto"/>
        </w:rPr>
        <w:t xml:space="preserve"> Revolving Facility, which fee shall be payable to the Administrative Agent for the account of the Revolving Lenders </w:t>
      </w:r>
      <w:r>
        <w:rPr>
          <w:rFonts w:ascii="Times New Roman" w:cs="Times New Roman" w:eastAsia="Times New Roman" w:hAnsi="Times New Roman"/>
          <w:sz w:val="18"/>
          <w:szCs w:val="18"/>
          <w:b w:val="1"/>
          <w:bCs w:val="1"/>
          <w:u w:val="single" w:color="auto"/>
          <w:color w:val="0000FF"/>
        </w:rPr>
        <w:t>under the applicable Revolving Facility</w:t>
      </w:r>
      <w:r>
        <w:rPr>
          <w:rFonts w:ascii="Times New Roman" w:cs="Times New Roman" w:eastAsia="Times New Roman" w:hAnsi="Times New Roman"/>
          <w:sz w:val="18"/>
          <w:szCs w:val="18"/>
          <w:color w:val="auto"/>
        </w:rPr>
        <w:t xml:space="preserve">, shared ratably among the Revolving Lenders </w:t>
      </w:r>
      <w:r>
        <w:rPr>
          <w:rFonts w:ascii="Times New Roman" w:cs="Times New Roman" w:eastAsia="Times New Roman" w:hAnsi="Times New Roman"/>
          <w:sz w:val="18"/>
          <w:szCs w:val="18"/>
          <w:b w:val="1"/>
          <w:bCs w:val="1"/>
          <w:u w:val="single" w:color="auto"/>
          <w:color w:val="0000FF"/>
        </w:rPr>
        <w:t>under the applicable Revolving Facility</w:t>
      </w:r>
      <w:r>
        <w:rPr>
          <w:rFonts w:ascii="Times New Roman" w:cs="Times New Roman" w:eastAsia="Times New Roman" w:hAnsi="Times New Roman"/>
          <w:sz w:val="18"/>
          <w:szCs w:val="18"/>
          <w:color w:val="auto"/>
        </w:rPr>
        <w:t>, and payable quarterly in arrears on each Fee Payment Date after the issuance date. In addition, the Borrower shall pay a fronting fee in an amount to be agreed with the relevant Issuing Lender (but, in any event, not greater than of 0.125% per annum) on the undrawn and unexpired amount of each Letter of Credit issued by such Issuing Lender for the account of the Borrower or any relevant Subsidiary Borrower, payable quarterly in arrears to the relevant Issuing Lender on each Fee Payment Date after the issuance date.</w:t>
      </w:r>
    </w:p>
    <w:p>
      <w:pPr>
        <w:spacing w:after="0" w:line="192" w:lineRule="exact"/>
        <w:rPr>
          <w:sz w:val="20"/>
          <w:szCs w:val="20"/>
          <w:color w:val="auto"/>
        </w:rPr>
      </w:pPr>
    </w:p>
    <w:p>
      <w:pPr>
        <w:ind w:right="60" w:firstLine="1304"/>
        <w:spacing w:after="0" w:line="266" w:lineRule="auto"/>
        <w:tabs>
          <w:tab w:leader="none" w:pos="18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fees, the Borrower shall pay or reimburse each Issuing Lender for such normal and customary costs and expenses as are incurred or charged by such Issuing Lender in issuing, negotiating, effecting payment under, amending or otherwise administering any Letter of Credit.</w:t>
      </w:r>
    </w:p>
    <w:p>
      <w:pPr>
        <w:spacing w:after="0" w:line="17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3.4</w:t>
      </w:r>
      <w:r>
        <w:rPr>
          <w:sz w:val="20"/>
          <w:szCs w:val="20"/>
          <w:color w:val="auto"/>
        </w:rPr>
        <w:tab/>
      </w:r>
      <w:r>
        <w:rPr>
          <w:rFonts w:ascii="Times New Roman" w:cs="Times New Roman" w:eastAsia="Times New Roman" w:hAnsi="Times New Roman"/>
          <w:sz w:val="17"/>
          <w:szCs w:val="17"/>
          <w:u w:val="single" w:color="auto"/>
          <w:color w:val="auto"/>
        </w:rPr>
        <w:t>L/C Participations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20" w:firstLine="1304"/>
        <w:spacing w:after="0" w:line="267" w:lineRule="auto"/>
        <w:tabs>
          <w:tab w:leader="none" w:pos="1386" w:val="left"/>
        </w:tabs>
        <w:numPr>
          <w:ilvl w:val="1"/>
          <w:numId w:val="114"/>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auto"/>
        </w:rPr>
        <w:t>(a)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Revolving Percentage in such Issuing Lender’s obligations and rights under and in respect of each Letter of Credit and the amount of each draft paid by such Issuing Lender thereunder. Each L/C Participant agrees with each Issuing Lender that, if a draft is paid under any Letter of Credit for which such Issuing Lender is not reimbursed in full by the Borrower or relevant Subsidiary Borrower in accordance with the terms of this Agreement (“</w:t>
      </w:r>
      <w:r>
        <w:rPr>
          <w:rFonts w:ascii="Times New Roman" w:cs="Times New Roman" w:eastAsia="Times New Roman" w:hAnsi="Times New Roman"/>
          <w:sz w:val="17"/>
          <w:szCs w:val="17"/>
          <w:u w:val="single" w:color="auto"/>
          <w:color w:val="auto"/>
        </w:rPr>
        <w:t>Unreimbursed Amounts</w:t>
      </w:r>
      <w:r>
        <w:rPr>
          <w:rFonts w:ascii="Times New Roman" w:cs="Times New Roman" w:eastAsia="Times New Roman" w:hAnsi="Times New Roman"/>
          <w:sz w:val="17"/>
          <w:szCs w:val="17"/>
          <w:color w:val="auto"/>
        </w:rPr>
        <w:t>”), such L/C Participant shall pay to such Issuing Lender upon demand at such Issuing Lender’s address for notices specified herein an amount equal to such L/C Participant’s Revolving Percentage of the amount of such draft, or any part thereof, that is not so reimbursed. Each L/C Participant’s obligation to pay such amount shall be absolute and unconditional and shall not be affected by any circumstance, including (i) any setoff, counterclaim, recoupment, defense or other right that such L/C Participant may have against any Issuing Lender, the Borrower, any Subsidiary Borrower or any other Person for any reason whatsoever, (ii) the occurrence or continuance of a Default or an Event of Default or the failure to satisfy any of the other conditions specified in Section 5,</w:t>
      </w:r>
    </w:p>
    <w:p>
      <w:pPr>
        <w:spacing w:after="0" w:line="2" w:lineRule="exact"/>
        <w:rPr>
          <w:rFonts w:ascii="Times New Roman" w:cs="Times New Roman" w:eastAsia="Times New Roman" w:hAnsi="Times New Roman"/>
          <w:sz w:val="17"/>
          <w:szCs w:val="17"/>
          <w:color w:val="FF0000"/>
          <w:strike w:val="1"/>
        </w:rPr>
      </w:pPr>
    </w:p>
    <w:p>
      <w:pPr>
        <w:ind w:right="300" w:firstLine="8"/>
        <w:spacing w:after="0" w:line="255" w:lineRule="auto"/>
        <w:tabs>
          <w:tab w:leader="none" w:pos="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condition (financial or otherwise) of the Borrower or any Subsidiary Borrower, (iv) any breach of this Agreement or any other Loan Document by the Borrower, any Subsidiary Borrower, any other Loan Party or any other L/C Participant or (v) any other circumstance, happening or event whatsoever, whether or not similar to any of the foregoing.</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0" w:name="page131"/>
    <w:bookmarkEnd w:id="130"/>
    <w:p>
      <w:pPr>
        <w:ind w:firstLine="1304"/>
        <w:spacing w:after="0" w:line="253" w:lineRule="auto"/>
        <w:tabs>
          <w:tab w:leader="none" w:pos="182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required to be paid by any L/C Participant to any Issuing Lender pursuant to Section 3.4(a) in respect of any unreimbursed portion of any payment made by such Issuing Lender under any Letter of Credit is paid to such Issuing Lender within three Business Days after the date such payment is due, such L/C Participant shall pay to such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under the </w:t>
      </w:r>
      <w:r>
        <w:rPr>
          <w:rFonts w:ascii="Times New Roman" w:cs="Times New Roman" w:eastAsia="Times New Roman" w:hAnsi="Times New Roman"/>
          <w:sz w:val="18"/>
          <w:szCs w:val="18"/>
          <w:b w:val="1"/>
          <w:bCs w:val="1"/>
          <w:u w:val="single" w:color="auto"/>
          <w:color w:val="0000FF"/>
        </w:rPr>
        <w:t>applicable</w:t>
      </w:r>
      <w:r>
        <w:rPr>
          <w:rFonts w:ascii="Times New Roman" w:cs="Times New Roman" w:eastAsia="Times New Roman" w:hAnsi="Times New Roman"/>
          <w:sz w:val="18"/>
          <w:szCs w:val="18"/>
          <w:color w:val="auto"/>
        </w:rPr>
        <w:t xml:space="preserve"> Revolving Facility. A certificate of the relevant Issuing Lender submitted to any L/C Participant with respect to any amounts owing under this Section shall be conclusive in the absence of manifest error.</w:t>
      </w:r>
    </w:p>
    <w:p>
      <w:pPr>
        <w:spacing w:after="0" w:line="194" w:lineRule="exact"/>
        <w:rPr>
          <w:rFonts w:ascii="Times New Roman" w:cs="Times New Roman" w:eastAsia="Times New Roman" w:hAnsi="Times New Roman"/>
          <w:sz w:val="18"/>
          <w:szCs w:val="18"/>
          <w:color w:val="auto"/>
        </w:rPr>
      </w:pPr>
    </w:p>
    <w:p>
      <w:pPr>
        <w:ind w:right="80" w:firstLine="1304"/>
        <w:spacing w:after="0" w:line="256" w:lineRule="auto"/>
        <w:tabs>
          <w:tab w:leader="none" w:pos="180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at any time after any Issuing Lender has made payment under any Letter of Credit and has received from any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such payment in accordance with Section 3.4(a), such Issuing Lender receives any payment related to such Letter of Credit (whether directly from the Borrower or relevant Subsidiary Borrower or otherwise, including proceeds of collateral applied thereto by such Issuing Lender), or any payment of interest on account thereof, such Issuing Lender will distribute to such L/C Participant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7"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3.5 Reimbursement Obligation of the Borrower</w:t>
      </w:r>
      <w:r>
        <w:rPr>
          <w:rFonts w:ascii="Times New Roman" w:cs="Times New Roman" w:eastAsia="Times New Roman" w:hAnsi="Times New Roman"/>
          <w:sz w:val="18"/>
          <w:szCs w:val="18"/>
          <w:color w:val="auto"/>
        </w:rPr>
        <w:t>. If any draft is paid under any Letter of Credit, the Borrower or relevant Subsidiary Borrower shall reimburse the relevant Issuing Lender for the amount of (a) the draft so paid and (b) any taxes, fees, charges or other costs or expenses incurred by such Issuing Lender in connection with such payment, not later than 1:00 P.M., New York City time, on (i) the Business Day that the Borrower or relevant Subsidiary Borrower receives notice of such draft, if such notice is received on such day prior to 10:00 A.M., New York City time, or (ii) if clause (i) above does not apply, the Business Day immediately following the day that the Borrower or relevant Subsidiary Borrower receives such notice. Each such payment shall be made to the relevant Issuing Lender at its address for notices referred to herein in Dollars or in any other applicable currency and in immediately available funds. The relevant Issuing Lender (at its option) may require reimbursement in Dollars even if the draft so paid was in any other applicable currency. Interest shall be payable on any such amounts from the date on which the relevant draft is paid until payment in full at the rate set forth in (x) until the Business Day next succeeding the date of the relevant notice, Section 2.14(c) and (y) thereafter, Section 2.14(d).</w:t>
      </w:r>
    </w:p>
    <w:p>
      <w:pPr>
        <w:spacing w:after="0" w:line="188"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3.6 Obligations Absolute</w:t>
      </w:r>
      <w:r>
        <w:rPr>
          <w:rFonts w:ascii="Times New Roman" w:cs="Times New Roman" w:eastAsia="Times New Roman" w:hAnsi="Times New Roman"/>
          <w:sz w:val="18"/>
          <w:szCs w:val="18"/>
          <w:color w:val="auto"/>
        </w:rPr>
        <w:t>. The obligations of the Borrower and any relevant Subsidiary Borrower under this Section 3 shall be absolute and unconditional under any and all circumstances and irrespective of any setoff, counterclaim or defense to payment that the Borrower or such Subsidiary Borrower, as the case may be, may have or have had against any Issuing Lender, any beneficiary of a Letter of Credit or any other Person. The Borrower and each relevant Subsidiary Borrower also agrees with each Issuing Lender that such Issuing Lender shall not be responsible for, and the Reimbursement Obligations under Section 3.5 of the Borrower and any relevant Subsidiary Borrower shall not be affected by, among other things, (i) the validity or genuineness of documents or of any endorsements thereon, even though such documents shall in fact prove to be invalid, fraudulent or forged,</w:t>
      </w:r>
    </w:p>
    <w:p>
      <w:pPr>
        <w:spacing w:after="0" w:line="5" w:lineRule="exact"/>
        <w:rPr>
          <w:sz w:val="20"/>
          <w:szCs w:val="20"/>
          <w:color w:val="auto"/>
        </w:rPr>
      </w:pPr>
    </w:p>
    <w:p>
      <w:pPr>
        <w:ind w:left="5540" w:right="3840" w:hanging="5532"/>
        <w:spacing w:after="0" w:line="511" w:lineRule="auto"/>
        <w:tabs>
          <w:tab w:leader="none" w:pos="27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between or among the Borrower or such Subsidiary Borrower, as the case may be, and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1" w:name="page132"/>
    <w:bookmarkEnd w:id="131"/>
    <w:p>
      <w:pPr>
        <w:ind w:right="20"/>
        <w:spacing w:after="0" w:line="251" w:lineRule="auto"/>
        <w:rPr>
          <w:sz w:val="20"/>
          <w:szCs w:val="20"/>
          <w:color w:val="auto"/>
        </w:rPr>
      </w:pPr>
      <w:r>
        <w:rPr>
          <w:rFonts w:ascii="Times New Roman" w:cs="Times New Roman" w:eastAsia="Times New Roman" w:hAnsi="Times New Roman"/>
          <w:sz w:val="18"/>
          <w:szCs w:val="18"/>
          <w:color w:val="auto"/>
        </w:rPr>
        <w:t>any beneficiary of any Letter of Credit or any other party to which such Letter of Credit may be transferred or any claims whatsoever of the Borrower or such Subsidiary, as the case may be, against any beneficiary of such Letter of Credit or any such transferee, (iii) any lack of validity or enforceability of such Letter of Credit, this Agreement, or any other Loan document, (iv) waiver by the Issuing Lender of any requirement that exists for the Issuing Lender’s protection and not the protection of the Borrower or Subsidiary Borrower or any waiver by the Issuing Lender which does not in fact materially prejudice the Borrower or Subsidiary Borrower, (v) honor of a demand for payment presented electronically even if such Letter of Credit requires that demand be in the form of a draft, (vi) any payment made by the Issuing Lender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the Issuing Lender under such Letter of Credit against presentation of a draft or certificate that does not strictly comply with the terms of such Letter of Credit, or any payment made by the Issuing Lender under such Letter of Credit to any person purporting to be a trustee in bankruptcy, debtor-in-possession, assignee for the benefit of creditors, liquidator, receiver or other representative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Subsidiary Borrower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Borrower. The Borrower or Subsidiary Borrower shall promptly examine a copy of each Letter of Credit and each amendment thereto that is delivered to it and, in the event of any claim of noncompliance with the Borrower’s instructions or other irregularity, the Borrowers will immediately notify the Issuing Lender. The Borrower and Subsidiary Borrowers shall be conclusively deemed to have waived any such claim against the Issuing Lender and its correspondents unless such notice is given as aforesaid. No Issuing Lender shall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such Issuing Lender. The Borrower and each relevant Subsidiary Borrower agrees that any action taken or omitted by any Issuing Lender under or in connection with any Letter of Credit or the related drafts or documents, if done in the absence of gross negligence or willful misconduct, shall be binding on the Borrower or such Subsidiary Borrower and shall not result in any liability of such Issuing Lender to the Borrower or such Subsidiary Borrower.</w:t>
      </w:r>
    </w:p>
    <w:p>
      <w:pPr>
        <w:spacing w:after="0" w:line="20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3.7 Letter of Credit Payments</w:t>
      </w:r>
      <w:r>
        <w:rPr>
          <w:rFonts w:ascii="Times New Roman" w:cs="Times New Roman" w:eastAsia="Times New Roman" w:hAnsi="Times New Roman"/>
          <w:sz w:val="18"/>
          <w:szCs w:val="18"/>
          <w:color w:val="auto"/>
        </w:rPr>
        <w:t>. If any draft shall be presented for payment under any Letter of Credit, the relevant Issuing Lender shall, within the period stipulated by terms and conditions of such Letter of Credit, examine the draft to determine if it complies with the terms and conditions of such Letter of Credit. After such examination the Issuing Lender shall promptly notify the Borrower or relevant Subsidiary Borrower of the date and amount of such draft. The responsibility of the relevant Issuing Lender to the Borrower or relevant Subsidiary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89"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3.8 Applications</w:t>
      </w:r>
      <w:r>
        <w:rPr>
          <w:rFonts w:ascii="Times New Roman" w:cs="Times New Roman" w:eastAsia="Times New Roman" w:hAnsi="Times New Roman"/>
          <w:sz w:val="18"/>
          <w:szCs w:val="18"/>
          <w:color w:val="auto"/>
        </w:rPr>
        <w:t>. To the extent that any provision of any Application related to any Letter of Credit is inconsistent with the provisions of this Section 3, the provisions of this Section 3 shall apply.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ind w:right="20" w:firstLine="1296"/>
        <w:spacing w:after="0" w:line="262" w:lineRule="auto"/>
        <w:rPr>
          <w:sz w:val="20"/>
          <w:szCs w:val="20"/>
          <w:color w:val="auto"/>
        </w:rPr>
      </w:pPr>
      <w:r>
        <w:rPr>
          <w:rFonts w:ascii="Times New Roman" w:cs="Times New Roman" w:eastAsia="Times New Roman" w:hAnsi="Times New Roman"/>
          <w:sz w:val="18"/>
          <w:szCs w:val="18"/>
          <w:u w:val="single" w:color="auto"/>
          <w:color w:val="auto"/>
        </w:rPr>
        <w:t>3.9 Existing Letters of Credit</w:t>
      </w:r>
      <w:r>
        <w:rPr>
          <w:rFonts w:ascii="Times New Roman" w:cs="Times New Roman" w:eastAsia="Times New Roman" w:hAnsi="Times New Roman"/>
          <w:sz w:val="18"/>
          <w:szCs w:val="18"/>
          <w:color w:val="auto"/>
        </w:rPr>
        <w:t xml:space="preserve">. On and as of the </w:t>
      </w:r>
      <w:r>
        <w:rPr>
          <w:rFonts w:ascii="Times New Roman" w:cs="Times New Roman" w:eastAsia="Times New Roman" w:hAnsi="Times New Roman"/>
          <w:sz w:val="18"/>
          <w:szCs w:val="18"/>
          <w:color w:val="FF0000"/>
          <w:strike w:val="1"/>
        </w:rPr>
        <w:t>Seventh</w:t>
      </w:r>
      <w:r>
        <w:rPr>
          <w:rFonts w:ascii="Times New Roman" w:cs="Times New Roman" w:eastAsia="Times New Roman" w:hAnsi="Times New Roman"/>
          <w:sz w:val="18"/>
          <w:szCs w:val="18"/>
          <w:b w:val="1"/>
          <w:bCs w:val="1"/>
          <w:u w:val="single" w:color="auto"/>
          <w:color w:val="0000FF"/>
        </w:rPr>
        <w:t>Eleventh</w:t>
      </w:r>
      <w:r>
        <w:rPr>
          <w:rFonts w:ascii="Times New Roman" w:cs="Times New Roman" w:eastAsia="Times New Roman" w:hAnsi="Times New Roman"/>
          <w:sz w:val="18"/>
          <w:szCs w:val="18"/>
          <w:color w:val="auto"/>
        </w:rPr>
        <w:t xml:space="preserve"> Amendment Effective Date</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letters of credit set forth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Schedule 3.9</w:t>
      </w:r>
      <w:r>
        <w:rPr>
          <w:rFonts w:ascii="Times New Roman" w:cs="Times New Roman" w:eastAsia="Times New Roman" w:hAnsi="Times New Roman"/>
          <w:sz w:val="18"/>
          <w:szCs w:val="18"/>
          <w:b w:val="1"/>
          <w:bCs w:val="1"/>
          <w:u w:val="single" w:color="auto"/>
          <w:color w:val="0000FF"/>
        </w:rPr>
        <w:t>Letters of Credit issued under this Agreement as in effect immediately prior to the Eleventh Amendment Effective Date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Letters of Credit</w:t>
      </w:r>
      <w:r>
        <w:rPr>
          <w:rFonts w:ascii="Times New Roman" w:cs="Times New Roman" w:eastAsia="Times New Roman" w:hAnsi="Times New Roman"/>
          <w:sz w:val="18"/>
          <w:szCs w:val="18"/>
          <w:color w:val="000000"/>
        </w:rPr>
        <w:t xml:space="preserve">”) will constitute Letters of Credit under </w:t>
      </w:r>
      <w:r>
        <w:rPr>
          <w:rFonts w:ascii="Times New Roman" w:cs="Times New Roman" w:eastAsia="Times New Roman" w:hAnsi="Times New Roman"/>
          <w:sz w:val="18"/>
          <w:szCs w:val="18"/>
          <w:color w:val="FF0000"/>
          <w:strike w:val="1"/>
        </w:rPr>
        <w:t>this Agreement</w:t>
      </w:r>
      <w:r>
        <w:rPr>
          <w:rFonts w:ascii="Times New Roman" w:cs="Times New Roman" w:eastAsia="Times New Roman" w:hAnsi="Times New Roman"/>
          <w:sz w:val="18"/>
          <w:szCs w:val="18"/>
          <w:b w:val="1"/>
          <w:bCs w:val="1"/>
          <w:u w:val="single" w:color="auto"/>
          <w:color w:val="0000FF"/>
        </w:rPr>
        <w:t>the 2031 Revolving Facility</w:t>
      </w:r>
      <w:r>
        <w:rPr>
          <w:rFonts w:ascii="Times New Roman" w:cs="Times New Roman" w:eastAsia="Times New Roman" w:hAnsi="Times New Roman"/>
          <w:sz w:val="18"/>
          <w:szCs w:val="18"/>
          <w:color w:val="000000"/>
        </w:rPr>
        <w:t xml:space="preserve"> and for the purposes hereof will be deemed to have been issued for the account of the Borrower </w:t>
      </w:r>
      <w:r>
        <w:rPr>
          <w:rFonts w:ascii="Times New Roman" w:cs="Times New Roman" w:eastAsia="Times New Roman" w:hAnsi="Times New Roman"/>
          <w:sz w:val="18"/>
          <w:szCs w:val="18"/>
          <w:b w:val="1"/>
          <w:bCs w:val="1"/>
          <w:u w:val="single" w:color="auto"/>
          <w:color w:val="0000FF"/>
        </w:rPr>
        <w:t>under the 2031 Revolving Facility</w:t>
      </w:r>
      <w:r>
        <w:rPr>
          <w:rFonts w:ascii="Times New Roman" w:cs="Times New Roman" w:eastAsia="Times New Roman" w:hAnsi="Times New Roman"/>
          <w:sz w:val="18"/>
          <w:szCs w:val="18"/>
          <w:color w:val="000000"/>
        </w:rPr>
        <w:t xml:space="preserve"> on the </w:t>
      </w:r>
      <w:r>
        <w:rPr>
          <w:rFonts w:ascii="Times New Roman" w:cs="Times New Roman" w:eastAsia="Times New Roman" w:hAnsi="Times New Roman"/>
          <w:sz w:val="18"/>
          <w:szCs w:val="18"/>
          <w:color w:val="FF0000"/>
          <w:strike w:val="1"/>
        </w:rPr>
        <w:t>Seventh</w:t>
      </w:r>
      <w:r>
        <w:rPr>
          <w:rFonts w:ascii="Times New Roman" w:cs="Times New Roman" w:eastAsia="Times New Roman" w:hAnsi="Times New Roman"/>
          <w:sz w:val="18"/>
          <w:szCs w:val="18"/>
          <w:b w:val="1"/>
          <w:bCs w:val="1"/>
          <w:u w:val="single" w:color="auto"/>
          <w:color w:val="0000FF"/>
        </w:rPr>
        <w:t>Eleventh</w:t>
      </w:r>
      <w:r>
        <w:rPr>
          <w:rFonts w:ascii="Times New Roman" w:cs="Times New Roman" w:eastAsia="Times New Roman" w:hAnsi="Times New Roman"/>
          <w:sz w:val="18"/>
          <w:szCs w:val="18"/>
          <w:color w:val="000000"/>
        </w:rPr>
        <w:t xml:space="preserv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3.10 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 or Subsidiary Borrower, as applicable, (i) shall reimburse, indemnify and compensate the applicable Issuing Lender hereunder for such Letter of Credit (including to reimburse any and all drawings thereunder) as if such Letter of Credit had been issued solely for the account of the Borrower or such Subsidiary Borrower, as applicable, and (ii) irrevocably waives any and all defenses that might otherwise be available to it as a guarantor or surety of any or all of the obligations of such Subsidiary in respect of such Letter of Credit. The Borrower and each Subsidiary Borrower hereby acknowledge that the issuance of such Letters of Credit for its Subsidiaries inures to the benefit of the Borrower or such Subsidiary Borrower, as applicable, and that the Borrower’s or such Subsidiary Borrower’s business derives substantial benefits from the businesses of such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and issue or participate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ABG, Holdings and the Borrower hereby jointly and severally represent and warrant to the Administrative Agent and each Lender that:</w:t>
      </w:r>
    </w:p>
    <w:p>
      <w:pPr>
        <w:spacing w:after="0" w:line="20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4.1</w:t>
      </w:r>
      <w:r>
        <w:rPr>
          <w:sz w:val="20"/>
          <w:szCs w:val="20"/>
          <w:color w:val="auto"/>
        </w:rPr>
        <w:tab/>
      </w:r>
      <w:r>
        <w:rPr>
          <w:rFonts w:ascii="Times New Roman" w:cs="Times New Roman" w:eastAsia="Times New Roman" w:hAnsi="Times New Roman"/>
          <w:sz w:val="17"/>
          <w:szCs w:val="17"/>
          <w:u w:val="single" w:color="auto"/>
          <w:color w:val="auto"/>
        </w:rPr>
        <w:t>Financial Condition</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w:t>
      </w:r>
      <w:r>
        <w:rPr>
          <w:sz w:val="20"/>
          <w:szCs w:val="20"/>
          <w:color w:val="auto"/>
        </w:rPr>
        <w:tab/>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right="40" w:firstLine="1304"/>
        <w:spacing w:after="0" w:line="254" w:lineRule="auto"/>
        <w:tabs>
          <w:tab w:leader="none" w:pos="181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balance sheets of ABG as at December 31, 2020 and the audited consolidated balance sheets of the Borrower as at December 31, 2019 and December 31, 2018, and the related consolidated statements of income and of cash flows for the fiscal years ended on such dates (the “</w:t>
      </w:r>
      <w:r>
        <w:rPr>
          <w:rFonts w:ascii="Times New Roman" w:cs="Times New Roman" w:eastAsia="Times New Roman" w:hAnsi="Times New Roman"/>
          <w:sz w:val="18"/>
          <w:szCs w:val="18"/>
          <w:u w:val="single" w:color="auto"/>
          <w:color w:val="auto"/>
        </w:rPr>
        <w:t>Consolidated Financial Statements</w:t>
      </w:r>
      <w:r>
        <w:rPr>
          <w:rFonts w:ascii="Times New Roman" w:cs="Times New Roman" w:eastAsia="Times New Roman" w:hAnsi="Times New Roman"/>
          <w:sz w:val="18"/>
          <w:szCs w:val="18"/>
          <w:color w:val="auto"/>
        </w:rPr>
        <w:t>”), reported on by and accompanied by an unqualified report from Deloitte &amp; Touche LLP, present fairly the consolidated financial condition of ABG and the Borrower, respectively,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 No Group Member (other than ABG) has any material Guarantee Obligations, or any unusual forward or long-term commitments, including any interest rate or foreign currency swap or exchange transaction or other obligation in respect of derivatives, that are not reflected in the most recent financial statements referred to in this paragraph, as of the date of such financial statements.</w:t>
      </w:r>
    </w:p>
    <w:p>
      <w:pPr>
        <w:spacing w:after="0" w:line="188"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4.2 No Change</w:t>
      </w:r>
      <w:r>
        <w:rPr>
          <w:rFonts w:ascii="Times New Roman" w:cs="Times New Roman" w:eastAsia="Times New Roman" w:hAnsi="Times New Roman"/>
          <w:sz w:val="18"/>
          <w:szCs w:val="18"/>
          <w:color w:val="auto"/>
        </w:rPr>
        <w:t>. Since December 31, 2020, there has been no development or event that has had or could reasonably be expected to have a Material Adverse Effect.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33" w:name="page134"/>
    <w:bookmarkEnd w:id="133"/>
    <w:p>
      <w:pPr>
        <w:ind w:right="4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4.3 Existence; Compliance with Law</w:t>
      </w:r>
      <w:r>
        <w:rPr>
          <w:rFonts w:ascii="Times New Roman" w:cs="Times New Roman" w:eastAsia="Times New Roman" w:hAnsi="Times New Roman"/>
          <w:sz w:val="18"/>
          <w:szCs w:val="18"/>
          <w:color w:val="auto"/>
        </w:rPr>
        <w:t>. Each Group Member (a) is duly organized, validly existing and to the extent relevant in such jurisdiction, in good standing under the laws of the jurisdiction of its organization, except where (other than the Borrower) the failure to be so organized, existing or in good standing could not reasonably be expected to have a Material Adverse Effect, (b) has the power and authority, and the legal right, to own and operate its property, to lease the property it operates as lessee and to conduct the business in which it is currently engaged, except where failure to have such power, authority and legal right could not reasonably be expected to have a Material Adverse Effect, (c) is duly qualified as a foreign corporation or other organization and in good standing or has applied for authority to operate as a foreign corporation under the laws of each jurisdiction where its ownership, lease or operation of property or the conduct of its business requires such qualification and where a failure to be in good standing as a foreign corporation would have a Material Adverse Effect and (d) is in compliance with all Requirements of Law except to the extent that the failure to comply therewith could not, in the aggregate, reasonably be expected to have a Material Adverse Effect.</w:t>
      </w:r>
    </w:p>
    <w:p>
      <w:pPr>
        <w:spacing w:after="0" w:line="18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4.4 Power; Authorization; Enforceable Obligations</w:t>
      </w:r>
      <w:r>
        <w:rPr>
          <w:rFonts w:ascii="Times New Roman" w:cs="Times New Roman" w:eastAsia="Times New Roman" w:hAnsi="Times New Roman"/>
          <w:sz w:val="18"/>
          <w:szCs w:val="18"/>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described in Schedule 4.4, which consents, authorizations, filings and notices have been obtained or made and are in full force and effect and (ii) the filings referred to in Section 4.17.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4.5 No Legal Bar</w:t>
      </w:r>
      <w:r>
        <w:rPr>
          <w:rFonts w:ascii="Times New Roman" w:cs="Times New Roman" w:eastAsia="Times New Roman" w:hAnsi="Times New Roman"/>
          <w:sz w:val="18"/>
          <w:szCs w:val="18"/>
          <w:color w:val="auto"/>
        </w:rPr>
        <w:t>. The execution, delivery and performance of this Agreement and the other Loan Documents, the issuance of Letters of Credit, the borrowings hereunder and the use of the proceeds thereof will not violate any material Requirement of Law or any material Contractual Obligation of any Group Member and will not result in, or require, the creation or imposition of any Lien on any of their respective properties or revenues pursuant to any Requirement of Law or any such Contractual Obligation (other than the Liens created by the Security Documents). No Requirement of Law or Contractual Obligation applicable to the Borrower or any of its Subsidiaries could reasonably be expected to have a Material Adverse Effect.</w:t>
      </w:r>
    </w:p>
    <w:p>
      <w:pPr>
        <w:spacing w:after="0" w:line="183"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4.6 Litigation</w:t>
      </w:r>
      <w:r>
        <w:rPr>
          <w:rFonts w:ascii="Times New Roman" w:cs="Times New Roman" w:eastAsia="Times New Roman" w:hAnsi="Times New Roman"/>
          <w:sz w:val="18"/>
          <w:szCs w:val="18"/>
          <w:color w:val="auto"/>
        </w:rPr>
        <w:t>. Except as disclosed by the Borrower to the Lenders in writing at least three Business Days prior to the Restatement Effective Date, there shall not exist any action, investigation, litigation or proceeding pending or, to the knowledge of the Borrower, threatened in any court or before any arbitrator or Governmental Authority that would have a Material Adverse Effect.</w:t>
      </w:r>
    </w:p>
    <w:p>
      <w:pPr>
        <w:spacing w:after="0" w:line="176"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4.7 No Default</w:t>
      </w:r>
      <w:r>
        <w:rPr>
          <w:rFonts w:ascii="Times New Roman" w:cs="Times New Roman" w:eastAsia="Times New Roman" w:hAnsi="Times New Roman"/>
          <w:sz w:val="18"/>
          <w:szCs w:val="18"/>
          <w:color w:val="auto"/>
        </w:rPr>
        <w:t>. No Group Member is in default under or with respect to any of its Contractual Obligations in any respect that could reasonably be expected to have a Material Adverse Effect. No Default or Event of Default has occurred and is continuing.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both"/>
        <w:ind w:right="16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4.8 Ownership of Property; Liens</w:t>
      </w:r>
      <w:r>
        <w:rPr>
          <w:rFonts w:ascii="Times New Roman" w:cs="Times New Roman" w:eastAsia="Times New Roman" w:hAnsi="Times New Roman"/>
          <w:sz w:val="18"/>
          <w:szCs w:val="18"/>
          <w:color w:val="auto"/>
        </w:rPr>
        <w:t>. Each Group Member has title in fee simple to, or a valid leasehold interest in, all its real property (except as could not reasonably be expected to have a Material Adverse Effect) and none of such property is subject to any Lien except a Permitted Lien.</w:t>
      </w:r>
    </w:p>
    <w:p>
      <w:pPr>
        <w:spacing w:after="0" w:line="16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4.9 Intellectual Property</w:t>
      </w:r>
      <w:r>
        <w:rPr>
          <w:rFonts w:ascii="Times New Roman" w:cs="Times New Roman" w:eastAsia="Times New Roman" w:hAnsi="Times New Roman"/>
          <w:sz w:val="18"/>
          <w:szCs w:val="18"/>
          <w:color w:val="auto"/>
        </w:rPr>
        <w:t>. Each Group Member owns, or is licensed to use, to its knowledge, all material Intellectual Property necessary for the conduct of its business as currently conducted. Except as set forth on Schedule 4.9, to each Group Member’s knowledge, no claim has been asserted and is pending against such Group Member by any Person challenging or questioning the use of any Intellectual Property or the validity or effectiveness of any Intellectual Property, nor does ABG, Holdings or the Borrower know of any valid basis for any such claim that if adversely determined could have a material adverse effect on the value of any material Intellectual Property owned by such Group Member. Subject to the foregoing sentence, the use of Intellectual Property by each Group Member does not infringe, to its knowledge, on the rights of any Person in any material respect.</w:t>
      </w:r>
    </w:p>
    <w:p>
      <w:pPr>
        <w:spacing w:after="0" w:line="187"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4.10 Taxes</w:t>
      </w:r>
      <w:r>
        <w:rPr>
          <w:rFonts w:ascii="Times New Roman" w:cs="Times New Roman" w:eastAsia="Times New Roman" w:hAnsi="Times New Roman"/>
          <w:sz w:val="18"/>
          <w:szCs w:val="18"/>
          <w:color w:val="auto"/>
        </w:rPr>
        <w:t>. Each Group Member has filed or caused to be filed all federal, state and local income and other material tax returns that are required to be filed by it and has paid all taxes shown to be due and payable on said returns or on any assessments made against it or any of its property and all other taxes, fees or other charges imposed on it or any of its property by any Governmental Authority (other than any amount the validity of which is currently being contested in good faith by appropriate proceedings and with respect to which reserves in conformity with GAAP have been provided on the books of the relevant Group Member or to the extent that failure to do so could not reasonably be expected to result in a Material Adverse Effect) or with respect to which the failure to have filed such tax returns or have paid such taxes would not, individually or in the aggregate, reasonably be expected to have a Material Adverse Effect.</w:t>
      </w:r>
    </w:p>
    <w:p>
      <w:pPr>
        <w:spacing w:after="0" w:line="189" w:lineRule="exact"/>
        <w:rPr>
          <w:sz w:val="20"/>
          <w:szCs w:val="20"/>
          <w:color w:val="auto"/>
        </w:rPr>
      </w:pPr>
    </w:p>
    <w:p>
      <w:pPr>
        <w:ind w:right="120" w:firstLine="1296"/>
        <w:spacing w:after="0" w:line="277" w:lineRule="auto"/>
        <w:rPr>
          <w:sz w:val="20"/>
          <w:szCs w:val="20"/>
          <w:color w:val="auto"/>
        </w:rPr>
      </w:pPr>
      <w:r>
        <w:rPr>
          <w:rFonts w:ascii="Times New Roman" w:cs="Times New Roman" w:eastAsia="Times New Roman" w:hAnsi="Times New Roman"/>
          <w:sz w:val="17"/>
          <w:szCs w:val="17"/>
          <w:u w:val="single" w:color="auto"/>
          <w:color w:val="auto"/>
        </w:rPr>
        <w:t>4.11 Federal Regulations</w:t>
      </w:r>
      <w:r>
        <w:rPr>
          <w:rFonts w:ascii="Times New Roman" w:cs="Times New Roman" w:eastAsia="Times New Roman" w:hAnsi="Times New Roman"/>
          <w:sz w:val="17"/>
          <w:szCs w:val="17"/>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6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4.12 ERISA</w:t>
      </w:r>
      <w:r>
        <w:rPr>
          <w:rFonts w:ascii="Times New Roman" w:cs="Times New Roman" w:eastAsia="Times New Roman" w:hAnsi="Times New Roman"/>
          <w:sz w:val="18"/>
          <w:szCs w:val="18"/>
          <w:color w:val="auto"/>
        </w:rPr>
        <w:t>. Neither a Reportable Event nor a failure to satisfy the “minimum funding standards” (within the meaning of Section 412 of the Code or Section 302 of ERISA) applicable to each Plan (whether or not waived) has occurred during the five-year period prior to the date on which this representation is made or deemed made with respect to any Plan, and each Plan has complied in all material respects with the applicable provisions of ERISA and the Code; (b) no termination of a Single Employer Plan has occurred, no Lien in favor of the PBGC or a Plan has arisen and no determination has been made that a Plan is, or is expected to be, “at risk” (within the meaning of Section 430 of the Code or Section 303 of ERISA), during such five-year period; (c)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a material amount; (d) neither the Borrower nor any Commonly Controlled Entity has had a complete or partial withdrawal from any Multiemployer Plan that has resulted or could reasonably be expected to result in a liability under ERISA, and neither the Borrower nor any Commonly Controlled Entity would become subject to any material liability under ERISA if the Borrower or any such Commonly Controlled Entity were to withdraw completely from all Multiemployer Plans as of the valuation date most closely preceding the date on which this representation is made or deemed made; and (e) no such Multiemployer Plan is 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“endangered” or “critical” status (within the meaning of Section 432 of the Code or Section 305 of ERISA) or Insolvent, except where, in each of clauses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through (e), such event or condition, together with all other events or conditions, could not reasonably be expected to have a Material Adverse Effect.</w:t>
      </w:r>
    </w:p>
    <w:p>
      <w:pPr>
        <w:spacing w:after="0" w:line="207"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4.13 Investment Company Act; Other Regulations</w:t>
      </w:r>
      <w:r>
        <w:rPr>
          <w:rFonts w:ascii="Times New Roman" w:cs="Times New Roman" w:eastAsia="Times New Roman" w:hAnsi="Times New Roman"/>
          <w:sz w:val="18"/>
          <w:szCs w:val="18"/>
          <w:color w:val="auto"/>
        </w:rPr>
        <w:t>. No Loan Party is an “investment company”, or a company “controlled” by an “investment company”, within the meaning of the Investment Company Act of 1940, as amended.</w:t>
      </w:r>
    </w:p>
    <w:p>
      <w:pPr>
        <w:spacing w:after="0" w:line="162"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4.14 Subsidiaries</w:t>
      </w:r>
      <w:r>
        <w:rPr>
          <w:rFonts w:ascii="Times New Roman" w:cs="Times New Roman" w:eastAsia="Times New Roman" w:hAnsi="Times New Roman"/>
          <w:sz w:val="18"/>
          <w:szCs w:val="18"/>
          <w:color w:val="auto"/>
        </w:rPr>
        <w:t>. (a) As of the Third Restatement Effective Date, Schedule 4.14 sets forth the name and jurisdiction of organization of each Subsidiary and, (i) as to each such Subsidiary (other than WTH Funding LP), the percentage of each class of Capital Stock owned by any Loan Party and (ii) in the case of WTH Funding LP, the names of the partners of such partnership and to the extent that the partners of such partnership are Subsidiaries, the percentage of Capital Stock of such Subsidiaries owned by any Loan Party and (b) as of the Restatement Effective Date, there are no outstanding subscriptions, options, warrants, calls, rights or other agreements or commitments (other than stock options granted to employees or directors and directors’ qualifying shares) of any nature relating to any Capital Stock of the Borrower or any Subsidiary (other than WTH Funding LP), except as created by the Loan Documents.</w:t>
      </w:r>
    </w:p>
    <w:p>
      <w:pPr>
        <w:spacing w:after="0" w:line="189"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4.15 Use of Proceeds</w:t>
      </w:r>
      <w:r>
        <w:rPr>
          <w:rFonts w:ascii="Times New Roman" w:cs="Times New Roman" w:eastAsia="Times New Roman" w:hAnsi="Times New Roman"/>
          <w:sz w:val="18"/>
          <w:szCs w:val="18"/>
          <w:color w:val="auto"/>
        </w:rPr>
        <w:t xml:space="preserve">. The proceeds of the Revolving Loans and the Swingline Loans and the Letters of Credit, shall be used to finance the working capital needs and general corporate purposes of the Borrower and its Subsidiaries, including Investments, Restricted Payments and capital expenditures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proceeds of the Revolving Loans may not be used </w:t>
      </w:r>
      <w:r>
        <w:rPr>
          <w:rFonts w:ascii="Times New Roman" w:cs="Times New Roman" w:eastAsia="Times New Roman" w:hAnsi="Times New Roman"/>
          <w:sz w:val="18"/>
          <w:szCs w:val="18"/>
          <w:b w:val="1"/>
          <w:bCs w:val="1"/>
          <w:u w:val="single" w:color="auto"/>
          <w:color w:val="0000FF"/>
        </w:rPr>
        <w:t>(w)</w:t>
      </w:r>
      <w:r>
        <w:rPr>
          <w:rFonts w:ascii="Times New Roman" w:cs="Times New Roman" w:eastAsia="Times New Roman" w:hAnsi="Times New Roman"/>
          <w:sz w:val="18"/>
          <w:szCs w:val="18"/>
          <w:color w:val="auto"/>
        </w:rPr>
        <w:t xml:space="preserve"> to repay any Indebtedness outstanding under any Ancillary Letter of Credit Facility Document</w:t>
      </w:r>
      <w:r>
        <w:rPr>
          <w:rFonts w:ascii="Times New Roman" w:cs="Times New Roman" w:eastAsia="Times New Roman" w:hAnsi="Times New Roman"/>
          <w:sz w:val="18"/>
          <w:szCs w:val="18"/>
          <w:b w:val="1"/>
          <w:bCs w:val="1"/>
          <w:u w:val="single" w:color="auto"/>
          <w:color w:val="0000FF"/>
        </w:rPr>
        <w:t>, (x) to purchase or repurchase the common stock or equity of any Parent, (y)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repay any Indebtedness outstanding under any Supply Chain Finance Document or (z) to purchase or repurchase bond Indebtedness of any Group Member available in the open market</w:t>
      </w:r>
      <w:r>
        <w:rPr>
          <w:rFonts w:ascii="Times New Roman" w:cs="Times New Roman" w:eastAsia="Times New Roman" w:hAnsi="Times New Roman"/>
          <w:sz w:val="18"/>
          <w:szCs w:val="18"/>
          <w:color w:val="000000"/>
        </w:rPr>
        <w:t>. The proceeds of the Tranche B Term Loans made on the Tenth Amendment Effective Date shall be used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only (i) to repay in full the outstanding principal amount of the Existing Tranche B Term Loans, together with any accrued interest and other amounts owing in respect thereof and (ii) to pay related costs and expenses. The proceeds of the Tranche C Term Loans made on the Sixth Amendment Effective Date shall be used only (i) to repay in full, together with the Tranche C Term Loan Prepayment (as defined in the Sixth Amendment), the outstanding principal amount of the Existing Tranche C Term Loans, together with any accrued interest and other amounts owing in respect thereof and (ii) to pay related costs and expenses. The proceeds of the Tranche A Term Loans made on the Ninth Amendment Effective Date shall be used only (i) to finance the upcoming fleet rotation and for general corporate purposes of the Borrower and its Subsidiaries and (ii) to pay related costs and expenses.</w:t>
      </w:r>
    </w:p>
    <w:p>
      <w:pPr>
        <w:spacing w:after="0" w:line="19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4.16 Accuracy of Information, etc</w:t>
      </w:r>
      <w:r>
        <w:rPr>
          <w:rFonts w:ascii="Times New Roman" w:cs="Times New Roman" w:eastAsia="Times New Roman" w:hAnsi="Times New Roman"/>
          <w:sz w:val="18"/>
          <w:szCs w:val="18"/>
          <w:color w:val="auto"/>
        </w:rPr>
        <w:t xml:space="preserve">. No statement or information (other than the projections and pro forma financial information) contained in this Agreement, any other Loan Document, the Lender Presentation or any other document, certificate or statement furnished by or on behalf of any Loan Party to the Administrative Agent or the Lenders, or any of them, for use in connection with the transactions contemplated by this Agreement or the other Loan Documents taken as a whole, contained as of the date such statement, information, document or certificate was so furnished (or, in the case of the Lender Presentation, as of the date of this Agreement), any untrue statement of a material fact or omitted to state a material fact necessary to make the statements contained herein or therein not misleading. The projections and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As of</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6" w:name="page137"/>
    <w:bookmarkEnd w:id="136"/>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Restatement Effective Date there is no fact known to any Loan Party that could reasonably be expected to have a Material Adverse Effect that has not been expressly disclosed herein, in the other Loan Documents, in the Lender Presentation or in any other documents, certificates and statements furnished to the Administrative Agent and the Lenders for use in connection with the transactions contemplated hereby and by the other Loan Documents.</w:t>
      </w:r>
    </w:p>
    <w:p>
      <w:pPr>
        <w:spacing w:after="0" w:line="17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4.17 Security Documents</w:t>
      </w:r>
      <w:r>
        <w:rPr>
          <w:rFonts w:ascii="Times New Roman" w:cs="Times New Roman" w:eastAsia="Times New Roman" w:hAnsi="Times New Roman"/>
          <w:sz w:val="18"/>
          <w:szCs w:val="18"/>
          <w:color w:val="auto"/>
        </w:rPr>
        <w:t>. The Guarantee and Collateral Agreement is effective to create in favor of the Administrative Agent, for the benefit of the Secured Parties (as defined in the Guarantee and Collateral Agreement), a legal, valid and enforceable security interest in the Collateral described therein and proceeds thereof. In the case of the Pledged Stock as defined and described in the Guarantee and Collateral Agreement, when stock certificates representing such Pledged Stock are delivered to the Administrative Agent, and in the case of the other Collateral described in the Guarantee and Collateral Agreement (as amended, supplemented and otherwise modified as of the Restatement Effective Date), when financing statements and other filings specified on Schedule 4.17 in appropriate form are filed in the offices specified on Schedule 4.17 to the extent such filings are effective to perfect a security interest in such Collateral, the Guarantee and Collateral Agreement shall constitute a fully perfected Lien on, and security interest in, all right, title and interest of the Loan Parties (other than ABG) in such Collateral and the proceeds thereof, as security for the Obligations (as defined in the Guarantee and Collateral Agreement) under the laws of the United States, in each case prior and superior in right to any other Person (except (i) in the case of Collateral other than Pledged Stock, Permitted Liens and (ii) in the case of Pledged Stock, statutory Liens or nonconsensual Liens). As of the Restatement Effective Date, neither the Borrower nor any of its Subsidiaries holds any parcel of owned real property, other than the properties listed in Part II of Schedule 1.1F, located in the United States having a value, in the reasonable opinion of the Borrower, in excess of $10,000,000.</w:t>
      </w:r>
    </w:p>
    <w:p>
      <w:pPr>
        <w:spacing w:after="0" w:line="19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4.18 Anti-Corruption Laws and Sanctions</w:t>
      </w:r>
      <w:r>
        <w:rPr>
          <w:rFonts w:ascii="Times New Roman" w:cs="Times New Roman" w:eastAsia="Times New Roman" w:hAnsi="Times New Roman"/>
          <w:sz w:val="18"/>
          <w:szCs w:val="18"/>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and are not knowingly engaged in any activity that would reasonably be expected to result in the Borrower being designated as a Sanctioned Person. None of the Borrower, any Subsidiary or any of their respective directors, officers or</w:t>
      </w:r>
      <w:r>
        <w:rPr>
          <w:rFonts w:ascii="Times New Roman" w:cs="Times New Roman" w:eastAsia="Times New Roman" w:hAnsi="Times New Roman"/>
          <w:sz w:val="18"/>
          <w:szCs w:val="18"/>
          <w:b w:val="1"/>
          <w:bCs w:val="1"/>
          <w:u w:val="single" w:color="auto"/>
          <w:color w:val="0000FF"/>
        </w:rPr>
        <w:t>, to the knowledge of the Borrower,</w:t>
      </w:r>
      <w:r>
        <w:rPr>
          <w:rFonts w:ascii="Times New Roman" w:cs="Times New Roman" w:eastAsia="Times New Roman" w:hAnsi="Times New Roman"/>
          <w:sz w:val="18"/>
          <w:szCs w:val="18"/>
          <w:color w:val="auto"/>
        </w:rPr>
        <w:t xml:space="preserve"> employees is a Sanctioned Person. No borrowing or Letter of Credit or use of proceeds will directly or, knowingly, indirectly violate Anti-Corruption Laws or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Sanctions </w:t>
      </w:r>
      <w:r>
        <w:rPr>
          <w:rFonts w:ascii="Times New Roman" w:cs="Times New Roman" w:eastAsia="Times New Roman" w:hAnsi="Times New Roman"/>
          <w:sz w:val="18"/>
          <w:szCs w:val="18"/>
          <w:b w:val="1"/>
          <w:bCs w:val="1"/>
          <w:u w:val="single" w:color="auto"/>
          <w:color w:val="0000FF"/>
        </w:rPr>
        <w:t>applicable to any party hereto</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300"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4.19 Flood Insurance</w:t>
      </w:r>
      <w:r>
        <w:rPr>
          <w:rFonts w:ascii="Times New Roman" w:cs="Times New Roman" w:eastAsia="Times New Roman" w:hAnsi="Times New Roman"/>
          <w:sz w:val="18"/>
          <w:szCs w:val="18"/>
          <w:color w:val="auto"/>
        </w:rPr>
        <w:t>. The Borrower represents and warrants that prior to the date hereof, Borrower has delivered to the Administrative Agent a completed “Life-of-Loan” Federal Emergency Management Agency standard flood hazard determination (together with notices about special flood hazard area status and flood disaster assistance relating thereto, duly executed by the Borrower) with respect to each portion of the Mortgaged Properties.</w:t>
      </w:r>
    </w:p>
    <w:p>
      <w:pPr>
        <w:spacing w:after="0" w:line="180"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4.20</w:t>
      </w:r>
      <w:r>
        <w:rPr>
          <w:sz w:val="20"/>
          <w:szCs w:val="20"/>
          <w:color w:val="auto"/>
        </w:rPr>
        <w:tab/>
      </w:r>
      <w:r>
        <w:rPr>
          <w:rFonts w:ascii="Times New Roman" w:cs="Times New Roman" w:eastAsia="Times New Roman" w:hAnsi="Times New Roman"/>
          <w:sz w:val="17"/>
          <w:szCs w:val="17"/>
          <w:u w:val="single" w:color="auto"/>
          <w:color w:val="auto"/>
        </w:rPr>
        <w:t>Affected Financial Institutions</w:t>
      </w:r>
      <w:r>
        <w:rPr>
          <w:rFonts w:ascii="Times New Roman" w:cs="Times New Roman" w:eastAsia="Times New Roman" w:hAnsi="Times New Roman"/>
          <w:sz w:val="17"/>
          <w:szCs w:val="17"/>
          <w:color w:val="auto"/>
        </w:rPr>
        <w:t>. No Loan Party is an Affected Financial Institution.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7" w:lineRule="exact"/>
        <w:rPr>
          <w:sz w:val="20"/>
          <w:szCs w:val="20"/>
          <w:color w:val="auto"/>
        </w:rPr>
      </w:pPr>
    </w:p>
    <w:p>
      <w:pPr>
        <w:ind w:right="80" w:firstLine="1296"/>
        <w:spacing w:after="0" w:line="260" w:lineRule="auto"/>
        <w:rPr>
          <w:sz w:val="20"/>
          <w:szCs w:val="20"/>
          <w:color w:val="auto"/>
        </w:rPr>
      </w:pPr>
      <w:r>
        <w:rPr>
          <w:rFonts w:ascii="Times New Roman" w:cs="Times New Roman" w:eastAsia="Times New Roman" w:hAnsi="Times New Roman"/>
          <w:sz w:val="18"/>
          <w:szCs w:val="18"/>
          <w:u w:val="single" w:color="auto"/>
          <w:color w:val="auto"/>
        </w:rPr>
        <w:t>5.1 Amendment and Restatement Effective Date</w:t>
      </w:r>
      <w:r>
        <w:rPr>
          <w:rFonts w:ascii="Times New Roman" w:cs="Times New Roman" w:eastAsia="Times New Roman" w:hAnsi="Times New Roman"/>
          <w:sz w:val="18"/>
          <w:szCs w:val="18"/>
          <w:color w:val="auto"/>
        </w:rPr>
        <w:t>. The amendment and restatement of the Existing Credit Agreement provided for hereby and the agreement of each Revolving Lender to make the initial extension of credit (if any) requested to be made by it on the Restatement Effective Date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ind w:right="260"/>
        <w:spacing w:after="0" w:line="266" w:lineRule="auto"/>
        <w:rPr>
          <w:sz w:val="20"/>
          <w:szCs w:val="20"/>
          <w:color w:val="auto"/>
        </w:rPr>
      </w:pPr>
      <w:r>
        <w:rPr>
          <w:rFonts w:ascii="Times New Roman" w:cs="Times New Roman" w:eastAsia="Times New Roman" w:hAnsi="Times New Roman"/>
          <w:sz w:val="18"/>
          <w:szCs w:val="18"/>
          <w:color w:val="auto"/>
        </w:rPr>
        <w:t>is subject to the satisfaction, prior to or concurrently with the amendment and restatement of the Existing Credit Agreement and the making of such extension of credit (if any) on the Restatement Effective Date, of each of the following conditions precedent (unless such condition precedent shall have been waived in accordance with Section 10.1):</w:t>
      </w:r>
    </w:p>
    <w:p>
      <w:pPr>
        <w:spacing w:after="0" w:line="176" w:lineRule="exact"/>
        <w:rPr>
          <w:sz w:val="20"/>
          <w:szCs w:val="20"/>
          <w:color w:val="auto"/>
        </w:rPr>
      </w:pPr>
    </w:p>
    <w:p>
      <w:pPr>
        <w:ind w:left="660" w:firstLine="644"/>
        <w:spacing w:after="0" w:line="258" w:lineRule="auto"/>
        <w:tabs>
          <w:tab w:leader="none" w:pos="182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Guarantee and Collateral Agreement Acknowledgement; Parent Guarantee</w:t>
      </w:r>
      <w:r>
        <w:rPr>
          <w:rFonts w:ascii="Times New Roman" w:cs="Times New Roman" w:eastAsia="Times New Roman" w:hAnsi="Times New Roman"/>
          <w:sz w:val="18"/>
          <w:szCs w:val="18"/>
          <w:color w:val="auto"/>
        </w:rPr>
        <w:t>. The Administrative Agent shall have received (i) this Agreement, executed and delivered by the Administrative Agent, ABG, Holdings, the Borrower, the Required Lenders and each Revolving Lender, (ii) the Guarantee and Collateral Agreement substantially in the form attached hereto as Exhibit H, executed and delivered by each Loan Party (other than ABG) and (iii) a Guarantee Acknowledgement substantially in the form attached hereto as Exhibit I, executed and delivered by ABG.</w:t>
      </w:r>
    </w:p>
    <w:p>
      <w:pPr>
        <w:spacing w:after="0" w:line="183" w:lineRule="exact"/>
        <w:rPr>
          <w:rFonts w:ascii="Times New Roman" w:cs="Times New Roman" w:eastAsia="Times New Roman" w:hAnsi="Times New Roman"/>
          <w:sz w:val="18"/>
          <w:szCs w:val="18"/>
          <w:color w:val="auto"/>
        </w:rPr>
      </w:pPr>
    </w:p>
    <w:p>
      <w:pPr>
        <w:ind w:left="660" w:right="60" w:firstLine="644"/>
        <w:spacing w:after="0" w:line="256" w:lineRule="auto"/>
        <w:tabs>
          <w:tab w:leader="none" w:pos="183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Lenders shall have received (i) the Consolidated Financial Statements and (ii) unaudited interim consolidated financial statements of the Borrower for each fiscal quarter ended more than 55 days before the Restatement Effective Date and after the date of the latest applicable financial statements delivered pursuant to clause (i) of this paragraph as to which such financial statements are available, and such financial statements shall not, in the reasonable judgment of the Lenders, reflect any material inconsistency with the financial statements or projections previously delivered to the Lenders in connection with the syndication of the Revolving Facility </w:t>
      </w:r>
      <w:r>
        <w:rPr>
          <w:rFonts w:ascii="Times New Roman" w:cs="Times New Roman" w:eastAsia="Times New Roman" w:hAnsi="Times New Roman"/>
          <w:sz w:val="18"/>
          <w:szCs w:val="18"/>
          <w:b w:val="1"/>
          <w:bCs w:val="1"/>
          <w:u w:val="single" w:color="auto"/>
          <w:color w:val="0000FF"/>
        </w:rPr>
        <w:t>(as defined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Agreement on the Restatement Effective Date)</w:t>
      </w:r>
      <w:r>
        <w:rPr>
          <w:rFonts w:ascii="Times New Roman" w:cs="Times New Roman" w:eastAsia="Times New Roman" w:hAnsi="Times New Roman"/>
          <w:sz w:val="18"/>
          <w:szCs w:val="18"/>
          <w:color w:val="000000"/>
        </w:rPr>
        <w:t>, except as a result of changes thereto required by GAAP.</w:t>
      </w:r>
    </w:p>
    <w:p>
      <w:pPr>
        <w:spacing w:after="0" w:line="187"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61" w:lineRule="auto"/>
        <w:tabs>
          <w:tab w:leader="none" w:pos="183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All material governmental and third party approvals necessary in connection with the continuing operations of the Group Members and the financing contemplated hereby shall have been obtained and be in full force and effect, and all applicable waiting periods shall have expired without any action being taken or threatened by any competent authority that would restrain, prevent or otherwise impose adverse conditions the financing contemplated hereby.</w:t>
      </w:r>
    </w:p>
    <w:p>
      <w:pPr>
        <w:spacing w:after="0" w:line="179" w:lineRule="exact"/>
        <w:rPr>
          <w:rFonts w:ascii="Times New Roman" w:cs="Times New Roman" w:eastAsia="Times New Roman" w:hAnsi="Times New Roman"/>
          <w:sz w:val="18"/>
          <w:szCs w:val="18"/>
          <w:color w:val="auto"/>
        </w:rPr>
      </w:pPr>
    </w:p>
    <w:p>
      <w:pPr>
        <w:ind w:left="660" w:firstLine="644"/>
        <w:spacing w:after="0" w:line="261" w:lineRule="auto"/>
        <w:tabs>
          <w:tab w:leader="none" w:pos="182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 where the Loan Parties (other than ABG) have their chief executive office or are organized, and such search shall reveal no Liens on any of the assets of the Loan Parties (other than ABG) except for Liens permitted by Section 7.3, Liens discharged on or prior to the Restatement Effective Date or Liens for which termination arrangements have been made pursuant to documentation and on terms satisfactory to the Administrative Agent.</w:t>
      </w:r>
    </w:p>
    <w:p>
      <w:pPr>
        <w:spacing w:after="0" w:line="179"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as of the Restatement Effective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180" w:firstLine="652"/>
        <w:spacing w:after="0" w:line="266" w:lineRule="auto"/>
        <w:tabs>
          <w:tab w:leader="none" w:pos="242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prepaid all Revolving Loans outstanding under (and as defined in) the Existing Credit Agreement (and all accrued and unpaid interest thereon) and all accrued and unpaid commitment fees and letter of credit fees under the Existing Credit Agreement, accrued to (but not including) the Restatement Effective Date.</w:t>
      </w:r>
    </w:p>
    <w:p>
      <w:pPr>
        <w:spacing w:after="0" w:line="175" w:lineRule="exact"/>
        <w:rPr>
          <w:rFonts w:ascii="Times New Roman" w:cs="Times New Roman" w:eastAsia="Times New Roman" w:hAnsi="Times New Roman"/>
          <w:sz w:val="18"/>
          <w:szCs w:val="18"/>
          <w:color w:val="auto"/>
        </w:rPr>
      </w:pPr>
    </w:p>
    <w:p>
      <w:pPr>
        <w:ind w:left="1300" w:right="40" w:firstLine="652"/>
        <w:spacing w:after="0" w:line="266" w:lineRule="auto"/>
        <w:tabs>
          <w:tab w:leader="none" w:pos="247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the Joint Lead Arrangers and the Administrative Agent shall have received all fees required to be paid, and all expenses for which invoices have been presented (including the reasonable fees and expenses of legal counsel), on or before the Restatement Effective Date.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8" w:name="page139"/>
    <w:bookmarkEnd w:id="138"/>
    <w:p>
      <w:pPr>
        <w:ind w:left="660" w:right="120" w:firstLine="644"/>
        <w:spacing w:after="0" w:line="258" w:lineRule="auto"/>
        <w:tabs>
          <w:tab w:leader="none" w:pos="183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each Loan Party, dated the Restatement Effective Date, substantially in the form of Exhibit C, with appropriate insertions and attachments, including the certificate of incorporation of each Loan Party that is a corporation certified by the relevant authority of the jurisdiction of organization of such Loan Party or confirmation that the most recently delivered certified certificate of incorporation has not been amended or modified, and (ii) a long form good standing certificate for each Loan Party from its jurisdiction of organization.</w:t>
      </w:r>
    </w:p>
    <w:p>
      <w:pPr>
        <w:spacing w:after="0" w:line="183" w:lineRule="exact"/>
        <w:rPr>
          <w:rFonts w:ascii="Times New Roman" w:cs="Times New Roman" w:eastAsia="Times New Roman" w:hAnsi="Times New Roman"/>
          <w:sz w:val="18"/>
          <w:szCs w:val="18"/>
          <w:color w:val="auto"/>
        </w:rPr>
      </w:pPr>
    </w:p>
    <w:p>
      <w:pPr>
        <w:ind w:left="660" w:right="60" w:firstLine="644"/>
        <w:spacing w:after="0" w:line="282" w:lineRule="auto"/>
        <w:tabs>
          <w:tab w:leader="none" w:pos="183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Kirkland &amp; Ellis LLP, counsel to the Borrower and its Subsidiaries, substantially in the form of Exhibit E.</w:t>
      </w:r>
    </w:p>
    <w:p>
      <w:pPr>
        <w:spacing w:after="0" w:line="161" w:lineRule="exact"/>
        <w:rPr>
          <w:rFonts w:ascii="Times New Roman" w:cs="Times New Roman" w:eastAsia="Times New Roman" w:hAnsi="Times New Roman"/>
          <w:sz w:val="18"/>
          <w:szCs w:val="18"/>
          <w:color w:val="auto"/>
        </w:rPr>
      </w:pPr>
    </w:p>
    <w:p>
      <w:pPr>
        <w:ind w:left="660" w:right="100" w:firstLine="644"/>
        <w:spacing w:after="0" w:line="282" w:lineRule="auto"/>
        <w:tabs>
          <w:tab w:leader="none" w:pos="179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 satisfactory solvency certificate from a Responsible Officer that shall document the solvency of the Borrower and its Subsidiaries after giving effect to the financing contemplated hereby.</w:t>
      </w:r>
    </w:p>
    <w:p>
      <w:pPr>
        <w:spacing w:after="0" w:line="161" w:lineRule="exact"/>
        <w:rPr>
          <w:rFonts w:ascii="Times New Roman" w:cs="Times New Roman" w:eastAsia="Times New Roman" w:hAnsi="Times New Roman"/>
          <w:sz w:val="18"/>
          <w:szCs w:val="18"/>
          <w:color w:val="auto"/>
        </w:rPr>
      </w:pPr>
    </w:p>
    <w:p>
      <w:pPr>
        <w:ind w:left="660" w:right="560" w:firstLine="644"/>
        <w:spacing w:after="0" w:line="312" w:lineRule="auto"/>
        <w:tabs>
          <w:tab w:leader="none" w:pos="179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Officer’s Certificate</w:t>
      </w:r>
      <w:r>
        <w:rPr>
          <w:rFonts w:ascii="Times New Roman" w:cs="Times New Roman" w:eastAsia="Times New Roman" w:hAnsi="Times New Roman"/>
          <w:sz w:val="17"/>
          <w:szCs w:val="17"/>
          <w:color w:val="auto"/>
        </w:rPr>
        <w:t>. The Lenders shall have received a certificate from a Responsible Officer documenting the Borrower’s compliance with the conditions set forth in paragraphs (a) and (b) of Section 5.2 after giving effect to the financing contemplated hereby.</w:t>
      </w:r>
    </w:p>
    <w:p>
      <w:pPr>
        <w:spacing w:after="0" w:line="139" w:lineRule="exact"/>
        <w:rPr>
          <w:rFonts w:ascii="Times New Roman" w:cs="Times New Roman" w:eastAsia="Times New Roman" w:hAnsi="Times New Roman"/>
          <w:sz w:val="17"/>
          <w:szCs w:val="17"/>
          <w:color w:val="auto"/>
        </w:rPr>
      </w:pPr>
    </w:p>
    <w:p>
      <w:pPr>
        <w:ind w:left="660" w:firstLine="644"/>
        <w:spacing w:after="0" w:line="272" w:lineRule="auto"/>
        <w:tabs>
          <w:tab w:leader="none" w:pos="183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PATRIOT Act</w:t>
      </w:r>
      <w:r>
        <w:rPr>
          <w:rFonts w:ascii="Times New Roman" w:cs="Times New Roman" w:eastAsia="Times New Roman" w:hAnsi="Times New Roman"/>
          <w:sz w:val="17"/>
          <w:szCs w:val="17"/>
          <w:color w:val="auto"/>
        </w:rPr>
        <w:t>. (i) The Administrative Agent shall have received, at least five days prior to the Restatement Effective Date, to the extent reasonably requested by the Administrative Agent (or by any Lender through the Administrative Agent) from the Borrower at least ten days prior to the Restatement Effective Date, all documentation and other information about the Loan Parties required by regulatory authorities under applicable “know your customer” and anti-money laundering rules and regulations, including the PATRIOT Act and (ii) to the extent the Borrower qualifies as a “legal entity customer” under the Beneficial Ownership Regulation, at least five days prior to the Restatement Effective Date, any Lender that has requested, in a written notice to the Borrower at least 10 days prior to the Restatement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7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5.2 Conditions to Each Extension of Credit</w:t>
      </w:r>
      <w:r>
        <w:rPr>
          <w:rFonts w:ascii="Times New Roman" w:cs="Times New Roman" w:eastAsia="Times New Roman" w:hAnsi="Times New Roman"/>
          <w:sz w:val="18"/>
          <w:szCs w:val="18"/>
          <w:color w:val="auto"/>
        </w:rPr>
        <w:t>. The agreement of each Lender to make any extension of credit requested to be made by it on any date (including its initial extension of credit, but excluding any extension of credit under any Incremental Loan Commitments implemented to finance a Permitted Acquisition) is subject to the satisfaction of the following conditions precedent:</w:t>
      </w:r>
    </w:p>
    <w:p>
      <w:pPr>
        <w:spacing w:after="0" w:line="176" w:lineRule="exact"/>
        <w:rPr>
          <w:sz w:val="20"/>
          <w:szCs w:val="20"/>
          <w:color w:val="auto"/>
        </w:rPr>
      </w:pPr>
    </w:p>
    <w:p>
      <w:pPr>
        <w:ind w:left="660" w:right="20" w:firstLine="644"/>
        <w:spacing w:after="0" w:line="261" w:lineRule="auto"/>
        <w:tabs>
          <w:tab w:leader="none" w:pos="182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any Loan Party in or pursuant to the Loan Documents shall be true and correct in all material respects (and in all respects if any such representation and warranty is qualified by materiality) on and as of such date as if made on and as of such date, except to the extent such representations and warranties expressly relate to an earlier date (in which case such representations and warranties shall be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left="660" w:right="560" w:firstLine="644"/>
        <w:spacing w:after="0" w:line="282" w:lineRule="auto"/>
        <w:tabs>
          <w:tab w:leader="none" w:pos="183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 on such date or after giving effect to the extensions of credit requested to be made on such date.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9" w:name="page140"/>
    <w:bookmarkEnd w:id="139"/>
    <w:p>
      <w:pPr>
        <w:ind w:left="660" w:firstLine="644"/>
        <w:spacing w:after="0" w:line="258" w:lineRule="auto"/>
        <w:tabs>
          <w:tab w:leader="none" w:pos="182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Extensions of Credit to a Subsidiary Borrower</w:t>
      </w:r>
      <w:r>
        <w:rPr>
          <w:rFonts w:ascii="Times New Roman" w:cs="Times New Roman" w:eastAsia="Times New Roman" w:hAnsi="Times New Roman"/>
          <w:sz w:val="18"/>
          <w:szCs w:val="18"/>
          <w:color w:val="auto"/>
        </w:rPr>
        <w:t>. The representations and warranties contained in Sections 4.3, 4.4 and 4.5 as to any Subsidiary Borrower to which an extension of credit is to be made shall be true and correct in all material respects (and in all respects if any such representation and warranty is qualified by materiality) on and as of such date as if made on and as of such date, except to the extent such representations and warranties expressly relate to an earlier date (in which case such representations and warranties shall be true and correct in all material respects on and as of such earlier date).</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Each borrowing by and each issuance, amendment, renewal or extension of a Letter of Credit on behalf of the Borrower or any Subsidiary Borrower hereunder shall constitute a representation and warranty by the Borrower, or such Subsidiary Borrower, as applicable, as of the date of such extension of credit that the conditions contained in this Section 5.2 have been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7"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Holdings and the Borrower hereby jointly and severally agree that, so long as the Commitments remain in effect, any Letter of Credit remains outstanding or any Loan or other amount is owing to any Lender or the Administrative Agent hereunder, each of Holdings and the Borrower shall and shall cause each of its Subsidiaries to:</w:t>
      </w:r>
    </w:p>
    <w:p>
      <w:pPr>
        <w:spacing w:after="0" w:line="18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6.1</w:t>
      </w:r>
      <w:r>
        <w:rPr>
          <w:sz w:val="20"/>
          <w:szCs w:val="20"/>
          <w:color w:val="auto"/>
        </w:rPr>
        <w:tab/>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Furnish to the Administrative Agent (and the Administrative Agent shall furnish to each Lender):</w:t>
      </w:r>
    </w:p>
    <w:p>
      <w:pPr>
        <w:spacing w:after="0" w:line="225" w:lineRule="exact"/>
        <w:rPr>
          <w:sz w:val="20"/>
          <w:szCs w:val="20"/>
          <w:color w:val="auto"/>
        </w:rPr>
      </w:pPr>
    </w:p>
    <w:p>
      <w:pPr>
        <w:ind w:left="660" w:right="60" w:firstLine="644"/>
        <w:spacing w:after="0" w:line="254" w:lineRule="auto"/>
        <w:tabs>
          <w:tab w:leader="none" w:pos="18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100 days after the end of each fiscal year of the Borrower, a copy of the audited consolidated balance sheet of the Borrower and its consolidated Subsidiaries as at the end of such year and the related audited consolidated statements of income and of cash flows for such year, setting forth in each case in comparative form the figures for the previous year, reported on without a “going concern” qualification or exception (other than any such exception or explanatory paragraph (x) with respect to, or resulting from, an upcoming maturity date under the Facilities that is scheduled to occur within one year from the time such report is delivered and/or (y) any potential inability to satisfy the financial covenant set forth in Section 7.1 of this Agreement on a future date or in a future period), or qualification arising out of the scope of the audit, by Deloitte &amp; Touche LLP or other independent certified public accountants of nationally recognized standing; and</w:t>
      </w:r>
    </w:p>
    <w:p>
      <w:pPr>
        <w:spacing w:after="0" w:line="191" w:lineRule="exact"/>
        <w:rPr>
          <w:rFonts w:ascii="Times New Roman" w:cs="Times New Roman" w:eastAsia="Times New Roman" w:hAnsi="Times New Roman"/>
          <w:sz w:val="18"/>
          <w:szCs w:val="18"/>
          <w:color w:val="auto"/>
        </w:rPr>
      </w:pPr>
    </w:p>
    <w:p>
      <w:pPr>
        <w:ind w:left="660" w:right="40" w:firstLine="644"/>
        <w:spacing w:after="0" w:line="258" w:lineRule="auto"/>
        <w:tabs>
          <w:tab w:leader="none" w:pos="183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55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year-end audit adjustments).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 and shall be deemed to have been delivered on the date on which such information has been posted on the Borrower’s website at www.avisbudgetgroup.com, at www.sec.gov or at such other website identified in writing by the Borrower to the Administrative Agent and accessible by the Lenders without charge;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deliver paper copies of such financial statements to the Administrative Agent or any Lender who requests the Borrower to deliver</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40" w:name="page141"/>
    <w:bookmarkEnd w:id="140"/>
    <w:p>
      <w:pPr>
        <w:ind w:right="60"/>
        <w:spacing w:after="0" w:line="256" w:lineRule="auto"/>
        <w:rPr>
          <w:sz w:val="20"/>
          <w:szCs w:val="20"/>
          <w:color w:val="auto"/>
        </w:rPr>
      </w:pPr>
      <w:r>
        <w:rPr>
          <w:rFonts w:ascii="Times New Roman" w:cs="Times New Roman" w:eastAsia="Times New Roman" w:hAnsi="Times New Roman"/>
          <w:sz w:val="18"/>
          <w:szCs w:val="18"/>
          <w:color w:val="auto"/>
        </w:rPr>
        <w:t>such paper copies until written notice to cease delivering paper copies is given by the Administrative Agent or such Lender. The Borrower will be deemed to have satisfied the requirements of this Section 6.1 if (i) any parent files with the SEC and provides reports, documents and information of the types otherwise so required, in each case within the applicable time periods specified by the applicable rules and regulations of the SEC, and the Borrower is not required to file such reports, documents and information separately under the applicable rules and regulations of the SEC (after giving effect to any exemptive relief) because of the filings by such parent or (ii) following an election by the Borrower pursuant to the definition of “GAAP”, the applicable financial statements determined in accordance with IFRS.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of Holdings and the Borrower represents and warrants that it and any of its Subsidiaries files its financial statements with the SEC and/or makes its financial statements available to potential holders of its 144A securities, and, accordingly, each of Holdings and the Borrower hereby (x) authorizes the Administrative Agent to make the financial statements to be provided under Section 6.1(a) and (b) above, along with the Loan Documents, available to Public-Siders and (y) agrees that at the time such financial statements are provided hereunder, they shall already have been made available to holders of its securities. Neither Holdings nor the Borrower will request that any other material be posted to Public-Siders without expressly representing and warranting to the Administrative Agent in writing that such materials do not constitute material non-public information within the meaning of the federal securities laws (“</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6.2</w:t>
      </w:r>
      <w:r>
        <w:rPr>
          <w:sz w:val="20"/>
          <w:szCs w:val="20"/>
          <w:color w:val="auto"/>
        </w:rPr>
        <w:tab/>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Administrative Agent (and the Administrative Agent shall furnish to each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the case of clause (d), to the relevant Lender):</w:t>
      </w:r>
    </w:p>
    <w:p>
      <w:pPr>
        <w:spacing w:after="0" w:line="207" w:lineRule="exact"/>
        <w:rPr>
          <w:sz w:val="20"/>
          <w:szCs w:val="20"/>
          <w:color w:val="auto"/>
        </w:rPr>
      </w:pPr>
    </w:p>
    <w:p>
      <w:pPr>
        <w:ind w:left="660" w:right="240" w:firstLine="644"/>
        <w:spacing w:after="0" w:line="266" w:lineRule="auto"/>
        <w:tabs>
          <w:tab w:leader="none" w:pos="18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referred to in Section 6.1(a), a letter, written and signed by the independent certified public accountants reporting on such financial statements describing the scope of such financial statements and certifying that such financial statements are presented in an accurate manner and in accordance with GAAP;</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83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any financial statements pursuant to Section 6.1,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or annual financial statements, (x) a Compliance Certificate containing all information and calculations necessary for determining compliance by each Group Member with the provisions of this Agreement referred to therein as of the last day of the fiscal quarter or fiscal year of the Borrower, as the case may be, and (y) to the extent not previously disclosed to the Administrative Agent, (1) a description of any change in the jurisdiction of organization of any Loan Party and the name and jurisdiction of organization of any new Subsidiary and the percentage of each class of Capital Stock owned by any Loan Party and (2) a list of any Intellectual Property registrations and applications applied for, acquired by or exclusively licensed to any Loan Party since the date of the most recent report delivered pursuant to this clause (y) (or, in the case of the first such report so delivered, since the Closing Date);</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8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no later than 45 days after the end of each fiscal year of the Borrower, a consolidated budget for the following fiscal year and, as soon as available, significant revisions, if any, of such budget with respect to such fiscal year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41" w:name="page142"/>
    <w:bookmarkEnd w:id="141"/>
    <w:p>
      <w:pPr>
        <w:ind w:left="66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which Budget shall in each case be accompanied by a certificate of a Responsible Officer stating that such Budget is based on reasonable estimates, information and assumptions and that such Responsible Officer has no reason to believe that such Budget is incorrect or misleading in any material respect, it being understood that such Budget is based upon good faith estimates and assumptions believed by management of the Borrower to be reasonable at the time made, and it being recognized by the Lenders that such financial information as it relates to future events is not to be viewed as fact and that actual results during the period or periods covered by such financial information may differ from Budget by a material amount; and</w:t>
      </w:r>
    </w:p>
    <w:p>
      <w:pPr>
        <w:spacing w:after="0" w:line="187" w:lineRule="exact"/>
        <w:rPr>
          <w:sz w:val="20"/>
          <w:szCs w:val="20"/>
          <w:color w:val="auto"/>
        </w:rPr>
      </w:pPr>
    </w:p>
    <w:p>
      <w:pPr>
        <w:ind w:left="1820" w:hanging="516"/>
        <w:spacing w:after="0"/>
        <w:tabs>
          <w:tab w:leader="none" w:pos="18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financial and other information as any Lender may from time to time reasonably request.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6.3 Payment of Obligations</w:t>
      </w:r>
      <w:r>
        <w:rPr>
          <w:rFonts w:ascii="Times New Roman" w:cs="Times New Roman" w:eastAsia="Times New Roman" w:hAnsi="Times New Roman"/>
          <w:sz w:val="18"/>
          <w:szCs w:val="18"/>
          <w:color w:val="auto"/>
        </w:rPr>
        <w:t>. Pay, discharge or otherwise satisfy at or before maturity or before they become delinquent, as the case may be, its obligations and liabilities in respect of taxes, assessments and governmental charges or levies imposed upon it or upon its income or profits or in respect of its property, except where the amount or validity thereof is currently being contested in good faith by appropriate proceedings and reserves in conformity with GAAP with respect thereto have been provided on the books of the relevant Group Member or except to the extent that failure to do so could not reasonably be expected to result in a Material Adverse Effect.</w:t>
      </w:r>
    </w:p>
    <w:p>
      <w:pPr>
        <w:spacing w:after="0" w:line="18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6.4</w:t>
      </w:r>
      <w:r>
        <w:rPr>
          <w:sz w:val="20"/>
          <w:szCs w:val="20"/>
          <w:color w:val="auto"/>
        </w:rPr>
        <w:tab/>
      </w:r>
      <w:r>
        <w:rPr>
          <w:rFonts w:ascii="Times New Roman" w:cs="Times New Roman" w:eastAsia="Times New Roman" w:hAnsi="Times New Roman"/>
          <w:sz w:val="17"/>
          <w:szCs w:val="17"/>
          <w:u w:val="single" w:color="auto"/>
          <w:color w:val="auto"/>
        </w:rPr>
        <w:t>Maintenance of Existence; Compliance</w:t>
      </w:r>
      <w:r>
        <w:rPr>
          <w:rFonts w:ascii="Times New Roman" w:cs="Times New Roman" w:eastAsia="Times New Roman" w:hAnsi="Times New Roman"/>
          <w:sz w:val="17"/>
          <w:szCs w:val="17"/>
          <w:color w:val="auto"/>
        </w:rPr>
        <w:t>. (a) (i) Preserve, renew and keep in full force and effect its organizational existence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Holdings and any of its Subsidiaries may change its organizational form so long as such change shall not adversely affect the interests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and (ii) take all reasonable action to maintain all rights, privileges and franchises necessary or desirable in the normal conduct of its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in each case, as otherwise permitted by Section 7.4 and except to the extent that failure to do so could not reasonably be expected to have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and (b) comply with all Requirements of Law except to the extent that failure to comply therewith could not, in the aggregate,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have a Material Adverse Effect. The Borrower will maintain in effect and enforce policies and procedures designed to ensure compliance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its Subsidiaries and their respective directors, officers, employees and agents with Anti-Corruption Laws and applicable Sanctions.</w:t>
      </w:r>
    </w:p>
    <w:p>
      <w:pPr>
        <w:spacing w:after="0" w:line="20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6.5 Maintenance of Property; Insurance</w:t>
      </w:r>
      <w:r>
        <w:rPr>
          <w:rFonts w:ascii="Times New Roman" w:cs="Times New Roman" w:eastAsia="Times New Roman" w:hAnsi="Times New Roman"/>
          <w:sz w:val="18"/>
          <w:szCs w:val="18"/>
          <w:color w:val="auto"/>
        </w:rPr>
        <w:t>. (a) Keep all property material to its business in good working order and condition consistent with industry practices, ordinary wear and tear excepted, except where the failure to do so could not reasonably be expected to have a Material Adverse Effect, (b) maintain with financially sound and reputable insurance companies insurance on all its material property in amounts and against such risks (but including in any event, to the extent available on commercially reasonable terms, public liability, product liability and business interruption) as are usually insured against in the same general area by companies engaged in the same or a similar business and (c)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(ii) cooperate with the Administrative Agent and provide information reasonably required by the Administrative Agent to comply with the Flood Insurance Laws including, without limitation, cooperating with due diligence and providing evidence of compliance with Flood Insurance Laws in connection with any increase, extension or renewal of any Facility and (iii) deliver to the Administrative Agent evidence of such compliance in form and substance reasonably acceptable to the Administrative Agent, including, without limitation, evidence of annual renewals of such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6.6 Inspection of Property; Books and Records; Discussions</w:t>
      </w:r>
      <w:r>
        <w:rPr>
          <w:rFonts w:ascii="Times New Roman" w:cs="Times New Roman" w:eastAsia="Times New Roman" w:hAnsi="Times New Roman"/>
          <w:sz w:val="18"/>
          <w:szCs w:val="18"/>
          <w:color w:val="auto"/>
        </w:rPr>
        <w:t xml:space="preserve">. (a) Keep proper books of records and account in which full, true and correct entries in conformity with GAAP and all Requirements of Law shall be made of all dealings and transactions in relation to its business and activities and (b) permit the Administrative Agent, and after the occurrence and during the continuance of an Event of Default, representatives of any Lender (in coordination with the Administrative Agent), to visit and inspect any of its properties and examine and make abstracts from any of its books and records at any reasonable time and upon reasonable advance notice, and to discuss the business, operations, properties and financial and other condition of the Group Members (including ABG) with officers and employees of the Group Members (including ABG) and with their independent certified public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representative of the Loan Parties (including ABG) shall be permitted to be present for any discussion with independent certified accountants referred to above. Notwithstanding Section 10.5, unless any such visit or inspection is conducted after the occurrence and during the continuance of a Default or Event of Default, the Borrower shall not be required to pay any costs or expenses incurred by the Administrative Agent, any Lender or Lender’s representative in connection with such visit or inspection.</w:t>
      </w:r>
    </w:p>
    <w:p>
      <w:pPr>
        <w:spacing w:after="0" w:line="194"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6.7 Notices</w:t>
      </w:r>
      <w:r>
        <w:rPr>
          <w:rFonts w:ascii="Times New Roman" w:cs="Times New Roman" w:eastAsia="Times New Roman" w:hAnsi="Times New Roman"/>
          <w:sz w:val="18"/>
          <w:szCs w:val="18"/>
          <w:color w:val="auto"/>
        </w:rPr>
        <w:t>. Promptly upon obtaining actual knowledge thereof, give notice to the Administrative Agent (and the Administrative Agent shall give notice to each Lender) of:</w:t>
      </w:r>
    </w:p>
    <w:p>
      <w:pPr>
        <w:spacing w:after="0" w:line="162" w:lineRule="exact"/>
        <w:rPr>
          <w:sz w:val="20"/>
          <w:szCs w:val="20"/>
          <w:color w:val="auto"/>
        </w:rPr>
      </w:pPr>
    </w:p>
    <w:p>
      <w:pPr>
        <w:ind w:left="1820" w:hanging="516"/>
        <w:spacing w:after="0"/>
        <w:tabs>
          <w:tab w:leader="none" w:pos="18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225" w:lineRule="exact"/>
        <w:rPr>
          <w:rFonts w:ascii="Times New Roman" w:cs="Times New Roman" w:eastAsia="Times New Roman" w:hAnsi="Times New Roman"/>
          <w:sz w:val="18"/>
          <w:szCs w:val="18"/>
          <w:color w:val="auto"/>
        </w:rPr>
      </w:pPr>
    </w:p>
    <w:p>
      <w:pPr>
        <w:ind w:left="660" w:firstLine="644"/>
        <w:spacing w:after="0" w:line="266" w:lineRule="auto"/>
        <w:tabs>
          <w:tab w:leader="none" w:pos="183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660" w:right="540" w:firstLine="644"/>
        <w:spacing w:after="0" w:line="282" w:lineRule="auto"/>
        <w:tabs>
          <w:tab w:leader="none" w:pos="186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proceeding affecting any Group Member (i) in which the amount involved is $50,000,000 or more and not covered by insurance, (ii) in which injunctive or similar relief is sought or (iii) which relates to any Loan Document;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as soon as possible and in any event within 30 days after the Borrower knows or has reason to know thereof:</w:t>
      </w:r>
    </w:p>
    <w:p>
      <w:pPr>
        <w:spacing w:after="0" w:line="27" w:lineRule="exact"/>
        <w:rPr>
          <w:rFonts w:ascii="Times New Roman" w:cs="Times New Roman" w:eastAsia="Times New Roman" w:hAnsi="Times New Roman"/>
          <w:sz w:val="18"/>
          <w:szCs w:val="18"/>
          <w:color w:val="auto"/>
        </w:rPr>
      </w:pPr>
    </w:p>
    <w:p>
      <w:pPr>
        <w:ind w:left="660" w:right="20" w:hanging="4"/>
        <w:spacing w:after="0" w:line="252" w:lineRule="auto"/>
        <w:tabs>
          <w:tab w:leader="none" w:pos="8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Reportable Event with respect to any Plan, a failure to make any required contribution to, or satisfy the “minimum funding standard” (as defined in Section 302 of ERISA or Section 412 of the Code) with respect to, a Plan, a determination that any Plan is, or is reasonably expected to be, “at risk” (within the meaning of Section 430 of the Code or Section 303 of ERISA), the creation of any Lien in favor of the PBGC or a Plan or any withdrawal from, or the termination, Insolvency of, any Multiemployer Plan (or any Multiemployer Plan is in “endangered” or “critical” status (within the meaning of Section 432 of the Code or Section 305 of ERISA)) or (ii) the institution of proceedings or the taking of any other action by the PBGC or the Borrower or any Commonly Controlled Entity or any Multiemployer Plan with respect to the withdrawal from, or the termination, Insolvency of, any Plan;</w:t>
      </w:r>
    </w:p>
    <w:p>
      <w:pPr>
        <w:spacing w:after="0" w:line="188"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event that has had or could reasonably be expected to have a Material Adverse Effect; and</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0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drawing of letter of credit commitments in excess of $5,000,000 under any Ancillary Letter of Credit Facility Document and any notice of default under any Ancillary Letter of Credit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ind w:right="360"/>
        <w:spacing w:after="0" w:line="282" w:lineRule="auto"/>
        <w:rPr>
          <w:sz w:val="20"/>
          <w:szCs w:val="20"/>
          <w:color w:val="auto"/>
        </w:rPr>
      </w:pPr>
      <w:r>
        <w:rPr>
          <w:rFonts w:ascii="Times New Roman" w:cs="Times New Roman" w:eastAsia="Times New Roman" w:hAnsi="Times New Roman"/>
          <w:sz w:val="18"/>
          <w:szCs w:val="18"/>
          <w:color w:val="auto"/>
        </w:rPr>
        <w:t>Each notice pursuant to this Section 6.7 shall be accompanied by a statement of a Responsible Officer setting forth details of the occurrence referred to therein and stating what action the relevant Group Member proposes to take with respect thereto.</w:t>
      </w:r>
    </w:p>
    <w:p>
      <w:pPr>
        <w:spacing w:after="0" w:line="158"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6.8</w:t>
      </w:r>
      <w:r>
        <w:rPr>
          <w:sz w:val="20"/>
          <w:szCs w:val="20"/>
          <w:color w:val="auto"/>
        </w:rPr>
        <w:tab/>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right="460" w:firstLine="1304"/>
        <w:spacing w:after="0" w:line="261" w:lineRule="auto"/>
        <w:tabs>
          <w:tab w:leader="none" w:pos="1386" w:val="left"/>
        </w:tabs>
        <w:numPr>
          <w:ilvl w:val="0"/>
          <w:numId w:val="12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licenses, approvals, binding notifications, registrations or permits required by applicable Environmental Laws, except where the failure to do so could not reasonably be expected to have a Material Adverse Effect.</w:t>
      </w:r>
    </w:p>
    <w:p>
      <w:pPr>
        <w:spacing w:after="0" w:line="180" w:lineRule="exact"/>
        <w:rPr>
          <w:sz w:val="20"/>
          <w:szCs w:val="20"/>
          <w:color w:val="auto"/>
        </w:rPr>
      </w:pPr>
    </w:p>
    <w:p>
      <w:pPr>
        <w:ind w:right="60" w:firstLine="1304"/>
        <w:spacing w:after="0" w:line="266" w:lineRule="auto"/>
        <w:tabs>
          <w:tab w:leader="none" w:pos="182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where the failure to do so could not reasonably be expected to have a Material Adverse Effect.</w:t>
      </w:r>
    </w:p>
    <w:p>
      <w:pPr>
        <w:spacing w:after="0" w:line="17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6.9</w:t>
      </w:r>
      <w:r>
        <w:rPr>
          <w:sz w:val="20"/>
          <w:szCs w:val="20"/>
          <w:color w:val="auto"/>
        </w:rPr>
        <w:tab/>
      </w:r>
      <w:r>
        <w:rPr>
          <w:rFonts w:ascii="Times New Roman" w:cs="Times New Roman" w:eastAsia="Times New Roman" w:hAnsi="Times New Roman"/>
          <w:sz w:val="17"/>
          <w:szCs w:val="17"/>
          <w:u w:val="single" w:color="auto"/>
          <w:color w:val="auto"/>
        </w:rPr>
        <w:t>Additional Collateral etc</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firstLine="1304"/>
        <w:spacing w:after="0" w:line="253" w:lineRule="auto"/>
        <w:tabs>
          <w:tab w:leader="none" w:pos="1386" w:val="left"/>
        </w:tabs>
        <w:numPr>
          <w:ilvl w:val="0"/>
          <w:numId w:val="12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With respect to any property constituting Collateral described in the Guarantee and Collateral Agreement acquired after the Restatement Effective Date by any Loan Party as to which the Administrative Agent, for the benefit of the Lenders, does not have a perfected Lien, promptly (i) execute and deliver to the Administrative Agent such amendments to the Guarantee and Collateral Agreement or such other documents as the Administrative Agent deems necessary or advisable to grant to the Administrative Agent, for the benefit of the Lenders, a security interest in such property under the laws of the United States and (ii) take all actions necessary or advisable to grant to the Administrative Agent, for the benefit of the Lenders, a perfected first priority security interest in such property, including filing documents in the United States Patent and Trademark Office and United States Copyright Office and filing of Uniform Commercial Code financing statements in such jurisdictions as may be required by the Guarantee and Collateral Agreement or by law or as may be requested by the Administrative Agent subject to the terms of the Guarantee and Collateral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shall not be required to take any such action with respect to any Intellectual Property acquired after the Restatement Effective Date until the list describing such Intellectual Property is required to be furnished to the Administrative Agent and each Lender pursuant to Section 6.2(b);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Holdings, the Borrower and its Subsidiaries shall not be required to take any actions to perfect a security interest in Intellectual Property under foreign local laws.</w:t>
      </w:r>
    </w:p>
    <w:p>
      <w:pPr>
        <w:spacing w:after="0" w:line="190" w:lineRule="exact"/>
        <w:rPr>
          <w:sz w:val="20"/>
          <w:szCs w:val="20"/>
          <w:color w:val="auto"/>
        </w:rPr>
      </w:pPr>
    </w:p>
    <w:p>
      <w:pPr>
        <w:ind w:firstLine="1304"/>
        <w:spacing w:after="0" w:line="254" w:lineRule="auto"/>
        <w:tabs>
          <w:tab w:leader="none" w:pos="181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Subsidiary (other than a Foreign Subsidiary, an Excluded Subsidiary, an Excluded Person, a Securitization Entity or any Subsidiary of a Foreign Subsidiary, Excluded Subsidiary or Securitization Entity) created or acquired after the Restatement Effective Date by any Loan Party,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Subsidiary that is owned by any Loan Party, (ii) deliver to the Administrative Agent the certificates representing such Capital Stock, together with undated stock powers, in blank, executed and delivered by a duly authorized officer of the relevant Loan Party, (iii) cause such new Subsidiary (A) to become a party to the Guarantee and Collateral Agreement, (B) to take such actions necessary or advisable to grant to the Administrative Agent for the benefit of the Lenders a perfected first priority security interest in the Collateral described in the Guarantee and Collateral Agreement under the laws of the United States with respect to such new Subsidiary, including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spacing w:after="0" w:line="258" w:lineRule="auto"/>
        <w:rPr>
          <w:sz w:val="20"/>
          <w:szCs w:val="20"/>
          <w:color w:val="auto"/>
        </w:rPr>
      </w:pPr>
      <w:r>
        <w:rPr>
          <w:rFonts w:ascii="Times New Roman" w:cs="Times New Roman" w:eastAsia="Times New Roman" w:hAnsi="Times New Roman"/>
          <w:sz w:val="18"/>
          <w:szCs w:val="18"/>
          <w:color w:val="auto"/>
        </w:rPr>
        <w:t>the filing of Uniform Commercial Code financing statements in such jurisdictions as may be required by the Guarantee and Collateral Agreement or by law or as may be requested by the Administrative Agent and (C) to deliver to the Administrative Agent a certificate of such Subsidiary, substantially in the form of Exhibit C, with appropriate insertions and attachments, and (iv)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3" w:lineRule="exact"/>
        <w:rPr>
          <w:sz w:val="20"/>
          <w:szCs w:val="20"/>
          <w:color w:val="auto"/>
        </w:rPr>
      </w:pPr>
    </w:p>
    <w:p>
      <w:pPr>
        <w:ind w:right="20" w:firstLine="1304"/>
        <w:spacing w:after="0" w:line="253" w:lineRule="auto"/>
        <w:tabs>
          <w:tab w:leader="none" w:pos="18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Foreign Subsidiary created or acquired after the Restatement Effective Date by any Loan Party (other than by any Foreign Subsidiary, an Excluded Subsidiary, an Excluded Person or a Securitization Entity),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a portion of the Capital Stock of such new Subsidiary that is owned by any such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65% of the total outstanding Capital Stock of any such new Subsidiary be required to be so pledged), (ii) deliver to the Administrative Agent the certificates representing such Capital Stock, together with undated stock powers, in blank, executed and delivered by a duly authorized officer of the relevant Group Member, and take such other action as may be necessary or, in the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94" w:lineRule="exact"/>
        <w:rPr>
          <w:rFonts w:ascii="Times New Roman" w:cs="Times New Roman" w:eastAsia="Times New Roman" w:hAnsi="Times New Roman"/>
          <w:sz w:val="18"/>
          <w:szCs w:val="18"/>
          <w:color w:val="auto"/>
        </w:rPr>
      </w:pPr>
    </w:p>
    <w:p>
      <w:pPr>
        <w:ind w:right="20" w:firstLine="1304"/>
        <w:spacing w:after="0" w:line="252" w:lineRule="auto"/>
        <w:tabs>
          <w:tab w:leader="none" w:pos="18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fee interest in any real property having a value (together with improvements thereof) of at least $10,000,000 acquired after the Restatement Effective Date by any Loan Party (other than any such real property subject to a Lien expressly permitted by Section 7.3(h) or 7.3(o)), promptly (i) execute and deliver a first priority Mortgage, in favor of the Administrative Agent, for the benefit of the Lenders, covering such real property and (ii) if reasonably requested by the Administrative Agent (x) provide the Lenders with title and extended coverage insurance from a nationally recognized title insurance company insuring the Lien of the Mortgage in favor of the Administrative Agent on such real property as a first priority Lien, subject only to Permitted Liens, in an amount at least equal to the purchase price of such real property (or such other amount as shall be reasonably specified by the Administrative Agent), together with such endorsements or co-insurance as the Administrative Agent may reasonably request and (y) deliver to the Administrative Agent surveys of such Mortgaged Property in form and substance reasonably acceptable to the Administrative Agent and (z) deliver to the Administrative Agent legal opinions relating to the matters described above, which opinions shall be in form and substance, and from counsel, reasonably satisfactory to the Administrative Agent. Notwithstanding anything contained in this Agreement to the contrary, no Mortgage shall be executed and delivered to the Administrative Agent until the date that is (i) if such real property is not located in a “specified flood hazard area,” five Business Days after the Revolving Lenders have received a completed “Life-of-Loan” Federal Emergency Management Agency standard flood hazard determination and (ii) if such real property is located in a “specified flood hazard area,” twenty Business Days after the Revolving Lenders have received a completed “Life-of-Loan” Federal Emergency Management Agency standard flood hazard determination (together with notices about special flood hazard area status and flood disaster assistance relating thereto, duly executed by the Borrower) and evidence of flood insurance as required by Section 6.5 or, in each case, any earlier date specified by the Administrative Agent for such Mortgage and notified to the Revolving Lenders unless the Administrative Agent receives an objection from a Revolving Lender in writing within five Business Days of such notice.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ind w:right="10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6.10 Post-Closing Obligations</w:t>
      </w:r>
      <w:r>
        <w:rPr>
          <w:rFonts w:ascii="Times New Roman" w:cs="Times New Roman" w:eastAsia="Times New Roman" w:hAnsi="Times New Roman"/>
          <w:sz w:val="18"/>
          <w:szCs w:val="18"/>
          <w:color w:val="auto"/>
        </w:rPr>
        <w:t>. Within the applicable time periods set forth in Schedule 6.10 (or such later dates from time to time as consented to by the Administrative Agent in its reasonable discretion), furnish to the Administrative Agent each document required pursuant to Schedule 6.10.</w:t>
      </w:r>
    </w:p>
    <w:p>
      <w:pPr>
        <w:spacing w:after="0" w:line="17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0000FF"/>
        </w:rPr>
        <w:t>6.11 Use of Proceeds. The Borrower will not request any Borrowing or Letter of Credit, and the Borrower shall not use, and shall procure that its Subsidiaries and its or their respective directors, officers, and, to the knowledge of the Borrower,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(c) in any manner that would result in the violation of any Sanctions applicable to any party hereto or (d) (i) to finance any activity in violation of Export Controls or where such violation is about to occur, or (ii) otherwise in violation of Export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-991235</wp:posOffset>
            </wp:positionV>
            <wp:extent cx="2000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7" w:lineRule="exact"/>
        <w:rPr>
          <w:sz w:val="20"/>
          <w:szCs w:val="20"/>
          <w:color w:val="auto"/>
        </w:rPr>
      </w:pPr>
    </w:p>
    <w:p>
      <w:pPr>
        <w:ind w:right="120" w:firstLine="1296"/>
        <w:spacing w:after="0" w:line="255" w:lineRule="auto"/>
        <w:rPr>
          <w:sz w:val="20"/>
          <w:szCs w:val="20"/>
          <w:color w:val="auto"/>
        </w:rPr>
      </w:pPr>
      <w:r>
        <w:rPr>
          <w:rFonts w:ascii="Times New Roman" w:cs="Times New Roman" w:eastAsia="Times New Roman" w:hAnsi="Times New Roman"/>
          <w:sz w:val="18"/>
          <w:szCs w:val="18"/>
          <w:color w:val="auto"/>
        </w:rPr>
        <w:t>Holdings and the Borrower hereby jointly and severally agree that, so long as the Commitments remain in effect, any Letter of Credit remains outstanding or any Loan or other amount is owing to any Lender or the Administrative Agent hereunder, each of Holdings and the Borrower shall not, and shall not permit any of its Subsidiaries to, directly or indirectly:</w:t>
      </w:r>
    </w:p>
    <w:p>
      <w:pPr>
        <w:spacing w:after="0" w:line="186"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7.1 Financial Condition Covenant</w:t>
      </w:r>
      <w:r>
        <w:rPr>
          <w:rFonts w:ascii="Times New Roman" w:cs="Times New Roman" w:eastAsia="Times New Roman" w:hAnsi="Times New Roman"/>
          <w:sz w:val="18"/>
          <w:szCs w:val="18"/>
          <w:color w:val="auto"/>
        </w:rPr>
        <w:t>. Permit the Consolidated First Lien Leverage Ratio as at the last day of any period of four consecutive fiscal quarters of the Borrower to exceed 3.00 to 1.00.</w:t>
      </w:r>
    </w:p>
    <w:p>
      <w:pPr>
        <w:spacing w:after="0" w:line="162" w:lineRule="exact"/>
        <w:rPr>
          <w:sz w:val="20"/>
          <w:szCs w:val="20"/>
          <w:color w:val="auto"/>
        </w:rPr>
      </w:pPr>
    </w:p>
    <w:p>
      <w:pPr>
        <w:jc w:val="center"/>
        <w:ind w:right="-99"/>
        <w:spacing w:after="0"/>
        <w:tabs>
          <w:tab w:leader="none" w:pos="300" w:val="left"/>
        </w:tabs>
        <w:rPr>
          <w:sz w:val="20"/>
          <w:szCs w:val="20"/>
          <w:color w:val="auto"/>
        </w:rPr>
      </w:pPr>
      <w:r>
        <w:rPr>
          <w:rFonts w:ascii="Times New Roman" w:cs="Times New Roman" w:eastAsia="Times New Roman" w:hAnsi="Times New Roman"/>
          <w:sz w:val="18"/>
          <w:szCs w:val="18"/>
          <w:u w:val="single" w:color="auto"/>
          <w:color w:val="auto"/>
        </w:rPr>
        <w:t>7.2</w:t>
      </w:r>
      <w:r>
        <w:rPr>
          <w:sz w:val="20"/>
          <w:szCs w:val="20"/>
          <w:color w:val="auto"/>
        </w:rPr>
        <w:tab/>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Create, issue, incur, assume, become liable in respect of or suffer to exist any Indebtedness, except:</w:t>
      </w:r>
    </w:p>
    <w:p>
      <w:pPr>
        <w:spacing w:after="0" w:line="225" w:lineRule="exact"/>
        <w:rPr>
          <w:sz w:val="20"/>
          <w:szCs w:val="20"/>
          <w:color w:val="auto"/>
        </w:rPr>
      </w:pPr>
    </w:p>
    <w:p>
      <w:pPr>
        <w:ind w:left="1820" w:hanging="516"/>
        <w:spacing w:after="0"/>
        <w:tabs>
          <w:tab w:leader="none" w:pos="18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pursuant to any Loan Document;</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to any Subsidiary, Holdings or Parent and of any Subsidiary Guarantor to the Borrower or any other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206"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2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Borrower, Holdings and any Subsidiary of the Borrower in respect of the Guarantee and Collateral Agreement and any other Security Documents;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83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Borrower, Holdings or any of its Subsidiaries of obligations of any Subsidiary Guarantor, the Borrower or any Foreign Issuer (subject to the requirements of the definition thereof);</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surety bonds, bank guarantees, letters of credit and similar obligations incurred in the ordinary course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660" w:right="240" w:firstLine="644"/>
        <w:spacing w:after="0" w:line="266" w:lineRule="auto"/>
        <w:tabs>
          <w:tab w:leader="none" w:pos="18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hereof or required to be incurred pursuant to a Contractual Obligation in existence on the date hereof (other than AESOP Indebtedness, Centre Point Indebtedness and Securitization Indebtedness) and listed on Schedule 7.2(f) and any Permitted Refinancing thereof;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6" w:name="page147"/>
    <w:bookmarkEnd w:id="146"/>
    <w:p>
      <w:pPr>
        <w:ind w:right="500" w:firstLine="644"/>
        <w:spacing w:after="0" w:line="282" w:lineRule="auto"/>
        <w:tabs>
          <w:tab w:leader="none" w:pos="11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without limitation, Capital Lease Obligations) secured by Liens permitted by Section 7.3(h) in an aggregate principal amount not to exceed $100,000,000 at any one time outstanding;</w:t>
      </w:r>
    </w:p>
    <w:p>
      <w:pPr>
        <w:spacing w:after="0" w:line="161" w:lineRule="exact"/>
        <w:rPr>
          <w:rFonts w:ascii="Times New Roman" w:cs="Times New Roman" w:eastAsia="Times New Roman" w:hAnsi="Times New Roman"/>
          <w:sz w:val="18"/>
          <w:szCs w:val="18"/>
          <w:color w:val="auto"/>
        </w:rPr>
      </w:pPr>
    </w:p>
    <w:p>
      <w:pPr>
        <w:ind w:right="300" w:firstLine="644"/>
        <w:spacing w:after="0" w:line="282" w:lineRule="auto"/>
        <w:tabs>
          <w:tab w:leader="none" w:pos="11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Avis Budget Finance and any Foreign Issuer in respect of the Senior Unsecured Notes and any Permitted Refinancing thereof;</w:t>
      </w:r>
    </w:p>
    <w:p>
      <w:pPr>
        <w:spacing w:after="0" w:line="161" w:lineRule="exact"/>
        <w:rPr>
          <w:rFonts w:ascii="Times New Roman" w:cs="Times New Roman" w:eastAsia="Times New Roman" w:hAnsi="Times New Roman"/>
          <w:sz w:val="18"/>
          <w:szCs w:val="18"/>
          <w:color w:val="auto"/>
        </w:rPr>
      </w:pPr>
    </w:p>
    <w:p>
      <w:pPr>
        <w:jc w:val="both"/>
        <w:ind w:right="380" w:firstLine="644"/>
        <w:spacing w:after="0" w:line="261" w:lineRule="auto"/>
        <w:tabs>
          <w:tab w:leader="none" w:pos="113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Guarantee Obligations of Holdings and any Subsidiary of the Borrower in respect of the Senior Unsecured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guarantor under the Senior Unsecured Notes or any Permitted Refinancing thereof shall be a guarantor of the Obligations pursuant to the Guarantee and Collateral Agreement or such other agreement as the Administrative Agent may approve in its reasonable discretion;</w:t>
      </w:r>
    </w:p>
    <w:p>
      <w:pPr>
        <w:spacing w:after="0" w:line="179" w:lineRule="exact"/>
        <w:rPr>
          <w:rFonts w:ascii="Times New Roman" w:cs="Times New Roman" w:eastAsia="Times New Roman" w:hAnsi="Times New Roman"/>
          <w:sz w:val="18"/>
          <w:szCs w:val="18"/>
          <w:color w:val="auto"/>
        </w:rPr>
      </w:pPr>
    </w:p>
    <w:p>
      <w:pPr>
        <w:ind w:left="1120" w:hanging="476"/>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AESOP Indebtedness, Centre Point Indebtedness and Additional Foreign Vehicle Indebtedness;</w:t>
      </w:r>
    </w:p>
    <w:p>
      <w:pPr>
        <w:spacing w:after="0" w:line="225"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Securitization Indebtedness;</w:t>
      </w:r>
    </w:p>
    <w:p>
      <w:pPr>
        <w:spacing w:after="0" w:line="225" w:lineRule="exact"/>
        <w:rPr>
          <w:rFonts w:ascii="Times New Roman" w:cs="Times New Roman" w:eastAsia="Times New Roman" w:hAnsi="Times New Roman"/>
          <w:sz w:val="18"/>
          <w:szCs w:val="18"/>
          <w:color w:val="auto"/>
        </w:rPr>
      </w:pPr>
    </w:p>
    <w:p>
      <w:pPr>
        <w:ind w:left="1120" w:hanging="476"/>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Vehicle Indebtedness (including any Guarantee Obligations in respect thereof);</w:t>
      </w:r>
    </w:p>
    <w:p>
      <w:pPr>
        <w:spacing w:after="0" w:line="225" w:lineRule="exact"/>
        <w:rPr>
          <w:rFonts w:ascii="Times New Roman" w:cs="Times New Roman" w:eastAsia="Times New Roman" w:hAnsi="Times New Roman"/>
          <w:sz w:val="18"/>
          <w:szCs w:val="18"/>
          <w:color w:val="auto"/>
        </w:rPr>
      </w:pPr>
    </w:p>
    <w:p>
      <w:pPr>
        <w:jc w:val="both"/>
        <w:ind w:right="160" w:firstLine="644"/>
        <w:spacing w:after="0" w:line="266" w:lineRule="auto"/>
        <w:tabs>
          <w:tab w:leader="none" w:pos="122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in connection with any acquisition by the Borrower or any of its Subsidiaries of vehicles directly from a manufacturer pursuant to such manufacturer’s repurchase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not greater than the net book value of such vehicles and (ii) such vehicles could not be financed under the AESOP Financing Program or the Centre Point Financing Program;</w:t>
      </w:r>
    </w:p>
    <w:p>
      <w:pPr>
        <w:spacing w:after="0" w:line="175" w:lineRule="exact"/>
        <w:rPr>
          <w:rFonts w:ascii="Times New Roman" w:cs="Times New Roman" w:eastAsia="Times New Roman" w:hAnsi="Times New Roman"/>
          <w:sz w:val="18"/>
          <w:szCs w:val="18"/>
          <w:color w:val="auto"/>
        </w:rPr>
      </w:pPr>
    </w:p>
    <w:p>
      <w:pPr>
        <w:ind w:firstLine="644"/>
        <w:spacing w:after="0" w:line="266" w:lineRule="auto"/>
        <w:tabs>
          <w:tab w:leader="none" w:pos="11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terminal rental adjustment clause lease financings of trucks and secured loans to finance trucks in each case to be used in the truck rental operations of the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secured loans shall not be guaranteed by Parent.</w:t>
      </w:r>
    </w:p>
    <w:p>
      <w:pPr>
        <w:spacing w:after="0" w:line="175"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Swap Agreement;</w:t>
      </w:r>
    </w:p>
    <w:p>
      <w:pPr>
        <w:spacing w:after="0" w:line="225"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Foreign Subsidiary, Excluded Subsidiary or Securitization Entity to the Borrower or any Subsidiary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w:t>
      </w:r>
    </w:p>
    <w:p>
      <w:pPr>
        <w:spacing w:after="0" w:line="206" w:lineRule="exact"/>
        <w:rPr>
          <w:rFonts w:ascii="Times New Roman" w:cs="Times New Roman" w:eastAsia="Times New Roman" w:hAnsi="Times New Roman"/>
          <w:sz w:val="18"/>
          <w:szCs w:val="18"/>
          <w:color w:val="auto"/>
        </w:rPr>
      </w:pPr>
    </w:p>
    <w:p>
      <w:pPr>
        <w:ind w:right="500" w:firstLine="644"/>
        <w:spacing w:after="0" w:line="282" w:lineRule="auto"/>
        <w:tabs>
          <w:tab w:leader="none" w:pos="117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by the Borrower or any Subsidiary Guarantor in respect of Indebtedness of any Foreign Subsidiary, Excluded Subsidiary or Securitization Entity in an aggregate amount not to exceed $50,000,000 at any one time outstanding;</w:t>
      </w:r>
    </w:p>
    <w:p>
      <w:pPr>
        <w:spacing w:after="0" w:line="161" w:lineRule="exact"/>
        <w:rPr>
          <w:rFonts w:ascii="Times New Roman" w:cs="Times New Roman" w:eastAsia="Times New Roman" w:hAnsi="Times New Roman"/>
          <w:sz w:val="18"/>
          <w:szCs w:val="18"/>
          <w:color w:val="auto"/>
        </w:rPr>
      </w:pPr>
    </w:p>
    <w:p>
      <w:pPr>
        <w:ind w:right="520" w:firstLine="644"/>
        <w:spacing w:after="0" w:line="282" w:lineRule="auto"/>
        <w:tabs>
          <w:tab w:leader="none" w:pos="11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Foreign Subsidiary, Excluded Subsidiary or Securitization Entity to any Foreign Subsidiary, Excluded Subsidiary or Securitization Entity;</w:t>
      </w:r>
    </w:p>
    <w:p>
      <w:pPr>
        <w:spacing w:after="0" w:line="161" w:lineRule="exact"/>
        <w:rPr>
          <w:rFonts w:ascii="Times New Roman" w:cs="Times New Roman" w:eastAsia="Times New Roman" w:hAnsi="Times New Roman"/>
          <w:sz w:val="18"/>
          <w:szCs w:val="18"/>
          <w:color w:val="auto"/>
        </w:rPr>
      </w:pPr>
    </w:p>
    <w:p>
      <w:pPr>
        <w:ind w:right="880" w:firstLine="644"/>
        <w:spacing w:after="0" w:line="282" w:lineRule="auto"/>
        <w:tabs>
          <w:tab w:leader="none" w:pos="115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incurred by any Foreign Subsidiary, Excluded Subsidiary or Securitization Entity in respect of Indebtedness of any Foreign Subsidiary, Excluded Subsidiary or Securitization Entity;</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13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Foreign Subsidiary in an aggregate principal amount not to exceed $350,000,000 at any one time outstanding and any Permitted Refinancing thereof;</w:t>
      </w:r>
    </w:p>
    <w:p>
      <w:pPr>
        <w:spacing w:after="0" w:line="16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580" w:right="439" w:bottom="1440" w:gutter="0" w:footer="0" w:header="0"/>
        </w:sectPr>
      </w:pPr>
    </w:p>
    <w:bookmarkStart w:id="147" w:name="page148"/>
    <w:bookmarkEnd w:id="147"/>
    <w:p>
      <w:pPr>
        <w:ind w:left="-460" w:right="320" w:firstLine="644"/>
        <w:spacing w:after="0" w:line="266" w:lineRule="auto"/>
        <w:tabs>
          <w:tab w:leader="none" w:pos="7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Person that becomes a Subsidiary pursuant to a Specified Transaction or that is otherwise assumed by the Borrower or any of its Subsidiaries in connection with a Specified Transaction which is not incurred in contemplation of such Specified Transaction and any Permitted Refinancing thereof;</w:t>
      </w:r>
    </w:p>
    <w:p>
      <w:pPr>
        <w:spacing w:after="0" w:line="175" w:lineRule="exact"/>
        <w:rPr>
          <w:rFonts w:ascii="Times New Roman" w:cs="Times New Roman" w:eastAsia="Times New Roman" w:hAnsi="Times New Roman"/>
          <w:sz w:val="18"/>
          <w:szCs w:val="18"/>
          <w:color w:val="auto"/>
        </w:rPr>
      </w:pPr>
    </w:p>
    <w:p>
      <w:pPr>
        <w:ind w:left="-460" w:firstLine="644"/>
        <w:spacing w:after="0" w:line="255" w:lineRule="auto"/>
        <w:tabs>
          <w:tab w:leader="none" w:pos="7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or subordinated Indebtedness of the Borrower, Holdings, any Subsidiary Guarantor of the Borrower, a Foreign Issuer or an Escrowed Debt Issuer (including any Guarantee Obligations of the Borrower, Holdings or any Subsidiary Guarantor in respect thereof) having no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prior to the Final Term Loan Maturity Date incurred in connection with Specified Transactions and any Permitted Refinancing thereof;</w:t>
      </w:r>
    </w:p>
    <w:p>
      <w:pPr>
        <w:spacing w:after="0" w:line="188" w:lineRule="exact"/>
        <w:rPr>
          <w:rFonts w:ascii="Times New Roman" w:cs="Times New Roman" w:eastAsia="Times New Roman" w:hAnsi="Times New Roman"/>
          <w:sz w:val="18"/>
          <w:szCs w:val="18"/>
          <w:color w:val="auto"/>
        </w:rPr>
      </w:pPr>
    </w:p>
    <w:p>
      <w:pPr>
        <w:ind w:left="-460" w:firstLine="644"/>
        <w:spacing w:after="0" w:line="254" w:lineRule="auto"/>
        <w:tabs>
          <w:tab w:leader="none" w:pos="79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Indebtedness of the Borrower or any of its Subsidiaries in an aggregate principal amount not to exceed 3.25% of Consolidated Tangible Assets outstanding at the time such Indebtedness is incurred and any Permitted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 more than $100,000,000 aggregate principal amount of Indebtedness outstanding under this clause (w) may have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in each case, not otherwise in conflict with the mandatory prepayment requirements contained in Section 2.11) prior to the date that is 90 days after the Final Revolving Termination Date;</w:t>
      </w:r>
    </w:p>
    <w:p>
      <w:pPr>
        <w:spacing w:after="0" w:line="191"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the financing of any insurance premiums;</w:t>
      </w:r>
    </w:p>
    <w:p>
      <w:pPr>
        <w:spacing w:after="0" w:line="225" w:lineRule="exact"/>
        <w:rPr>
          <w:rFonts w:ascii="Times New Roman" w:cs="Times New Roman" w:eastAsia="Times New Roman" w:hAnsi="Times New Roman"/>
          <w:sz w:val="18"/>
          <w:szCs w:val="18"/>
          <w:color w:val="auto"/>
        </w:rPr>
      </w:pPr>
    </w:p>
    <w:p>
      <w:pPr>
        <w:ind w:left="-460" w:right="100" w:firstLine="644"/>
        <w:spacing w:after="0" w:line="253" w:lineRule="auto"/>
        <w:tabs>
          <w:tab w:leader="none" w:pos="7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Indebtedness of the Borrower, Holdings or any Subsidiary Guarantor or Foreign Subsidiary or Escrowed Debt Issuer (including any Guarantee Obligations of the Borrower, Holdings or any Subsidiary Guarantor in respect thereof) having no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in each case, not otherwise in conflict with the mandatory prepayment requirements contained in Section 2.11) prior to the date that is 90 days after the Final Revolving Termination Date and any Permitted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after giving pro forma effect to the incurrence of such Indebtedness and the use of proceeds thereof, the Consolidated Leverage Ratio shall be less than or equal to 5.00 to 1.00 as of the last day of the most recently ended fiscal quarter for which financial statements have been delivered, (B) the aggregate principal amount of Indebtedness pursuant to this Section 7.2(y) of all Foreign Subsidiaries (excluding any Foreign Issuer) shall not exceed $1,000,000,000 at any one time outstanding; and (C) with respect to any secured Indebtedness incurred pursuant to this Section 7.2(y):</w:t>
      </w:r>
    </w:p>
    <w:p>
      <w:pPr>
        <w:spacing w:after="0" w:line="1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148" w:name="page149"/>
    <w:bookmarkEnd w:id="148"/>
    <w:p>
      <w:pPr>
        <w:ind w:left="1300" w:right="40" w:firstLine="4"/>
        <w:spacing w:after="0" w:line="256" w:lineRule="auto"/>
        <w:tabs>
          <w:tab w:leader="none" w:pos="18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securing such Indebtedness shall be junior in right and priority to those securing the Obligations and the Administrative Agent shall have entered into a Second Lien Intercreditor Agreement or other intercreditor agreement customary for similar issuances of Indebtedness, in form and substance reasonably satisfactory to the Administrative Agent and the Borrower, with the holders of such Indebtedness or an agent or trustee or other representative thereof and the Borrower, and such Second Lien Intercreditor Agreement or other intercreditor agreement (as may be amended, modified or replaced with the consent of the Administrative Agent) shall remain in full force and effect at any time such Indebtedness remains outstanding; and</w:t>
      </w:r>
    </w:p>
    <w:p>
      <w:pPr>
        <w:spacing w:after="0" w:line="187" w:lineRule="exact"/>
        <w:rPr>
          <w:rFonts w:ascii="Times New Roman" w:cs="Times New Roman" w:eastAsia="Times New Roman" w:hAnsi="Times New Roman"/>
          <w:sz w:val="18"/>
          <w:szCs w:val="18"/>
          <w:color w:val="auto"/>
        </w:rPr>
      </w:pPr>
    </w:p>
    <w:p>
      <w:pPr>
        <w:ind w:left="1300" w:right="120" w:firstLine="4"/>
        <w:spacing w:after="0" w:line="261" w:lineRule="auto"/>
        <w:tabs>
          <w:tab w:leader="none" w:pos="18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pro forma effect to the incurrence of such Indebtedness and the use of proceeds thereof, (x) the Borrower shall be in compliance with Section 7.1 as of the last day of the most recently ended fiscal quarter for which financial statements have been delivered and (y) the Consolidated Secured Leverage Ratio shall not exceed 4.50 to 1.00 as of the last day of the most recently ended fiscal quarter for which financial statements have been delivered;</w:t>
      </w:r>
    </w:p>
    <w:p>
      <w:pPr>
        <w:spacing w:after="0" w:line="180" w:lineRule="exact"/>
        <w:rPr>
          <w:sz w:val="20"/>
          <w:szCs w:val="20"/>
          <w:color w:val="auto"/>
        </w:rPr>
      </w:pPr>
    </w:p>
    <w:p>
      <w:pPr>
        <w:ind w:left="660" w:right="40" w:firstLine="644"/>
        <w:spacing w:after="0" w:line="258" w:lineRule="auto"/>
        <w:tabs>
          <w:tab w:leader="none" w:pos="182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the Borrower and its Subsidiaries (including any Guarantee Obligations in respect thereof) incurred (x) to finance a portion of the Avis Europe Acquisition or (y) to refinance any Term Loans (including any Incremental Term Loans), and in each case, any Permitted Refinancing thereof, and (ii) Indebtedness of Avis Europe and its Subsidiaries incurred under revolving credit facilities on or after the date of the consummation of the Avis Europe Acquisition to finance the working capital needs and general corporate purposes of Avis Europe and its Subsidiaries and any Permitted Refinancing thereof;</w:t>
      </w:r>
    </w:p>
    <w:p>
      <w:pPr>
        <w:spacing w:after="0" w:line="183" w:lineRule="exact"/>
        <w:rPr>
          <w:sz w:val="20"/>
          <w:szCs w:val="20"/>
          <w:color w:val="auto"/>
        </w:rPr>
      </w:pPr>
    </w:p>
    <w:p>
      <w:pPr>
        <w:ind w:left="1620" w:hanging="316"/>
        <w:spacing w:after="0"/>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guarantees permitted under Section 7.6;</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Equivalent Debt;</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63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under any Ancillary Letter of Credit Facility in an aggregate principal amount for all such Ancillary Letter of Credit Facilities not to exceed $500,000,000; </w:t>
      </w:r>
      <w:r>
        <w:rPr>
          <w:rFonts w:ascii="Times New Roman" w:cs="Times New Roman" w:eastAsia="Times New Roman" w:hAnsi="Times New Roman"/>
          <w:sz w:val="18"/>
          <w:szCs w:val="18"/>
          <w:color w:val="FF0000"/>
          <w:strike w:val="1"/>
        </w:rPr>
        <w:t>and</w:t>
      </w:r>
    </w:p>
    <w:p>
      <w:pPr>
        <w:spacing w:after="0" w:line="157" w:lineRule="exact"/>
        <w:rPr>
          <w:rFonts w:ascii="Times New Roman" w:cs="Times New Roman" w:eastAsia="Times New Roman" w:hAnsi="Times New Roman"/>
          <w:sz w:val="18"/>
          <w:szCs w:val="18"/>
          <w:color w:val="auto"/>
        </w:rPr>
      </w:pPr>
    </w:p>
    <w:p>
      <w:pPr>
        <w:ind w:left="660" w:right="400" w:firstLine="644"/>
        <w:spacing w:after="0" w:line="286" w:lineRule="auto"/>
        <w:tabs>
          <w:tab w:leader="none" w:pos="1673" w:val="left"/>
        </w:tabs>
        <w:numPr>
          <w:ilvl w:val="0"/>
          <w:numId w:val="13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Indebtedness of the Borrower under any Supply Chain Finance Program in an aggregate principal amount for all such Supply Chain Finance Programs not to exceed $25,000,000; and</w:t>
      </w:r>
    </w:p>
    <w:p>
      <w:pPr>
        <w:spacing w:after="0" w:line="155" w:lineRule="exact"/>
        <w:rPr>
          <w:sz w:val="20"/>
          <w:szCs w:val="20"/>
          <w:color w:val="auto"/>
        </w:rPr>
      </w:pPr>
    </w:p>
    <w:p>
      <w:pPr>
        <w:ind w:left="660"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dd</w:t>
      </w:r>
      <w:r>
        <w:rPr>
          <w:rFonts w:ascii="Times New Roman" w:cs="Times New Roman" w:eastAsia="Times New Roman" w:hAnsi="Times New Roman"/>
          <w:sz w:val="18"/>
          <w:szCs w:val="18"/>
          <w:b w:val="1"/>
          <w:bCs w:val="1"/>
          <w:u w:val="single" w:color="auto"/>
          <w:color w:val="0000FF"/>
        </w:rPr>
        <w:t>ee</w:t>
      </w:r>
      <w:r>
        <w:rPr>
          <w:rFonts w:ascii="Times New Roman" w:cs="Times New Roman" w:eastAsia="Times New Roman" w:hAnsi="Times New Roman"/>
          <w:sz w:val="18"/>
          <w:szCs w:val="18"/>
          <w:color w:val="auto"/>
        </w:rPr>
        <w:t xml:space="preserve">) all premiums (if any), interest (including post-petition interest), accretion or amortization of original issue discount, fees, expenses, charges and additional or contingent interest on obligations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u w:val="single" w:color="auto"/>
          <w:color w:val="FF0000"/>
          <w:strike w:val="1"/>
        </w:rPr>
        <w:t>cc</w:t>
      </w:r>
      <w:r>
        <w:rPr>
          <w:rFonts w:ascii="Times New Roman" w:cs="Times New Roman" w:eastAsia="Times New Roman" w:hAnsi="Times New Roman"/>
          <w:sz w:val="18"/>
          <w:szCs w:val="18"/>
          <w:b w:val="1"/>
          <w:bCs w:val="1"/>
          <w:u w:val="single" w:color="auto"/>
          <w:color w:val="0000FF"/>
        </w:rPr>
        <w:t>dd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above.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Group Member’s action or event meets the criteria of more than one of the types of Indebtedness described in the clauses above, the Borrower in its sole discretion may classify (and reclassify) such action or event in one or more clauses (including in part under one such clause and in part under another such clause). For purposes of determining compliance with this Section 7.2 and Section 7.3(s), the amount of any Indebtedness denominated in a currency other than Dollars shall be the Dollar Equivalent thereof on the date such Indebtedness is incurred or committed (in the case of Indebtedness pursuant to a revolving or delayed draw credit facility); provided that, if any Indebtedness is incurred to refinance other Indebtedness denominated in a currency other than Dollars (or in a different currency from the Indebtedness being incurred), and such refinancing would cause the applicable Dollar-denominated cap in Section 7.2 and Section 7.3(s) to be exceeded if the amount of such refinancing</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49" w:name="page150"/>
    <w:bookmarkEnd w:id="149"/>
    <w:p>
      <w:pPr>
        <w:ind w:right="140"/>
        <w:spacing w:after="0" w:line="258" w:lineRule="auto"/>
        <w:rPr>
          <w:sz w:val="20"/>
          <w:szCs w:val="20"/>
          <w:color w:val="auto"/>
        </w:rPr>
      </w:pPr>
      <w:r>
        <w:rPr>
          <w:rFonts w:ascii="Times New Roman" w:cs="Times New Roman" w:eastAsia="Times New Roman" w:hAnsi="Times New Roman"/>
          <w:sz w:val="18"/>
          <w:szCs w:val="18"/>
          <w:color w:val="auto"/>
        </w:rPr>
        <w:t>Indebtedness (or the Dollar Equivalent thereof) is calculated at the relevant currency exchange rate in effect on the date of such refinancing, such Dollar denominated cap shall be deemed not to have been exceeded so long as the aggregate principal amount of such refinancing Indebtedness (or the Dollar Equivalent thereof on the date of such refinancing) does not exceed (i) the Dollar Equivalent of the aggregate outstanding or committed principal amount, as applicable, of such Indebtedness being refinanced on the date of such refinancing, as applicable, plus (ii) the aggregate amount of fees, underwriting discounts, premiums, accrued interest and other costs and expenses incurred in connection with such refinancing.</w:t>
      </w:r>
    </w:p>
    <w:p>
      <w:pPr>
        <w:spacing w:after="0" w:line="18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7.3</w:t>
      </w:r>
      <w:r>
        <w:rPr>
          <w:sz w:val="20"/>
          <w:szCs w:val="20"/>
          <w:color w:val="auto"/>
        </w:rPr>
        <w:tab/>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Create, incur, assume or suffer to exist any Lien upon any of its property, whether now owned or hereafter acquired,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660" w:right="320" w:firstLine="644"/>
        <w:spacing w:after="0" w:line="266" w:lineRule="auto"/>
        <w:tabs>
          <w:tab w:leader="none" w:pos="18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or other similar obligations not yet due or that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adequate reserves with respect thereto are maintained on the books of the Borrower or its Subsidiaries, as the case may be, in conformity with GAAP;</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landlord’s, materialmen’s, repairmen’s or other like Liens arising in the ordinary course of business that are not overdue for a period of more than 60 days or that are being contested in good faith by appropriate proceedings;</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66" w:lineRule="auto"/>
        <w:tabs>
          <w:tab w:leader="none" w:pos="18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incidental to the conduct of the Borrower’s business or the ownership of its assets which were not incurred in connection with the borrowing of money, and which do not in the aggregate materially detract from the value of its assets or materially impair the use thereof in the operation of its business;</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unemployment insurance and other social security legislation;</w:t>
      </w:r>
    </w:p>
    <w:p>
      <w:pPr>
        <w:spacing w:after="0" w:line="225" w:lineRule="exact"/>
        <w:rPr>
          <w:rFonts w:ascii="Times New Roman" w:cs="Times New Roman" w:eastAsia="Times New Roman" w:hAnsi="Times New Roman"/>
          <w:sz w:val="18"/>
          <w:szCs w:val="18"/>
          <w:color w:val="auto"/>
        </w:rPr>
      </w:pPr>
    </w:p>
    <w:p>
      <w:pPr>
        <w:ind w:left="660" w:right="240" w:firstLine="644"/>
        <w:spacing w:after="0" w:line="266" w:lineRule="auto"/>
        <w:tabs>
          <w:tab w:leader="none" w:pos="18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the performance of bids, trade contracts (other than for borrowed money), leases, statutory obligations, letters of credit, bank guarantees, surety and appeal bonds, performance bonds and other obligations of a like nature incurred in the ordinary course of business;</w:t>
      </w:r>
    </w:p>
    <w:p>
      <w:pPr>
        <w:spacing w:after="0" w:line="175" w:lineRule="exact"/>
        <w:rPr>
          <w:rFonts w:ascii="Times New Roman" w:cs="Times New Roman" w:eastAsia="Times New Roman" w:hAnsi="Times New Roman"/>
          <w:sz w:val="18"/>
          <w:szCs w:val="18"/>
          <w:color w:val="auto"/>
        </w:rPr>
      </w:pPr>
    </w:p>
    <w:p>
      <w:pPr>
        <w:ind w:left="660" w:right="80" w:firstLine="644"/>
        <w:spacing w:after="0" w:line="266" w:lineRule="auto"/>
        <w:tabs>
          <w:tab w:leader="none" w:pos="180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covenants and other similar encumbrances incurred in the ordinary course of business or of record that, in the aggregate, are not substantial in amount and that do not in any case materially detract from the value of the property subject thereto or materially interfere with the ordinary conduct of the business of the Borrower or any of its Subsidiaries;</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66" w:lineRule="auto"/>
        <w:tabs>
          <w:tab w:leader="none" w:pos="18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date hereof listed on Schedule 7.3(g), securing Indebtedness permitted by Section 7.2(f),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is spread to cover any additional property after the Restatement Effective Date and that the amount of Indebtedness secured thereby is not increased;</w:t>
      </w:r>
    </w:p>
    <w:p>
      <w:pPr>
        <w:spacing w:after="0" w:line="175" w:lineRule="exact"/>
        <w:rPr>
          <w:rFonts w:ascii="Times New Roman" w:cs="Times New Roman" w:eastAsia="Times New Roman" w:hAnsi="Times New Roman"/>
          <w:sz w:val="18"/>
          <w:szCs w:val="18"/>
          <w:color w:val="auto"/>
        </w:rPr>
      </w:pPr>
    </w:p>
    <w:p>
      <w:pPr>
        <w:ind w:left="660" w:firstLine="644"/>
        <w:spacing w:after="0" w:line="261" w:lineRule="auto"/>
        <w:tabs>
          <w:tab w:leader="none" w:pos="18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of the Borrower or any other Subsidiary incurred pursuant to Section 7.2(g) to finance the acquisition, repair or construction of fixed or capital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shall be created within 90 days of the acquisition, repair or construction of such fixed or capital assets and (ii) such Liens do not at any time encumber any property other than the property financed by such Indebtedness;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0" w:name="page151"/>
    <w:bookmarkEnd w:id="150"/>
    <w:p>
      <w:pPr>
        <w:ind w:left="660" w:hanging="476"/>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Security Documents;</w:t>
      </w:r>
    </w:p>
    <w:p>
      <w:pPr>
        <w:spacing w:after="0" w:line="225" w:lineRule="exact"/>
        <w:rPr>
          <w:rFonts w:ascii="Times New Roman" w:cs="Times New Roman" w:eastAsia="Times New Roman" w:hAnsi="Times New Roman"/>
          <w:sz w:val="18"/>
          <w:szCs w:val="18"/>
          <w:color w:val="auto"/>
        </w:rPr>
      </w:pPr>
    </w:p>
    <w:p>
      <w:pPr>
        <w:ind w:left="-460" w:right="260" w:firstLine="644"/>
        <w:spacing w:after="0" w:line="282" w:lineRule="auto"/>
        <w:tabs>
          <w:tab w:leader="none" w:pos="67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any Related Eligible Assets or arising out of the transfer of Related Eligible Assets to Securitization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 is otherwise permitted by the Agreement, and Liens securing Additional Foreign Vehicle Indebtedness;</w:t>
      </w:r>
    </w:p>
    <w:p>
      <w:pPr>
        <w:spacing w:after="0" w:line="161" w:lineRule="exact"/>
        <w:rPr>
          <w:rFonts w:ascii="Times New Roman" w:cs="Times New Roman" w:eastAsia="Times New Roman" w:hAnsi="Times New Roman"/>
          <w:sz w:val="18"/>
          <w:szCs w:val="18"/>
          <w:color w:val="auto"/>
        </w:rPr>
      </w:pPr>
    </w:p>
    <w:p>
      <w:pPr>
        <w:ind w:left="-460" w:right="140" w:firstLine="644"/>
        <w:spacing w:after="0" w:line="266" w:lineRule="auto"/>
        <w:tabs>
          <w:tab w:leader="none" w:pos="71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securing Indebtedness permitted under Section 7.2(j), (k), (l), (m) and (n) and (ii) Liens, including Liens on the Collateral, securing Indebtedness permitted under Section 7.2(y), to the extent such Indebtedness is permitted to be secured pursuant to the terms of Section 7.2(y);</w:t>
      </w:r>
    </w:p>
    <w:p>
      <w:pPr>
        <w:spacing w:after="0" w:line="175" w:lineRule="exact"/>
        <w:rPr>
          <w:rFonts w:ascii="Times New Roman" w:cs="Times New Roman" w:eastAsia="Times New Roman" w:hAnsi="Times New Roman"/>
          <w:sz w:val="18"/>
          <w:szCs w:val="18"/>
          <w:color w:val="auto"/>
        </w:rPr>
      </w:pPr>
    </w:p>
    <w:p>
      <w:pPr>
        <w:ind w:left="660" w:hanging="476"/>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which do not constitute an Event of Default;</w:t>
      </w:r>
    </w:p>
    <w:p>
      <w:pPr>
        <w:spacing w:after="0" w:line="225"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rights of tenants under leases with respect to which the Borrower or any Subsidiary is the lessor;</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66" w:lineRule="auto"/>
        <w:tabs>
          <w:tab w:leader="none" w:pos="71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interest or title of a lessor under any lease entered into by the Borrower or any other Subsidiary in the ordinary course of its business and covering only the assets so leased and (ii) any interest or title of a licensor under any Intellectual Property licenses or sublicenses entered into in the ordinary course of business (including any intercompany licenses and sublicenses of Intellectual Property);</w:t>
      </w:r>
    </w:p>
    <w:p>
      <w:pPr>
        <w:spacing w:after="0" w:line="175" w:lineRule="exact"/>
        <w:rPr>
          <w:rFonts w:ascii="Times New Roman" w:cs="Times New Roman" w:eastAsia="Times New Roman" w:hAnsi="Times New Roman"/>
          <w:sz w:val="18"/>
          <w:szCs w:val="18"/>
          <w:color w:val="auto"/>
        </w:rPr>
      </w:pPr>
    </w:p>
    <w:p>
      <w:pPr>
        <w:ind w:left="-460" w:firstLine="644"/>
        <w:spacing w:after="0" w:line="272" w:lineRule="auto"/>
        <w:tabs>
          <w:tab w:leader="none" w:pos="71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existing on any property or asset prior to the acquisition thereof by any Group Member or existing on any property or asset of any Person that becomes a Subsidiary (or that merges with or into the Borrower or a Subsidiary or transfers such property or asset to the Borrower or a Subsidiary) after the date hereof prior to the time such Person becomes a Subsidiary (or merges into the Borrower or a Subsidiary or transfers such property or asset);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 is not created in contemplation of or in connection with such acquisition or such Person becoming a Subsidiary, as the case may be, and such Lien shall secure only those obligations which it secures on the date of such acquisition or the date on which such Person becomes a Subsidiary or merges into the Borrower or a Subsidiary, as the case may be, and any Permitted Refinancing of such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further, that no such Liens shall be permitted to exist on the Capital Stock of any Person that is required to be a Subsidiary Guarantor hereunder from and after the time by which such Person is required to become a Subsidiary Guarantor; and</w:t>
      </w:r>
    </w:p>
    <w:p>
      <w:pPr>
        <w:spacing w:after="0" w:line="171" w:lineRule="exact"/>
        <w:rPr>
          <w:rFonts w:ascii="Times New Roman" w:cs="Times New Roman" w:eastAsia="Times New Roman" w:hAnsi="Times New Roman"/>
          <w:sz w:val="17"/>
          <w:szCs w:val="17"/>
          <w:color w:val="auto"/>
        </w:rPr>
      </w:pPr>
    </w:p>
    <w:p>
      <w:pPr>
        <w:ind w:left="700" w:hanging="516"/>
        <w:spacing w:after="0"/>
        <w:tabs>
          <w:tab w:leader="none" w:pos="7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attaching solely to cash earnest money deposits in connection with any permitted Investment or Permitted Acquisition;</w:t>
      </w:r>
    </w:p>
    <w:p>
      <w:pPr>
        <w:spacing w:after="0" w:line="225"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insurance premiums with respect thereto;</w:t>
      </w:r>
    </w:p>
    <w:p>
      <w:pPr>
        <w:spacing w:after="0" w:line="225" w:lineRule="exact"/>
        <w:rPr>
          <w:rFonts w:ascii="Times New Roman" w:cs="Times New Roman" w:eastAsia="Times New Roman" w:hAnsi="Times New Roman"/>
          <w:sz w:val="18"/>
          <w:szCs w:val="18"/>
          <w:color w:val="auto"/>
        </w:rPr>
      </w:pPr>
    </w:p>
    <w:p>
      <w:pPr>
        <w:ind w:left="-460" w:right="720" w:firstLine="644"/>
        <w:spacing w:after="0" w:line="282" w:lineRule="auto"/>
        <w:tabs>
          <w:tab w:leader="none" w:pos="68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permitted under Section 7.12 or otherwise imposed pursuant to an agreement that has been entered into in connection with a Disposition of assets;</w:t>
      </w:r>
    </w:p>
    <w:p>
      <w:pPr>
        <w:spacing w:after="0" w:line="161" w:lineRule="exact"/>
        <w:rPr>
          <w:rFonts w:ascii="Times New Roman" w:cs="Times New Roman" w:eastAsia="Times New Roman" w:hAnsi="Times New Roman"/>
          <w:sz w:val="18"/>
          <w:szCs w:val="18"/>
          <w:color w:val="auto"/>
        </w:rPr>
      </w:pPr>
    </w:p>
    <w:p>
      <w:pPr>
        <w:ind w:left="-460" w:right="340" w:firstLine="644"/>
        <w:spacing w:after="0" w:line="282" w:lineRule="auto"/>
        <w:tabs>
          <w:tab w:leader="none" w:pos="69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by this Section so long as the aggregate outstanding principal amount of the obligations secured thereby does not exceed (as to the Borrower and all Subsidiaries) $50,000,000 at any one time;</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1" w:name="page152"/>
    <w:bookmarkEnd w:id="151"/>
    <w:p>
      <w:pPr>
        <w:jc w:val="both"/>
        <w:ind w:left="4" w:right="300" w:firstLine="644"/>
        <w:spacing w:after="0" w:line="312" w:lineRule="auto"/>
        <w:tabs>
          <w:tab w:leader="none" w:pos="1137"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the proceeds of Indebtedness permitted to be incurred by Section 7.2 in favor of escrow agents, account custodians or similar third party intermediaries during the period which any such proceeds are held under escrow or similar contingent release arrangements;</w:t>
      </w:r>
    </w:p>
    <w:p>
      <w:pPr>
        <w:spacing w:after="0" w:line="139" w:lineRule="exact"/>
        <w:rPr>
          <w:rFonts w:ascii="Times New Roman" w:cs="Times New Roman" w:eastAsia="Times New Roman" w:hAnsi="Times New Roman"/>
          <w:sz w:val="17"/>
          <w:szCs w:val="17"/>
          <w:color w:val="auto"/>
        </w:rPr>
      </w:pPr>
    </w:p>
    <w:p>
      <w:pPr>
        <w:ind w:left="4" w:right="860" w:firstLine="644"/>
        <w:spacing w:after="0" w:line="312" w:lineRule="auto"/>
        <w:tabs>
          <w:tab w:leader="none" w:pos="1177"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the assets and the Capital Stock of a Foreign Subsidiary that secures Indebtedness of such Foreign Subsidiary outstanding pursuant to Section 7.2(t) or Section 7.2(z)(ii)(including guarantees by any Foreign Subsidiary of such Indebtedness);</w:t>
      </w:r>
    </w:p>
    <w:p>
      <w:pPr>
        <w:spacing w:after="0" w:line="139" w:lineRule="exact"/>
        <w:rPr>
          <w:rFonts w:ascii="Times New Roman" w:cs="Times New Roman" w:eastAsia="Times New Roman" w:hAnsi="Times New Roman"/>
          <w:sz w:val="17"/>
          <w:szCs w:val="17"/>
          <w:color w:val="auto"/>
        </w:rPr>
      </w:pPr>
    </w:p>
    <w:p>
      <w:pPr>
        <w:ind w:left="4" w:firstLine="644"/>
        <w:spacing w:after="0" w:line="254" w:lineRule="auto"/>
        <w:tabs>
          <w:tab w:leader="none" w:pos="117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Indebtedness permitted under Section 7.2(z) in connection with the Avis Europe Acquisition on a second priority basis with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Indebtedness shall not be secured by any property or assets of any Loan Party other than the Collateral, (y) the Liens securing such Indebtedness shall be governed by security documentation substantially the same as the Security Documents (with such modifications as are reasonably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modifications that make such security documentation less restrictive to the Loan Parties shall be satisfactory to the Administrative Agent) and (z) the Administrative Agent shall have entered into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Indebtedness remains outstanding;</w:t>
      </w:r>
    </w:p>
    <w:p>
      <w:pPr>
        <w:spacing w:after="0" w:line="188" w:lineRule="exact"/>
        <w:rPr>
          <w:rFonts w:ascii="Times New Roman" w:cs="Times New Roman" w:eastAsia="Times New Roman" w:hAnsi="Times New Roman"/>
          <w:sz w:val="18"/>
          <w:szCs w:val="18"/>
          <w:color w:val="auto"/>
        </w:rPr>
      </w:pPr>
    </w:p>
    <w:p>
      <w:pPr>
        <w:ind w:left="4" w:firstLine="644"/>
        <w:spacing w:after="0" w:line="253" w:lineRule="auto"/>
        <w:tabs>
          <w:tab w:leader="none" w:pos="121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described in Section 7.2(bb);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Liens securing such obligations that are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(but without regard to control of remedies) with the Obligations shall be subject to a First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First Lien Intercreditor Agreement or other intercreditor agreement shall remain in full force and effect at any time such obligations remain outstanding and (y) any such Liens securing such obligations that are secured by the Collateral on a junior basis to the Liens securing the Obligations shall be subject 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obligations remain outstanding;</w:t>
      </w:r>
    </w:p>
    <w:p>
      <w:pPr>
        <w:spacing w:after="0" w:line="190" w:lineRule="exact"/>
        <w:rPr>
          <w:rFonts w:ascii="Times New Roman" w:cs="Times New Roman" w:eastAsia="Times New Roman" w:hAnsi="Times New Roman"/>
          <w:sz w:val="18"/>
          <w:szCs w:val="18"/>
          <w:color w:val="auto"/>
        </w:rPr>
      </w:pPr>
    </w:p>
    <w:p>
      <w:pPr>
        <w:ind w:left="4" w:right="20" w:firstLine="644"/>
        <w:spacing w:after="0" w:line="254" w:lineRule="auto"/>
        <w:tabs>
          <w:tab w:leader="none" w:pos="117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described in Section 7.2(</w:t>
      </w:r>
      <w:r>
        <w:rPr>
          <w:rFonts w:ascii="Times New Roman" w:cs="Times New Roman" w:eastAsia="Times New Roman" w:hAnsi="Times New Roman"/>
          <w:sz w:val="18"/>
          <w:szCs w:val="18"/>
          <w:color w:val="FF0000"/>
          <w:strike w:val="1"/>
        </w:rPr>
        <w:t>dd</w:t>
      </w:r>
      <w:r>
        <w:rPr>
          <w:rFonts w:ascii="Times New Roman" w:cs="Times New Roman" w:eastAsia="Times New Roman" w:hAnsi="Times New Roman"/>
          <w:sz w:val="18"/>
          <w:szCs w:val="18"/>
          <w:b w:val="1"/>
          <w:bCs w:val="1"/>
          <w:u w:val="single" w:color="auto"/>
          <w:color w:val="0000FF"/>
        </w:rPr>
        <w:t>ee</w:t>
      </w:r>
      <w:r>
        <w:rPr>
          <w:rFonts w:ascii="Times New Roman" w:cs="Times New Roman" w:eastAsia="Times New Roman" w:hAnsi="Times New Roman"/>
          <w:sz w:val="18"/>
          <w:szCs w:val="18"/>
          <w:color w:val="auto"/>
        </w:rPr>
        <w:t xml:space="preserve">), solely to the extent the Indebtedness to which such obligations relate is permitted to be secured pursuant to another clause of this Section 7.3;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Liens securing such Indebtedness to which such obligations relate are required to be subject to an intercreditor agreement, (x) any such Liens securing such obligations that are secured by the Collateral on a pari passu basis (but without regard to control of remedies) with the Obligations shall be subject to a First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First Lien Intercreditor Agreement or other intercreditor agreement shall remain in full force and effect at any time such obligations remain outstanding and</w:t>
      </w:r>
    </w:p>
    <w:p>
      <w:pPr>
        <w:ind w:left="4" w:right="440" w:hanging="4"/>
        <w:spacing w:after="0" w:line="260"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Liens securing such obligations that are secured by the Collateral on a junior basis to the Liens securing the Obligations shall be subject to a Second Lien Intercreditor Agreement or other intercreditor</w:t>
      </w:r>
    </w:p>
    <w:p>
      <w:pPr>
        <w:spacing w:after="0" w:line="181"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52" w:name="page153"/>
    <w:bookmarkEnd w:id="152"/>
    <w:p>
      <w:pPr>
        <w:ind w:left="660" w:right="40"/>
        <w:spacing w:after="0" w:line="266" w:lineRule="auto"/>
        <w:rPr>
          <w:sz w:val="20"/>
          <w:szCs w:val="20"/>
          <w:color w:val="auto"/>
        </w:rPr>
      </w:pPr>
      <w:r>
        <w:rPr>
          <w:rFonts w:ascii="Times New Roman" w:cs="Times New Roman" w:eastAsia="Times New Roman" w:hAnsi="Times New Roman"/>
          <w:sz w:val="18"/>
          <w:szCs w:val="18"/>
          <w:color w:val="auto"/>
        </w:rPr>
        <w:t xml:space="preserve">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obligations remain outstanding; </w:t>
      </w:r>
      <w:r>
        <w:rPr>
          <w:rFonts w:ascii="Times New Roman" w:cs="Times New Roman" w:eastAsia="Times New Roman" w:hAnsi="Times New Roman"/>
          <w:sz w:val="18"/>
          <w:szCs w:val="18"/>
          <w:color w:val="FF0000"/>
          <w:strike w:val="1"/>
        </w:rPr>
        <w:t>and</w:t>
      </w:r>
    </w:p>
    <w:p>
      <w:pPr>
        <w:spacing w:after="0" w:line="176" w:lineRule="exact"/>
        <w:rPr>
          <w:sz w:val="20"/>
          <w:szCs w:val="20"/>
          <w:color w:val="auto"/>
        </w:rPr>
      </w:pPr>
    </w:p>
    <w:p>
      <w:pPr>
        <w:ind w:left="660" w:right="340" w:firstLine="644"/>
        <w:spacing w:after="0" w:line="282" w:lineRule="auto"/>
        <w:tabs>
          <w:tab w:leader="none" w:pos="183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under any Ancillary Letter of Credit Facility Documents in an aggregate amount for all such Ancillary Letter of Credit Facility Documents not to exceed $500,000,000; </w:t>
      </w:r>
      <w:r>
        <w:rPr>
          <w:rFonts w:ascii="Times New Roman" w:cs="Times New Roman" w:eastAsia="Times New Roman" w:hAnsi="Times New Roman"/>
          <w:sz w:val="18"/>
          <w:szCs w:val="18"/>
          <w:b w:val="1"/>
          <w:bCs w:val="1"/>
          <w:u w:val="single" w:color="auto"/>
          <w:color w:val="0000FF"/>
        </w:rPr>
        <w:t>and</w:t>
      </w:r>
    </w:p>
    <w:p>
      <w:pPr>
        <w:spacing w:after="0" w:line="157" w:lineRule="exact"/>
        <w:rPr>
          <w:rFonts w:ascii="Times New Roman" w:cs="Times New Roman" w:eastAsia="Times New Roman" w:hAnsi="Times New Roman"/>
          <w:sz w:val="18"/>
          <w:szCs w:val="18"/>
          <w:color w:val="auto"/>
        </w:rPr>
      </w:pPr>
    </w:p>
    <w:p>
      <w:pPr>
        <w:ind w:left="660" w:right="360" w:firstLine="644"/>
        <w:spacing w:after="0" w:line="286" w:lineRule="auto"/>
        <w:tabs>
          <w:tab w:leader="none" w:pos="1822" w:val="left"/>
        </w:tabs>
        <w:numPr>
          <w:ilvl w:val="0"/>
          <w:numId w:val="14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Liens created under any Supply Chain Finance Documents in an aggregate amount for all such Supply Chain Finance Documents not to exceed $25,000,000;</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Group Member’s action or event meets the criteria of more than one of the types of Liens described in the clauses above, the Borrower in its sole discretion may classify (and reclassify) such action or event in one or more clauses (including in part under one such clause and in part under another such clause).</w:t>
      </w:r>
    </w:p>
    <w:p>
      <w:pPr>
        <w:spacing w:after="0" w:line="176"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7.4 Fundamental Changes</w:t>
      </w:r>
      <w:r>
        <w:rPr>
          <w:rFonts w:ascii="Times New Roman" w:cs="Times New Roman" w:eastAsia="Times New Roman" w:hAnsi="Times New Roman"/>
          <w:sz w:val="18"/>
          <w:szCs w:val="18"/>
          <w:color w:val="auto"/>
        </w:rPr>
        <w:t>. Enter into any merger, consolidation or amalgamation, or liquidate, wind up or dissolve itself (or suffer any liquidation or dissolution), or Dispose of all or substantially all of its property or business, except that:</w:t>
      </w:r>
    </w:p>
    <w:p>
      <w:pPr>
        <w:spacing w:after="0" w:line="162" w:lineRule="exact"/>
        <w:rPr>
          <w:sz w:val="20"/>
          <w:szCs w:val="20"/>
          <w:color w:val="auto"/>
        </w:rPr>
      </w:pPr>
    </w:p>
    <w:p>
      <w:pPr>
        <w:ind w:left="660" w:right="20" w:firstLine="644"/>
        <w:spacing w:after="0" w:line="261" w:lineRule="auto"/>
        <w:tabs>
          <w:tab w:leader="none" w:pos="182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may be merged or consolidated with or into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corporation) or with or into any 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Wholly Owned Subsidiary shall be the continuing or surviving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or consolidation of a Subsidiary Guarantor shall only be with or into the Borrower or another Subsidiary Guarantor;</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8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the Borrower may Dispose of any or all of its assets (i) to the Borrower or any Wholly Owned Subsidiary (upon voluntary liquidation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 by a Subsidiary Guarantor shall only be to the Borrower or another Subsidiary Guarantor or (ii) pursuant to a Disposition permitted by Section 7.5;</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expressly permitted by Section 7.7 may be structured as a merger, consolidation or amalgamation;</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8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dissolve, liquidate or wind up its affairs at any time if at the time of such dissolution, liquidation or winding up, the value of the assets of such Subsidiary is less than $100,000 or such Subsidiary is dormant; and</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consolidate with or merge with or into any Person, if:</w:t>
      </w:r>
    </w:p>
    <w:p>
      <w:pPr>
        <w:spacing w:after="0" w:line="225" w:lineRule="exact"/>
        <w:rPr>
          <w:rFonts w:ascii="Times New Roman" w:cs="Times New Roman" w:eastAsia="Times New Roman" w:hAnsi="Times New Roman"/>
          <w:sz w:val="18"/>
          <w:szCs w:val="18"/>
          <w:color w:val="auto"/>
        </w:rPr>
      </w:pPr>
    </w:p>
    <w:p>
      <w:pPr>
        <w:ind w:left="1300" w:firstLine="652"/>
        <w:spacing w:after="0" w:line="258" w:lineRule="auto"/>
        <w:tabs>
          <w:tab w:leader="none" w:pos="243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will be a Person organized and existing under the laws of the United States of America, any State thereof or the District of Columbia and the Successor Company (if not the Borrower) will expressly assume all the obligations of the Borrower under this Agreement and the other Loan Documents to which the Borrower is a party by executing and delivering to the Administrative Agent a joinder hereto and thereto or one or more other documents or instruments, in each case, in a form reasonably satisfactory to the Administrative Agent;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3" w:name="page154"/>
    <w:bookmarkEnd w:id="153"/>
    <w:p>
      <w:pPr>
        <w:ind w:left="1300" w:right="420" w:firstLine="652"/>
        <w:spacing w:after="0" w:line="266" w:lineRule="auto"/>
        <w:tabs>
          <w:tab w:leader="none" w:pos="248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no Default will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left="1300" w:firstLine="652"/>
        <w:spacing w:after="0" w:line="281" w:lineRule="auto"/>
        <w:tabs>
          <w:tab w:leader="none" w:pos="2533"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the Successor Company shall be in compliance with the financial covenant set forth in Section 7.1 as of the end of the most recent four fiscal quarter period for which financial statements have been delivered pursuant to Section 6.1;</w:t>
      </w:r>
    </w:p>
    <w:p>
      <w:pPr>
        <w:spacing w:after="0" w:line="164" w:lineRule="exact"/>
        <w:rPr>
          <w:rFonts w:ascii="Times New Roman" w:cs="Times New Roman" w:eastAsia="Times New Roman" w:hAnsi="Times New Roman"/>
          <w:sz w:val="17"/>
          <w:szCs w:val="17"/>
          <w:color w:val="auto"/>
        </w:rPr>
      </w:pPr>
    </w:p>
    <w:p>
      <w:pPr>
        <w:ind w:left="1300" w:right="20" w:firstLine="652"/>
        <w:spacing w:after="0" w:line="261" w:lineRule="auto"/>
        <w:tabs>
          <w:tab w:leader="none" w:pos="252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(other than (x) any Subsidiary Guarantor that will be released from its obligations under the Guarantee and Collateral Agreement in connection with such transaction and (y) any party to any such consolidation or merger) shall have delivered a joinder or one or more other documents or instruments confirming its obligation under the Guarantee and Collateral Agreement and its obligations under the other Loan Documents;</w:t>
      </w:r>
    </w:p>
    <w:p>
      <w:pPr>
        <w:spacing w:after="0" w:line="179" w:lineRule="exact"/>
        <w:rPr>
          <w:rFonts w:ascii="Times New Roman" w:cs="Times New Roman" w:eastAsia="Times New Roman" w:hAnsi="Times New Roman"/>
          <w:sz w:val="18"/>
          <w:szCs w:val="18"/>
          <w:color w:val="auto"/>
        </w:rPr>
      </w:pPr>
    </w:p>
    <w:p>
      <w:pPr>
        <w:ind w:left="1300" w:right="140" w:firstLine="652"/>
        <w:spacing w:after="0" w:line="282" w:lineRule="auto"/>
        <w:tabs>
          <w:tab w:leader="none" w:pos="24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delivered a joinder or one or more other documents or instruments confirming its obligation under the Parent Guarantee; and</w:t>
      </w:r>
    </w:p>
    <w:p>
      <w:pPr>
        <w:spacing w:after="0" w:line="161" w:lineRule="exact"/>
        <w:rPr>
          <w:rFonts w:ascii="Times New Roman" w:cs="Times New Roman" w:eastAsia="Times New Roman" w:hAnsi="Times New Roman"/>
          <w:sz w:val="18"/>
          <w:szCs w:val="18"/>
          <w:color w:val="auto"/>
        </w:rPr>
      </w:pPr>
    </w:p>
    <w:p>
      <w:pPr>
        <w:ind w:left="1300" w:right="100" w:firstLine="652"/>
        <w:spacing w:after="0" w:line="255" w:lineRule="auto"/>
        <w:tabs>
          <w:tab w:leader="none" w:pos="252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 a certificate signed by a Responsible Officer each to the effect that such consolidation or merger and such joinders or other documents or instruments relating to this Agreement or any other Loan Document complies with the provisions described in this Section 7.4(e), (B) a legal opinion of counsel to the Successor Company and its Subsidiaries covering substantially the same matters set forth in Exhibit E hereto and (C) all documentation and information as is reasonably requested in writing by the Lenders at least three days prior to the anticipated effective date of such consolidation or merger required by U.S. regulatory authorities under applicable “know your customer” and anti-money laundering rules and regulations, including without limitation the PATRIOT Act.</w:t>
      </w:r>
    </w:p>
    <w:p>
      <w:pPr>
        <w:spacing w:after="0" w:line="189" w:lineRule="exact"/>
        <w:rPr>
          <w:sz w:val="20"/>
          <w:szCs w:val="20"/>
          <w:color w:val="auto"/>
        </w:rPr>
      </w:pPr>
    </w:p>
    <w:p>
      <w:pPr>
        <w:ind w:left="660" w:right="520" w:hanging="4"/>
        <w:spacing w:after="0" w:line="282" w:lineRule="auto"/>
        <w:tabs>
          <w:tab w:leader="none" w:pos="7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foregoing provisions of this clause (e) are satisfied, the Successor Company will succeed to, and be substituted for, the Borrower under this Agreement.</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7.5</w:t>
      </w:r>
      <w:r>
        <w:rPr>
          <w:sz w:val="20"/>
          <w:szCs w:val="20"/>
          <w:color w:val="auto"/>
        </w:rPr>
        <w:tab/>
      </w:r>
      <w:r>
        <w:rPr>
          <w:rFonts w:ascii="Times New Roman" w:cs="Times New Roman" w:eastAsia="Times New Roman" w:hAnsi="Times New Roman"/>
          <w:sz w:val="17"/>
          <w:szCs w:val="17"/>
          <w:u w:val="single" w:color="auto"/>
          <w:color w:val="auto"/>
        </w:rPr>
        <w:t>Disposition of Property</w:t>
      </w:r>
      <w:r>
        <w:rPr>
          <w:rFonts w:ascii="Times New Roman" w:cs="Times New Roman" w:eastAsia="Times New Roman" w:hAnsi="Times New Roman"/>
          <w:sz w:val="17"/>
          <w:szCs w:val="17"/>
          <w:color w:val="auto"/>
        </w:rPr>
        <w:t>. Dispose of any of its property, whether now owned or hereafter acquired, or, in the case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issue or sell any shares of such Subsidiary’s Capital Stock to any Person, except:</w:t>
      </w:r>
    </w:p>
    <w:p>
      <w:pPr>
        <w:spacing w:after="0" w:line="207" w:lineRule="exact"/>
        <w:rPr>
          <w:sz w:val="20"/>
          <w:szCs w:val="20"/>
          <w:color w:val="auto"/>
        </w:rPr>
      </w:pPr>
    </w:p>
    <w:p>
      <w:pPr>
        <w:ind w:left="660" w:right="500" w:firstLine="644"/>
        <w:spacing w:after="0" w:line="282" w:lineRule="auto"/>
        <w:tabs>
          <w:tab w:leader="none" w:pos="182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(i) obsolete or worn out property or (ii) any property that is no longer used or useful in the conduct of the business of the Borrower or its Subsidiaries, in each case in the ordinary course of business;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inventory in the ordinary course of business;</w:t>
      </w:r>
    </w:p>
    <w:p>
      <w:pPr>
        <w:spacing w:after="0" w:line="225" w:lineRule="exact"/>
        <w:rPr>
          <w:rFonts w:ascii="Times New Roman" w:cs="Times New Roman" w:eastAsia="Times New Roman" w:hAnsi="Times New Roman"/>
          <w:sz w:val="18"/>
          <w:szCs w:val="18"/>
          <w:color w:val="auto"/>
        </w:rPr>
      </w:pPr>
    </w:p>
    <w:p>
      <w:pPr>
        <w:ind w:left="660" w:right="220" w:firstLine="644"/>
        <w:spacing w:after="0" w:line="282" w:lineRule="auto"/>
        <w:tabs>
          <w:tab w:leader="none" w:pos="182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clause (i) of Section 7.4(b), Investments permitted under Section 7.7 (other than Section 7.7 (m)) and Restricted Payments permitted under Section 7.6;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4" w:name="page155"/>
    <w:bookmarkEnd w:id="154"/>
    <w:p>
      <w:pPr>
        <w:ind w:left="660" w:firstLine="644"/>
        <w:spacing w:after="0" w:line="282" w:lineRule="auto"/>
        <w:tabs>
          <w:tab w:leader="none" w:pos="183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issuance of any Subsidiary’s Capital Stock to the Borrower or any 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sale or issuance of any Subsidiary Guarantor’s Capital Stock shall only be to the Borrower or another Subsidiary Guarantor;</w:t>
      </w:r>
    </w:p>
    <w:p>
      <w:pPr>
        <w:spacing w:after="0" w:line="161"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2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Related Eligible Assets (i) in connection with the AESOP Financing Program or the Centre Point Financing Program, (ii) to any Securitization Entity or (iii) in connection with the incurrence of any Securitization Indebtedness;</w:t>
      </w:r>
    </w:p>
    <w:p>
      <w:pPr>
        <w:spacing w:after="0" w:line="161"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Budget Truck Division for fair market value as determined by the board of directors of the Borrower;</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other property having a fair market value not to exceed $1,000,000,000 in the aggregate for any fiscal year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w:t>
      </w:r>
    </w:p>
    <w:p>
      <w:pPr>
        <w:spacing w:after="0" w:line="20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Dispositions listed on Schedule 7.5(h);</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properties subject to condemnation, eminent domain or taking;</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9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and sublicenses of real or personal property, and Intellectual Property in the ordinary course of business, and any intercompany licenses and sublicenses of Intellectual Property;</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use of cash and Cash Equivalents in the ordinary course of business;</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termination or other disposition of Intellectual Property or leasehold properties in the ordinary course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discounts or forgiveness of accounts receivable in connection with the collection or compromise thereof;</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non-core assets acquired in connection with an Investment permitted under Section 7.7, including a Specified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w:t>
      </w:r>
    </w:p>
    <w:p>
      <w:pPr>
        <w:spacing w:after="0" w:line="206" w:lineRule="exact"/>
        <w:rPr>
          <w:rFonts w:ascii="Times New Roman" w:cs="Times New Roman" w:eastAsia="Times New Roman" w:hAnsi="Times New Roman"/>
          <w:sz w:val="18"/>
          <w:szCs w:val="18"/>
          <w:color w:val="auto"/>
        </w:rPr>
      </w:pPr>
    </w:p>
    <w:p>
      <w:pPr>
        <w:ind w:left="660" w:right="240" w:firstLine="644"/>
        <w:spacing w:after="0" w:line="266" w:lineRule="auto"/>
        <w:tabs>
          <w:tab w:leader="none" w:pos="183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the Borrower or any of its Subsidiaries of any Foreign Subsidiary to any other Foreign Subsidiary so long as at least 65% of the Capital Stock of such other Foreign Subsidiary (or any parent company of such other Foreign Subsidiary) is pledged to the Administrative Agent pursuant to Section 6.9;</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minority interests in joint ventures; and</w:t>
      </w:r>
    </w:p>
    <w:p>
      <w:pPr>
        <w:spacing w:after="0" w:line="225"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3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any Foreign Subsidiary and any holding company formed in connection with the Avis Europe Acquisition to the Borrower or any of its Subsidiaries.</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Dispositions permitted under paragraphs (f) and (g)(i) and (g)(ii) of this Section 7.5 shall be made for fair value and in the case of any such Disposition (or series of related Dispositions) that yields gross proceeds to any Loan Party in excess of $25,000,000, for at least 75% cash consideration (excluding, in the case of an Asset Sale (or series of related Asset Sales), any consideration by way of relief from, or by any other Person assuming responsibility for, any liabilities, contingent or otherwise, that are not Indebtedness) (it being understood that for the purposes of the foregoing proviso, the following shall be deemed to be cash consideration: (1) Cash Equivalents, (2) the assumption of</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55" w:name="page156"/>
    <w:bookmarkEnd w:id="155"/>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Indebtedness of the Borrower (other than Disqualified Stock of the Borrower) or any Subsidiary and the release of the Borrower and its Subsidiaries from all liability with respect to payment of such Indebtedness, (3) Indebtedness of any Subsidiary that is no longer a Subsidiary as a result of such Disposition, to the extent that the Borrower and each other Subsidiary are released from any Guarantee Obligations or any other obligations to provide credit support in respect of such Indebtedness and (4) securities received by the Borrower or any Subsidiary from the transferee that are converted by the Borrower or such Subsidiary into cash within 180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the Group Member’s action or event meets the criteria of more than one of the types of Dispositions described in the clauses above, the Borrower in its sole discretion may classify (and reclassify) such action or event in one or more clauses (including in part under one such clause and in part under another such clause)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u w:val="single" w:color="auto"/>
          <w:color w:val="0000FF"/>
        </w:rPr>
        <w:t>; provided, further that, notwithstanding anything to the contrary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this Section 7.5, no Loan Party shall be permitted to transfer ownership of or Dispose (including, for the avoidance of doubt, by granting an exclusive license thereto) of any Material Intellectual Property to any Parent or any Subsidiary that is not a Guarantor.</w:t>
      </w:r>
    </w:p>
    <w:p>
      <w:pPr>
        <w:spacing w:after="0" w:line="188"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7.6 Restricted Payments</w:t>
      </w:r>
      <w:r>
        <w:rPr>
          <w:rFonts w:ascii="Times New Roman" w:cs="Times New Roman" w:eastAsia="Times New Roman" w:hAnsi="Times New Roman"/>
          <w:sz w:val="18"/>
          <w:szCs w:val="18"/>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(including ABG),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that:</w:t>
      </w:r>
    </w:p>
    <w:p>
      <w:pPr>
        <w:spacing w:after="0" w:line="183" w:lineRule="exact"/>
        <w:rPr>
          <w:sz w:val="20"/>
          <w:szCs w:val="20"/>
          <w:color w:val="auto"/>
        </w:rPr>
      </w:pPr>
    </w:p>
    <w:p>
      <w:pPr>
        <w:ind w:left="660" w:right="160" w:firstLine="644"/>
        <w:spacing w:after="0" w:line="282" w:lineRule="auto"/>
        <w:tabs>
          <w:tab w:leader="none" w:pos="182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may make Restricted Payments to the Borrower or any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non-Subsidiary Guarantor may make Restricted Payments to any Group Member;</w:t>
      </w:r>
    </w:p>
    <w:p>
      <w:pPr>
        <w:spacing w:after="0" w:line="161" w:lineRule="exact"/>
        <w:rPr>
          <w:rFonts w:ascii="Times New Roman" w:cs="Times New Roman" w:eastAsia="Times New Roman" w:hAnsi="Times New Roman"/>
          <w:sz w:val="18"/>
          <w:szCs w:val="18"/>
          <w:color w:val="auto"/>
        </w:rPr>
      </w:pPr>
    </w:p>
    <w:p>
      <w:pPr>
        <w:ind w:left="660" w:firstLine="644"/>
        <w:spacing w:after="0" w:line="266" w:lineRule="auto"/>
        <w:tabs>
          <w:tab w:leader="none" w:pos="18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shall have occurred and be continuing, the Borrower may pay dividends to Holdings and Holdings may pay dividends to ABG to purchase ABG common stock or common stock options from present or former officers or employees of any Group Member upon the death, disability or termination of employment of such officer or employee;</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282" w:lineRule="auto"/>
        <w:tabs>
          <w:tab w:leader="none" w:pos="182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Holdings to permit Holdings to (i) pay corporate overhead expenses incurred in the ordinary course of business and (ii) pay any taxes that are due and payable by Holdings or the Borrower;</w:t>
      </w:r>
    </w:p>
    <w:p>
      <w:pPr>
        <w:spacing w:after="0" w:line="161" w:lineRule="exact"/>
        <w:rPr>
          <w:rFonts w:ascii="Times New Roman" w:cs="Times New Roman" w:eastAsia="Times New Roman" w:hAnsi="Times New Roman"/>
          <w:sz w:val="18"/>
          <w:szCs w:val="18"/>
          <w:color w:val="auto"/>
        </w:rPr>
      </w:pPr>
    </w:p>
    <w:p>
      <w:pPr>
        <w:ind w:left="660" w:firstLine="644"/>
        <w:spacing w:after="0" w:line="256" w:lineRule="auto"/>
        <w:tabs>
          <w:tab w:leader="none" w:pos="183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may make Restricted Payments to Holdings to permit Holdings to pay dividends to any higher tier entity to provide for the payment of (A) Parent Expenses, (B) Related Taxes and (C) any Taxes that are due and payable by any Group Member as part of a consolidated group or which have been paid for the account of any Group Member pursuant to the Tax Sharing Agreement and (ii) so long as no Default or Event of Default shall have occurred and be continuing, the Borrower may make Restricted Payments to Holdings to permit Holdings to make Restricted Payments to any Parent in an aggregate amount not to exceed $40,000,000, less the amount of Investments made pursuant to Section 7.7(u) and payments made under Section 7.8(a)(vi);</w:t>
      </w:r>
    </w:p>
    <w:p>
      <w:pPr>
        <w:spacing w:after="0" w:line="187"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by Section 7.7;</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56" w:name="page157"/>
    <w:bookmarkEnd w:id="156"/>
    <w:p>
      <w:pPr>
        <w:ind w:left="660" w:right="260" w:firstLine="644"/>
        <w:spacing w:after="0" w:line="282" w:lineRule="auto"/>
        <w:tabs>
          <w:tab w:leader="none" w:pos="18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make Restricted Payments (including in respect of management fees) to the holders of the Capital Stock of such Subsidiary ratably based on the respective ownership interests of such holders;</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right="60" w:firstLine="644"/>
        <w:spacing w:after="0" w:line="266" w:lineRule="auto"/>
        <w:tabs>
          <w:tab w:leader="none" w:pos="1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an aggregate amount not to exceed the Available Amount on the date such Restricted Payments are made, so long as (i) no Default or Event of Default shall have occurred and be continuing or would result therefrom and (ii) after giving pro forma effect to such Restricted Payment, the Consolidated Coverage Ratio would be greater than 2.00 to 1.00;</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7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an aggregate amount outstanding at the time such Restricted Payments are made not exceeding an amount equal to 1% of Consolidated Tangible Assets, so long as no Default or Event of Default shall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7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any Parent to pay dividends on or purchase or repurchase the common stock or equity of such Parent in an amount not to exceed in any fiscal year $25,000,000, so long as no Default or Event of Default shall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left="660" w:right="60" w:firstLine="644"/>
        <w:spacing w:after="0" w:line="266" w:lineRule="auto"/>
        <w:tabs>
          <w:tab w:leader="none" w:pos="1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any Parent to make payments to holders of the Capital Stock of the Borrower or any Parent in lieu of issuance of fractional shares of such Capital Stock, not to exceed $5,000,000 in the aggregate, so long as no Default or Event of Default shall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left="660" w:right="80" w:firstLine="644"/>
        <w:spacing w:after="0" w:line="281" w:lineRule="auto"/>
        <w:tabs>
          <w:tab w:leader="none" w:pos="1793"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make Restricted Payments to repurchase Capital Stock of the Borrower made by exchange for, or out of the proceeds of the substantially concurrent issuance or sale of, Capital Stock of the Borrower or a substantially concurrent capital contribution to the Borrower, so long as no Default or Event of Default shall have occurred and be continuing or would result therefrom;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Net Cash Proceeds from such issuance, sale or capital contribution shall be excluded in subsequent calculations under clause (c) of the Available Amount;</w:t>
      </w:r>
    </w:p>
    <w:p>
      <w:pPr>
        <w:spacing w:after="0" w:line="164" w:lineRule="exact"/>
        <w:rPr>
          <w:rFonts w:ascii="Times New Roman" w:cs="Times New Roman" w:eastAsia="Times New Roman" w:hAnsi="Times New Roman"/>
          <w:sz w:val="17"/>
          <w:szCs w:val="17"/>
          <w:color w:val="auto"/>
        </w:rPr>
      </w:pPr>
    </w:p>
    <w:p>
      <w:pPr>
        <w:ind w:left="660" w:right="20" w:firstLine="644"/>
        <w:spacing w:after="0" w:line="266" w:lineRule="auto"/>
        <w:tabs>
          <w:tab w:leader="none" w:pos="18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pay dividends within 60 days after the date of declaration thereof if at such date of declaration such dividend would have been permitted under this Section 7.6, so long as no Default or Event of Default shall have occurred and be continuing or would result therefrom;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83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Payments if, after giving pro forma effect to such Restricted Payment, the Consolidated Leverage Ratio is not greater than 3.50 to 1.00, and so long as no Default or Event of Default shall have occurred and be continuing or would result therefrom.</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Group Member’s action or event meets the criteria of more than one of the types of Restricted Payments described in the clauses above, the Borrower in its sole discretion may classify (and reclassify) such action or event in one or more clauses (including in part under one such clause and in part under another such clause).</w:t>
      </w:r>
    </w:p>
    <w:p>
      <w:pPr>
        <w:spacing w:after="0" w:line="17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7.7 Investments</w:t>
      </w:r>
      <w:r>
        <w:rPr>
          <w:rFonts w:ascii="Times New Roman" w:cs="Times New Roman" w:eastAsia="Times New Roman" w:hAnsi="Times New Roman"/>
          <w:sz w:val="18"/>
          <w:szCs w:val="18"/>
          <w:color w:val="auto"/>
        </w:rPr>
        <w:t>. Make any advance, loan, extension of credit (by way of guarantee or otherwise) or capital contribution to, or purchase any Capital Stock, bonds, notes, debentures or other debt securities of, or any assets constituting a business unit of, or make any other investment in, any other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7" w:name="page158"/>
    <w:bookmarkEnd w:id="157"/>
    <w:p>
      <w:pPr>
        <w:ind w:right="60"/>
        <w:spacing w:after="0" w:line="266" w:lineRule="auto"/>
        <w:rPr>
          <w:sz w:val="20"/>
          <w:szCs w:val="20"/>
          <w:color w:val="auto"/>
        </w:rPr>
      </w:pPr>
      <w:r>
        <w:rPr>
          <w:rFonts w:ascii="Times New Roman" w:cs="Times New Roman" w:eastAsia="Times New Roman" w:hAnsi="Times New Roman"/>
          <w:sz w:val="18"/>
          <w:szCs w:val="18"/>
          <w:color w:val="auto"/>
        </w:rPr>
        <w:t>Person (all of the foregoing,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it being understood that the amount, as of any date of determination,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Responsible Officer) except:</w:t>
      </w:r>
    </w:p>
    <w:p>
      <w:pPr>
        <w:spacing w:after="0" w:line="176" w:lineRule="exact"/>
        <w:rPr>
          <w:sz w:val="20"/>
          <w:szCs w:val="20"/>
          <w:color w:val="auto"/>
        </w:rPr>
      </w:pPr>
    </w:p>
    <w:p>
      <w:pPr>
        <w:ind w:left="660" w:right="280" w:firstLine="644"/>
        <w:spacing w:after="0" w:line="282" w:lineRule="auto"/>
        <w:tabs>
          <w:tab w:leader="none" w:pos="182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Investments received in satisfaction or partial satisfaction thereof from financially troubled account debtors and other credits to suppliers in the ordinary course of business;</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Equivalents;</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permitted by Section 7.2;</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3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employees of any Group Member in the ordinary course of business (including for travel, entertainment and relocation expenses) in an aggregate amount not to exceed $15,000,000 in any fiscal year;</w:t>
      </w:r>
    </w:p>
    <w:p>
      <w:pPr>
        <w:spacing w:after="0" w:line="161"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2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useful in the business of the Borrower and its Subsidiaries made by the Borrower or any of its Subsidiaries with the proceeds of any Reinvestment Deferred Amount;</w:t>
      </w:r>
    </w:p>
    <w:p>
      <w:pPr>
        <w:spacing w:after="0" w:line="161"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Investments by any Group Member in the Borrower or any Person that, prior to such investment, is a Subsidiary;</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ABG permitted by Section 7.6 in the form of loans and advances;</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listed on Schedule 7.7(k);</w:t>
      </w:r>
    </w:p>
    <w:p>
      <w:pPr>
        <w:spacing w:after="0" w:line="225" w:lineRule="exact"/>
        <w:rPr>
          <w:rFonts w:ascii="Times New Roman" w:cs="Times New Roman" w:eastAsia="Times New Roman" w:hAnsi="Times New Roman"/>
          <w:sz w:val="18"/>
          <w:szCs w:val="18"/>
          <w:color w:val="auto"/>
        </w:rPr>
      </w:pPr>
    </w:p>
    <w:p>
      <w:pPr>
        <w:ind w:left="660" w:firstLine="644"/>
        <w:spacing w:after="0" w:line="254" w:lineRule="auto"/>
        <w:tabs>
          <w:tab w:leader="none" w:pos="179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(or, in the case of consideration consisting of assets, fair market value) of the consideration paid by the Borrower and the Subsidiary Guarantors (net of acquired cash and Cash Equivalents and excluding consideration in respect of acquired vehicles as long as (i) the purchase price for such vehicles does not exceed their fair market value and (ii) such vehicles will be financed in the Borrower’s normal operation of its business through the AESOP Financing Program, the Centre Point Financing Program or any other similar financing program, or will be replaced with vehicles financed through the AESOP Financing Program, the Centre Point Financing Program or any other similar financing program) for Permitted Acquisitions of Persons that shall not become Loan Parties (including any merger where such Loan Party (or a Subsidiary that becomes a Loan Party) is the surviving entity) or of assets that shall not be acquired by Loan Parties, in each case pursuant to Section 6.9, after the Restatement Effective Date, shall not exceed 15.0% of Consolidated Tangible Assets at any one time;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ind w:right="20" w:firstLine="644"/>
        <w:spacing w:after="0" w:line="282" w:lineRule="auto"/>
        <w:tabs>
          <w:tab w:leader="none" w:pos="122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Liens, Indebtedness, fundamental changes, Dispositions, Restricted Payments permitted under Sections 7.2, 7.3, 7.4, 7.5 or 7.6 respectively;</w:t>
      </w:r>
    </w:p>
    <w:p>
      <w:pPr>
        <w:spacing w:after="0" w:line="161"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seller-financing or other non-cash consideration received in connection with Dispositions permitted by Section 7.5;</w:t>
      </w:r>
    </w:p>
    <w:p>
      <w:pPr>
        <w:spacing w:after="0" w:line="225" w:lineRule="exact"/>
        <w:rPr>
          <w:rFonts w:ascii="Times New Roman" w:cs="Times New Roman" w:eastAsia="Times New Roman" w:hAnsi="Times New Roman"/>
          <w:sz w:val="18"/>
          <w:szCs w:val="18"/>
          <w:color w:val="auto"/>
        </w:rPr>
      </w:pPr>
    </w:p>
    <w:p>
      <w:pPr>
        <w:ind w:right="140" w:firstLine="644"/>
        <w:spacing w:after="0" w:line="266" w:lineRule="auto"/>
        <w:tabs>
          <w:tab w:leader="none" w:pos="117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Subsidiary may make Investments to purchase Capital Stock in any joint venture entity in which any Group Member owns an equity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purchases of Capital Stock in any joint venture entity in which such Group Member does not own a majority equity interest shall not exceed $100,000,000;</w:t>
      </w:r>
    </w:p>
    <w:p>
      <w:pPr>
        <w:spacing w:after="0" w:line="175" w:lineRule="exact"/>
        <w:rPr>
          <w:rFonts w:ascii="Times New Roman" w:cs="Times New Roman" w:eastAsia="Times New Roman" w:hAnsi="Times New Roman"/>
          <w:sz w:val="18"/>
          <w:szCs w:val="18"/>
          <w:color w:val="auto"/>
        </w:rPr>
      </w:pPr>
    </w:p>
    <w:p>
      <w:pPr>
        <w:ind w:firstLine="644"/>
        <w:spacing w:after="0" w:line="256" w:lineRule="auto"/>
        <w:tabs>
          <w:tab w:leader="none" w:pos="117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expressly permitted by this Section, Investments by the Borrower or any of its Subsidiaries in an aggregate amount (valued at cost) not to exceed $400,000,000 after the Restatement Effective Date during the term of this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amount of the Net Cash Proceeds received by the Borrower or any Subsidiary of any returns (whether by dividend, interest, distributions, returns of capital, repayments or otherwise) on Investments made under this clause (p);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Investments made by a Loan Party in a Foreign Subsidiary to fund all or a portion of an Investment to be made by a Foreign Subsidiary in reliance on this Section 7.7(p) shall be permitted and shall not reduce the Investment capacity available under any other Section;</w:t>
      </w:r>
    </w:p>
    <w:p>
      <w:pPr>
        <w:spacing w:after="0" w:line="187"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44"/>
        <w:spacing w:after="0" w:line="266" w:lineRule="auto"/>
        <w:tabs>
          <w:tab w:leader="none" w:pos="11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or consolidates or merges with the Borrower or any Subsidiary (including in connection with a Specified Transaction) so long as such Investments were not made in contemplation of such Person becoming a Subsidiary or of such consolidated or merger, and any modification, replacement renewal, reinvestment or extension thereof;</w:t>
      </w:r>
    </w:p>
    <w:p>
      <w:pPr>
        <w:spacing w:after="0" w:line="175"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intercompany notes and receivables issued in respect of transfers of Foreign Subsidiaries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7.5(o);</w:t>
      </w:r>
    </w:p>
    <w:p>
      <w:pPr>
        <w:spacing w:after="0" w:line="206" w:lineRule="exact"/>
        <w:rPr>
          <w:rFonts w:ascii="Times New Roman" w:cs="Times New Roman" w:eastAsia="Times New Roman" w:hAnsi="Times New Roman"/>
          <w:sz w:val="18"/>
          <w:szCs w:val="18"/>
          <w:color w:val="auto"/>
        </w:rPr>
      </w:pPr>
    </w:p>
    <w:p>
      <w:pPr>
        <w:ind w:left="1120" w:hanging="476"/>
        <w:spacing w:after="0"/>
        <w:tabs>
          <w:tab w:leader="none" w:pos="11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 aggregate amount not to exceed the Available Amount on the date such Investments are made;</w:t>
      </w:r>
    </w:p>
    <w:p>
      <w:pPr>
        <w:spacing w:after="0" w:line="225"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 aggregate amount not to exceed $40,000,000, less the amount of Restricted Payments made under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7.6(d)(ii) and payments made under Section 7.8(a)(vii);</w:t>
      </w:r>
    </w:p>
    <w:p>
      <w:pPr>
        <w:spacing w:after="0" w:line="207" w:lineRule="exact"/>
        <w:rPr>
          <w:sz w:val="20"/>
          <w:szCs w:val="20"/>
          <w:color w:val="auto"/>
        </w:rPr>
      </w:pPr>
    </w:p>
    <w:p>
      <w:pPr>
        <w:ind w:left="1160" w:hanging="516"/>
        <w:spacing w:after="0"/>
        <w:tabs>
          <w:tab w:leader="none" w:pos="11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Avis Europe Acquisition;</w:t>
      </w:r>
    </w:p>
    <w:p>
      <w:pPr>
        <w:spacing w:after="0" w:line="225" w:lineRule="exact"/>
        <w:rPr>
          <w:rFonts w:ascii="Times New Roman" w:cs="Times New Roman" w:eastAsia="Times New Roman" w:hAnsi="Times New Roman"/>
          <w:sz w:val="18"/>
          <w:szCs w:val="18"/>
          <w:color w:val="auto"/>
        </w:rPr>
      </w:pPr>
    </w:p>
    <w:p>
      <w:pPr>
        <w:ind w:right="40" w:firstLine="644"/>
        <w:spacing w:after="0" w:line="312" w:lineRule="auto"/>
        <w:tabs>
          <w:tab w:leader="none" w:pos="121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made by the Borrower or any of its Subsidiaries of any Foreign Subsidiary or any holding company formed in connection with the Avis Europe Acquisition and any contribution by the Borrower or any of its Subsidiaries of any such entity to any Subsidiary;</w:t>
      </w:r>
    </w:p>
    <w:p>
      <w:pPr>
        <w:spacing w:after="0" w:line="139" w:lineRule="exact"/>
        <w:rPr>
          <w:rFonts w:ascii="Times New Roman" w:cs="Times New Roman" w:eastAsia="Times New Roman" w:hAnsi="Times New Roman"/>
          <w:sz w:val="17"/>
          <w:szCs w:val="17"/>
          <w:color w:val="auto"/>
        </w:rPr>
      </w:pPr>
    </w:p>
    <w:p>
      <w:pPr>
        <w:ind w:firstLine="644"/>
        <w:spacing w:after="0" w:line="282" w:lineRule="auto"/>
        <w:tabs>
          <w:tab w:leader="none" w:pos="117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Escrowed Debt Issuer in an amount necessary to fund required payments with respect to Escrowed Debt issued by such Escrowed Debt Issuer; and</w:t>
      </w:r>
    </w:p>
    <w:p>
      <w:pPr>
        <w:spacing w:after="0" w:line="161"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Investments if, after giving pro forma effect to such Investment, the Consolidated Leverage Ratio is not greater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to 1.00, and so long as no Default or Event of Default shall have occurred and be continuing or would result therefrom.</w:t>
      </w:r>
    </w:p>
    <w:p>
      <w:pPr>
        <w:spacing w:after="0" w:line="2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159" w:name="page160"/>
    <w:bookmarkEnd w:id="159"/>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the Group Member’s action or event meets the criteria of more than one of the types of Investments described in the clauses above, the Borrower in its sole discretion may classify (and reclassify) such action or event in one or more clauses (including in part under one such clause and in part under another such clause) and (ii) the Borrower and its Subsidiaries may not make any Investment in an Excluded Person except to the extent permitted by Section 7.7(p).</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7.8</w:t>
      </w:r>
      <w:r>
        <w:rPr>
          <w:sz w:val="20"/>
          <w:szCs w:val="20"/>
          <w:color w:val="auto"/>
        </w:rPr>
        <w:tab/>
      </w:r>
      <w:r>
        <w:rPr>
          <w:rFonts w:ascii="Times New Roman" w:cs="Times New Roman" w:eastAsia="Times New Roman" w:hAnsi="Times New Roman"/>
          <w:sz w:val="17"/>
          <w:szCs w:val="17"/>
          <w:u w:val="single" w:color="auto"/>
          <w:color w:val="auto"/>
        </w:rPr>
        <w:t>Optional Payments and Modifications of Certain Agreements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firstLine="1304"/>
        <w:spacing w:after="0" w:line="256" w:lineRule="auto"/>
        <w:tabs>
          <w:tab w:leader="none" w:pos="1431" w:val="left"/>
        </w:tabs>
        <w:numPr>
          <w:ilvl w:val="0"/>
          <w:numId w:val="1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Make or offer to make any optional or voluntary prepayment, repurchase or redemption of or otherwise optionally or voluntarily defease or segregate funds with respect to the Indebtedness permitted by Section 7.2(h), (v) or (y) (other than any prepayments, repurchases or redemptions of scheduled payments of such Indebtedness within one year of the scheduled date when due so long as (i) after giving pro forma effect to such prepayment, repurchase or redemption, the aggregate amount of cash and Cash Equivalents of the Borrower and its Subsidiaries at such time determined on a consolidated basis in accordance with GAAP exceeds $100,000,000 and (ii) no Revolving Loans or Swingline Loans are outstanding on the date of such prepayment, repurchase or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ind w:left="1780" w:hanging="476"/>
        <w:spacing w:after="0"/>
        <w:tabs>
          <w:tab w:leader="none" w:pos="17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may be repaid, prepaid, repurchased or redeemed in connection with a Permitted Refinancing;</w:t>
      </w:r>
    </w:p>
    <w:p>
      <w:pPr>
        <w:spacing w:after="0" w:line="225"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8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Borrower or its Subsidiaries may be repaid, prepaid, repurchased or redeemed with the proceeds of any Incremental Term Loans so long as (x) as of the date of such notice to repay, prepay, repurchase or redeem, no Default or Event of Default shall have occurred and be continuing or would result therefrom after giving pro forma effect thereto, (y) after giving pro forma effect to such prepayment, repayment, repurchase or redemption, the Consolidated Secured Leverage Ratio is less than 2.00 to 1.00 and (z) no Revolving Loans or Swingline Loans are outstanding on the date of such prepayment, repayment, repurchase or redemption;</w:t>
      </w:r>
    </w:p>
    <w:p>
      <w:pPr>
        <w:spacing w:after="0" w:line="183" w:lineRule="exact"/>
        <w:rPr>
          <w:rFonts w:ascii="Times New Roman" w:cs="Times New Roman" w:eastAsia="Times New Roman" w:hAnsi="Times New Roman"/>
          <w:sz w:val="18"/>
          <w:szCs w:val="18"/>
          <w:color w:val="auto"/>
        </w:rPr>
      </w:pPr>
    </w:p>
    <w:p>
      <w:pPr>
        <w:ind w:left="660" w:right="60" w:firstLine="644"/>
        <w:spacing w:after="0" w:line="253" w:lineRule="auto"/>
        <w:tabs>
          <w:tab w:leader="none" w:pos="189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of the Borrower or its Subsidiaries may be repaid, prepaid, repurchased or redeemed so long as (w) no Default or Event of Default shall have occurred and be continuing or would result therefrom as of the date of such notice to repay, prepay, repurchase or redeem, (x) after giving pro forma effect to such prepayment, repayment, repurchase or redemption, (1) the Consolidated Leverage Ratio is less than 4.00 to 1.00 and (2) the Consolidated Secured Leverage Ratio is less than 2.00 to 1.00, (y) no Revolving Loans or Swingline Loans are outstanding on the date of such prepayment, repayment, repurchase or redemption and (z) such prepayment, repayment, repurchase or redemption shall not be made with the proceeds of any borrowings under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the requirements of (w), (y) and (z) above are satisfied and (B) after giving pro forma effect to such prepayment, repayment, repurchase or redemption, the Consolidated Secured Leverage Ratio is less than 2.00 to 1.00, any Indebtedness of the Borrower or its Subsidiaries may be repaid, prepaid, repurchased or redeemed for consideration (including any premium paid in connection therewith) in an aggregate amount not to exceed $200,000,000;</w:t>
      </w:r>
    </w:p>
    <w:p>
      <w:pPr>
        <w:spacing w:after="0" w:line="194"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in an aggregate principal amount not to exceed $250,000,000 may be repaid, prepaid, repurchased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w:t>
      </w:r>
    </w:p>
    <w:p>
      <w:pPr>
        <w:spacing w:after="0" w:line="206" w:lineRule="exact"/>
        <w:rPr>
          <w:rFonts w:ascii="Times New Roman" w:cs="Times New Roman" w:eastAsia="Times New Roman" w:hAnsi="Times New Roman"/>
          <w:sz w:val="18"/>
          <w:szCs w:val="18"/>
          <w:color w:val="auto"/>
        </w:rPr>
      </w:pPr>
    </w:p>
    <w:p>
      <w:pPr>
        <w:ind w:left="660" w:right="460" w:firstLine="644"/>
        <w:spacing w:after="0" w:line="282" w:lineRule="auto"/>
        <w:tabs>
          <w:tab w:leader="none" w:pos="183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may be repaid, prepaid, repurchased or redeemed in an aggregate amount not to exceed the Available Amount on the date such payments are made;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0" w:name="page161"/>
    <w:bookmarkEnd w:id="160"/>
    <w:p>
      <w:pPr>
        <w:ind w:left="660" w:right="260" w:firstLine="644"/>
        <w:spacing w:after="0" w:line="282" w:lineRule="auto"/>
        <w:tabs>
          <w:tab w:leader="none" w:pos="188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in an aggregate amount not to exceed $40,000,000, less the amount of Restricted Payments made under Section 7.6(d)(ii) and Investments made under Section 7.7(u) may be repaid, prepaid, repurchased or redeemed; and</w:t>
      </w:r>
    </w:p>
    <w:p>
      <w:pPr>
        <w:spacing w:after="0" w:line="161" w:lineRule="exact"/>
        <w:rPr>
          <w:rFonts w:ascii="Times New Roman" w:cs="Times New Roman" w:eastAsia="Times New Roman" w:hAnsi="Times New Roman"/>
          <w:sz w:val="18"/>
          <w:szCs w:val="18"/>
          <w:color w:val="auto"/>
        </w:rPr>
      </w:pPr>
    </w:p>
    <w:p>
      <w:pPr>
        <w:ind w:left="660" w:right="140" w:firstLine="644"/>
        <w:spacing w:after="0" w:line="266" w:lineRule="auto"/>
        <w:tabs>
          <w:tab w:leader="none" w:pos="193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may be repaid, prepaid, repurchased or redeemed if, after giving pro forma effect to such repayment, prepayment, repurchase or redemption and any related transactions, the Consolidated Leverage Ratio is not greater than 3.50 to 1.00, and so long as no Default or Event of Default shall have occurred and be continuing or would result therefrom.</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Group Member’s action or event meets the criteria of more than one of the types of payments described in the clauses above, the Borrower in its sole discretion may classify (and reclassify) such action or event in one or more clauses (including in part under one such clause and in part under another such clause), and</w:t>
      </w:r>
    </w:p>
    <w:p>
      <w:pPr>
        <w:spacing w:after="0" w:line="176" w:lineRule="exact"/>
        <w:rPr>
          <w:sz w:val="20"/>
          <w:szCs w:val="20"/>
          <w:color w:val="auto"/>
        </w:rPr>
      </w:pPr>
    </w:p>
    <w:p>
      <w:pPr>
        <w:ind w:firstLine="1304"/>
        <w:spacing w:after="0" w:line="256" w:lineRule="auto"/>
        <w:tabs>
          <w:tab w:leader="none" w:pos="182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or otherwise change, or consent or agree to any amendment, modification, waiver or other change to, any of the terms of the Senior Unsecured Notes in a manner materially adverse to the Lenders or (c) amend, modify, waive or otherwise change, or consent or agree to any amendment, modification, waiver or other change to, any of the terms of the Separation Agreement or the Tax Sharing Agreement in a manner materially adverse to the Lenders, it being understood that an increase of the obligations or potential liability of ABG resulting from any such amendment, modification or other change to the Separation Agreement or Tax Sharing Agreement shall not, in and of itself, be regarded as materially adverse to the Lenders.</w:t>
      </w:r>
    </w:p>
    <w:p>
      <w:pPr>
        <w:spacing w:after="0" w:line="187"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7.9 Transactions with Affiliates</w:t>
      </w:r>
      <w:r>
        <w:rPr>
          <w:rFonts w:ascii="Times New Roman" w:cs="Times New Roman" w:eastAsia="Times New Roman" w:hAnsi="Times New Roman"/>
          <w:sz w:val="18"/>
          <w:szCs w:val="18"/>
          <w:color w:val="auto"/>
        </w:rPr>
        <w:t>. Enter into any transaction (other than (i) transactions listed on Schedule 7.9, (ii) transactions permitted by Section 7.6, (iii) Investments permitted by Section 7.7 and (v) issuances of Capital Stock, including any servicing agreement, purchase, sale, lease or exchange of property, the rendering of any service or the payment of any management, advisory or similar fees, with any Affiliate (other than Holdings, the Borrower or any Subsidiary) unless such transaction is upon terms taken as a whole no less favorable to the relevant Group Member than it would obtain in a comparable arm’s length transaction with a Person that is not an Affiliate.</w:t>
      </w:r>
    </w:p>
    <w:p>
      <w:pPr>
        <w:spacing w:after="0" w:line="183"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7.10 Sales and Leasebacks</w:t>
      </w:r>
      <w:r>
        <w:rPr>
          <w:rFonts w:ascii="Times New Roman" w:cs="Times New Roman" w:eastAsia="Times New Roman" w:hAnsi="Times New Roman"/>
          <w:sz w:val="18"/>
          <w:szCs w:val="18"/>
          <w:color w:val="auto"/>
        </w:rPr>
        <w:t>. Enter into any arrangement with any Person providing for the leasing by any Group Member of real or personal property that has been or is to be sold or transferred by such Group Member to such Person or to any other Person to whom funds have been or are to be advanced by such Person on the security of such property or rental obligations of such Group Member except so long as such sale of the asset would be permitted under this Agreement.</w:t>
      </w:r>
    </w:p>
    <w:p>
      <w:pPr>
        <w:spacing w:after="0" w:line="180"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7.11 Changes in Fiscal Periods</w:t>
      </w:r>
      <w:r>
        <w:rPr>
          <w:rFonts w:ascii="Times New Roman" w:cs="Times New Roman" w:eastAsia="Times New Roman" w:hAnsi="Times New Roman"/>
          <w:sz w:val="18"/>
          <w:szCs w:val="18"/>
          <w:color w:val="auto"/>
        </w:rPr>
        <w:t>. Permit the fiscal year of the Borrower to end on a day other than December 31 or change the Borrower’s method of determining fiscal quarters.</w:t>
      </w:r>
    </w:p>
    <w:p>
      <w:pPr>
        <w:spacing w:after="0" w:line="16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7.12 Clauses Restricting Subsidiary Distributions</w:t>
      </w:r>
      <w:r>
        <w:rPr>
          <w:rFonts w:ascii="Times New Roman" w:cs="Times New Roman" w:eastAsia="Times New Roman" w:hAnsi="Times New Roman"/>
          <w:sz w:val="18"/>
          <w:szCs w:val="18"/>
          <w:color w:val="auto"/>
        </w:rPr>
        <w:t>. Enter into or suffer to exist or become effective any consensual encumbrance or restriction on the ability of any Subsidiary of the Borrower (other than a Securitization Entity) to (a) make Restricted Payments in respect of any Capital Stock of such Subsidiary held by, or pay any Indebtedness owed to, the Borrower or any other Subsidiary of the Borrower, (b) make loans or advances to, or other Investments in, the Borrower or any other Subsidiary of the Borrower or (c) transfer any of its assets to the Borrower or any other Subsidiary of the Borrower, except for such encumbrances or restrictions existing under or by reason of (i) any restrictions existing under the Loan Documents, (ii) any restrictions with respect to a Subsidiary or assets imposed pursuant to an agreement that has been entered into in connection with the Disposition of all or substantially all of the Capital Stock or assets of such Subsidiary or such assets other than the Senior Unsecured Note Indenture and such other agreements listed on Schedule 7.12, (iii) restrictions which are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ind w:right="140"/>
        <w:spacing w:after="0" w:line="257" w:lineRule="auto"/>
        <w:rPr>
          <w:sz w:val="20"/>
          <w:szCs w:val="20"/>
          <w:color w:val="auto"/>
        </w:rPr>
      </w:pPr>
      <w:r>
        <w:rPr>
          <w:rFonts w:ascii="Times New Roman" w:cs="Times New Roman" w:eastAsia="Times New Roman" w:hAnsi="Times New Roman"/>
          <w:sz w:val="18"/>
          <w:szCs w:val="18"/>
          <w:color w:val="auto"/>
        </w:rPr>
        <w:t>not more restrictive than those contained in this Agreement contained in any documents governing any Indebtedness incurred in accordance with the provisions of this Agreement, (iv) any documents relating to joint ventures to the extent that such joint ventures are not prohibited hereunder, (v) any agreement in effect at the time a Person became a Subsidiary or assets are first acquired pursuant to an Investment permitted under Section 7.7, so long as</w:t>
      </w:r>
    </w:p>
    <w:p>
      <w:pPr>
        <w:spacing w:after="0" w:line="1" w:lineRule="exact"/>
        <w:rPr>
          <w:sz w:val="20"/>
          <w:szCs w:val="20"/>
          <w:color w:val="auto"/>
        </w:rPr>
      </w:pPr>
    </w:p>
    <w:p>
      <w:pPr>
        <w:ind w:firstLine="8"/>
        <w:spacing w:after="0" w:line="251" w:lineRule="auto"/>
        <w:tabs>
          <w:tab w:leader="none" w:pos="2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agreement was not entered into solely in contemplation of such Investment and (y) such encumbrance or restriction applies only to such Person and assets, (vi) any agreement, including with respect to Indebtedness, of a Foreign Subsidiary permitted pursuant to this Agreement so long as such prohibitions or limitations are only with respect to such Foreign Subsidiary and its assets or any Subsidiary of such Foreign Subsidiary; (vii) with respect to the restrictions in clause (c), (x) restrictions or conditions imposed by any agreement relating to secured debt permitted by this Agreement if such restrictions or conditions apply only to the property or assets securing such debt, and (y) customary provisions in leases, licenses or contracts restricting assignability or subleasing prohibit the granting of Liens on the rights contained therein and (viii) restrictions imposed by any agreement governing Indebtedness incurred after the Restatement Effective Date and permitted under Section 7.2 that are, taken as a whole, in the good faith judgment of the Borrower, no more restrictive with respect to the Borrower or any Subsidiary than customary market terms for Indebtedness of such type, so long as the Borrower shall have determined in good faith that such restrictions will not adversely affect in any material respect its or any Subsidiary’s obligations or ability to make any payments required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loans made by the Borrower or any Subsidiary to any other Subsidiary that is a Securitization Entity or a partner or direct equity owner of a Securitization Entity may be subject to customary repayment restrictions required by the lenders to such Securitization Entity.</w:t>
      </w:r>
    </w:p>
    <w:p>
      <w:pPr>
        <w:spacing w:after="0" w:line="19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7.13 Lines of Business</w:t>
      </w:r>
      <w:r>
        <w:rPr>
          <w:rFonts w:ascii="Times New Roman" w:cs="Times New Roman" w:eastAsia="Times New Roman" w:hAnsi="Times New Roman"/>
          <w:sz w:val="18"/>
          <w:szCs w:val="18"/>
          <w:color w:val="auto"/>
        </w:rPr>
        <w:t>. Enter into, either directly or through any Subsidiary, any material business that is not related, complementary, synergistic, incidental or ancillary to those businesses in which the Borrower and its Subsidiaries are engaged on the date of this Agreement, or extensions, developments or expansions thereof.</w:t>
      </w:r>
    </w:p>
    <w:p>
      <w:pPr>
        <w:spacing w:after="0" w:line="176"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7.14 Business Activities of Holdings</w:t>
      </w:r>
      <w:r>
        <w:rPr>
          <w:rFonts w:ascii="Times New Roman" w:cs="Times New Roman" w:eastAsia="Times New Roman" w:hAnsi="Times New Roman"/>
          <w:sz w:val="18"/>
          <w:szCs w:val="18"/>
          <w:color w:val="auto"/>
        </w:rPr>
        <w:t>. In the case of Holdings, (i) conduct, transact or otherwise engage in, or commit to conduct, transact or otherwise engage in, any business or operations other than those incidental to its ownership of the Capital Stock of the Borrower, (ii) incur, create, assume or suffer to exist any Indebtedness or other liabilities or financial obligations, except (w) Guarantee Obligations permitted pursuant to Section 7.2(c) and 7.2(i), (x) nonconsensual obligations imposed by operation of law, (y) obligations pursuant to the Loan Documents to which it is a party and (z) obligations with respect to its Capital Stock, or (iii) own, lease, manage or otherwise operate any properties or assets (including cash (other than cash received in connection with dividends made by the Borrower in accordance with Section 7.6 pending application in the manner contemplated by said Section) and cash equivalents (other than cash received from capital contributions to, or the issuance of Capital Stock by Holdings) other than the ownership of shares of Capital Stock of the Borrower.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207" w:lineRule="exact"/>
        <w:rPr>
          <w:sz w:val="20"/>
          <w:szCs w:val="20"/>
          <w:color w:val="auto"/>
        </w:rPr>
      </w:pPr>
    </w:p>
    <w:p>
      <w:pPr>
        <w:ind w:left="660" w:right="220" w:firstLine="644"/>
        <w:spacing w:after="0" w:line="261" w:lineRule="auto"/>
        <w:tabs>
          <w:tab w:leader="none" w:pos="182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Borrower shall fail to pay any principal of any Loan or Reimbursement Obligation when due in accordance with the terms hereof; or the Borrower or any Subsidiary Borrower shall fail to pay any interest on any Loan or Reimbursement Obligation, or any other amount payable hereunder or under any other Loan Document, within five days after any such interest or other amount becomes due in accordance with the terms hereof; 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2" w:name="page163"/>
    <w:bookmarkEnd w:id="162"/>
    <w:p>
      <w:pPr>
        <w:ind w:left="4" w:right="280" w:firstLine="644"/>
        <w:spacing w:after="0" w:line="289" w:lineRule="auto"/>
        <w:tabs>
          <w:tab w:leader="none" w:pos="1177"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false or misleading in any material respect on or as of the date made or delivered; or</w:t>
      </w:r>
    </w:p>
    <w:p>
      <w:pPr>
        <w:spacing w:after="0" w:line="157" w:lineRule="exact"/>
        <w:rPr>
          <w:rFonts w:ascii="Times New Roman" w:cs="Times New Roman" w:eastAsia="Times New Roman" w:hAnsi="Times New Roman"/>
          <w:sz w:val="17"/>
          <w:szCs w:val="17"/>
          <w:color w:val="auto"/>
        </w:rPr>
      </w:pPr>
    </w:p>
    <w:p>
      <w:pPr>
        <w:jc w:val="both"/>
        <w:ind w:left="4" w:right="280" w:firstLine="644"/>
        <w:spacing w:after="0" w:line="266" w:lineRule="auto"/>
        <w:tabs>
          <w:tab w:leader="none" w:pos="116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default in the observance or performance of any agreement contained in clause (i) or (ii) of Section 6.4(a) (with respect to Holdings and the Borrower only), Section 6.7(a) or Section 7 of this Agreement or Sections 6.4 or 6.6(b) of the Guarantee and Collateral Agreement; or</w:t>
      </w:r>
    </w:p>
    <w:p>
      <w:pPr>
        <w:spacing w:after="0" w:line="175" w:lineRule="exact"/>
        <w:rPr>
          <w:rFonts w:ascii="Times New Roman" w:cs="Times New Roman" w:eastAsia="Times New Roman" w:hAnsi="Times New Roman"/>
          <w:sz w:val="18"/>
          <w:szCs w:val="18"/>
          <w:color w:val="auto"/>
        </w:rPr>
      </w:pPr>
    </w:p>
    <w:p>
      <w:pPr>
        <w:ind w:left="4" w:right="140" w:firstLine="644"/>
        <w:spacing w:after="0" w:line="266" w:lineRule="auto"/>
        <w:tabs>
          <w:tab w:leader="none" w:pos="117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Borrower from the Administrative Agent or the Required Lenders; or</w:t>
      </w:r>
    </w:p>
    <w:p>
      <w:pPr>
        <w:spacing w:after="0" w:line="175" w:lineRule="exact"/>
        <w:rPr>
          <w:rFonts w:ascii="Times New Roman" w:cs="Times New Roman" w:eastAsia="Times New Roman" w:hAnsi="Times New Roman"/>
          <w:sz w:val="18"/>
          <w:szCs w:val="18"/>
          <w:color w:val="auto"/>
        </w:rPr>
      </w:pPr>
    </w:p>
    <w:p>
      <w:pPr>
        <w:ind w:left="4" w:firstLine="644"/>
        <w:spacing w:after="0" w:line="251" w:lineRule="auto"/>
        <w:tabs>
          <w:tab w:leader="none" w:pos="116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Group Member shall (i) default in making any payment of any principal of any Indebtedness (including any Guarantee Obligation and any Ancillary Letter of Credit Facility, </w:t>
      </w:r>
      <w:r>
        <w:rPr>
          <w:rFonts w:ascii="Times New Roman" w:cs="Times New Roman" w:eastAsia="Times New Roman" w:hAnsi="Times New Roman"/>
          <w:sz w:val="18"/>
          <w:szCs w:val="18"/>
          <w:b w:val="1"/>
          <w:bCs w:val="1"/>
          <w:u w:val="single" w:color="auto"/>
          <w:color w:val="0000FF"/>
        </w:rPr>
        <w:t>Supply Chain Finance Program</w:t>
      </w:r>
      <w:r>
        <w:rPr>
          <w:rFonts w:ascii="Times New Roman" w:cs="Times New Roman" w:eastAsia="Times New Roman" w:hAnsi="Times New Roman"/>
          <w:sz w:val="18"/>
          <w:szCs w:val="18"/>
          <w:color w:val="auto"/>
        </w:rPr>
        <w:t xml:space="preserve"> but excluding the Loans) on the scheduled or original due date with respect thereto; or (ii) 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provided that such failure is unremedied and is not waived by the holders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a default, event or condition described in clause (i), (ii) or (iii) of this paragraph (e) shall not at any time constitute an Event of Default unless, at such time, one or more defaults, events or conditions of the type described in clauses (i), (ii) and (iii) of this paragraph (e) shall have occurred and be continuing with respect to Indebtedness (x) the outstanding principal amount of which exceeds in the aggregate $50,000,000, (y) in the case of such Indebtedness which is Securitization Indebtedness (including AESOP Indebtedness and Centre Point Indebtedness), (1) an amortization or termination event pursuant to a securitization program prior to the end of the scheduled term or revolving period thereunder shall have occurred,</w:t>
      </w:r>
    </w:p>
    <w:p>
      <w:pPr>
        <w:spacing w:after="0" w:line="11"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shall become unable to finance the purchase of vehicles and (3) the Borrower shall have failed, by the 45th day after the occurrence of an event referred to in clause (y)(1) and the expiration of all grace periods applicable thereto, to either (A) replace such securitization program with an alternative source of financing having terms not materially adverse to the Lenders from the program being replaced or having terms acceptable to the Required Lenders, or (B) obtain a waiver with respect to the occurrence of such event from the applicable required noteholders or lenders under such securitization program. Upon the entering into of any replacement facility referred to in clause (y)(1) (A), the Borrower shall deliver to the Administrative Agent a written officer’s certificate providing that the Borrower has sufficient vehicle financing arrangements available to it to carry-on its business activities consistent, in all material respects, with its past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any such event of default under any Ancillary Letter of Credit Facility, regardless of whether the outstanding principal amount thereof exceeds $50,000,000, that remains unremedied or not waived by the</w:t>
      </w:r>
    </w:p>
    <w:p>
      <w:pPr>
        <w:spacing w:after="0" w:line="193"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63" w:name="page164"/>
    <w:bookmarkEnd w:id="163"/>
    <w:p>
      <w:pPr>
        <w:ind w:left="4" w:right="80"/>
        <w:spacing w:after="0" w:line="282" w:lineRule="auto"/>
        <w:rPr>
          <w:sz w:val="20"/>
          <w:szCs w:val="20"/>
          <w:color w:val="auto"/>
        </w:rPr>
      </w:pPr>
      <w:r>
        <w:rPr>
          <w:rFonts w:ascii="Times New Roman" w:cs="Times New Roman" w:eastAsia="Times New Roman" w:hAnsi="Times New Roman"/>
          <w:sz w:val="18"/>
          <w:szCs w:val="18"/>
          <w:color w:val="auto"/>
        </w:rPr>
        <w:t>holders of such Indebtedness for longer than 30 days, shall constitute an Event of Default, provided that such default remains unremedied and not waived; or</w:t>
      </w:r>
    </w:p>
    <w:p>
      <w:pPr>
        <w:spacing w:after="0" w:line="162" w:lineRule="exact"/>
        <w:rPr>
          <w:sz w:val="20"/>
          <w:szCs w:val="20"/>
          <w:color w:val="auto"/>
        </w:rPr>
      </w:pPr>
    </w:p>
    <w:p>
      <w:pPr>
        <w:ind w:left="4" w:firstLine="644"/>
        <w:spacing w:after="0" w:line="268" w:lineRule="auto"/>
        <w:tabs>
          <w:tab w:leader="none" w:pos="1147"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Group Member (other than any Subsidiary which is not a Significant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(other than any Subsidiary which is not a Significant Subsidiary) shall make a general assignment for the benefit of its creditors; or (ii) there shall be commenced against any Group Member any case, proceeding or other action of a nature referred to in clause (i) above that</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9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entry of an order for relief or any such adjudication or appointment or (B) remains undismissed or undischarged for a period of 60 days;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88" w:lineRule="exact"/>
        <w:rPr>
          <w:rFonts w:ascii="Times New Roman" w:cs="Times New Roman" w:eastAsia="Times New Roman" w:hAnsi="Times New Roman"/>
          <w:sz w:val="18"/>
          <w:szCs w:val="18"/>
          <w:color w:val="auto"/>
        </w:rPr>
      </w:pPr>
    </w:p>
    <w:p>
      <w:pPr>
        <w:ind w:left="4" w:right="20" w:firstLine="644"/>
        <w:spacing w:after="0" w:line="267" w:lineRule="auto"/>
        <w:tabs>
          <w:tab w:leader="none" w:pos="1222"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Person shall engage in any “prohibited transaction” (as defined in Section 406 of ERISA or Section 4975 of the Code) involving any Plan, (ii) any failure to satisfy the “minimum funding standard” (as defined in Section 302 of ERISA or Section 412 of the Code), whether or not waived, shall exist with respect to any Plan or any Lien in favor of the PBGC or a Plan shall arise on the assets of any Group Member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or be determined to be, or expected to be, “at risk” (within the meaning of Section 430 of the Code or Section 303 of ERISA), (v) any Group Member or any Commonly Controlled Entity shall, or in the reasonable opinion of the Required Lenders is likely to, incur any liability in connection with a withdrawal from, or the Insolvency of, a Multiemployer Plan (or any Multiemployer Plan is in “endangered” or “critical” status (within the meaning of Section 432 of the Code or Section 305 of ERISA)) or (vi) any other event or condition shall occur or exist with respect to a Plan; and in each case in clauses</w:t>
      </w:r>
    </w:p>
    <w:p>
      <w:pPr>
        <w:spacing w:after="0" w:line="2" w:lineRule="exact"/>
        <w:rPr>
          <w:rFonts w:ascii="Times New Roman" w:cs="Times New Roman" w:eastAsia="Times New Roman" w:hAnsi="Times New Roman"/>
          <w:sz w:val="17"/>
          <w:szCs w:val="17"/>
          <w:color w:val="auto"/>
        </w:rPr>
      </w:pPr>
    </w:p>
    <w:p>
      <w:pPr>
        <w:ind w:left="4"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through (vi) above, such event or condition, together with all other such events or conditions in this clause (g), if any, could reasonably be expected to have a Material Adverse Effect; or</w:t>
      </w:r>
    </w:p>
    <w:p>
      <w:pPr>
        <w:spacing w:after="0" w:line="181" w:lineRule="exact"/>
        <w:rPr>
          <w:rFonts w:ascii="Times New Roman" w:cs="Times New Roman" w:eastAsia="Times New Roman" w:hAnsi="Times New Roman"/>
          <w:sz w:val="17"/>
          <w:szCs w:val="17"/>
          <w:color w:val="auto"/>
        </w:rPr>
      </w:pPr>
    </w:p>
    <w:p>
      <w:pPr>
        <w:ind w:left="4" w:right="100" w:firstLine="644"/>
        <w:spacing w:after="0" w:line="266" w:lineRule="auto"/>
        <w:tabs>
          <w:tab w:leader="none" w:pos="117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against any Group Member involving in the aggregate a liability (to the extent not paid or fully covered by insurance provided by a carrier not disputing coverage) of $50,000,000 or more, and all such judgments or decrees shall not have been vacated, discharged, stayed or bonded pending appeal within 30 days from the entry thereof; or</w:t>
      </w:r>
    </w:p>
    <w:p>
      <w:pPr>
        <w:spacing w:after="0" w:line="176"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64" w:name="page165"/>
    <w:bookmarkEnd w:id="164"/>
    <w:p>
      <w:pPr>
        <w:ind w:left="660" w:firstLine="644"/>
        <w:spacing w:after="0" w:line="256" w:lineRule="auto"/>
        <w:tabs>
          <w:tab w:leader="none" w:pos="179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provision of any Security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with respect to any Collateral, other than Collateral having a de minimus value (unless </w:t>
      </w:r>
      <w:r>
        <w:rPr>
          <w:rFonts w:ascii="Times New Roman" w:cs="Times New Roman" w:eastAsia="Times New Roman" w:hAnsi="Times New Roman"/>
          <w:sz w:val="18"/>
          <w:szCs w:val="18"/>
          <w:color w:val="FF0000"/>
          <w:strike w:val="1"/>
        </w:rPr>
        <w:t>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action or inaction by</w:t>
      </w:r>
      <w:r>
        <w:rPr>
          <w:rFonts w:ascii="Times New Roman" w:cs="Times New Roman" w:eastAsia="Times New Roman" w:hAnsi="Times New Roman"/>
          <w:sz w:val="18"/>
          <w:szCs w:val="18"/>
          <w:b w:val="1"/>
          <w:bCs w:val="1"/>
          <w:u w:val="single" w:color="auto"/>
          <w:color w:val="0000FF"/>
        </w:rPr>
        <w:t>as a result of (i)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FF0000"/>
          <w:strike w:val="1"/>
        </w:rPr>
        <w:t>);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no longer having possession of any stock certificates, promissory notes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other instruments delivered to it under the Security Documents or (ii) a Uniform Commercial Code filing having lapsed because a Uniform Commercial Code continuation statement was not filed in a timely manner); or</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79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contained in Section 2 and Section 3 of the Guarantee and Collateral Agreement shall cease, for any reason, to be in full force and effect or any Loan Party or any Affiliate of any Loan Party shall so assert; or</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w:t>
      </w:r>
    </w:p>
    <w:p>
      <w:pPr>
        <w:spacing w:after="0" w:line="2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then, and in any such event, (A) if such event is an Event of Default specified in clause (i) or (ii) of paragraph (f) above with respect to the Borrower or any Subsidiary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or the relevant Subsidiary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and any Subsidiary Borrower hereunder and under the other Loan Documents. After all such Letters of Credit shall have expired or been fully drawn upon, all Reimbursement Obligations shall have been satisfied and all other obligations of the Borrower and any Subsidiary Borrower hereunder and under the other Loan Documents shall have been paid in full, the balance, if any, in such cash collateral account shall be returned to the Borrower or such Subsidiary Borrower (or such other Person as may be lawfully entitled thereto). Except as expressly provided above in this Section, presentment, demand, protest and all other notices of any kind are hereby expressly waived by the Borrower and each Subsidiary Borrower.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7" w:lineRule="exact"/>
        <w:rPr>
          <w:sz w:val="20"/>
          <w:szCs w:val="20"/>
          <w:color w:val="auto"/>
        </w:rPr>
      </w:pPr>
    </w:p>
    <w:p>
      <w:pPr>
        <w:ind w:right="380" w:firstLine="1296"/>
        <w:spacing w:after="0" w:line="260" w:lineRule="auto"/>
        <w:rPr>
          <w:sz w:val="20"/>
          <w:szCs w:val="20"/>
          <w:color w:val="auto"/>
        </w:rPr>
      </w:pPr>
      <w:r>
        <w:rPr>
          <w:rFonts w:ascii="Times New Roman" w:cs="Times New Roman" w:eastAsia="Times New Roman" w:hAnsi="Times New Roman"/>
          <w:sz w:val="18"/>
          <w:szCs w:val="18"/>
          <w:u w:val="single" w:color="auto"/>
          <w:color w:val="auto"/>
        </w:rPr>
        <w:t>9.1 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5" w:name="page166"/>
    <w:bookmarkEnd w:id="165"/>
    <w:p>
      <w:pPr>
        <w:ind w:right="100"/>
        <w:spacing w:after="0" w:line="256" w:lineRule="auto"/>
        <w:rPr>
          <w:sz w:val="20"/>
          <w:szCs w:val="20"/>
          <w:color w:val="auto"/>
        </w:rPr>
      </w:pPr>
      <w:r>
        <w:rPr>
          <w:rFonts w:ascii="Times New Roman" w:cs="Times New Roman" w:eastAsia="Times New Roman" w:hAnsi="Times New Roman"/>
          <w:sz w:val="18"/>
          <w:szCs w:val="18"/>
          <w:color w:val="auto"/>
        </w:rPr>
        <w:t>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7" w:lineRule="exact"/>
        <w:rPr>
          <w:sz w:val="20"/>
          <w:szCs w:val="20"/>
          <w:color w:val="auto"/>
        </w:rPr>
      </w:pPr>
    </w:p>
    <w:p>
      <w:pPr>
        <w:ind w:right="520" w:firstLine="1296"/>
        <w:spacing w:after="0" w:line="289" w:lineRule="auto"/>
        <w:rPr>
          <w:sz w:val="20"/>
          <w:szCs w:val="20"/>
          <w:color w:val="auto"/>
        </w:rPr>
      </w:pPr>
      <w:r>
        <w:rPr>
          <w:rFonts w:ascii="Times New Roman" w:cs="Times New Roman" w:eastAsia="Times New Roman" w:hAnsi="Times New Roman"/>
          <w:sz w:val="17"/>
          <w:szCs w:val="17"/>
          <w:u w:val="single" w:color="auto"/>
          <w:color w:val="auto"/>
        </w:rPr>
        <w:t>9.2 Delegation of Duties</w:t>
      </w:r>
      <w:r>
        <w:rPr>
          <w:rFonts w:ascii="Times New Roman" w:cs="Times New Roman" w:eastAsia="Times New Roman" w:hAnsi="Times New Roman"/>
          <w:sz w:val="17"/>
          <w:szCs w:val="17"/>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5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9.3 Exculpatory Provisions</w:t>
      </w:r>
      <w:r>
        <w:rPr>
          <w:rFonts w:ascii="Times New Roman" w:cs="Times New Roman" w:eastAsia="Times New Roman" w:hAnsi="Times New Roman"/>
          <w:sz w:val="18"/>
          <w:szCs w:val="18"/>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94"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9.4 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telecopy, telex or teletype message, e-mail, statement, order or other document or conversation believed by it to be genuine and correct and to have been signed, sent or made by the proper Person or Persons and upon advice and statements of legal counsel (including counsel to ABG, Holdings or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6" w:name="page167"/>
    <w:bookmarkEnd w:id="166"/>
    <w:p>
      <w:pPr>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9.5 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Holdings, the Borrower or any Subsidiary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9"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9.6 Non-Reliance on Agents and Other Lenders</w:t>
      </w:r>
      <w:r>
        <w:rPr>
          <w:rFonts w:ascii="Times New Roman" w:cs="Times New Roman" w:eastAsia="Times New Roman" w:hAnsi="Times New Roman"/>
          <w:sz w:val="18"/>
          <w:szCs w:val="18"/>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9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9.7 Indemnification</w:t>
      </w:r>
      <w:r>
        <w:rPr>
          <w:rFonts w:ascii="Times New Roman" w:cs="Times New Roman" w:eastAsia="Times New Roman" w:hAnsi="Times New Roman"/>
          <w:sz w:val="18"/>
          <w:szCs w:val="18"/>
          <w:color w:val="auto"/>
        </w:rPr>
        <w:t xml:space="preserve">. The Lenders severally agree to indemnify each Agent in its capacity as such (to the extent not reimbursed by ABG, Holdings, the Borrower or any Subsidiary Borrower and without limiting the obligation of ABG, Holdings, the Borrower or any Subsidiary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misconduct. The agreements in this Section shall survive the payment of the Loans and all other amounts payable hereunder.</w:t>
      </w:r>
    </w:p>
    <w:p>
      <w:pPr>
        <w:spacing w:after="0" w:line="22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u w:val="single" w:color="auto"/>
          <w:color w:val="auto"/>
        </w:rPr>
        <w:t>9.8</w:t>
      </w:r>
      <w:r>
        <w:rPr>
          <w:sz w:val="20"/>
          <w:szCs w:val="20"/>
          <w:color w:val="auto"/>
        </w:rPr>
        <w:tab/>
      </w:r>
      <w:r>
        <w:rPr>
          <w:rFonts w:ascii="Times New Roman" w:cs="Times New Roman" w:eastAsia="Times New Roman" w:hAnsi="Times New Roman"/>
          <w:sz w:val="17"/>
          <w:szCs w:val="17"/>
          <w:u w:val="single" w:color="auto"/>
          <w:color w:val="auto"/>
        </w:rPr>
        <w:t>Acknowledgement of Lenders and Issuing Lenders</w:t>
      </w:r>
      <w:r>
        <w:rPr>
          <w:rFonts w:ascii="Times New Roman" w:cs="Times New Roman" w:eastAsia="Times New Roman" w:hAnsi="Times New Roman"/>
          <w:sz w:val="17"/>
          <w:szCs w:val="17"/>
          <w:u w:val="single" w:color="auto"/>
          <w:color w:val="FF0000"/>
        </w:rPr>
        <w:t>.</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80" w:firstLine="1304"/>
        <w:spacing w:after="0" w:line="253" w:lineRule="auto"/>
        <w:tabs>
          <w:tab w:leader="none" w:pos="18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9.8 shall be conclusive, absent manifest error.</w:t>
      </w:r>
    </w:p>
    <w:p>
      <w:pPr>
        <w:spacing w:after="0" w:line="189" w:lineRule="exact"/>
        <w:rPr>
          <w:rFonts w:ascii="Times New Roman" w:cs="Times New Roman" w:eastAsia="Times New Roman" w:hAnsi="Times New Roman"/>
          <w:sz w:val="18"/>
          <w:szCs w:val="18"/>
          <w:color w:val="auto"/>
        </w:rPr>
      </w:pPr>
    </w:p>
    <w:p>
      <w:pPr>
        <w:ind w:right="40" w:firstLine="1304"/>
        <w:spacing w:after="0" w:line="253" w:lineRule="auto"/>
        <w:tabs>
          <w:tab w:leader="none" w:pos="18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rFonts w:ascii="Times New Roman" w:cs="Times New Roman" w:eastAsia="Times New Roman" w:hAnsi="Times New Roman"/>
          <w:sz w:val="18"/>
          <w:szCs w:val="18"/>
          <w:color w:val="auto"/>
        </w:rPr>
      </w:pPr>
    </w:p>
    <w:p>
      <w:pPr>
        <w:ind w:firstLine="1304"/>
        <w:spacing w:after="0" w:line="256" w:lineRule="auto"/>
        <w:tabs>
          <w:tab w:leader="none" w:pos="180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with respect to this clause (y),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7" w:lineRule="exact"/>
        <w:rPr>
          <w:rFonts w:ascii="Times New Roman" w:cs="Times New Roman" w:eastAsia="Times New Roman" w:hAnsi="Times New Roman"/>
          <w:sz w:val="18"/>
          <w:szCs w:val="18"/>
          <w:color w:val="auto"/>
        </w:rPr>
      </w:pPr>
    </w:p>
    <w:p>
      <w:pPr>
        <w:ind w:right="200" w:firstLine="1304"/>
        <w:spacing w:after="0" w:line="266" w:lineRule="auto"/>
        <w:tabs>
          <w:tab w:leader="none" w:pos="18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9.8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8" w:name="page169"/>
    <w:bookmarkEnd w:id="168"/>
    <w:p>
      <w:pPr>
        <w:ind w:right="40" w:firstLine="1304"/>
        <w:spacing w:after="0" w:line="253" w:lineRule="auto"/>
        <w:tabs>
          <w:tab w:leader="none" w:pos="1810" w:val="left"/>
        </w:tabs>
        <w:numPr>
          <w:ilvl w:val="0"/>
          <w:numId w:val="165"/>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respective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87"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9.9 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3"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9.10 Successor Administrative Agent</w:t>
      </w:r>
      <w:r>
        <w:rPr>
          <w:rFonts w:ascii="Times New Roman" w:cs="Times New Roman" w:eastAsia="Times New Roman" w:hAnsi="Times New Roman"/>
          <w:sz w:val="18"/>
          <w:szCs w:val="18"/>
          <w:color w:val="auto"/>
        </w:rPr>
        <w:t>.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 may, on behalf of the Lenders and with the consent of the Borrower (such consent not to be unreasonably withheld), appoint a successor Administrative Agent, which shall be a commercial bank organized or licensed under the laws of the United States of America or of any State thereof and having a combined capital and surplus of at least $500,000,000.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69" w:name="page170"/>
    <w:bookmarkEnd w:id="169"/>
    <w:p>
      <w:pPr>
        <w:ind w:right="160"/>
        <w:spacing w:after="0" w:line="282" w:lineRule="auto"/>
        <w:rPr>
          <w:sz w:val="20"/>
          <w:szCs w:val="20"/>
          <w:color w:val="auto"/>
        </w:rPr>
      </w:pPr>
      <w:r>
        <w:rPr>
          <w:rFonts w:ascii="Times New Roman" w:cs="Times New Roman" w:eastAsia="Times New Roman" w:hAnsi="Times New Roman"/>
          <w:sz w:val="18"/>
          <w:szCs w:val="18"/>
          <w:color w:val="auto"/>
        </w:rPr>
        <w:t>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62"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9.11 Co-Documentation Agents and Co-Syndication Agents</w:t>
      </w:r>
      <w:r>
        <w:rPr>
          <w:rFonts w:ascii="Times New Roman" w:cs="Times New Roman" w:eastAsia="Times New Roman" w:hAnsi="Times New Roman"/>
          <w:sz w:val="18"/>
          <w:szCs w:val="18"/>
          <w:color w:val="auto"/>
        </w:rPr>
        <w:t>. None of the Co-Documentation Agents nor the Co-Syndication Agents shall have any duties or responsibilities hereunder in its capacity as such.</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9.12</w:t>
      </w:r>
      <w:r>
        <w:rPr>
          <w:sz w:val="20"/>
          <w:szCs w:val="20"/>
          <w:color w:val="auto"/>
        </w:rPr>
        <w:tab/>
      </w:r>
      <w:r>
        <w:rPr>
          <w:rFonts w:ascii="Times New Roman" w:cs="Times New Roman" w:eastAsia="Times New Roman" w:hAnsi="Times New Roman"/>
          <w:sz w:val="17"/>
          <w:szCs w:val="17"/>
          <w:u w:val="single" w:color="auto"/>
          <w:color w:val="auto"/>
        </w:rPr>
        <w:t>Certain ERISA Matters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20" w:firstLine="1304"/>
        <w:spacing w:after="0" w:line="266" w:lineRule="auto"/>
        <w:tabs>
          <w:tab w:leader="none" w:pos="1386" w:val="left"/>
        </w:tabs>
        <w:numPr>
          <w:ilvl w:val="0"/>
          <w:numId w:val="16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that at least one of the following is and will be true:</w:t>
      </w:r>
    </w:p>
    <w:p>
      <w:pPr>
        <w:spacing w:after="0" w:line="175" w:lineRule="exact"/>
        <w:rPr>
          <w:rFonts w:ascii="Times New Roman" w:cs="Times New Roman" w:eastAsia="Times New Roman" w:hAnsi="Times New Roman"/>
          <w:sz w:val="18"/>
          <w:szCs w:val="18"/>
          <w:color w:val="FF0000"/>
          <w:strike w:val="1"/>
        </w:rPr>
      </w:pPr>
    </w:p>
    <w:p>
      <w:pPr>
        <w:ind w:left="660" w:right="280" w:firstLine="968"/>
        <w:spacing w:after="0" w:line="282" w:lineRule="auto"/>
        <w:tabs>
          <w:tab w:leader="none" w:pos="216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ind w:left="660" w:right="120" w:firstLine="968"/>
        <w:spacing w:after="0" w:line="255" w:lineRule="auto"/>
        <w:tabs>
          <w:tab w:leader="none" w:pos="221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w:t>
      </w:r>
    </w:p>
    <w:p>
      <w:pPr>
        <w:spacing w:after="0" w:line="188" w:lineRule="exact"/>
        <w:rPr>
          <w:rFonts w:ascii="Times New Roman" w:cs="Times New Roman" w:eastAsia="Times New Roman" w:hAnsi="Times New Roman"/>
          <w:sz w:val="18"/>
          <w:szCs w:val="18"/>
          <w:color w:val="auto"/>
        </w:rPr>
      </w:pPr>
    </w:p>
    <w:p>
      <w:pPr>
        <w:ind w:left="660" w:firstLine="968"/>
        <w:spacing w:after="0" w:line="258" w:lineRule="auto"/>
        <w:tabs>
          <w:tab w:leader="none" w:pos="226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Letters of Credit, the Commitments and this Agreement and (iii) the entrance into, participation in, administration of and performance of the Loans, the Letters of Credit, the Commitments and this Agreement satisfies the requirements of sub-sections (a) through (g) of Part I of PTE 84-14, or</w:t>
      </w:r>
    </w:p>
    <w:p>
      <w:pPr>
        <w:spacing w:after="0" w:line="183" w:lineRule="exact"/>
        <w:rPr>
          <w:rFonts w:ascii="Times New Roman" w:cs="Times New Roman" w:eastAsia="Times New Roman" w:hAnsi="Times New Roman"/>
          <w:sz w:val="18"/>
          <w:szCs w:val="18"/>
          <w:color w:val="auto"/>
        </w:rPr>
      </w:pPr>
    </w:p>
    <w:p>
      <w:pPr>
        <w:ind w:left="660" w:right="80" w:firstLine="968"/>
        <w:spacing w:after="0" w:line="282" w:lineRule="auto"/>
        <w:tabs>
          <w:tab w:leader="none" w:pos="22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1304"/>
        <w:spacing w:after="0" w:line="255" w:lineRule="auto"/>
        <w:tabs>
          <w:tab w:leader="none" w:pos="182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Loan Party, that none of the Administrative Agent, or any Joint Lead Arranger, any Co-Syndication Agent, any Co-Documentation Agent or any of their respective Affiliates is a fiduciary with respect to the Collateral or the assets of such Lender (including in connection with the reservation or exercise of any rights by the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Administrative Agent under this Agreement, any Loan Document or any documents related to hereto or thereto).</w:t>
      </w:r>
    </w:p>
    <w:p>
      <w:pPr>
        <w:spacing w:after="0" w:line="225" w:lineRule="exact"/>
        <w:rPr>
          <w:sz w:val="20"/>
          <w:szCs w:val="20"/>
          <w:color w:val="auto"/>
        </w:rPr>
      </w:pPr>
    </w:p>
    <w:p>
      <w:pPr>
        <w:ind w:firstLine="1304"/>
        <w:spacing w:after="0" w:line="253" w:lineRule="auto"/>
        <w:tabs>
          <w:tab w:leader="none" w:pos="18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Joint Lead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9.13 Intercreditor Agreements</w:t>
      </w:r>
      <w:r>
        <w:rPr>
          <w:rFonts w:ascii="Times New Roman" w:cs="Times New Roman" w:eastAsia="Times New Roman" w:hAnsi="Times New Roman"/>
          <w:sz w:val="18"/>
          <w:szCs w:val="18"/>
          <w:color w:val="auto"/>
        </w:rPr>
        <w:t>. Without limiting the generality of the foregoing, the Administrative Agent is authorized to enter into any First Lien Intercreditor Agreement, any Second Lien Intercreditor Agreement and/or any other intercreditor arrangements entered into in connection herewith (and any amendments, amendments and restatements, restatements or waivers of or supplements to or other modifications to, such agreements in connection with the incurrence by any Loan Party of any Indebtedness in order to permit such Indebtedness to be secured by a valid and enforceable lien (with such priority as may be designated by the Borrower or relevant Subsidiary, to the extent such priority is permitted by the Loan Documents)), and the parties hereto acknowledge that any First Lien Intercreditor Agreement (if entered into), any Second Lien Intercreditor Agreement (if entered into) and/or any other intercreditor arrangements entered into in connection herewith, will be binding upon them. Each Lender (a) hereby agrees that it will be bound by and will take no actions contrary to the provisions of any First Lien Intercreditor Agreement (if entered into), any Second Lien Intercreditor Agreement (if entered into) and/or any other intercreditor arrangements entered into in connection herewith and (b) hereby authorizes and instructs the Administrative Agent to enter into, if applicable, any First Lien Intercreditor Agreement, any Second Lien Intercreditor Agreement and/or any other intercreditor arrangements entered into in connection herewith (and any amendments, amendments and restatements, restatements or waivers of or supplements to or other modifications to, such agreements in connection with the incurrence by any Loan Party of any Indebtedness in order to permit such Indebtedness to be secured by a valid and enforceable lien (with such priority as may be designated by the Borrower or relevant Subsidiary, to the extent such priority is permitted by the Loan Documents)), and to subject the Liens on the Collateral securing the Obligations to the provisions thereof.</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b w:val="1"/>
          <w:bCs w:val="1"/>
          <w:u w:val="single" w:color="auto"/>
          <w:color w:val="0000FF"/>
        </w:rPr>
        <w:t>9.14</w:t>
      </w:r>
      <w:r>
        <w:rPr>
          <w:sz w:val="20"/>
          <w:szCs w:val="20"/>
          <w:color w:val="auto"/>
        </w:rPr>
        <w:tab/>
      </w:r>
      <w:r>
        <w:rPr>
          <w:rFonts w:ascii="Times New Roman" w:cs="Times New Roman" w:eastAsia="Times New Roman" w:hAnsi="Times New Roman"/>
          <w:sz w:val="17"/>
          <w:szCs w:val="17"/>
          <w:b w:val="1"/>
          <w:bCs w:val="1"/>
          <w:u w:val="single" w:color="auto"/>
          <w:color w:val="0000FF"/>
        </w:rPr>
        <w:t>Posting of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-5080</wp:posOffset>
            </wp:positionV>
            <wp:extent cx="200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ind w:right="440" w:firstLine="1304"/>
        <w:spacing w:after="0" w:line="291" w:lineRule="auto"/>
        <w:tabs>
          <w:tab w:leader="none" w:pos="1820" w:val="left"/>
        </w:tabs>
        <w:numPr>
          <w:ilvl w:val="0"/>
          <w:numId w:val="169"/>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The Borrower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“Approved Electronic Platform”).</w:t>
      </w:r>
    </w:p>
    <w:p>
      <w:pPr>
        <w:spacing w:after="0" w:line="152" w:lineRule="exact"/>
        <w:rPr>
          <w:rFonts w:ascii="Times New Roman" w:cs="Times New Roman" w:eastAsia="Times New Roman" w:hAnsi="Times New Roman"/>
          <w:sz w:val="17"/>
          <w:szCs w:val="17"/>
          <w:b w:val="1"/>
          <w:bCs w:val="1"/>
          <w:u w:val="single" w:color="auto"/>
          <w:color w:val="0000FF"/>
        </w:rPr>
      </w:pPr>
    </w:p>
    <w:p>
      <w:pPr>
        <w:ind w:right="320" w:firstLine="1304"/>
        <w:spacing w:after="0" w:line="268" w:lineRule="auto"/>
        <w:tabs>
          <w:tab w:leader="none" w:pos="1831" w:val="left"/>
        </w:tabs>
        <w:numPr>
          <w:ilvl w:val="0"/>
          <w:numId w:val="169"/>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Although the Approved Electronic Platform and its primary web portal are secured with generally-applicable security procedures and policies implemented or modified by the Administrative Agent from time to time (including, as of the Eleventh Amendment Effective Date, a</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1" w:name="page172"/>
    <w:bookmarkEnd w:id="171"/>
    <w:p>
      <w:pPr>
        <w:ind w:right="10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w:t>
      </w:r>
    </w:p>
    <w:p>
      <w:pPr>
        <w:spacing w:after="0" w:line="183" w:lineRule="exact"/>
        <w:rPr>
          <w:sz w:val="20"/>
          <w:szCs w:val="20"/>
          <w:color w:val="auto"/>
        </w:rPr>
      </w:pPr>
    </w:p>
    <w:p>
      <w:pPr>
        <w:ind w:firstLine="1304"/>
        <w:spacing w:after="0" w:line="253" w:lineRule="auto"/>
        <w:tabs>
          <w:tab w:leader="none" w:pos="1810" w:val="left"/>
        </w:tabs>
        <w:numPr>
          <w:ilvl w:val="0"/>
          <w:numId w:val="170"/>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JOINT LEAD ARRANGER, ANY CO-DOCUMENTATION AGENT, ANY CO-SYNDICATION AGENT OR ANY OF THEIR RESPECTIVE RELATED PARTIES (COLLECTIVELY, “APPLICABLE PARTIES”) HAVE ANY LIABILITY TO ANY LOAN PARTY, ANY LENDER, ANY ISSUING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5"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Lender by means of electronic communications pursuant to this Section, including through an Approved Electronic Platform.</w:t>
      </w:r>
    </w:p>
    <w:p>
      <w:pPr>
        <w:spacing w:after="0" w:line="176" w:lineRule="exact"/>
        <w:rPr>
          <w:sz w:val="20"/>
          <w:szCs w:val="20"/>
          <w:color w:val="auto"/>
        </w:rPr>
      </w:pPr>
    </w:p>
    <w:p>
      <w:pPr>
        <w:ind w:right="20" w:firstLine="1304"/>
        <w:spacing w:after="0" w:line="259" w:lineRule="auto"/>
        <w:tabs>
          <w:tab w:leader="none" w:pos="1831" w:val="left"/>
        </w:tabs>
        <w:numPr>
          <w:ilvl w:val="0"/>
          <w:numId w:val="17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(1) to notify the Administrative Agent in writing (which could be in the form of electronic communication) from time to time of such Lender’s or Issuing Lender’s (as applicable) email address to which the foregoing notice may be sent by electronic transmission and (2) that the foregoing notice may be sent to such email address.</w:t>
      </w:r>
    </w:p>
    <w:p>
      <w:pPr>
        <w:spacing w:after="0" w:line="179" w:lineRule="exact"/>
        <w:rPr>
          <w:rFonts w:ascii="Times New Roman" w:cs="Times New Roman" w:eastAsia="Times New Roman" w:hAnsi="Times New Roman"/>
          <w:sz w:val="18"/>
          <w:szCs w:val="18"/>
          <w:b w:val="1"/>
          <w:bCs w:val="1"/>
          <w:u w:val="single" w:color="auto"/>
          <w:color w:val="0000FF"/>
        </w:rPr>
      </w:pPr>
    </w:p>
    <w:p>
      <w:pPr>
        <w:ind w:right="80" w:firstLine="1304"/>
        <w:spacing w:after="0" w:line="286" w:lineRule="auto"/>
        <w:tabs>
          <w:tab w:leader="none" w:pos="1810" w:val="left"/>
        </w:tabs>
        <w:numPr>
          <w:ilvl w:val="0"/>
          <w:numId w:val="17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Each of the Lenders, each of the Issuing Lenders and the Borrower agrees that the Administrative Agent may, but (except as may be required by applicable law) shall not be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2" w:name="page173"/>
    <w:bookmarkEnd w:id="172"/>
    <w:p>
      <w:pPr>
        <w:ind w:right="1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obligated to, store the Communications on the Approved Electronic Platform in accordance with the Administrative Agent’s generally applicable document retention procedures and policies.</w:t>
      </w:r>
    </w:p>
    <w:p>
      <w:pPr>
        <w:spacing w:after="0" w:line="155" w:lineRule="exact"/>
        <w:rPr>
          <w:sz w:val="20"/>
          <w:szCs w:val="20"/>
          <w:color w:val="auto"/>
        </w:rPr>
      </w:pPr>
    </w:p>
    <w:p>
      <w:pPr>
        <w:ind w:right="100" w:firstLine="1304"/>
        <w:spacing w:after="0" w:line="286" w:lineRule="auto"/>
        <w:tabs>
          <w:tab w:leader="none" w:pos="1790" w:val="left"/>
        </w:tabs>
        <w:numPr>
          <w:ilvl w:val="0"/>
          <w:numId w:val="17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Nothing herein shall prejudice the right of the Administrative Agent, any Lender or any Issuing Lender to give any notice or other communication pursuant to any Loan Document in any other manner specified in such Loan Document.</w:t>
      </w:r>
    </w:p>
    <w:p>
      <w:pPr>
        <w:spacing w:after="0" w:line="154" w:lineRule="exact"/>
        <w:rPr>
          <w:rFonts w:ascii="Times New Roman" w:cs="Times New Roman" w:eastAsia="Times New Roman" w:hAnsi="Times New Roman"/>
          <w:sz w:val="18"/>
          <w:szCs w:val="18"/>
          <w:b w:val="1"/>
          <w:bCs w:val="1"/>
          <w:u w:val="single" w:color="auto"/>
          <w:color w:val="0000FF"/>
        </w:rPr>
      </w:pPr>
    </w:p>
    <w:p>
      <w:pPr>
        <w:ind w:left="1820" w:hanging="516"/>
        <w:spacing w:after="0"/>
        <w:tabs>
          <w:tab w:leader="none" w:pos="1820" w:val="left"/>
        </w:tabs>
        <w:numPr>
          <w:ilvl w:val="0"/>
          <w:numId w:val="17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As used in this Section 9.14, the term “Borrower” shall be deemed to include the Borrower and each Subsidiary Borrower,</w:t>
      </w:r>
    </w:p>
    <w:p>
      <w:pPr>
        <w:spacing w:after="0" w:line="31" w:lineRule="exact"/>
        <w:rPr>
          <w:rFonts w:ascii="Times New Roman" w:cs="Times New Roman" w:eastAsia="Times New Roman" w:hAnsi="Times New Roman"/>
          <w:sz w:val="18"/>
          <w:szCs w:val="18"/>
          <w:b w:val="1"/>
          <w:bCs w:val="1"/>
          <w:u w:val="single" w:color="auto"/>
          <w:color w:val="0000FF"/>
        </w:rPr>
      </w:pPr>
    </w:p>
    <w:p>
      <w:pPr>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if any.</w:t>
      </w:r>
    </w:p>
    <w:p>
      <w:pPr>
        <w:spacing w:after="0" w:line="20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b w:val="1"/>
          <w:bCs w:val="1"/>
          <w:u w:val="single" w:color="auto"/>
          <w:color w:val="0000FF"/>
        </w:rPr>
        <w:t>9.15</w:t>
      </w:r>
      <w:r>
        <w:rPr>
          <w:sz w:val="20"/>
          <w:szCs w:val="20"/>
          <w:color w:val="auto"/>
        </w:rPr>
        <w:tab/>
      </w:r>
      <w:r>
        <w:rPr>
          <w:rFonts w:ascii="Times New Roman" w:cs="Times New Roman" w:eastAsia="Times New Roman" w:hAnsi="Times New Roman"/>
          <w:sz w:val="17"/>
          <w:szCs w:val="17"/>
          <w:b w:val="1"/>
          <w:bCs w:val="1"/>
          <w:u w:val="single" w:color="auto"/>
          <w:color w:val="0000FF"/>
        </w:rPr>
        <w:t>Borrower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-5080</wp:posOffset>
            </wp:positionV>
            <wp:extent cx="2000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ind w:right="40" w:firstLine="1304"/>
        <w:spacing w:after="0" w:line="268" w:lineRule="auto"/>
        <w:tabs>
          <w:tab w:leader="none" w:pos="1820" w:val="left"/>
        </w:tabs>
        <w:numPr>
          <w:ilvl w:val="0"/>
          <w:numId w:val="17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Administrative Agent, the Lenders and the Issuing Lenders agree that the Borrower may, but shall not be obligated to, make any Borrower Communications to the Administrative Agent through an electronic platform chosen by the Administrative Agent to be its electronic transmission system (the “Approved Borrower Portal”).</w:t>
      </w:r>
    </w:p>
    <w:p>
      <w:pPr>
        <w:spacing w:after="0" w:line="170" w:lineRule="exact"/>
        <w:rPr>
          <w:rFonts w:ascii="Times New Roman" w:cs="Times New Roman" w:eastAsia="Times New Roman" w:hAnsi="Times New Roman"/>
          <w:sz w:val="18"/>
          <w:szCs w:val="18"/>
          <w:b w:val="1"/>
          <w:bCs w:val="1"/>
          <w:u w:val="single" w:color="auto"/>
          <w:color w:val="0000FF"/>
        </w:rPr>
      </w:pPr>
    </w:p>
    <w:p>
      <w:pPr>
        <w:ind w:right="160" w:firstLine="1304"/>
        <w:spacing w:after="0" w:line="255" w:lineRule="auto"/>
        <w:tabs>
          <w:tab w:leader="none" w:pos="1831" w:val="left"/>
        </w:tabs>
        <w:numPr>
          <w:ilvl w:val="0"/>
          <w:numId w:val="17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 xml:space="preserve">Although the Approved Borrower Portal and its primary web portal are secured with generally-applicable security procedures and policies implemented or modified by the Administrative Agent from time to time (including, as of the Eleventh Amendment Effective Date, a user ID/password authorization system), </w:t>
      </w:r>
      <w:r>
        <w:rPr>
          <w:rFonts w:ascii="Times New Roman" w:cs="Times New Roman" w:eastAsia="Times New Roman" w:hAnsi="Times New Roman"/>
          <w:sz w:val="18"/>
          <w:szCs w:val="18"/>
          <w:b w:val="1"/>
          <w:bCs w:val="1"/>
          <w:u w:val="single" w:color="auto"/>
          <w:color w:val="008000"/>
        </w:rPr>
        <w:t>each of the</w:t>
      </w:r>
      <w:r>
        <w:rPr>
          <w:rFonts w:ascii="Times New Roman" w:cs="Times New Roman" w:eastAsia="Times New Roman" w:hAnsi="Times New Roman"/>
          <w:sz w:val="18"/>
          <w:szCs w:val="18"/>
          <w:b w:val="1"/>
          <w:bCs w:val="1"/>
          <w:u w:val="single" w:color="auto"/>
          <w:color w:val="0000FF"/>
        </w:rPr>
        <w:t xml:space="preserve"> Lenders, each of the Issuing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Lenders and the Borrower hereby approves distribution of Borrower Communications through the Approved Borrower Portal and understands and assumes the risks of such distribution.</w:t>
      </w:r>
    </w:p>
    <w:p>
      <w:pPr>
        <w:spacing w:after="0" w:line="184" w:lineRule="exact"/>
        <w:rPr>
          <w:rFonts w:ascii="Times New Roman" w:cs="Times New Roman" w:eastAsia="Times New Roman" w:hAnsi="Times New Roman"/>
          <w:sz w:val="18"/>
          <w:szCs w:val="18"/>
          <w:b w:val="1"/>
          <w:bCs w:val="1"/>
          <w:u w:val="single" w:color="auto"/>
          <w:color w:val="0000FF"/>
        </w:rPr>
      </w:pPr>
    </w:p>
    <w:p>
      <w:pPr>
        <w:ind w:firstLine="1304"/>
        <w:spacing w:after="0" w:line="253" w:lineRule="auto"/>
        <w:tabs>
          <w:tab w:leader="none" w:pos="1810" w:val="left"/>
        </w:tabs>
        <w:numPr>
          <w:ilvl w:val="0"/>
          <w:numId w:val="17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APPROVED BORROWER PORTAL IS PROVIDED “AS IS” AND “AS AVAILABLE”. THE APPLICABLE PARTIES (FOR THE AVOIDANCE OF DOUBT, AS DEFINED IN SECTION 9.14(C))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APPLICABLE PARTY (FOR THE AVOIDANCE OF DOUBT, AS DEFINED IN SECTION 9.14(C)) HAVE ANY LIABILITY TO ANY LOAN PARTY, ANY LENDER, ANY ISSUING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87"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“Borrower Communications” means, collectively, any borrowing request, interest election request, notice of prepayment, notice requesting the issuance, amendment or extension of a</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3" w:name="page174"/>
    <w:bookmarkEnd w:id="173"/>
    <w:p>
      <w:pPr>
        <w:ind w:right="1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171" w:lineRule="exact"/>
        <w:rPr>
          <w:sz w:val="20"/>
          <w:szCs w:val="20"/>
          <w:color w:val="auto"/>
        </w:rPr>
      </w:pPr>
    </w:p>
    <w:p>
      <w:pPr>
        <w:ind w:firstLine="1304"/>
        <w:spacing w:after="0" w:line="268" w:lineRule="auto"/>
        <w:tabs>
          <w:tab w:leader="none" w:pos="1831" w:val="left"/>
        </w:tabs>
        <w:numPr>
          <w:ilvl w:val="0"/>
          <w:numId w:val="17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Each of the Lenders, each of the Issuing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0" w:lineRule="exact"/>
        <w:rPr>
          <w:rFonts w:ascii="Times New Roman" w:cs="Times New Roman" w:eastAsia="Times New Roman" w:hAnsi="Times New Roman"/>
          <w:sz w:val="18"/>
          <w:szCs w:val="18"/>
          <w:b w:val="1"/>
          <w:bCs w:val="1"/>
          <w:u w:val="single" w:color="auto"/>
          <w:color w:val="0000FF"/>
        </w:rPr>
      </w:pPr>
    </w:p>
    <w:p>
      <w:pPr>
        <w:ind w:right="60" w:firstLine="1304"/>
        <w:spacing w:after="0" w:line="286" w:lineRule="auto"/>
        <w:tabs>
          <w:tab w:leader="none" w:pos="1810" w:val="left"/>
        </w:tabs>
        <w:numPr>
          <w:ilvl w:val="0"/>
          <w:numId w:val="17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Nothing herein shall prejudice the right of the Borrower to give any notice or other communication pursuant to any Loan Document in any other manner specified in such Loan Document.</w:t>
      </w:r>
    </w:p>
    <w:p>
      <w:pPr>
        <w:spacing w:after="0" w:line="154" w:lineRule="exact"/>
        <w:rPr>
          <w:rFonts w:ascii="Times New Roman" w:cs="Times New Roman" w:eastAsia="Times New Roman" w:hAnsi="Times New Roman"/>
          <w:sz w:val="18"/>
          <w:szCs w:val="18"/>
          <w:b w:val="1"/>
          <w:bCs w:val="1"/>
          <w:u w:val="single" w:color="auto"/>
          <w:color w:val="0000FF"/>
        </w:rPr>
      </w:pPr>
    </w:p>
    <w:p>
      <w:pPr>
        <w:ind w:left="1800" w:hanging="496"/>
        <w:spacing w:after="0"/>
        <w:tabs>
          <w:tab w:leader="none" w:pos="1800" w:val="left"/>
        </w:tabs>
        <w:numPr>
          <w:ilvl w:val="0"/>
          <w:numId w:val="174"/>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As used in this Section 9.15, the term “Borrower” shall be deemed to include the Borrower and each Subsidiary Borrower,</w:t>
      </w:r>
    </w:p>
    <w:p>
      <w:pPr>
        <w:spacing w:after="0" w:line="42" w:lineRule="exact"/>
        <w:rPr>
          <w:rFonts w:ascii="Times New Roman" w:cs="Times New Roman" w:eastAsia="Times New Roman" w:hAnsi="Times New Roman"/>
          <w:sz w:val="17"/>
          <w:szCs w:val="17"/>
          <w:b w:val="1"/>
          <w:bCs w:val="1"/>
          <w:u w:val="single" w:color="auto"/>
          <w:color w:val="0000FF"/>
        </w:rPr>
      </w:pPr>
    </w:p>
    <w:p>
      <w:pPr>
        <w:spacing w:after="0"/>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8"/>
          <w:szCs w:val="18"/>
          <w:b w:val="1"/>
          <w:bCs w:val="1"/>
          <w:u w:val="single" w:color="auto"/>
          <w:color w:val="0000FF"/>
        </w:rPr>
        <w:t>if 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27"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10.1</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b w:val="1"/>
          <w:bCs w:val="1"/>
          <w:u w:val="single" w:color="auto"/>
          <w:color w:val="0000FF"/>
        </w:rPr>
        <w:t>.</w:t>
      </w:r>
    </w:p>
    <w:p>
      <w:pPr>
        <w:spacing w:after="0" w:line="207" w:lineRule="exact"/>
        <w:rPr>
          <w:sz w:val="20"/>
          <w:szCs w:val="20"/>
          <w:color w:val="auto"/>
        </w:rPr>
      </w:pPr>
    </w:p>
    <w:p>
      <w:pPr>
        <w:ind w:right="20" w:firstLine="1304"/>
        <w:spacing w:after="0" w:line="252" w:lineRule="auto"/>
        <w:tabs>
          <w:tab w:leader="none" w:pos="1386" w:val="left"/>
        </w:tabs>
        <w:numPr>
          <w:ilvl w:val="0"/>
          <w:numId w:val="17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Neither this Agreement nor any other Loan Document, 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 (A) forgive any principal amount or extend the final scheduled date of maturity of any Loan or any Reimbursement Obligation or extend the scheduled date of any amortization payment in respect of any Term Loan (for the purpose of clarity each of the foregoing not to include any waiver of a prepayment), reduce the stated rate of any interest or fee payable hereunder (except (1) in connection with the waiver of applicability of any post-default increase in interest rates (which waiver shall be effective with the consent of the Majority Facility Lenders of each adversely affected Facility), (2) in connection with the waiver of applicability of any “most favored nations” provision (which waiver shall be effective with the consent of the Required Lenders) and (3) that any amendment or modification of defined terms used in the financial covenant in this Agreement shall not constitute a reduction in the rate of interest or fees for purposes of this clause (A)) or extend the scheduled date of any payment thereof, or increase the amount or extend the expiration date of any Lender’s Revolving Commitment, in each case without the written consent of each Lender directly affected thereby; (B) eliminate or reduce the voting rights of any Lender under this Section 10.1 without the written consent of such Lender; (C) reduce any percentage specified in the definition of Required Lenders, consent to the assignment or transfer by the Borrower or any Subsidiary Borrower of any of its rights and obligations under this Agreement and the other Loan Documents, release all or substantially all of the Collateral or release all or substantially all of the Subsidiary Guarantors from their obligations under the Guarantee and Collateral Agreement, in each case except as otherwise provided in the Loan Documents, in each case without the written consent of all Lenders; (D) amend, modify or waive any provision of Section 2.11 without the written consent of the</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74" w:name="page175"/>
    <w:bookmarkEnd w:id="174"/>
    <w:p>
      <w:pPr>
        <w:ind w:right="160"/>
        <w:spacing w:after="0" w:line="268" w:lineRule="auto"/>
        <w:rPr>
          <w:sz w:val="20"/>
          <w:szCs w:val="20"/>
          <w:color w:val="auto"/>
        </w:rPr>
      </w:pPr>
      <w:r>
        <w:rPr>
          <w:rFonts w:ascii="Times New Roman" w:cs="Times New Roman" w:eastAsia="Times New Roman" w:hAnsi="Times New Roman"/>
          <w:sz w:val="17"/>
          <w:szCs w:val="17"/>
          <w:color w:val="auto"/>
        </w:rPr>
        <w:t xml:space="preserve">Majority Facility Lenders in respect of each Facility adversely affected thereby or amend, modify or waive any provision of Section 2.17 without the written consent of each Lender affected thereby; (E) reduce the percentage specified in the definition of Majority Facility Lenders with respect to any Facility without the written consent of all Lenders under such Facility; (F) after the Restatement Effective Date, amend, modify or waive any provision of Section 5.2 without the written consent of the Majority Facility Lenders with respect </w:t>
      </w:r>
      <w:r>
        <w:rPr>
          <w:rFonts w:ascii="Times New Roman" w:cs="Times New Roman" w:eastAsia="Times New Roman" w:hAnsi="Times New Roman"/>
          <w:sz w:val="17"/>
          <w:szCs w:val="17"/>
          <w:color w:val="FF0000"/>
          <w:strike w:val="1"/>
        </w:rPr>
        <w:t>of</w:t>
      </w:r>
      <w:r>
        <w:rPr>
          <w:rFonts w:ascii="Times New Roman" w:cs="Times New Roman" w:eastAsia="Times New Roman" w:hAnsi="Times New Roman"/>
          <w:sz w:val="17"/>
          <w:szCs w:val="17"/>
          <w:b w:val="1"/>
          <w:bCs w:val="1"/>
          <w:u w:val="single" w:color="auto"/>
          <w:color w:val="0000FF"/>
        </w:rPr>
        <w:t>to</w:t>
      </w:r>
      <w:r>
        <w:rPr>
          <w:rFonts w:ascii="Times New Roman" w:cs="Times New Roman" w:eastAsia="Times New Roman" w:hAnsi="Times New Roman"/>
          <w:sz w:val="17"/>
          <w:szCs w:val="17"/>
          <w:color w:val="auto"/>
        </w:rPr>
        <w:t xml:space="preserve"> the Revolving </w:t>
      </w:r>
      <w:r>
        <w:rPr>
          <w:rFonts w:ascii="Times New Roman" w:cs="Times New Roman" w:eastAsia="Times New Roman" w:hAnsi="Times New Roman"/>
          <w:sz w:val="17"/>
          <w:szCs w:val="17"/>
          <w:color w:val="FF0000"/>
          <w:strike w:val="1"/>
        </w:rPr>
        <w:t>Facility</w:t>
      </w:r>
      <w:r>
        <w:rPr>
          <w:rFonts w:ascii="Times New Roman" w:cs="Times New Roman" w:eastAsia="Times New Roman" w:hAnsi="Times New Roman"/>
          <w:sz w:val="17"/>
          <w:szCs w:val="17"/>
          <w:b w:val="1"/>
          <w:bCs w:val="1"/>
          <w:u w:val="single" w:color="auto"/>
          <w:color w:val="0000FF"/>
        </w:rPr>
        <w:t>Facilities</w:t>
      </w:r>
      <w:r>
        <w:rPr>
          <w:rFonts w:ascii="Times New Roman" w:cs="Times New Roman" w:eastAsia="Times New Roman" w:hAnsi="Times New Roman"/>
          <w:sz w:val="17"/>
          <w:szCs w:val="17"/>
          <w:color w:val="auto"/>
        </w:rPr>
        <w:t xml:space="preserve">; (G) amend, modify or waive any provision of Section 9 without the written consent of the Administrative Agent; (H) amend, modify or waive any provision of Section 2.6 or 2.7 without the written consent of each Swingline Lender; (I) amend, modify or waive any provision of Section 3 without the written consent of each Issuing Lender </w:t>
      </w:r>
      <w:r>
        <w:rPr>
          <w:rFonts w:ascii="Times New Roman" w:cs="Times New Roman" w:eastAsia="Times New Roman" w:hAnsi="Times New Roman"/>
          <w:sz w:val="17"/>
          <w:szCs w:val="17"/>
          <w:color w:val="FF0000"/>
          <w:strike w:val="1"/>
        </w:rPr>
        <w:t>or</w:t>
      </w:r>
      <w:r>
        <w:rPr>
          <w:rFonts w:ascii="Times New Roman" w:cs="Times New Roman" w:eastAsia="Times New Roman" w:hAnsi="Times New Roman"/>
          <w:sz w:val="17"/>
          <w:szCs w:val="17"/>
          <w:b w:val="1"/>
          <w:bCs w:val="1"/>
          <w:u w:val="single" w:color="auto"/>
          <w:color w:val="0000FF"/>
        </w:rPr>
        <w:t>,</w:t>
      </w:r>
      <w:r>
        <w:rPr>
          <w:rFonts w:ascii="Times New Roman" w:cs="Times New Roman" w:eastAsia="Times New Roman" w:hAnsi="Times New Roman"/>
          <w:sz w:val="17"/>
          <w:szCs w:val="17"/>
          <w:color w:val="auto"/>
        </w:rPr>
        <w:t xml:space="preserve"> (J) release ABG from its obligations under the Parent Guarantee except as otherwise provided in the Loan Documents without the written consent of the Majority Facility Lenders with respect to each Facility</w:t>
      </w:r>
      <w:r>
        <w:rPr>
          <w:rFonts w:ascii="Times New Roman" w:cs="Times New Roman" w:eastAsia="Times New Roman" w:hAnsi="Times New Roman"/>
          <w:sz w:val="17"/>
          <w:szCs w:val="17"/>
          <w:b w:val="1"/>
          <w:bCs w:val="1"/>
          <w:u w:val="single" w:color="auto"/>
          <w:color w:val="0000FF"/>
        </w:rPr>
        <w:t>, (K) amend, modify or waive any provision of Section 7.5 of the Guarantee and</w:t>
      </w:r>
    </w:p>
    <w:p>
      <w:pPr>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0000FF"/>
        </w:rPr>
        <w:t>Collateral Agreement without the written consent of each Lender directly affected thereby or (L) without the prior written consent of each Lender directly and adversely affected thereby, subordinate (x) the Liens securing any of the Obligations on all or substantially all of the Collateral (“Existing Liens”) to the Liens on the Collateral securing any other Indebtedness for borrowed money or (y) any Obligations in contractual right of payment to any other Indebtedness for borrowed money (any such other Indebtedness for borrowed money, to which such Liens securing any of the Obligations or such Obligations, as applicable, are subordinated, “Senior Indebtedness”), other than (I) any Indebtedness that is expressly permitted by this Agreement as in effect on the Eleventh Amendment Effective Date to either be senior in right of payment to the Obligations or be secured by a Lien on the Collateral that is senior to the Lien on the Collateral securing the Obligations, (II) any “debtor-in-possession” facility or (III) to the extent each directly and adversely affected Lender has been offered a bona fide opportunity to fund or otherwise provide its pro rata share (based on the amount of Obligations that are adversely affected thereby held by each Lender) of such Senior Indebtedness on the same terms (other than bona fide backstop fees and reimbursement of counsel fees and other expenses in connection with the negotiation of the terms of such transaction; such fees and expenses, “Ancillary Fees”) as offered to all other providers (or their Affiliates) of the Senior Indebtedness and, to the extent such adversely affected Lender decides to participate in such Senior Indebtedness, receives its pro rata share of the fees and any other similar benefit (other than Ancillary Fees) of such Senior Indebtedness afforded to the providers of such Senior Indebtedness (or any of their Affiliates) in connection with providing such Senior Indebtedness</w:t>
      </w:r>
      <w:r>
        <w:rPr>
          <w:rFonts w:ascii="Times New Roman" w:cs="Times New Roman" w:eastAsia="Times New Roman" w:hAnsi="Times New Roman"/>
          <w:sz w:val="18"/>
          <w:szCs w:val="18"/>
          <w:color w:val="000000"/>
        </w:rPr>
        <w:t>. Any such waiver and any such amendment, supplement or modification shall apply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9" w:lineRule="exact"/>
        <w:rPr>
          <w:sz w:val="20"/>
          <w:szCs w:val="20"/>
          <w:color w:val="auto"/>
        </w:rPr>
      </w:pPr>
    </w:p>
    <w:p>
      <w:pPr>
        <w:ind w:right="60" w:firstLine="1304"/>
        <w:spacing w:after="0" w:line="254" w:lineRule="auto"/>
        <w:tabs>
          <w:tab w:leader="none" w:pos="182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Loan Documents to the contrary, this Agreement or the other Loan Documents may be amended with the written consent of the Administrative Agent, the Borrower and each of the Lenders (or Persons that, following the effectiveness of such amendment, will become Lenders) providing the relevant Replacement Term Loans (as defined below) to permit the refinancing, replacement or modification of all outstanding Term Loans (“</w:t>
      </w:r>
      <w:r>
        <w:rPr>
          <w:rFonts w:ascii="Times New Roman" w:cs="Times New Roman" w:eastAsia="Times New Roman" w:hAnsi="Times New Roman"/>
          <w:sz w:val="18"/>
          <w:szCs w:val="18"/>
          <w:u w:val="single" w:color="auto"/>
          <w:color w:val="auto"/>
        </w:rPr>
        <w:t>Replaced Term Loans</w:t>
      </w:r>
      <w:r>
        <w:rPr>
          <w:rFonts w:ascii="Times New Roman" w:cs="Times New Roman" w:eastAsia="Times New Roman" w:hAnsi="Times New Roman"/>
          <w:sz w:val="18"/>
          <w:szCs w:val="18"/>
          <w:color w:val="auto"/>
        </w:rPr>
        <w:t>”) with a replacement term loan tranche hereunder (“</w:t>
      </w:r>
      <w:r>
        <w:rPr>
          <w:rFonts w:ascii="Times New Roman" w:cs="Times New Roman" w:eastAsia="Times New Roman" w:hAnsi="Times New Roman"/>
          <w:sz w:val="18"/>
          <w:szCs w:val="18"/>
          <w:u w:val="single" w:color="auto"/>
          <w:color w:val="auto"/>
        </w:rPr>
        <w:t>Replacement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aggregate principal amount of such Replacement Term Loans shall not exceed the aggregate principal amount of such Replaced Term Loans, (2) if the final maturity date of such Replacement Term Loans is not at least one year later than the final maturity date of the Replaced Term Loans, the interest rate margin for such Replacement Term Loans shall not be higher than the interest rate margin for such Replaced Term Loans by more than 50 basis points, or if the interest rate margin of such Replacement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5" w:name="page176"/>
    <w:bookmarkEnd w:id="175"/>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Term Loans does so exceed by more than 50 basis points, the interest rate margin for the Replaced Term Loans shall be increased so that the interest rate margin for such Replacement Term Loans is no greater than the interest rate margin for the Replaced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50 basis points;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rate margins applicable to the Replacement Term Loans or the Replaced Term Loans shall be determined in the manner set forth in Section 2.23(b) in respect of the Incremental Term Loans) and (3) the weighted average life to maturity of such Replacement Term Loans shall not be shorter than the weighted average life to maturity of such Replaced Term Loans at the time of such refinancing.</w:t>
      </w:r>
    </w:p>
    <w:p>
      <w:pPr>
        <w:spacing w:after="0" w:line="183" w:lineRule="exact"/>
        <w:rPr>
          <w:sz w:val="20"/>
          <w:szCs w:val="20"/>
          <w:color w:val="auto"/>
        </w:rPr>
      </w:pPr>
    </w:p>
    <w:p>
      <w:pPr>
        <w:ind w:right="20" w:firstLine="1304"/>
        <w:spacing w:after="0" w:line="282" w:lineRule="auto"/>
        <w:tabs>
          <w:tab w:leader="none" w:pos="181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without consent of the Lenders, so long as no Default or Event of Default shall have occurred and be continuing, as follows:</w:t>
      </w:r>
    </w:p>
    <w:p>
      <w:pPr>
        <w:spacing w:after="0" w:line="162" w:lineRule="exact"/>
        <w:rPr>
          <w:sz w:val="20"/>
          <w:szCs w:val="20"/>
          <w:color w:val="auto"/>
        </w:rPr>
      </w:pPr>
    </w:p>
    <w:p>
      <w:pPr>
        <w:ind w:left="2160" w:hanging="532"/>
        <w:spacing w:after="0"/>
        <w:tabs>
          <w:tab w:leader="none" w:pos="21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any Domestic Subsidiary of the Borrower as a Domestic Subsidiary Borrower under the Revolving</w:t>
      </w:r>
    </w:p>
    <w:p>
      <w:pPr>
        <w:spacing w:after="0" w:line="27" w:lineRule="exact"/>
        <w:rPr>
          <w:sz w:val="20"/>
          <w:szCs w:val="20"/>
          <w:color w:val="auto"/>
        </w:rPr>
      </w:pPr>
    </w:p>
    <w:p>
      <w:pPr>
        <w:ind w:left="660" w:right="80"/>
        <w:spacing w:after="0" w:line="267" w:lineRule="auto"/>
        <w:rPr>
          <w:sz w:val="20"/>
          <w:szCs w:val="20"/>
          <w:color w:val="auto"/>
        </w:rPr>
      </w:pPr>
      <w:r>
        <w:rPr>
          <w:rFonts w:ascii="Times New Roman" w:cs="Times New Roman" w:eastAsia="Times New Roman" w:hAnsi="Times New Roman"/>
          <w:sz w:val="17"/>
          <w:szCs w:val="17"/>
          <w:color w:val="FF0000"/>
          <w:strike w:val="1"/>
        </w:rPr>
        <w:t>Facility</w:t>
      </w:r>
      <w:r>
        <w:rPr>
          <w:rFonts w:ascii="Times New Roman" w:cs="Times New Roman" w:eastAsia="Times New Roman" w:hAnsi="Times New Roman"/>
          <w:sz w:val="17"/>
          <w:szCs w:val="17"/>
          <w:b w:val="1"/>
          <w:bCs w:val="1"/>
          <w:u w:val="single" w:color="auto"/>
          <w:color w:val="0000FF"/>
        </w:rPr>
        <w:t>Facilities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upon (A) ten Business Days prior notice to the Lenders (such notice to contain the name, primary business address and taxpayer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identification number of such Subsidiary), (B) the execution and delivery by the Borrower, such Subsidiary and the Administrative Agent of a Joinder Agreement, substantially in the form of Exhibit G (a “</w:t>
      </w:r>
      <w:r>
        <w:rPr>
          <w:rFonts w:ascii="Times New Roman" w:cs="Times New Roman" w:eastAsia="Times New Roman" w:hAnsi="Times New Roman"/>
          <w:sz w:val="17"/>
          <w:szCs w:val="17"/>
          <w:u w:val="single" w:color="auto"/>
          <w:color w:val="000000"/>
        </w:rPr>
        <w:t>Joinder Agreement</w:t>
      </w:r>
      <w:r>
        <w:rPr>
          <w:rFonts w:ascii="Times New Roman" w:cs="Times New Roman" w:eastAsia="Times New Roman" w:hAnsi="Times New Roman"/>
          <w:sz w:val="17"/>
          <w:szCs w:val="17"/>
          <w:color w:val="000000"/>
        </w:rPr>
        <w:t>”), providing for such Subsidiary to become a Subsidiary Borrower, (C) the agreement and acknowledgment by the Borrower and each other Subsidiary Borrower that the Guarantee and Collateral Agreement covers the Obligations of such Subsidiary, (D) delivery by the Borrower or such Subsidiary of all documentation and information as is reasonably requested in writing by the Lenders at least three days prior to the anticipated effective date of such designation required by U.S. regulatory authorities under applicable “know your customer” and anti-money laundering rules and regulations, including without limitation the PATRIOT Act, and (E) the delivery to the Administrative Agent of (1) corporate or other applicable resolutions, other corporate or other applicable documents, certificates and legal opinions in respect of such Subsidiary reasonably equivalent to comparable documents delivered on the Closing Date and (2) such other documents with respect thereto as the Administrative Agent shall reasonably request; and</w:t>
      </w:r>
    </w:p>
    <w:p>
      <w:pPr>
        <w:spacing w:after="0" w:line="183" w:lineRule="exact"/>
        <w:rPr>
          <w:sz w:val="20"/>
          <w:szCs w:val="20"/>
          <w:color w:val="auto"/>
        </w:rPr>
      </w:pPr>
    </w:p>
    <w:p>
      <w:pPr>
        <w:ind w:left="660" w:right="140" w:firstLine="968"/>
        <w:spacing w:after="0" w:line="258" w:lineRule="auto"/>
        <w:tabs>
          <w:tab w:leader="none" w:pos="221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any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183" w:lineRule="exact"/>
        <w:rPr>
          <w:rFonts w:ascii="Times New Roman" w:cs="Times New Roman" w:eastAsia="Times New Roman" w:hAnsi="Times New Roman"/>
          <w:sz w:val="18"/>
          <w:szCs w:val="18"/>
          <w:color w:val="auto"/>
        </w:rPr>
      </w:pPr>
    </w:p>
    <w:p>
      <w:pPr>
        <w:ind w:firstLine="1304"/>
        <w:spacing w:after="0" w:line="261" w:lineRule="auto"/>
        <w:tabs>
          <w:tab w:leader="none" w:pos="182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with the written consent of the Administrative Agent (not to be unreasonably withheld), the Borrower and the lenders providing the relevant Refinancing Facility, this Agreement and, as appropriate, the other Loan Documents, may be amended as may be necessary or appropriate, in the reasonable opinion of the Administrative Agent and the Borrower, to permit the creation hereunder of any such Refinancing Facility and the incurrence of the related Refinancing Debt (any such amendment, a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20" w:firstLine="1304"/>
        <w:spacing w:after="0" w:line="258" w:lineRule="auto"/>
        <w:tabs>
          <w:tab w:leader="none" w:pos="181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anything in this Agreement or the other Loan Documents to the contrary, the Administrative Agent may, with the consent of Borrower only, amend, modify or supplement this Agreement or any other Loan Document to cure any ambiguity, omission, defect or inconsistency, so long as such amendment, modification or supplement does not adversely affect the rights of any Lender and the Lenders shall have received, at least five Business Days’ prior written notice thereof and the Administrative Agent shall not have received, within five Business Days of the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of such notice to the Lenders, a written notice from the Required Lenders stating that the Required Lenders object to such amendment.</w:t>
      </w:r>
    </w:p>
    <w:p>
      <w:pPr>
        <w:spacing w:after="0" w:line="22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10.2 Notices</w:t>
      </w:r>
      <w:r>
        <w:rPr>
          <w:rFonts w:ascii="Times New Roman" w:cs="Times New Roman" w:eastAsia="Times New Roman" w:hAnsi="Times New Roman"/>
          <w:sz w:val="18"/>
          <w:szCs w:val="18"/>
          <w:color w:val="auto"/>
        </w:rPr>
        <w:t>. All notices, requests and demands to or upon the respective parties hereto to be effective shall be in writing (including by telecopy or electronic transmission), and, unless otherwise expressly provided herein, shall be deemed to have been duly given or made when delivered, or three Business Days after being deposited in the mail, postage prepaid, or, in the case of telecopy notice or electronic transmission, when received, addressed as follows in the case of Holdings,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Holdings:</w:t>
            </w: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Avis Budget Holdings, LLC</w:t>
            </w:r>
          </w:p>
        </w:tc>
      </w:tr>
      <w:tr>
        <w:trPr>
          <w:trHeight w:val="216"/>
        </w:trPr>
        <w:tc>
          <w:tcPr>
            <w:tcW w:w="3180" w:type="dxa"/>
            <w:vAlign w:val="bottom"/>
          </w:tcPr>
          <w:p>
            <w:pPr>
              <w:spacing w:after="0"/>
              <w:rPr>
                <w:sz w:val="18"/>
                <w:szCs w:val="18"/>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379 Interpace Parkway</w:t>
            </w:r>
          </w:p>
        </w:tc>
      </w:tr>
      <w:tr>
        <w:trPr>
          <w:trHeight w:val="216"/>
        </w:trPr>
        <w:tc>
          <w:tcPr>
            <w:tcW w:w="3180" w:type="dxa"/>
            <w:vAlign w:val="bottom"/>
          </w:tcPr>
          <w:p>
            <w:pPr>
              <w:spacing w:after="0"/>
              <w:rPr>
                <w:sz w:val="18"/>
                <w:szCs w:val="18"/>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Parsippany, New Jersey 07054</w:t>
            </w:r>
          </w:p>
        </w:tc>
      </w:tr>
      <w:tr>
        <w:trPr>
          <w:trHeight w:val="216"/>
        </w:trPr>
        <w:tc>
          <w:tcPr>
            <w:tcW w:w="3180" w:type="dxa"/>
            <w:vAlign w:val="bottom"/>
          </w:tcPr>
          <w:p>
            <w:pPr>
              <w:spacing w:after="0"/>
              <w:rPr>
                <w:sz w:val="18"/>
                <w:szCs w:val="18"/>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Attention:</w:t>
            </w:r>
          </w:p>
        </w:tc>
      </w:tr>
      <w:tr>
        <w:trPr>
          <w:trHeight w:val="234"/>
        </w:trPr>
        <w:tc>
          <w:tcPr>
            <w:tcW w:w="3180" w:type="dxa"/>
            <w:vAlign w:val="bottom"/>
          </w:tcPr>
          <w:p>
            <w:pPr>
              <w:spacing w:after="0"/>
              <w:rPr>
                <w:sz w:val="20"/>
                <w:szCs w:val="20"/>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Telephone:</w:t>
            </w:r>
          </w:p>
        </w:tc>
      </w:tr>
      <w:tr>
        <w:trPr>
          <w:trHeight w:val="41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Borrower:</w:t>
            </w: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Avis Budget Car Rental, LLC</w:t>
            </w:r>
          </w:p>
        </w:tc>
      </w:tr>
      <w:tr>
        <w:trPr>
          <w:trHeight w:val="216"/>
        </w:trPr>
        <w:tc>
          <w:tcPr>
            <w:tcW w:w="3180" w:type="dxa"/>
            <w:vAlign w:val="bottom"/>
          </w:tcPr>
          <w:p>
            <w:pPr>
              <w:spacing w:after="0"/>
              <w:rPr>
                <w:sz w:val="18"/>
                <w:szCs w:val="18"/>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379 Interpace Parkway</w:t>
            </w:r>
          </w:p>
        </w:tc>
      </w:tr>
      <w:tr>
        <w:trPr>
          <w:trHeight w:val="216"/>
        </w:trPr>
        <w:tc>
          <w:tcPr>
            <w:tcW w:w="3180" w:type="dxa"/>
            <w:vAlign w:val="bottom"/>
          </w:tcPr>
          <w:p>
            <w:pPr>
              <w:spacing w:after="0"/>
              <w:rPr>
                <w:sz w:val="18"/>
                <w:szCs w:val="18"/>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Parsippany, New Jersey 07054</w:t>
            </w:r>
          </w:p>
        </w:tc>
      </w:tr>
      <w:tr>
        <w:trPr>
          <w:trHeight w:val="216"/>
        </w:trPr>
        <w:tc>
          <w:tcPr>
            <w:tcW w:w="3180" w:type="dxa"/>
            <w:vAlign w:val="bottom"/>
          </w:tcPr>
          <w:p>
            <w:pPr>
              <w:spacing w:after="0"/>
              <w:rPr>
                <w:sz w:val="18"/>
                <w:szCs w:val="18"/>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Attention:</w:t>
            </w:r>
          </w:p>
        </w:tc>
      </w:tr>
      <w:tr>
        <w:trPr>
          <w:trHeight w:val="234"/>
        </w:trPr>
        <w:tc>
          <w:tcPr>
            <w:tcW w:w="3180" w:type="dxa"/>
            <w:vAlign w:val="bottom"/>
          </w:tcPr>
          <w:p>
            <w:pPr>
              <w:spacing w:after="0"/>
              <w:rPr>
                <w:sz w:val="20"/>
                <w:szCs w:val="20"/>
                <w:color w:val="auto"/>
              </w:rPr>
            </w:pPr>
          </w:p>
        </w:tc>
        <w:tc>
          <w:tcPr>
            <w:tcW w:w="8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Telephone:</w:t>
            </w:r>
          </w:p>
        </w:tc>
      </w:tr>
      <w:tr>
        <w:trPr>
          <w:trHeight w:val="216"/>
        </w:trPr>
        <w:tc>
          <w:tcPr>
            <w:tcW w:w="3180" w:type="dxa"/>
            <w:vAlign w:val="bottom"/>
          </w:tcPr>
          <w:p>
            <w:pPr>
              <w:spacing w:after="0"/>
              <w:rPr>
                <w:sz w:val="18"/>
                <w:szCs w:val="18"/>
                <w:color w:val="auto"/>
              </w:rPr>
            </w:pPr>
          </w:p>
        </w:tc>
        <w:tc>
          <w:tcPr>
            <w:tcW w:w="8060" w:type="dxa"/>
            <w:vAlign w:val="bottom"/>
          </w:tcPr>
          <w:p>
            <w:pPr>
              <w:spacing w:after="0"/>
              <w:rPr>
                <w:sz w:val="18"/>
                <w:szCs w:val="18"/>
                <w:color w:val="auto"/>
              </w:rPr>
            </w:pPr>
          </w:p>
        </w:tc>
      </w:tr>
      <w:tr>
        <w:trPr>
          <w:trHeight w:val="198"/>
        </w:trPr>
        <w:tc>
          <w:tcPr>
            <w:tcW w:w="3180" w:type="dxa"/>
            <w:vAlign w:val="bottom"/>
            <w:shd w:val="clear" w:color="auto" w:fill="FFDEAD"/>
          </w:tcPr>
          <w:p>
            <w:pPr>
              <w:ind w:left="340"/>
              <w:spacing w:after="0" w:line="198" w:lineRule="exact"/>
              <w:rPr>
                <w:sz w:val="20"/>
                <w:szCs w:val="20"/>
                <w:color w:val="auto"/>
              </w:rPr>
            </w:pPr>
            <w:r>
              <w:rPr>
                <w:rFonts w:ascii="Times New Roman" w:cs="Times New Roman" w:eastAsia="Times New Roman" w:hAnsi="Times New Roman"/>
                <w:sz w:val="18"/>
                <w:szCs w:val="18"/>
                <w:color w:val="FF0000"/>
                <w:strike w:val="1"/>
              </w:rPr>
              <w:t>Administrative Agent:</w:t>
            </w:r>
          </w:p>
        </w:tc>
        <w:tc>
          <w:tcPr>
            <w:tcW w:w="8060" w:type="dxa"/>
            <w:vAlign w:val="bottom"/>
            <w:shd w:val="clear" w:color="auto" w:fill="FFDEAD"/>
          </w:tcPr>
          <w:p>
            <w:pPr>
              <w:ind w:left="1220"/>
              <w:spacing w:after="0" w:line="198" w:lineRule="exact"/>
              <w:rPr>
                <w:sz w:val="20"/>
                <w:szCs w:val="20"/>
                <w:color w:val="auto"/>
              </w:rPr>
            </w:pPr>
            <w:r>
              <w:rPr>
                <w:rFonts w:ascii="Times New Roman" w:cs="Times New Roman" w:eastAsia="Times New Roman" w:hAnsi="Times New Roman"/>
                <w:sz w:val="18"/>
                <w:szCs w:val="18"/>
                <w:color w:val="FF0000"/>
                <w:strike w:val="1"/>
              </w:rPr>
              <w:t>JPMorgan Chase Bank, N.A.</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500 Stanton Christiana Road, Ops 2,</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Floor 3</w:t>
            </w:r>
          </w:p>
        </w:tc>
      </w:tr>
      <w:tr>
        <w:trPr>
          <w:trHeight w:val="234"/>
        </w:trPr>
        <w:tc>
          <w:tcPr>
            <w:tcW w:w="3180" w:type="dxa"/>
            <w:vAlign w:val="bottom"/>
            <w:shd w:val="clear" w:color="auto" w:fill="FFDEAD"/>
          </w:tcPr>
          <w:p>
            <w:pPr>
              <w:spacing w:after="0"/>
              <w:rPr>
                <w:sz w:val="20"/>
                <w:szCs w:val="20"/>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Newark, DE 19713</w:t>
            </w:r>
          </w:p>
        </w:tc>
      </w:tr>
      <w:tr>
        <w:trPr>
          <w:trHeight w:val="198"/>
        </w:trPr>
        <w:tc>
          <w:tcPr>
            <w:tcW w:w="3180" w:type="dxa"/>
            <w:vAlign w:val="bottom"/>
            <w:shd w:val="clear" w:color="auto" w:fill="FFDEAD"/>
          </w:tcPr>
          <w:p>
            <w:pPr>
              <w:spacing w:after="0"/>
              <w:rPr>
                <w:sz w:val="17"/>
                <w:szCs w:val="17"/>
                <w:color w:val="auto"/>
              </w:rPr>
            </w:pPr>
          </w:p>
        </w:tc>
        <w:tc>
          <w:tcPr>
            <w:tcW w:w="8060" w:type="dxa"/>
            <w:vAlign w:val="bottom"/>
            <w:shd w:val="clear" w:color="auto" w:fill="FFDEAD"/>
          </w:tcPr>
          <w:p>
            <w:pPr>
              <w:ind w:left="1220"/>
              <w:spacing w:after="0" w:line="198" w:lineRule="exact"/>
              <w:rPr>
                <w:sz w:val="20"/>
                <w:szCs w:val="20"/>
                <w:color w:val="auto"/>
              </w:rPr>
            </w:pPr>
            <w:r>
              <w:rPr>
                <w:rFonts w:ascii="Times New Roman" w:cs="Times New Roman" w:eastAsia="Times New Roman" w:hAnsi="Times New Roman"/>
                <w:sz w:val="18"/>
                <w:szCs w:val="18"/>
                <w:color w:val="FF0000"/>
                <w:strike w:val="1"/>
              </w:rPr>
              <w:t>Attention:</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Telecopy:</w:t>
            </w:r>
          </w:p>
        </w:tc>
      </w:tr>
      <w:tr>
        <w:trPr>
          <w:trHeight w:val="234"/>
        </w:trPr>
        <w:tc>
          <w:tcPr>
            <w:tcW w:w="3180" w:type="dxa"/>
            <w:vAlign w:val="bottom"/>
            <w:shd w:val="clear" w:color="auto" w:fill="FFDEAD"/>
          </w:tcPr>
          <w:p>
            <w:pPr>
              <w:spacing w:after="0"/>
              <w:rPr>
                <w:sz w:val="20"/>
                <w:szCs w:val="20"/>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Telephone:</w:t>
            </w:r>
          </w:p>
        </w:tc>
      </w:tr>
      <w:tr>
        <w:trPr>
          <w:trHeight w:val="414"/>
        </w:trPr>
        <w:tc>
          <w:tcPr>
            <w:tcW w:w="3180" w:type="dxa"/>
            <w:vAlign w:val="bottom"/>
            <w:shd w:val="clear" w:color="auto" w:fill="FFDEAD"/>
          </w:tcPr>
          <w:p>
            <w:pPr>
              <w:ind w:left="340"/>
              <w:spacing w:after="0"/>
              <w:rPr>
                <w:sz w:val="20"/>
                <w:szCs w:val="20"/>
                <w:color w:val="auto"/>
              </w:rPr>
            </w:pPr>
            <w:r>
              <w:rPr>
                <w:rFonts w:ascii="Times New Roman" w:cs="Times New Roman" w:eastAsia="Times New Roman" w:hAnsi="Times New Roman"/>
                <w:sz w:val="18"/>
                <w:szCs w:val="18"/>
                <w:color w:val="FF0000"/>
                <w:strike w:val="1"/>
              </w:rPr>
              <w:t>with a copy to:</w:t>
            </w: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JPMorgan Chase Bank, N.A.</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383 Madison Avenue</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Floor 24</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New York, NY 10179</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Attention:</w:t>
            </w:r>
          </w:p>
        </w:tc>
      </w:tr>
      <w:tr>
        <w:trPr>
          <w:trHeight w:val="216"/>
        </w:trPr>
        <w:tc>
          <w:tcPr>
            <w:tcW w:w="3180" w:type="dxa"/>
            <w:vAlign w:val="bottom"/>
            <w:shd w:val="clear" w:color="auto" w:fill="FFDEAD"/>
          </w:tcPr>
          <w:p>
            <w:pPr>
              <w:spacing w:after="0"/>
              <w:rPr>
                <w:sz w:val="18"/>
                <w:szCs w:val="18"/>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Telecopy:</w:t>
            </w:r>
          </w:p>
        </w:tc>
      </w:tr>
      <w:tr>
        <w:trPr>
          <w:trHeight w:val="234"/>
        </w:trPr>
        <w:tc>
          <w:tcPr>
            <w:tcW w:w="3180" w:type="dxa"/>
            <w:vAlign w:val="bottom"/>
            <w:shd w:val="clear" w:color="auto" w:fill="FFDEAD"/>
          </w:tcPr>
          <w:p>
            <w:pPr>
              <w:spacing w:after="0"/>
              <w:rPr>
                <w:sz w:val="20"/>
                <w:szCs w:val="20"/>
                <w:color w:val="auto"/>
              </w:rPr>
            </w:pPr>
          </w:p>
        </w:tc>
        <w:tc>
          <w:tcPr>
            <w:tcW w:w="8060" w:type="dxa"/>
            <w:vAlign w:val="bottom"/>
            <w:shd w:val="clear" w:color="auto" w:fill="FFDEAD"/>
          </w:tcPr>
          <w:p>
            <w:pPr>
              <w:ind w:left="1220"/>
              <w:spacing w:after="0"/>
              <w:rPr>
                <w:sz w:val="20"/>
                <w:szCs w:val="20"/>
                <w:color w:val="auto"/>
              </w:rPr>
            </w:pPr>
            <w:r>
              <w:rPr>
                <w:rFonts w:ascii="Times New Roman" w:cs="Times New Roman" w:eastAsia="Times New Roman" w:hAnsi="Times New Roman"/>
                <w:sz w:val="18"/>
                <w:szCs w:val="18"/>
                <w:color w:val="FF0000"/>
                <w:strike w:val="1"/>
              </w:rPr>
              <w:t>Telephone:</w:t>
            </w:r>
          </w:p>
        </w:tc>
      </w:tr>
    </w:tbl>
    <w:p>
      <w:pPr>
        <w:ind w:left="980" w:hanging="324"/>
        <w:spacing w:after="0"/>
        <w:tabs>
          <w:tab w:leader="none" w:pos="980" w:val="left"/>
        </w:tabs>
        <w:numPr>
          <w:ilvl w:val="0"/>
          <w:numId w:val="18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If to the Administrative Agent from the Borrower, to the address or addresses separately provided to the Borrower;</w:t>
      </w:r>
    </w:p>
    <w:p>
      <w:pPr>
        <w:spacing w:after="0" w:line="202" w:lineRule="exact"/>
        <w:rPr>
          <w:rFonts w:ascii="Times New Roman" w:cs="Times New Roman" w:eastAsia="Times New Roman" w:hAnsi="Times New Roman"/>
          <w:sz w:val="18"/>
          <w:szCs w:val="18"/>
          <w:b w:val="1"/>
          <w:bCs w:val="1"/>
          <w:u w:val="single" w:color="auto"/>
          <w:color w:val="0000FF"/>
        </w:rPr>
      </w:pPr>
    </w:p>
    <w:p>
      <w:pPr>
        <w:ind w:left="980" w:hanging="324"/>
        <w:spacing w:after="0"/>
        <w:tabs>
          <w:tab w:leader="none" w:pos="980" w:val="left"/>
        </w:tabs>
        <w:numPr>
          <w:ilvl w:val="0"/>
          <w:numId w:val="18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If to the Administrative Agent from the Lenders, to JPMorgan Chase Bank, N.A., Attention:  , 270 Park Ave., New York, NY 10017;</w:t>
      </w:r>
    </w:p>
    <w:p>
      <w:pPr>
        <w:spacing w:after="0" w:line="31" w:lineRule="exact"/>
        <w:rPr>
          <w:rFonts w:ascii="Times New Roman" w:cs="Times New Roman" w:eastAsia="Times New Roman" w:hAnsi="Times New Roman"/>
          <w:sz w:val="18"/>
          <w:szCs w:val="18"/>
          <w:b w:val="1"/>
          <w:bCs w:val="1"/>
          <w:u w:val="single" w:color="auto"/>
          <w:color w:val="0000FF"/>
        </w:rPr>
      </w:pPr>
    </w:p>
    <w:p>
      <w:pPr>
        <w:ind w:left="98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Telephone:  ; and</w:t>
      </w:r>
    </w:p>
    <w:p>
      <w:pPr>
        <w:spacing w:after="0" w:line="202" w:lineRule="exact"/>
        <w:rPr>
          <w:rFonts w:ascii="Times New Roman" w:cs="Times New Roman" w:eastAsia="Times New Roman" w:hAnsi="Times New Roman"/>
          <w:sz w:val="18"/>
          <w:szCs w:val="18"/>
          <w:b w:val="1"/>
          <w:bCs w:val="1"/>
          <w:u w:val="single" w:color="auto"/>
          <w:color w:val="0000FF"/>
        </w:rPr>
      </w:pPr>
    </w:p>
    <w:p>
      <w:pPr>
        <w:ind w:left="980" w:hanging="324"/>
        <w:spacing w:after="0"/>
        <w:tabs>
          <w:tab w:leader="none" w:pos="980" w:val="left"/>
        </w:tabs>
        <w:numPr>
          <w:ilvl w:val="0"/>
          <w:numId w:val="18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if to an Issuing Lender, to it at the address separately provided to the Borrower;</w:t>
      </w:r>
    </w:p>
    <w:p>
      <w:pPr>
        <w:spacing w:after="0" w:line="225" w:lineRule="exact"/>
        <w:rPr>
          <w:rFonts w:ascii="Times New Roman" w:cs="Times New Roman" w:eastAsia="Times New Roman" w:hAnsi="Times New Roman"/>
          <w:sz w:val="18"/>
          <w:szCs w:val="18"/>
          <w:b w:val="1"/>
          <w:bCs w:val="1"/>
          <w:u w:val="single" w:color="auto"/>
          <w:color w:val="0000FF"/>
        </w:rPr>
      </w:pPr>
    </w:p>
    <w:p>
      <w:pPr>
        <w:ind w:left="980" w:hanging="324"/>
        <w:spacing w:after="0"/>
        <w:tabs>
          <w:tab w:leader="none" w:pos="980" w:val="left"/>
        </w:tabs>
        <w:numPr>
          <w:ilvl w:val="0"/>
          <w:numId w:val="18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if to the Swingline Lender, to it at the address separately provided to the Borrower;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(E) if to any other Lender, to it at its address (or telecopy number) set forth in its Administrative Questionnaire.</w:t>
      </w:r>
    </w:p>
    <w:p>
      <w:pPr>
        <w:spacing w:after="0" w:line="225"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request or demand to or upon the Administrative Agent or the Lenders shall not be effective until received. </w:t>
      </w:r>
      <w:r>
        <w:rPr>
          <w:rFonts w:ascii="Times New Roman" w:cs="Times New Roman" w:eastAsia="Times New Roman" w:hAnsi="Times New Roman"/>
          <w:sz w:val="18"/>
          <w:szCs w:val="18"/>
          <w:b w:val="1"/>
          <w:bCs w:val="1"/>
          <w:u w:val="single" w:color="auto"/>
          <w:color w:val="0000FF"/>
        </w:rPr>
        <w:t>Notices delivered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through Approved Electronic Platforms or Approved Borrower Portals, to the extent provided in the following paragraph, shall be effective as provided in the following paragraph.</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Notices and other communications to the </w:t>
      </w:r>
      <w:r>
        <w:rPr>
          <w:rFonts w:ascii="Times New Roman" w:cs="Times New Roman" w:eastAsia="Times New Roman" w:hAnsi="Times New Roman"/>
          <w:sz w:val="18"/>
          <w:szCs w:val="18"/>
          <w:b w:val="1"/>
          <w:bCs w:val="1"/>
          <w:u w:val="single" w:color="auto"/>
          <w:color w:val="0000FF"/>
        </w:rPr>
        <w:t>Borrower, any Subsidiary Borrower, any other Loan Party, the Lenders, the Administrative Agent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Issuing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hereunder may be delivered or furnished by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electronic communications</w:t>
      </w:r>
      <w:r>
        <w:rPr>
          <w:rFonts w:ascii="Times New Roman" w:cs="Times New Roman" w:eastAsia="Times New Roman" w:hAnsi="Times New Roman"/>
          <w:sz w:val="18"/>
          <w:szCs w:val="18"/>
          <w:b w:val="1"/>
          <w:bCs w:val="1"/>
          <w:u w:val="single" w:color="auto"/>
          <w:color w:val="0000FF"/>
        </w:rPr>
        <w:t>using Approved Electronic Platforms or Approved Borrower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Portals (as applicable), in each case,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pursuant to procedures approved by the Administrative Agent;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the foregoing shall not apply to notices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pursuant to Section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approval of such procedures may be limited to particular notices or communications.</w:t>
      </w:r>
    </w:p>
    <w:p>
      <w:pPr>
        <w:spacing w:after="0" w:line="186"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10.3 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10.4 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10.5</w:t>
      </w:r>
      <w:r>
        <w:rPr>
          <w:sz w:val="20"/>
          <w:szCs w:val="20"/>
          <w:color w:val="auto"/>
        </w:rPr>
        <w:tab/>
      </w:r>
      <w:r>
        <w:rPr>
          <w:rFonts w:ascii="Times New Roman" w:cs="Times New Roman" w:eastAsia="Times New Roman" w:hAnsi="Times New Roman"/>
          <w:sz w:val="17"/>
          <w:szCs w:val="17"/>
          <w:u w:val="single" w:color="auto"/>
          <w:color w:val="auto"/>
        </w:rPr>
        <w:t>Payment of Expenses and Taxes; Indemnity; Limitation of Liability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3" w:lineRule="auto"/>
        <w:tabs>
          <w:tab w:leader="none" w:pos="180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(a) to pay or reimburse the Administrative Agent for all its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fees and disbursements of Simpson Thacher &amp; Bartlett LLP and filing and recording fees and expenses, with statements with respect to the foregoing to be submitted to the Borrower prior to the Restatement Effective Date (in the case of amounts to be paid on the Restatement Effective Date) and from time to time thereafter on a quarterly basis or such other periodic basis as the Administrative Agent shall deem appropriate, (b) to pay or reimburse each Lender and the Administrative Agent for all its reasonable out-of-pocket costs and expenses incurred in connection with the enforcement or preservation of any rights under this Agreement, the other Loan Documents and any such other documents, including the fees and disbursements of counsel to the Lenders and of counsel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shall not be liable for the fees and disbursements of more than one separate firm for the Lenders (unless there shall exist an actual conflict of interest among the Lenders) in connection with any one action or any separate but substantially similar or related actions in the same jurisdiction, nor shall the Borrower be liable for any settlement or extra-judicial resolution of claims without the Borrower’s written consent, (c) to pay, indemnify, and hold each Lender and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8" w:name="page179"/>
    <w:bookmarkEnd w:id="178"/>
    <w:p>
      <w:pPr>
        <w:ind w:right="20"/>
        <w:spacing w:after="0" w:line="252" w:lineRule="auto"/>
        <w:rPr>
          <w:sz w:val="20"/>
          <w:szCs w:val="20"/>
          <w:color w:val="auto"/>
        </w:rPr>
      </w:pPr>
      <w:r>
        <w:rPr>
          <w:rFonts w:ascii="Times New Roman" w:cs="Times New Roman" w:eastAsia="Times New Roman" w:hAnsi="Times New Roman"/>
          <w:sz w:val="18"/>
          <w:szCs w:val="18"/>
          <w:color w:val="auto"/>
        </w:rPr>
        <w:t>Administrative Agent harmless from, any and all recording and filing fees and any and all liabilities with respect to, or resulting from any delay in paying, stamp, excise and similar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Joint Lead Arranger, Lender and the Administrative Agent and their respective officers, directors, employees, affiliates, agents and controlling persons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harmless from and against any and all liabilities, obligations, losses, damages, penalties, actions, judgments, suits, costs, expenses or disbursements of any kind or nature whatsoever (other than with respect to taxes, which shall be governed exclusively by Section 2.19) with respect to the execution, delivery, enforcement, performance and administration of this Agreement, the other Loan Documents and any such other documents, including any of the foregoing relating to the use of proceeds of the Loans or the violation of, noncompliance with or liability under, any Environmental Law applicable to the operations of any Group Member or any of the Properties and the reasonable fees and expenses of legal counsel in connection with claims, actions or proceedings by any Indemnitee against any Loan Party under any Loan Document (all the foregoing in this clause (d),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no obligation hereunder to any Indemnitee with respect to Indemnified Liabilities to the extent such Indemnified Liabilities are found by a final and nonappealable decision of a court of competent jurisdiction to have resulted from the gross negligence or willful misconduct of such Indemnitee;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that the Borrower shall not be liable for the fees and disbursements of more than one separate firm for any Indemnitees (unless there shall exist an actual conflict of interest among such Indemnitees) in connection with any one action or any separate but substantially similar or related actions in the same jurisdiction, nor shall the Borrower be liable for any settlement or extra-judicial resolution of such Indemnitees’ claims without the Borrower’s written consent.</w:t>
      </w:r>
    </w:p>
    <w:p>
      <w:pPr>
        <w:spacing w:after="0" w:line="193" w:lineRule="exact"/>
        <w:rPr>
          <w:sz w:val="20"/>
          <w:szCs w:val="20"/>
          <w:color w:val="auto"/>
        </w:rPr>
      </w:pPr>
    </w:p>
    <w:p>
      <w:pPr>
        <w:ind w:firstLine="1304"/>
        <w:spacing w:after="0" w:line="252" w:lineRule="auto"/>
        <w:tabs>
          <w:tab w:leader="none" w:pos="181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paragraph,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Joint Lead Arranger, Lender or the Administrative Agent or their respective officers, directors, employees, affiliates, agents and controlling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permitted by applicable law, no party hereto shall assert, and each such party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sentence shall relieve the Borrower of any obligation it may have to indemnify an Agent-Related Person against special, indirect, consequential or punitive damages asserted against such Agent-Related Person by a third party. No Agent-Related Person shall be liable for any damages arising from the use by unintended recipients of any information or other materials distributed by it through telecommunications, electronic or other information transmission systems </w:t>
      </w:r>
      <w:r>
        <w:rPr>
          <w:rFonts w:ascii="Times New Roman" w:cs="Times New Roman" w:eastAsia="Times New Roman" w:hAnsi="Times New Roman"/>
          <w:sz w:val="18"/>
          <w:szCs w:val="18"/>
          <w:b w:val="1"/>
          <w:bCs w:val="1"/>
          <w:u w:val="single" w:color="auto"/>
          <w:color w:val="0000FF"/>
        </w:rPr>
        <w:t>(including the Internet, any Approved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Platform and any Approved Borrower Portal)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connection with this Agreement or the other Loan Documents or the transactions contemplated hereby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thereby.</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All amounts due under this Section 10.5 shall be payable not later than 10 days after written demand therefor. Statements payable by the Borrower pursuant to this Section 10.5 shall be submitted to the Chief Financial Officer </w:t>
      </w:r>
      <w:r>
        <w:rPr>
          <w:rFonts w:ascii="Times New Roman" w:cs="Times New Roman" w:eastAsia="Times New Roman" w:hAnsi="Times New Roman"/>
          <w:sz w:val="18"/>
          <w:szCs w:val="18"/>
          <w:color w:val="FF0000"/>
          <w:strike w:val="1"/>
        </w:rPr>
        <w:t>(Telephone No. ) (Telecopy No. )</w:t>
      </w:r>
      <w:r>
        <w:rPr>
          <w:rFonts w:ascii="Times New Roman" w:cs="Times New Roman" w:eastAsia="Times New Roman" w:hAnsi="Times New Roman"/>
          <w:sz w:val="18"/>
          <w:szCs w:val="18"/>
          <w:color w:val="auto"/>
        </w:rPr>
        <w:t>, at the address of the Borrower set forth in Section 10.2, or to such other Person or address as may be hereafter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ind w:right="100"/>
        <w:spacing w:after="0" w:line="282" w:lineRule="auto"/>
        <w:rPr>
          <w:sz w:val="20"/>
          <w:szCs w:val="20"/>
          <w:color w:val="auto"/>
        </w:rPr>
      </w:pPr>
      <w:r>
        <w:rPr>
          <w:rFonts w:ascii="Times New Roman" w:cs="Times New Roman" w:eastAsia="Times New Roman" w:hAnsi="Times New Roman"/>
          <w:sz w:val="18"/>
          <w:szCs w:val="18"/>
          <w:color w:val="auto"/>
        </w:rPr>
        <w:t>designated by the Borrower in a written notice to the Administrative Agent. The agreements in this Section 10.5 shall survive repayment of the Loans and all other amounts payable hereunder.</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10.6</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 and Assignments</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right="160" w:firstLine="1304"/>
        <w:spacing w:after="0" w:line="258" w:lineRule="auto"/>
        <w:tabs>
          <w:tab w:leader="none" w:pos="1386" w:val="left"/>
        </w:tabs>
        <w:numPr>
          <w:ilvl w:val="0"/>
          <w:numId w:val="18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The provisions of this Agreement shall be binding upon and inure to the benefit of the parties hereto and their respective successors and assigns permitted hereby (including any affiliate of any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83" w:lineRule="exact"/>
        <w:rPr>
          <w:sz w:val="20"/>
          <w:szCs w:val="20"/>
          <w:color w:val="auto"/>
        </w:rPr>
      </w:pPr>
    </w:p>
    <w:p>
      <w:pPr>
        <w:jc w:val="both"/>
        <w:ind w:right="60" w:firstLine="1304"/>
        <w:spacing w:after="0" w:line="261" w:lineRule="auto"/>
        <w:tabs>
          <w:tab w:leader="none" w:pos="155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Subject to the conditions set forth in paragraph (b)(ii) below, any Lender may assign to one or more assignees (other than (A)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natural person (or holding company, investment vehicle or trust for, or owned or operated for the primary benefit of, a natural person), (B) the Borrower or any of its Affiliates or (C) a Defaulting Lender) (each, an “</w:t>
      </w:r>
      <w:r>
        <w:rPr>
          <w:rFonts w:ascii="Times New Roman" w:cs="Times New Roman" w:eastAsia="Times New Roman" w:hAnsi="Times New Roman"/>
          <w:sz w:val="18"/>
          <w:szCs w:val="18"/>
          <w:u w:val="single" w:color="auto"/>
          <w:color w:val="000000"/>
        </w:rPr>
        <w:t>Assignee</w:t>
      </w:r>
      <w:r>
        <w:rPr>
          <w:rFonts w:ascii="Times New Roman" w:cs="Times New Roman" w:eastAsia="Times New Roman" w:hAnsi="Times New Roman"/>
          <w:sz w:val="18"/>
          <w:szCs w:val="18"/>
          <w:color w:val="000000"/>
        </w:rPr>
        <w:t>”) all or a portion of its rights and obligations under this Agreement (including all or a portion of its Commitments and the Loans at the time owing to it) with the prior written consent of:</w:t>
      </w:r>
    </w:p>
    <w:p>
      <w:pPr>
        <w:spacing w:after="0" w:line="180" w:lineRule="exact"/>
        <w:rPr>
          <w:sz w:val="20"/>
          <w:szCs w:val="20"/>
          <w:color w:val="auto"/>
        </w:rPr>
      </w:pPr>
    </w:p>
    <w:p>
      <w:pPr>
        <w:ind w:left="660" w:firstLine="644"/>
        <w:spacing w:after="0" w:line="258" w:lineRule="auto"/>
        <w:tabs>
          <w:tab w:leader="none" w:pos="187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(as defined below) or, if an Event of Default under Section 8(a) or (f) has occurred and is continuing, any other Person;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be deemed to have consented to any such assignment unless the Borrower shall object thereto by written notice to the Administrative Agent within ten Business Days after having received written notice thereof; and</w:t>
      </w:r>
    </w:p>
    <w:p>
      <w:pPr>
        <w:spacing w:after="0" w:line="183" w:lineRule="exact"/>
        <w:rPr>
          <w:rFonts w:ascii="Times New Roman" w:cs="Times New Roman" w:eastAsia="Times New Roman" w:hAnsi="Times New Roman"/>
          <w:sz w:val="18"/>
          <w:szCs w:val="18"/>
          <w:color w:val="auto"/>
        </w:rPr>
      </w:pPr>
    </w:p>
    <w:p>
      <w:pPr>
        <w:ind w:left="660" w:right="360" w:firstLine="644"/>
        <w:spacing w:after="0" w:line="261" w:lineRule="auto"/>
        <w:tabs>
          <w:tab w:leader="none" w:pos="186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(x) an assignment of all or any portion of a Term Loan to a Lender, an affiliate of a Lender or an Approved Fund or (y) an assignment of all or any portion of a Revolving Commitment and Revolving Extensions of Credit by a Lender to an affiliate of such Lender.</w:t>
      </w:r>
    </w:p>
    <w:p>
      <w:pPr>
        <w:spacing w:after="0" w:line="179" w:lineRule="exact"/>
        <w:rPr>
          <w:rFonts w:ascii="Times New Roman" w:cs="Times New Roman" w:eastAsia="Times New Roman" w:hAnsi="Times New Roman"/>
          <w:sz w:val="18"/>
          <w:szCs w:val="18"/>
          <w:color w:val="auto"/>
        </w:rPr>
      </w:pPr>
    </w:p>
    <w:p>
      <w:pPr>
        <w:ind w:left="660" w:right="140" w:firstLine="644"/>
        <w:spacing w:after="0" w:line="282" w:lineRule="auto"/>
        <w:tabs>
          <w:tab w:leader="none" w:pos="186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Issuing Lender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Issuing Lenders shall be required for an assignment of all or any portion of a Term Loan or Term Commitment.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Assignments shall be subject to the following additional conditions:</w:t>
      </w:r>
    </w:p>
    <w:p>
      <w:pPr>
        <w:spacing w:after="0" w:line="229" w:lineRule="exact"/>
        <w:rPr>
          <w:sz w:val="20"/>
          <w:szCs w:val="20"/>
          <w:color w:val="auto"/>
        </w:rPr>
      </w:pPr>
    </w:p>
    <w:p>
      <w:pPr>
        <w:ind w:left="660" w:firstLine="644"/>
        <w:spacing w:after="0" w:line="255" w:lineRule="auto"/>
        <w:tabs>
          <w:tab w:leader="none" w:pos="187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in the case of the Revolving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b w:val="1"/>
          <w:bCs w:val="1"/>
          <w:u w:val="single" w:color="auto"/>
          <w:color w:val="0000FF"/>
        </w:rPr>
        <w:t>Facilities</w:t>
      </w:r>
      <w:r>
        <w:rPr>
          <w:rFonts w:ascii="Times New Roman" w:cs="Times New Roman" w:eastAsia="Times New Roman" w:hAnsi="Times New Roman"/>
          <w:sz w:val="18"/>
          <w:szCs w:val="18"/>
          <w:color w:val="auto"/>
        </w:rPr>
        <w:t xml:space="preserve"> and the Tranche A Term Facility, $5,000,000 or, in the case of the Term Facility, $1,000,000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such consent of the Borrower shall be required if an Event of Default under Section 8(a) or (f) has occurred and is continuing and (2) such amounts shall be aggregated in respect of each Lender and its affiliates or Approved Funds, if any;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0" w:name="page181"/>
    <w:bookmarkEnd w:id="180"/>
    <w:p>
      <w:pPr>
        <w:ind w:left="660" w:right="20" w:firstLine="644"/>
        <w:spacing w:after="0" w:line="259" w:lineRule="auto"/>
        <w:tabs>
          <w:tab w:leader="none" w:pos="186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assignment shall execute and deliver to the Administrative Agent </w:t>
      </w:r>
      <w:r>
        <w:rPr>
          <w:rFonts w:ascii="Times New Roman" w:cs="Times New Roman" w:eastAsia="Times New Roman" w:hAnsi="Times New Roman"/>
          <w:sz w:val="18"/>
          <w:szCs w:val="18"/>
          <w:b w:val="1"/>
          <w:bCs w:val="1"/>
          <w:u w:val="single" w:color="auto"/>
          <w:color w:val="0000FF"/>
        </w:rPr>
        <w:t>(x)</w:t>
      </w:r>
      <w:r>
        <w:rPr>
          <w:rFonts w:ascii="Times New Roman" w:cs="Times New Roman" w:eastAsia="Times New Roman" w:hAnsi="Times New Roman"/>
          <w:sz w:val="18"/>
          <w:szCs w:val="18"/>
          <w:color w:val="auto"/>
        </w:rPr>
        <w:t xml:space="preserve"> an Assignment and Assumption </w:t>
      </w:r>
      <w:r>
        <w:rPr>
          <w:rFonts w:ascii="Times New Roman" w:cs="Times New Roman" w:eastAsia="Times New Roman" w:hAnsi="Times New Roman"/>
          <w:sz w:val="18"/>
          <w:szCs w:val="18"/>
          <w:b w:val="1"/>
          <w:bCs w:val="1"/>
          <w:u w:val="single" w:color="auto"/>
          <w:color w:val="0000FF"/>
        </w:rPr>
        <w:t>or (y)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extent applicable, an agreement incorporating an Assignment and Assumption by reference pursuant to an Approved Electronic Platform as to which the Administrative Agent and the parties to the Assignment and Assumption are participants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in lieu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 Assignment and Assumption, any assignment in connection with Section 2.22 or Section 2.26(a)(iv) may be effected pursuant to such other procedures as the Borrower and the Administrative Agent may agree), together with a processing and recordation fee of $3,500; and</w:t>
      </w:r>
    </w:p>
    <w:p>
      <w:pPr>
        <w:spacing w:after="0" w:line="183"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w:t>
      </w:r>
    </w:p>
    <w:p>
      <w:pPr>
        <w:spacing w:after="0" w:line="225" w:lineRule="exact"/>
        <w:rPr>
          <w:sz w:val="20"/>
          <w:szCs w:val="20"/>
          <w:color w:val="auto"/>
        </w:rPr>
      </w:pPr>
    </w:p>
    <w:p>
      <w:pPr>
        <w:jc w:val="both"/>
        <w:ind w:right="80" w:firstLine="1296"/>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10.6,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(or holding company, investment vehicle or trust for, or owned or operated for the primary benefit of,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660" w:right="100" w:firstLine="972"/>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auto"/>
        </w:rPr>
        <w:t>) 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85" w:lineRule="exact"/>
        <w:rPr>
          <w:sz w:val="20"/>
          <w:szCs w:val="20"/>
          <w:color w:val="auto"/>
        </w:rPr>
      </w:pPr>
    </w:p>
    <w:p>
      <w:pPr>
        <w:ind w:left="660" w:right="80" w:firstLine="97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iv</w:t>
      </w:r>
      <w:r>
        <w:rPr>
          <w:rFonts w:ascii="Times New Roman" w:cs="Times New Roman" w:eastAsia="Times New Roman" w:hAnsi="Times New Roman"/>
          <w:sz w:val="18"/>
          <w:szCs w:val="18"/>
          <w:b w:val="1"/>
          <w:bCs w:val="1"/>
          <w:u w:val="single" w:color="auto"/>
          <w:color w:val="0000FF"/>
        </w:rPr>
        <w:t>iii</w:t>
      </w:r>
      <w:r>
        <w:rPr>
          <w:rFonts w:ascii="Times New Roman" w:cs="Times New Roman" w:eastAsia="Times New Roman" w:hAnsi="Times New Roman"/>
          <w:sz w:val="18"/>
          <w:szCs w:val="18"/>
          <w:color w:val="auto"/>
        </w:rPr>
        <w:t>) The Administrative Agent, acting for this purpose as a non-fiduciary agent of the Borrower,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Lender and any Lender, at any reasonable time and from time to time upon reasonable prior notice.</w:t>
      </w:r>
    </w:p>
    <w:p>
      <w:pPr>
        <w:spacing w:after="0" w:line="183" w:lineRule="exact"/>
        <w:rPr>
          <w:sz w:val="20"/>
          <w:szCs w:val="20"/>
          <w:color w:val="auto"/>
        </w:rPr>
      </w:pPr>
    </w:p>
    <w:p>
      <w:pPr>
        <w:ind w:left="660" w:firstLine="97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b w:val="1"/>
          <w:bCs w:val="1"/>
          <w:u w:val="single" w:color="auto"/>
          <w:color w:val="0000FF"/>
        </w:rPr>
        <w:t>iv</w:t>
      </w:r>
      <w:r>
        <w:rPr>
          <w:rFonts w:ascii="Times New Roman" w:cs="Times New Roman" w:eastAsia="Times New Roman" w:hAnsi="Times New Roman"/>
          <w:sz w:val="18"/>
          <w:szCs w:val="18"/>
          <w:color w:val="auto"/>
        </w:rPr>
        <w:t xml:space="preserve">) Upon its receipt of </w:t>
      </w:r>
      <w:r>
        <w:rPr>
          <w:rFonts w:ascii="Times New Roman" w:cs="Times New Roman" w:eastAsia="Times New Roman" w:hAnsi="Times New Roman"/>
          <w:sz w:val="18"/>
          <w:szCs w:val="18"/>
          <w:b w:val="1"/>
          <w:bCs w:val="1"/>
          <w:u w:val="single" w:color="auto"/>
          <w:color w:val="0000FF"/>
        </w:rPr>
        <w:t>(x)</w:t>
      </w:r>
      <w:r>
        <w:rPr>
          <w:rFonts w:ascii="Times New Roman" w:cs="Times New Roman" w:eastAsia="Times New Roman" w:hAnsi="Times New Roman"/>
          <w:sz w:val="18"/>
          <w:szCs w:val="18"/>
          <w:color w:val="auto"/>
        </w:rPr>
        <w:t xml:space="preserve"> a duly completed Assignment and Assumption executed by an assigning Lender and an Assignee </w:t>
      </w:r>
      <w:r>
        <w:rPr>
          <w:rFonts w:ascii="Times New Roman" w:cs="Times New Roman" w:eastAsia="Times New Roman" w:hAnsi="Times New Roman"/>
          <w:sz w:val="18"/>
          <w:szCs w:val="18"/>
          <w:b w:val="1"/>
          <w:bCs w:val="1"/>
          <w:u w:val="single" w:color="auto"/>
          <w:color w:val="0000FF"/>
        </w:rPr>
        <w:t>or (y)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to the extent applicable, an agreement incorporating an Assignment and Assumption by reference pursuant to an Approved Electronic Platform as to which the Administrative Agent and the parties to the Assignment and Assumption are participants</w:t>
      </w:r>
      <w:r>
        <w:rPr>
          <w:rFonts w:ascii="Times New Roman" w:cs="Times New Roman" w:eastAsia="Times New Roman" w:hAnsi="Times New Roman"/>
          <w:sz w:val="18"/>
          <w:szCs w:val="18"/>
          <w:color w:val="000000"/>
        </w:rPr>
        <w:t>, the Assignee’s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completed administrative questionnaire (unless the Assignee shall already be a Lender hereunder), the processing and recordation fee referred to in paragraph (b) of this Section and any written consent to such assignment required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1" w:name="page182"/>
    <w:bookmarkEnd w:id="181"/>
    <w:p>
      <w:pPr>
        <w:ind w:left="600" w:right="100"/>
        <w:spacing w:after="0" w:line="266" w:lineRule="auto"/>
        <w:rPr>
          <w:sz w:val="20"/>
          <w:szCs w:val="20"/>
          <w:color w:val="auto"/>
        </w:rPr>
      </w:pPr>
      <w:r>
        <w:rPr>
          <w:rFonts w:ascii="Times New Roman" w:cs="Times New Roman" w:eastAsia="Times New Roman" w:hAnsi="Times New Roman"/>
          <w:sz w:val="18"/>
          <w:szCs w:val="18"/>
          <w:color w:val="auto"/>
        </w:rPr>
        <w:t>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6" w:lineRule="exact"/>
        <w:rPr>
          <w:sz w:val="20"/>
          <w:szCs w:val="20"/>
          <w:color w:val="auto"/>
        </w:rPr>
      </w:pPr>
    </w:p>
    <w:p>
      <w:pPr>
        <w:ind w:left="-60" w:firstLine="1304"/>
        <w:spacing w:after="0" w:line="251" w:lineRule="auto"/>
        <w:tabs>
          <w:tab w:leader="none" w:pos="14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Lender may, without the consent of the Borrower, the Administrative Agent, the Issuing Lenders or the Swingline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sell participations to one or more banks or other entities (other than any natural person (or holding company, investment vehicle or trust for, or owned or operated for the primary benefit of, a natural person)) (a “</w:t>
      </w:r>
      <w:r>
        <w:rPr>
          <w:rFonts w:ascii="Times New Roman" w:cs="Times New Roman" w:eastAsia="Times New Roman" w:hAnsi="Times New Roman"/>
          <w:sz w:val="18"/>
          <w:szCs w:val="18"/>
          <w:u w:val="single" w:color="auto"/>
          <w:color w:val="000000"/>
        </w:rPr>
        <w:t>Participant</w:t>
      </w:r>
      <w:r>
        <w:rPr>
          <w:rFonts w:ascii="Times New Roman" w:cs="Times New Roman" w:eastAsia="Times New Roman" w:hAnsi="Times New Roman"/>
          <w:sz w:val="18"/>
          <w:szCs w:val="18"/>
          <w:color w:val="000000"/>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such Lender’s obligations under this Agreement shall remain unchanged, (B) such Lender shall remain solely responsible to the other parties hereto for the performance of such obligations and (C) the Borrower, the Administrative Agent, the Issuing Lenders, the Swingline Lenders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 affects such Participant. Subject to paragraph (c)(ii) of this Section, the Borrower agrees that each Participant shall be entitled to the benefits of, and shall be subject to the limitations of, Sections 2.18, 2.19 and 2.20 to the same extent as if it were a Lender and had acquired its interest by assignment pursuant to paragraph (b) of this Section. To the extent permitted by law, and subject to paragraph (c)(ii) of this Section, each Participant also shall be entitled to the benefits of Section 10.7(b) as though it were a Lender, provided such Participant shall be subject to Section 10.7(a)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000000"/>
        </w:rPr>
        <w:t>Participant Register</w:t>
      </w:r>
      <w:r>
        <w:rPr>
          <w:rFonts w:ascii="Times New Roman" w:cs="Times New Roman" w:eastAsia="Times New Roman" w:hAnsi="Times New Roman"/>
          <w:sz w:val="18"/>
          <w:szCs w:val="18"/>
          <w:color w:val="000000"/>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1" w:lineRule="exact"/>
        <w:rPr>
          <w:sz w:val="20"/>
          <w:szCs w:val="20"/>
          <w:color w:val="auto"/>
        </w:rPr>
      </w:pPr>
    </w:p>
    <w:p>
      <w:pPr>
        <w:ind w:left="600" w:right="20" w:firstLine="97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b w:val="1"/>
          <w:bCs w:val="1"/>
          <w:u w:val="single" w:color="auto"/>
          <w:color w:val="0000FF"/>
        </w:rPr>
        <w:t>i</w:t>
      </w:r>
      <w:r>
        <w:rPr>
          <w:rFonts w:ascii="Times New Roman" w:cs="Times New Roman" w:eastAsia="Times New Roman" w:hAnsi="Times New Roman"/>
          <w:sz w:val="18"/>
          <w:szCs w:val="18"/>
          <w:color w:val="auto"/>
        </w:rPr>
        <w:t>) A Participant shall not be entitled to receive any greater payment under Section 2.18 or 2.19 than the applicable Lender would have been entitled to receive with respect to the participation sold to such Participant unless such entitlement to receive a greater payment results from a change in a Requirement of Law that occurs after the Participant acquired the applicable participation. A Participant shall not be entitled to receive any funds directly from the Borrower in respect of Sections 2.18, 2.19, 2.20 or 10.7 unless such Participant shall have provided to Administrative Agent, acting for this purpose as a non-fiduciary agent of the Borrower, such information as is required to be recorded in the Register pursuant to paragraph (b)(iv) above as if such Participant were a Lender. No Participant shall be entitled to the benefits of Section 2.19 unless such Participant complies with Section 2.19(e) and (f) as though it were a Lender.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182" w:name="page183"/>
    <w:bookmarkEnd w:id="182"/>
    <w:p>
      <w:pPr>
        <w:ind w:left="-40" w:right="80" w:firstLine="1304"/>
        <w:spacing w:after="0" w:line="258" w:lineRule="auto"/>
        <w:tabs>
          <w:tab w:leader="none" w:pos="177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left="-40" w:right="340" w:firstLine="1304"/>
        <w:spacing w:after="0" w:line="282" w:lineRule="auto"/>
        <w:tabs>
          <w:tab w:leader="none" w:pos="176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upon receipt of written notice from the relevant Lender, agrees to issue Notes to any Lender requiring Notes to facilitate transactions of the type described in paragraph (d) above.</w:t>
      </w:r>
    </w:p>
    <w:p>
      <w:pPr>
        <w:spacing w:after="0" w:line="161"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75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Section 10.6(b). Each of ABG, Holdings, the Borrower, each Subsidiary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spacing w:after="0" w:line="18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8"/>
          <w:szCs w:val="18"/>
          <w:u w:val="single" w:color="auto"/>
          <w:color w:val="auto"/>
        </w:rPr>
        <w:t>10.7</w:t>
      </w:r>
      <w:r>
        <w:rPr>
          <w:sz w:val="20"/>
          <w:szCs w:val="20"/>
          <w:color w:val="auto"/>
        </w:rPr>
        <w:tab/>
      </w:r>
      <w:r>
        <w:rPr>
          <w:rFonts w:ascii="Times New Roman" w:cs="Times New Roman" w:eastAsia="Times New Roman" w:hAnsi="Times New Roman"/>
          <w:sz w:val="17"/>
          <w:szCs w:val="17"/>
          <w:u w:val="single" w:color="auto"/>
          <w:color w:val="auto"/>
        </w:rPr>
        <w:t>Adjustments; Set-off</w:t>
      </w:r>
      <w:r>
        <w:rPr>
          <w:rFonts w:ascii="Times New Roman" w:cs="Times New Roman" w:eastAsia="Times New Roman" w:hAnsi="Times New Roman"/>
          <w:sz w:val="17"/>
          <w:szCs w:val="17"/>
          <w:b w:val="1"/>
          <w:bCs w:val="1"/>
          <w:u w:val="single" w:color="auto"/>
          <w:color w:val="0000FF"/>
        </w:rPr>
        <w:t>.</w:t>
      </w:r>
    </w:p>
    <w:p>
      <w:pPr>
        <w:spacing w:after="0" w:line="229" w:lineRule="exact"/>
        <w:rPr>
          <w:sz w:val="20"/>
          <w:szCs w:val="20"/>
          <w:color w:val="auto"/>
        </w:rPr>
      </w:pPr>
    </w:p>
    <w:p>
      <w:pPr>
        <w:ind w:left="-40" w:firstLine="1304"/>
        <w:spacing w:after="0" w:line="253" w:lineRule="auto"/>
        <w:tabs>
          <w:tab w:leader="none" w:pos="1346" w:val="left"/>
        </w:tabs>
        <w:numPr>
          <w:ilvl w:val="0"/>
          <w:numId w:val="19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(a) 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other amounts payable hereunder shall immediately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4" w:lineRule="exact"/>
        <w:rPr>
          <w:sz w:val="20"/>
          <w:szCs w:val="20"/>
          <w:color w:val="auto"/>
        </w:rPr>
      </w:pPr>
    </w:p>
    <w:p>
      <w:pPr>
        <w:ind w:left="-40" w:right="40" w:firstLine="1304"/>
        <w:spacing w:after="0" w:line="254" w:lineRule="auto"/>
        <w:tabs>
          <w:tab w:leader="none" w:pos="17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rights and remedies of the Lenders provided by law, each Lender and each of its Affiliates shall have the right, without prior notice to ABG, Holdings, the Borrower or any Subsidiary Borrower, any such notice being expressly waived by ABG, Holdings, the Borrower and each Subsidiary Borrower to the extent permitted by applicable law, upon any amount becoming due and payable by ABG, Holdings, the Borrower or any Subsidiary Borrower hereunder (whether at the stated maturity, by acceleration or otherwise) and remaining unpaid past any applicable grace period provided in this Agreement,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its Affiliates or any branch or agency thereof to or for the credit or the account of ABG, Holdings, the Borrower or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183" w:name="page184"/>
    <w:bookmarkEnd w:id="183"/>
    <w:p>
      <w:pPr>
        <w:ind w:right="300"/>
        <w:spacing w:after="0" w:line="312" w:lineRule="auto"/>
        <w:rPr>
          <w:sz w:val="20"/>
          <w:szCs w:val="20"/>
          <w:color w:val="auto"/>
        </w:rPr>
      </w:pPr>
      <w:r>
        <w:rPr>
          <w:rFonts w:ascii="Times New Roman" w:cs="Times New Roman" w:eastAsia="Times New Roman" w:hAnsi="Times New Roman"/>
          <w:sz w:val="17"/>
          <w:szCs w:val="17"/>
          <w:color w:val="auto"/>
        </w:rPr>
        <w:t xml:space="preserve">Subsidiary Borrower, as the case may be. Each Lender agrees promptly to notify the Borrower and the Administrative Agent after any such setoff and application made by such Lender or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affect the validity of such setoff and application.</w:t>
      </w:r>
    </w:p>
    <w:p>
      <w:pPr>
        <w:spacing w:after="0" w:line="140"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10.8 Counterparts</w:t>
      </w:r>
      <w:r>
        <w:rPr>
          <w:rFonts w:ascii="Times New Roman" w:cs="Times New Roman" w:eastAsia="Times New Roman" w:hAnsi="Times New Roman"/>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pacing w:after="0" w:line="19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10.9 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10.10 Integration</w:t>
      </w:r>
      <w:r>
        <w:rPr>
          <w:rFonts w:ascii="Times New Roman" w:cs="Times New Roman" w:eastAsia="Times New Roman" w:hAnsi="Times New Roman"/>
          <w:sz w:val="18"/>
          <w:szCs w:val="18"/>
          <w:color w:val="auto"/>
        </w:rPr>
        <w:t>. This Agreement and the other Loan Documents represent the entire agreement of ABG, Holdings,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6" w:lineRule="exact"/>
        <w:rPr>
          <w:sz w:val="20"/>
          <w:szCs w:val="20"/>
          <w:color w:val="auto"/>
        </w:rPr>
      </w:pPr>
    </w:p>
    <w:p>
      <w:pPr>
        <w:jc w:val="both"/>
        <w:ind w:right="200" w:firstLine="1296"/>
        <w:spacing w:after="0" w:line="268" w:lineRule="auto"/>
        <w:rPr>
          <w:sz w:val="20"/>
          <w:szCs w:val="20"/>
          <w:color w:val="auto"/>
        </w:rPr>
      </w:pP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5" w:lineRule="exact"/>
        <w:rPr>
          <w:sz w:val="20"/>
          <w:szCs w:val="20"/>
          <w:color w:val="auto"/>
        </w:rPr>
      </w:pPr>
    </w:p>
    <w:p>
      <w:pPr>
        <w:ind w:right="80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10.12 Submission To Jurisdiction; Waivers</w:t>
      </w:r>
      <w:r>
        <w:rPr>
          <w:rFonts w:ascii="Times New Roman" w:cs="Times New Roman" w:eastAsia="Times New Roman" w:hAnsi="Times New Roman"/>
          <w:sz w:val="18"/>
          <w:szCs w:val="18"/>
          <w:color w:val="auto"/>
        </w:rPr>
        <w:t>. Each of the Agents, Lenders, ABG, Holdings, the Borrower and the Subsidiary Borrowers hereby irrevocably and unconditionally:</w:t>
      </w:r>
    </w:p>
    <w:p>
      <w:pPr>
        <w:spacing w:after="0" w:line="162" w:lineRule="exact"/>
        <w:rPr>
          <w:sz w:val="20"/>
          <w:szCs w:val="20"/>
          <w:color w:val="auto"/>
        </w:rPr>
      </w:pPr>
    </w:p>
    <w:p>
      <w:pPr>
        <w:ind w:left="660" w:right="240" w:firstLine="644"/>
        <w:spacing w:after="0" w:line="282" w:lineRule="auto"/>
        <w:tabs>
          <w:tab w:leader="none" w:pos="182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ind w:left="660"/>
        <w:spacing w:after="0" w:line="282" w:lineRule="auto"/>
        <w:rPr>
          <w:sz w:val="20"/>
          <w:szCs w:val="20"/>
          <w:color w:val="auto"/>
        </w:rPr>
      </w:pPr>
      <w:r>
        <w:rPr>
          <w:rFonts w:ascii="Times New Roman" w:cs="Times New Roman" w:eastAsia="Times New Roman" w:hAnsi="Times New Roman"/>
          <w:sz w:val="18"/>
          <w:szCs w:val="18"/>
          <w:color w:val="auto"/>
        </w:rPr>
        <w:t>courts of the State of New York located in the Borough of Manhattan, the courts of the United States for the Southern District of New York located in the Borough of Manhattan, and appellate courts from any thereof;</w:t>
      </w:r>
    </w:p>
    <w:p>
      <w:pPr>
        <w:spacing w:after="0" w:line="162" w:lineRule="exact"/>
        <w:rPr>
          <w:sz w:val="20"/>
          <w:szCs w:val="20"/>
          <w:color w:val="auto"/>
        </w:rPr>
      </w:pPr>
    </w:p>
    <w:p>
      <w:pPr>
        <w:ind w:left="660" w:right="140" w:firstLine="644"/>
        <w:spacing w:after="0" w:line="266" w:lineRule="auto"/>
        <w:tabs>
          <w:tab w:leader="none" w:pos="183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182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ABG, Holdings, the Borrower or the relevant Subsidiary Borrower, as the case may be, at its address set forth in Section 10.2 or at such other address of which the Administrative Agent shall have been notified pursuant thereto;</w:t>
      </w:r>
    </w:p>
    <w:p>
      <w:pPr>
        <w:spacing w:after="0" w:line="179" w:lineRule="exact"/>
        <w:rPr>
          <w:rFonts w:ascii="Times New Roman" w:cs="Times New Roman" w:eastAsia="Times New Roman" w:hAnsi="Times New Roman"/>
          <w:sz w:val="18"/>
          <w:szCs w:val="18"/>
          <w:color w:val="auto"/>
        </w:rPr>
      </w:pPr>
    </w:p>
    <w:p>
      <w:pPr>
        <w:ind w:left="660" w:right="100" w:firstLine="644"/>
        <w:spacing w:after="0" w:line="282" w:lineRule="auto"/>
        <w:tabs>
          <w:tab w:leader="none" w:pos="183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82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 provided, however, that nothing in this Section 10.12(e) shall limit or otherwise impair the obligations of the Borrower under Section 10.5.</w:t>
      </w:r>
    </w:p>
    <w:p>
      <w:pPr>
        <w:spacing w:after="0" w:line="176"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10.13 Judgment</w:t>
      </w:r>
      <w:r>
        <w:rPr>
          <w:rFonts w:ascii="Times New Roman" w:cs="Times New Roman" w:eastAsia="Times New Roman" w:hAnsi="Times New Roman"/>
          <w:sz w:val="18"/>
          <w:szCs w:val="18"/>
          <w:color w:val="auto"/>
        </w:rPr>
        <w:t>. The obligations of the Borrower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Borrower or such Subsidiary Borrower, as the case may be, agrees, as a separate obligation and notwithstanding any such judgment, to indemnify such party against such loss, and if the amount of the original currency so purchased exceeds the sum originally due to any party to this Agreement, such party agrees to remit to the Borrower such excess. The provisions of this Section 10.13 shall survive the termination of this Agreement and payment of the obligations of the Borrower and the Subsidiary Borrowers under this Agreement and the other Loan Documents.</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auto"/>
        </w:rPr>
        <w:t>10.14</w:t>
      </w:r>
      <w:r>
        <w:rPr>
          <w:sz w:val="20"/>
          <w:szCs w:val="20"/>
          <w:color w:val="auto"/>
        </w:rPr>
        <w:tab/>
      </w:r>
      <w:r>
        <w:rPr>
          <w:rFonts w:ascii="Times New Roman" w:cs="Times New Roman" w:eastAsia="Times New Roman" w:hAnsi="Times New Roman"/>
          <w:sz w:val="17"/>
          <w:szCs w:val="17"/>
          <w:u w:val="single" w:color="auto"/>
          <w:color w:val="auto"/>
        </w:rPr>
        <w:t>Acknowledgements</w:t>
      </w:r>
      <w:r>
        <w:rPr>
          <w:rFonts w:ascii="Times New Roman" w:cs="Times New Roman" w:eastAsia="Times New Roman" w:hAnsi="Times New Roman"/>
          <w:sz w:val="17"/>
          <w:szCs w:val="17"/>
          <w:color w:val="auto"/>
        </w:rPr>
        <w:t>. Each of ABG, Holdings, the Borrower and the Subsidiary Borrowers hereby acknowledges that:</w:t>
      </w:r>
    </w:p>
    <w:p>
      <w:pPr>
        <w:spacing w:after="0" w:line="225" w:lineRule="exact"/>
        <w:rPr>
          <w:sz w:val="20"/>
          <w:szCs w:val="20"/>
          <w:color w:val="auto"/>
        </w:rPr>
      </w:pPr>
    </w:p>
    <w:p>
      <w:pPr>
        <w:ind w:left="1820" w:hanging="516"/>
        <w:spacing w:after="0"/>
        <w:tabs>
          <w:tab w:leader="none" w:pos="18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183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other Agent or Lender has any fiduciary relationship with or duty to ABG, Holdings, the Borrower or any Subsidiary Borrower arising out of or in connection with this Agreement or any of the other Loan Documents, and the relationship between Administrative Agent, the other Agents and Lenders, on one hand, and ABG, Holdings, the Borrower or any Subsidiary Borrower, on the other hand, in connection herewith or therewith is solely that of debtor and creditor;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ind w:left="660" w:right="100" w:firstLine="644"/>
        <w:spacing w:after="0" w:line="282" w:lineRule="auto"/>
        <w:tabs>
          <w:tab w:leader="none" w:pos="18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ABG, Holdings, the Borrower or any Subsidiary Borrower and the Lenders.</w:t>
      </w:r>
    </w:p>
    <w:p>
      <w:pPr>
        <w:spacing w:after="0" w:line="162"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Each of ABG, Holdings, the Borrower and the Subsidiary Borrowers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ABG, Holdings, the Borrower, the Subsidiary Borrowers and other companies with which ABG, Holdings, the Borrower and the Subsidiary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92"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In addition, each of ABG, Holdings, the Borrower and the Subsidiary Borrowers acknowledges and agrees, and acknowledges its subsidiaries’ understanding, that each Credit Party and its affiliates may be providing debt financing, equity capital or other services (including financial advisory services) to other companies in respect of which ABG, Holdings, the Borrower and the Subsidiary Borrowers may have conflicting interests regarding the transactions described herein and otherwise. No Credit Party will use confidential information obtained from ABG, Holdings, the Borrower or the Subsidiary Borrowers by virtue of the transactions contemplated by the Loan Documents or its other relationships with ABG, Holdings, the Borrower and the Subsidiary Borrowers in connection with the performance by such Credit Party of services for other companies, and no Credit Party will furnish any such information to other companies. Each of ABG, Holdings, the Borrower and the Subsidiary Borrowers also acknowledges that no Credit Party has any obligation to use in connection with the transactions contemplated by the Loan Documents, or to furnish to ABG, Holdings, the Borrower or the Subsidiary Borrowers, confidential information obtained from other companies.</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auto"/>
        </w:rPr>
        <w:t>10.15</w:t>
      </w:r>
      <w:r>
        <w:rPr>
          <w:sz w:val="20"/>
          <w:szCs w:val="20"/>
          <w:color w:val="auto"/>
        </w:rPr>
        <w:tab/>
      </w:r>
      <w:r>
        <w:rPr>
          <w:rFonts w:ascii="Times New Roman" w:cs="Times New Roman" w:eastAsia="Times New Roman" w:hAnsi="Times New Roman"/>
          <w:sz w:val="18"/>
          <w:szCs w:val="18"/>
          <w:u w:val="single" w:color="auto"/>
          <w:color w:val="auto"/>
        </w:rPr>
        <w:t>Releases of Guarantees and Liens</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ind w:firstLine="1304"/>
        <w:spacing w:after="0" w:line="270" w:lineRule="auto"/>
        <w:tabs>
          <w:tab w:leader="none" w:pos="1386" w:val="left"/>
        </w:tabs>
        <w:numPr>
          <w:ilvl w:val="0"/>
          <w:numId w:val="197"/>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auto"/>
        </w:rPr>
        <w:t>(a)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 (b) below</w:t>
      </w:r>
      <w:r>
        <w:rPr>
          <w:rFonts w:ascii="Times New Roman" w:cs="Times New Roman" w:eastAsia="Times New Roman" w:hAnsi="Times New Roman"/>
          <w:sz w:val="17"/>
          <w:szCs w:val="17"/>
          <w:b w:val="1"/>
          <w:bCs w:val="1"/>
          <w:u w:val="single" w:color="auto"/>
          <w:color w:val="0000FF"/>
        </w:rPr>
        <w:t>; provided that, no Guarantor shall be automatically released from its guarantee obligations under the Guarantee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00FF"/>
        </w:rPr>
        <w:t>and Collateral Agreement by virtue of such person becoming an Excluded Subsidiary as a result of a transaction permitted hereunder if the sole reason such Guarantor has become an Excluded Subsidiary is as a result of a transfer of the Capital Stock of such Subsidiary Guarantor, unless such transfer was to an unaffiliated third party, was for a bona fide business purpose and was not for the primary purpose of evading the collateral and guarantee requirements set forth in the Loan Documents</w:t>
      </w:r>
      <w:r>
        <w:rPr>
          <w:rFonts w:ascii="Times New Roman" w:cs="Times New Roman" w:eastAsia="Times New Roman" w:hAnsi="Times New Roman"/>
          <w:sz w:val="17"/>
          <w:szCs w:val="17"/>
          <w:color w:val="000000"/>
        </w:rPr>
        <w:t>. The security interests granted under any Loan Documents on any Collateral</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that is transferred pursuant to a transaction permitted by Section 7.5 shall be released automatically upon consummation of such Disposition.</w:t>
      </w:r>
    </w:p>
    <w:p>
      <w:pPr>
        <w:spacing w:after="0" w:line="177" w:lineRule="exact"/>
        <w:rPr>
          <w:sz w:val="20"/>
          <w:szCs w:val="20"/>
          <w:color w:val="auto"/>
        </w:rPr>
      </w:pPr>
    </w:p>
    <w:p>
      <w:pPr>
        <w:ind w:right="180" w:firstLine="1304"/>
        <w:spacing w:after="0" w:line="282" w:lineRule="auto"/>
        <w:tabs>
          <w:tab w:leader="none" w:pos="181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the Reimbursement Obligations and the other obligations under the Loan Documents (other than any unasserted contingent indemnification obligations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6" w:name="page187"/>
    <w:bookmarkEnd w:id="186"/>
    <w:p>
      <w:pPr>
        <w:spacing w:after="0" w:line="258" w:lineRule="auto"/>
        <w:rPr>
          <w:sz w:val="20"/>
          <w:szCs w:val="20"/>
          <w:color w:val="auto"/>
        </w:rPr>
      </w:pPr>
      <w:r>
        <w:rPr>
          <w:rFonts w:ascii="Times New Roman" w:cs="Times New Roman" w:eastAsia="Times New Roman" w:hAnsi="Times New Roman"/>
          <w:sz w:val="18"/>
          <w:szCs w:val="18"/>
          <w:color w:val="auto"/>
        </w:rPr>
        <w:t>and obligations under or in respect of Specified Swap Agreements and Specified Cash Management Agreements) shall have been paid in full, the Commitments have been terminated and no Letters of Credit shall be outstanding (or such Letters of Credit are Collateralized),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spacing w:after="0" w:line="183"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7"/>
          <w:szCs w:val="17"/>
          <w:u w:val="single" w:color="auto"/>
          <w:color w:val="auto"/>
        </w:rPr>
        <w:t>10.16 Confidentiality</w:t>
      </w:r>
      <w:r>
        <w:rPr>
          <w:rFonts w:ascii="Times New Roman" w:cs="Times New Roman" w:eastAsia="Times New Roman" w:hAnsi="Times New Roman"/>
          <w:sz w:val="17"/>
          <w:szCs w:val="17"/>
          <w:color w:val="auto"/>
        </w:rPr>
        <w:t xml:space="preserve">. Each of the Administrative Agent and each Lender agrees to keep confidential all Information (as defined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herein shall prevent the Administrative Agent or any Lender from disclosing any such Information (a) to the Administrative Agent, any other Lender or any affiliate thereof who agrees to comply with the provisions of this Section, (b) 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for performing the purposes of a Loan Document, (d) upon the request or demand of any Governmental Authority, (e) in response to any order of any court or other Governmental Authority or as may otherwise be required pursuant to any Requirement of Law, after notice to the Borrower if reasonably feasible,</w:t>
      </w:r>
    </w:p>
    <w:p>
      <w:pPr>
        <w:spacing w:after="0" w:line="2" w:lineRule="exact"/>
        <w:rPr>
          <w:sz w:val="20"/>
          <w:szCs w:val="20"/>
          <w:color w:val="auto"/>
        </w:rPr>
      </w:pPr>
    </w:p>
    <w:p>
      <w:pPr>
        <w:ind w:firstLine="8"/>
        <w:spacing w:after="0" w:line="251" w:lineRule="auto"/>
        <w:tabs>
          <w:tab w:leader="none" w:pos="22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or required to do so in connection with any litigation or similar proceeding, after notice to the Borrower if reasonably feasible and not otherwise prohibited, (g) that has been publicly disclosed (other than in violation of this Section or any other confidentiality obligations owed to ABG, Holdings, the Borrower or any of its Subsidiaries known to the Administrative Agent or such Lender), (h) to the National Association of Insurance Commissioners or any similar organization or any other self-regulatory body or any nationally recognized rating agency that requires access to information about a Lender’s investment portfolio in connection with ratings issued with respect to such Lender, or to any credit insurance provider relating to the Borrower and its obligations, (i) in connection with the exercise of any remedy hereunder or under any other Loan Document, or (j) if agreed by the Borrower in its sole discretion, to any other Person.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(other than in violation of this Section or any other confidentiality obligations owed to ABG, Holdings, the Borrower or any of its Subsidiaries known to the Administrative Agent or such Lender) prior to disclosure by the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10.16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For the avoidance of doubt, nothing in this Section 10.16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10.16 shall be prohibited by the laws or regulations applicable to such Regulatory Authority.</w:t>
      </w:r>
    </w:p>
    <w:p>
      <w:pPr>
        <w:spacing w:after="0" w:line="180"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material non-public information in accordance with those procedures and applicable law, including Federal and state securities laws.</w:t>
      </w:r>
    </w:p>
    <w:p>
      <w:pPr>
        <w:spacing w:after="0" w:line="225"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9"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u w:val="single" w:color="auto"/>
          <w:color w:val="auto"/>
        </w:rPr>
        <w:t>10.17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WAIVERS OF JURY TRIAL</w:t>
      </w:r>
      <w:r>
        <w:rPr>
          <w:rFonts w:ascii="Times New Roman" w:cs="Times New Roman" w:eastAsia="Times New Roman" w:hAnsi="Times New Roman"/>
          <w:sz w:val="18"/>
          <w:szCs w:val="18"/>
          <w:color w:val="auto"/>
        </w:rPr>
        <w:t>. EACH OF THE PARTIES HERETO, INCLUDING ABG, HOLDINGS, THE BORROWER, THE ADMINISTRATIVE AGENT AND THE LENDERS, HEREBY IRREVOCABLY AND 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10.18 USA Patriot Act</w:t>
      </w:r>
      <w:r>
        <w:rPr>
          <w:rFonts w:ascii="Times New Roman" w:cs="Times New Roman" w:eastAsia="Times New Roman" w:hAnsi="Times New Roman"/>
          <w:sz w:val="18"/>
          <w:szCs w:val="18"/>
          <w:color w:val="auto"/>
        </w:rPr>
        <w:t>. Each Lender hereby notifies ABG, Holdings and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it is required to obtain, verify and record information that identifies ABG, Holdings and the Borrower, which information includes the name and address of Holdings and the Borrower and other information that will allow such Lender to identify ABG, Holdings and the Borrower in accordance with the USA Patriot Act and the Beneficial Ownership Regulation.</w:t>
      </w:r>
    </w:p>
    <w:p>
      <w:pPr>
        <w:spacing w:after="0" w:line="180"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10.19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180" w:firstLine="1304"/>
        <w:spacing w:after="0" w:line="282" w:lineRule="auto"/>
        <w:tabs>
          <w:tab w:leader="none" w:pos="18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660" w:firstLine="968"/>
        <w:spacing w:after="0" w:line="266" w:lineRule="auto"/>
        <w:tabs>
          <w:tab w:leader="none" w:pos="221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660" w:right="80" w:firstLine="968"/>
        <w:spacing w:after="0" w:line="282" w:lineRule="auto"/>
        <w:tabs>
          <w:tab w:leader="none" w:pos="226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10.20 Effect of Amendment and Restatement</w:t>
      </w:r>
      <w:r>
        <w:rPr>
          <w:rFonts w:ascii="Times New Roman" w:cs="Times New Roman" w:eastAsia="Times New Roman" w:hAnsi="Times New Roman"/>
          <w:sz w:val="18"/>
          <w:szCs w:val="18"/>
          <w:color w:val="auto"/>
        </w:rPr>
        <w:t>. Upon the Restatement Effective Date, this Agreement shall amend, and restate as amended, the Existing Credit Agreement (including 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8" w:name="page189"/>
    <w:bookmarkEnd w:id="188"/>
    <w:p>
      <w:pPr>
        <w:ind w:right="40"/>
        <w:spacing w:after="0" w:line="253" w:lineRule="auto"/>
        <w:rPr>
          <w:sz w:val="20"/>
          <w:szCs w:val="20"/>
          <w:color w:val="auto"/>
        </w:rPr>
      </w:pPr>
      <w:r>
        <w:rPr>
          <w:rFonts w:ascii="Times New Roman" w:cs="Times New Roman" w:eastAsia="Times New Roman" w:hAnsi="Times New Roman"/>
          <w:sz w:val="18"/>
          <w:szCs w:val="18"/>
          <w:color w:val="auto"/>
        </w:rPr>
        <w:t>contingent amendments thereto), but shall not constitute a novation thereof or in any way impair or otherwise affect the rights or obligations of the parties thereunder (including with respect to Loans and representations and warranties made thereunder) except as such rights or obligations are amended or modified hereby. The Existing Credit Agreement as amended and restated hereby shall be deemed to be a continuing agreement among the parties, and all documents, instruments and agreements delivered 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Upon the Restatement Effective Date, the Administrative Agent is hereby irrevocably authorized by the Required Lenders (without requirement of notice to or consent of any Lender except as expressly required by Section 10.1) to (a) release the Mortgages in respect of each Excluded Parcel and (b) amend and restate the Second Amended and Restated Guarantee and Collateral Agreement, dated as of May 12, 2020, among Holdings, the Borrower, the Subsidiaries of the Borrower party thereto and the Administrative Agent, by executing the Guarantee and Collateral Agreement substantially in the form attached hereto as Exhibit H.</w:t>
      </w:r>
    </w:p>
    <w:p>
      <w:pPr>
        <w:spacing w:after="0" w:line="187"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10.21 Several Obligations</w:t>
      </w:r>
      <w:r>
        <w:rPr>
          <w:rFonts w:ascii="Times New Roman" w:cs="Times New Roman" w:eastAsia="Times New Roman" w:hAnsi="Times New Roman"/>
          <w:sz w:val="18"/>
          <w:szCs w:val="18"/>
          <w:color w:val="auto"/>
        </w:rPr>
        <w:t>. The respective obligations of the Lenders under this Agreement are several and not joint and no Lender shall be responsible for the failure of any other Lender to satisfy its obligations hereunder.</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10.22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18"/>
          <w:szCs w:val="18"/>
          <w:color w:val="auto"/>
        </w:rPr>
        <w:t>As used in this Section 10,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any of the following:</w:t>
      </w:r>
    </w:p>
    <w:p>
      <w:pPr>
        <w:spacing w:after="0" w:line="225" w:lineRule="exact"/>
        <w:rPr>
          <w:sz w:val="20"/>
          <w:szCs w:val="20"/>
          <w:color w:val="auto"/>
        </w:rPr>
      </w:pPr>
    </w:p>
    <w:p>
      <w:pPr>
        <w:ind w:left="1520" w:hanging="216"/>
        <w:spacing w:after="0"/>
        <w:tabs>
          <w:tab w:leader="none" w:pos="1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1)"/>
      <w:numFmt w:val="lowerRoman"/>
      <w:start w:val="10"/>
    </w:lvl>
  </w:abstractNum>
  <w:abstractNum w:abstractNumId="2">
    <w:nsid w:val="7DE67713"/>
    <w:multiLevelType w:val="hybridMultilevel"/>
    <w:lvl w:ilvl="0">
      <w:lvlJc w:val="left"/>
      <w:lvlText w:val="(%1)"/>
      <w:numFmt w:val="lowerLetter"/>
      <w:start w:val="1"/>
    </w:lvl>
    <w:lvl w:ilvl="1">
      <w:lvlJc w:val="left"/>
      <w:lvlText w:val="(%2)"/>
      <w:numFmt w:val="lowerLetter"/>
      <w:start w:val="2"/>
    </w:lvl>
  </w:abstractNum>
  <w:abstractNum w:abstractNumId="3">
    <w:nsid w:val="555C55B5"/>
    <w:multiLevelType w:val="hybridMultilevel"/>
    <w:lvl w:ilvl="0">
      <w:lvlJc w:val="left"/>
      <w:lvlText w:val="(%1)"/>
      <w:numFmt w:val="lowerLetter"/>
      <w:start w:val="4"/>
    </w:lvl>
    <w:lvl w:ilvl="1">
      <w:lvlJc w:val="left"/>
      <w:lvlText w:val="%2"/>
      <w:numFmt w:val="lowerLetter"/>
      <w:start w:val="1"/>
    </w:lvl>
  </w:abstractNum>
  <w:abstractNum w:abstractNumId="4">
    <w:nsid w:val="3FA62ACA"/>
    <w:multiLevelType w:val="hybridMultilevel"/>
    <w:lvl w:ilvl="0">
      <w:lvlJc w:val="left"/>
      <w:lvlText w:val="(%1)"/>
      <w:numFmt w:val="lowerLetter"/>
      <w:start w:val="1"/>
    </w:lvl>
  </w:abstractNum>
  <w:abstractNum w:abstractNumId="5">
    <w:nsid w:val="14FCE74E"/>
    <w:multiLevelType w:val="hybridMultilevel"/>
    <w:lvl w:ilvl="0">
      <w:lvlJc w:val="left"/>
      <w:lvlText w:val="(%1)"/>
      <w:numFmt w:val="lowerLetter"/>
      <w:start w:val="1"/>
    </w:lvl>
  </w:abstractNum>
  <w:abstractNum w:abstractNumId="6">
    <w:nsid w:val="6A3DD3E8"/>
    <w:multiLevelType w:val="hybridMultilevel"/>
    <w:lvl w:ilvl="0">
      <w:lvlJc w:val="left"/>
      <w:lvlText w:val="(%1)"/>
      <w:numFmt w:val="lowerLetter"/>
      <w:start w:val="8"/>
    </w:lvl>
  </w:abstractNum>
  <w:abstractNum w:abstractNumId="7">
    <w:nsid w:val="71C91298"/>
    <w:multiLevelType w:val="hybridMultilevel"/>
    <w:lvl w:ilvl="0">
      <w:lvlJc w:val="left"/>
      <w:lvlText w:val="(%1)"/>
      <w:numFmt w:val="lowerLetter"/>
      <w:start w:val="1"/>
    </w:lvl>
  </w:abstractNum>
  <w:abstractNum w:abstractNumId="8">
    <w:nsid w:val="9DAF632"/>
    <w:multiLevelType w:val="hybridMultilevel"/>
    <w:lvl w:ilvl="0">
      <w:lvlJc w:val="left"/>
      <w:lvlText w:val="(%1)"/>
      <w:numFmt w:val="lowerLetter"/>
      <w:start w:val="3"/>
    </w:lvl>
  </w:abstractNum>
  <w:abstractNum w:abstractNumId="9">
    <w:nsid w:val="53299938"/>
    <w:multiLevelType w:val="hybridMultilevel"/>
    <w:lvl w:ilvl="0">
      <w:lvlJc w:val="left"/>
      <w:lvlText w:val="(%1)"/>
      <w:numFmt w:val="lowerLetter"/>
      <w:start w:val="1"/>
    </w:lvl>
  </w:abstractNum>
  <w:abstractNum w:abstractNumId="10">
    <w:nsid w:val="1FBFE8E0"/>
    <w:multiLevelType w:val="hybridMultilevel"/>
    <w:lvl w:ilvl="0">
      <w:lvlJc w:val="left"/>
      <w:lvlText w:val="(%1)"/>
      <w:numFmt w:val="lowerLetter"/>
      <w:start w:val="1"/>
    </w:lvl>
  </w:abstractNum>
  <w:abstractNum w:abstractNumId="11">
    <w:nsid w:val="5092CA79"/>
    <w:multiLevelType w:val="hybridMultilevel"/>
    <w:lvl w:ilvl="0">
      <w:lvlJc w:val="left"/>
      <w:lvlText w:val="(%1)"/>
      <w:numFmt w:val="lowerRoman"/>
      <w:start w:val="1"/>
    </w:lvl>
  </w:abstractNum>
  <w:abstractNum w:abstractNumId="12">
    <w:nsid w:val="1D545C4D"/>
    <w:multiLevelType w:val="hybridMultilevel"/>
    <w:lvl w:ilvl="0">
      <w:lvlJc w:val="left"/>
      <w:lvlText w:val="1"/>
      <w:numFmt w:val="bullet"/>
      <w:start w:val="1"/>
    </w:lvl>
  </w:abstractNum>
  <w:abstractNum w:abstractNumId="13">
    <w:nsid w:val="59ADEA3D"/>
    <w:multiLevelType w:val="hybridMultilevel"/>
    <w:lvl w:ilvl="0">
      <w:lvlJc w:val="left"/>
      <w:lvlText w:val="A"/>
      <w:numFmt w:val="bullet"/>
      <w:start w:val="1"/>
    </w:lvl>
  </w:abstractNum>
  <w:abstractNum w:abstractNumId="14">
    <w:nsid w:val="288F1A34"/>
    <w:multiLevelType w:val="hybridMultilevel"/>
    <w:lvl w:ilvl="0">
      <w:lvlJc w:val="left"/>
      <w:lvlText w:val="B"/>
      <w:numFmt w:val="bullet"/>
      <w:start w:val="1"/>
    </w:lvl>
  </w:abstractNum>
  <w:abstractNum w:abstractNumId="15">
    <w:nsid w:val="2A155DBC"/>
    <w:multiLevelType w:val="hybridMultilevel"/>
    <w:lvl w:ilvl="0">
      <w:lvlJc w:val="left"/>
      <w:lvlText w:val="C"/>
      <w:numFmt w:val="bullet"/>
      <w:start w:val="1"/>
    </w:lvl>
  </w:abstractNum>
  <w:abstractNum w:abstractNumId="16">
    <w:nsid w:val="1D9F6E5F"/>
    <w:multiLevelType w:val="hybridMultilevel"/>
    <w:lvl w:ilvl="0">
      <w:lvlJc w:val="left"/>
      <w:lvlText w:val="D"/>
      <w:numFmt w:val="bullet"/>
      <w:start w:val="1"/>
    </w:lvl>
  </w:abstractNum>
  <w:abstractNum w:abstractNumId="17">
    <w:nsid w:val="97E1B4E"/>
    <w:multiLevelType w:val="hybridMultilevel"/>
    <w:lvl w:ilvl="0">
      <w:lvlJc w:val="left"/>
      <w:lvlText w:val="E"/>
      <w:numFmt w:val="bullet"/>
      <w:start w:val="1"/>
    </w:lvl>
  </w:abstractNum>
  <w:abstractNum w:abstractNumId="18">
    <w:nsid w:val="51088277"/>
    <w:multiLevelType w:val="hybridMultilevel"/>
    <w:lvl w:ilvl="0">
      <w:lvlJc w:val="left"/>
      <w:lvlText w:val="F"/>
      <w:numFmt w:val="bullet"/>
      <w:start w:val="1"/>
    </w:lvl>
  </w:abstractNum>
  <w:abstractNum w:abstractNumId="19">
    <w:nsid w:val="1CA0C5FA"/>
    <w:multiLevelType w:val="hybridMultilevel"/>
    <w:lvl w:ilvl="0">
      <w:lvlJc w:val="left"/>
      <w:lvlText w:val="G"/>
      <w:numFmt w:val="bullet"/>
      <w:start w:val="1"/>
    </w:lvl>
  </w:abstractNum>
  <w:abstractNum w:abstractNumId="20">
    <w:nsid w:val="53584BCB"/>
    <w:multiLevelType w:val="hybridMultilevel"/>
    <w:lvl w:ilvl="0">
      <w:lvlJc w:val="left"/>
      <w:lvlText w:val="H"/>
      <w:numFmt w:val="bullet"/>
      <w:start w:val="1"/>
    </w:lvl>
  </w:abstractNum>
  <w:abstractNum w:abstractNumId="21">
    <w:nsid w:val="415E286C"/>
    <w:multiLevelType w:val="hybridMultilevel"/>
    <w:lvl w:ilvl="0">
      <w:lvlJc w:val="left"/>
      <w:lvlText w:val="I"/>
      <w:numFmt w:val="bullet"/>
      <w:start w:val="1"/>
    </w:lvl>
  </w:abstractNum>
  <w:abstractNum w:abstractNumId="22">
    <w:nsid w:val="7C58FD05"/>
    <w:multiLevelType w:val="hybridMultilevel"/>
    <w:lvl w:ilvl="0">
      <w:lvlJc w:val="left"/>
      <w:lvlText w:val="(%1)"/>
      <w:numFmt w:val="lowerLetter"/>
      <w:start w:val="1"/>
    </w:lvl>
  </w:abstractNum>
  <w:abstractNum w:abstractNumId="23">
    <w:nsid w:val="23D86AAC"/>
    <w:multiLevelType w:val="hybridMultilevel"/>
    <w:lvl w:ilvl="0">
      <w:lvlJc w:val="left"/>
      <w:lvlText w:val="(%1)"/>
      <w:numFmt w:val="lowerLetter"/>
      <w:start w:val="1"/>
    </w:lvl>
  </w:abstractNum>
  <w:abstractNum w:abstractNumId="24">
    <w:nsid w:val="45E6D486"/>
    <w:multiLevelType w:val="hybridMultilevel"/>
    <w:lvl w:ilvl="0">
      <w:lvlJc w:val="left"/>
      <w:lvlText w:val="(%1)"/>
      <w:numFmt w:val="decimal"/>
      <w:start w:val="1"/>
    </w:lvl>
  </w:abstractNum>
  <w:abstractNum w:abstractNumId="25">
    <w:nsid w:val="5C10FE21"/>
    <w:multiLevelType w:val="hybridMultilevel"/>
    <w:lvl w:ilvl="0">
      <w:lvlJc w:val="left"/>
      <w:lvlText w:val="(%1)"/>
      <w:numFmt w:val="decimal"/>
      <w:start w:val="1"/>
    </w:lvl>
  </w:abstractNum>
  <w:abstractNum w:abstractNumId="26">
    <w:nsid w:val="E7FFA2B"/>
    <w:multiLevelType w:val="hybridMultilevel"/>
    <w:lvl w:ilvl="0">
      <w:lvlJc w:val="left"/>
      <w:lvlText w:val="(%1)"/>
      <w:numFmt w:val="decimal"/>
      <w:start w:val="3"/>
    </w:lvl>
  </w:abstractNum>
  <w:abstractNum w:abstractNumId="27">
    <w:nsid w:val="3C5991AA"/>
    <w:multiLevelType w:val="hybridMultilevel"/>
    <w:lvl w:ilvl="0">
      <w:lvlJc w:val="left"/>
      <w:lvlText w:val="(%1)"/>
      <w:numFmt w:val="decimal"/>
      <w:start w:val="1"/>
    </w:lvl>
  </w:abstractNum>
  <w:abstractNum w:abstractNumId="28">
    <w:nsid w:val="4BD8591A"/>
    <w:multiLevelType w:val="hybridMultilevel"/>
    <w:lvl w:ilvl="0">
      <w:lvlJc w:val="left"/>
      <w:lvlText w:val="(%1)"/>
      <w:numFmt w:val="lowerLetter"/>
      <w:start w:val="2"/>
    </w:lvl>
  </w:abstractNum>
  <w:abstractNum w:abstractNumId="29">
    <w:nsid w:val="78DF6A55"/>
    <w:multiLevelType w:val="hybridMultilevel"/>
    <w:lvl w:ilvl="0">
      <w:lvlJc w:val="left"/>
      <w:lvlText w:val="(%1)"/>
      <w:numFmt w:val="decimal"/>
      <w:start w:val="3"/>
    </w:lvl>
  </w:abstractNum>
  <w:abstractNum w:abstractNumId="30">
    <w:nsid w:val="39B7AAA2"/>
    <w:multiLevelType w:val="hybridMultilevel"/>
    <w:lvl w:ilvl="0">
      <w:lvlJc w:val="left"/>
      <w:lvlText w:val="(%1)"/>
      <w:numFmt w:val="lowerLetter"/>
      <w:start w:val="1"/>
    </w:lvl>
  </w:abstractNum>
  <w:abstractNum w:abstractNumId="31">
    <w:nsid w:val="2B0D8DBE"/>
    <w:multiLevelType w:val="hybridMultilevel"/>
    <w:lvl w:ilvl="0">
      <w:lvlJc w:val="left"/>
      <w:lvlText w:val="(%1)"/>
      <w:numFmt w:val="lowerLetter"/>
      <w:start w:val="3"/>
    </w:lvl>
  </w:abstractNum>
  <w:abstractNum w:abstractNumId="32">
    <w:nsid w:val="6C80EC70"/>
    <w:multiLevelType w:val="hybridMultilevel"/>
    <w:lvl w:ilvl="0">
      <w:lvlJc w:val="left"/>
      <w:lvlText w:val="(%1)"/>
      <w:numFmt w:val="lowerLetter"/>
      <w:start w:val="14"/>
    </w:lvl>
  </w:abstractNum>
  <w:abstractNum w:abstractNumId="33">
    <w:nsid w:val="379E21B5"/>
    <w:multiLevelType w:val="hybridMultilevel"/>
    <w:lvl w:ilvl="0">
      <w:lvlJc w:val="left"/>
      <w:lvlText w:val="(%1)"/>
      <w:numFmt w:val="upperLetter"/>
      <w:start w:val="1"/>
    </w:lvl>
  </w:abstractNum>
  <w:abstractNum w:abstractNumId="34">
    <w:nsid w:val="69E373"/>
    <w:multiLevelType w:val="hybridMultilevel"/>
    <w:lvl w:ilvl="0">
      <w:lvlJc w:val="left"/>
      <w:lvlText w:val="(%1)"/>
      <w:numFmt w:val="lowerLetter"/>
      <w:start w:val="3"/>
    </w:lvl>
  </w:abstractNum>
  <w:abstractNum w:abstractNumId="35">
    <w:nsid w:val="2C27173B"/>
    <w:multiLevelType w:val="hybridMultilevel"/>
    <w:lvl w:ilvl="0">
      <w:lvlJc w:val="left"/>
      <w:lvlText w:val="(%1)"/>
      <w:numFmt w:val="lowerLetter"/>
      <w:start w:val="3"/>
    </w:lvl>
  </w:abstractNum>
  <w:abstractNum w:abstractNumId="36">
    <w:nsid w:val="4C9B0904"/>
    <w:multiLevelType w:val="hybridMultilevel"/>
    <w:lvl w:ilvl="0">
      <w:lvlJc w:val="left"/>
      <w:lvlText w:val="(%1)"/>
      <w:numFmt w:val="lowerLetter"/>
      <w:start w:val="4"/>
    </w:lvl>
  </w:abstractNum>
  <w:abstractNum w:abstractNumId="37">
    <w:nsid w:val="6AA7B75C"/>
    <w:multiLevelType w:val="hybridMultilevel"/>
    <w:lvl w:ilvl="0">
      <w:lvlJc w:val="left"/>
      <w:lvlText w:val="(%1)"/>
      <w:numFmt w:val="lowerRoman"/>
      <w:start w:val="1"/>
    </w:lvl>
  </w:abstractNum>
  <w:abstractNum w:abstractNumId="38">
    <w:nsid w:val="1DF029D3"/>
    <w:multiLevelType w:val="hybridMultilevel"/>
    <w:lvl w:ilvl="0">
      <w:lvlJc w:val="left"/>
      <w:lvlText w:val="(%1)"/>
      <w:numFmt w:val="lowerLetter"/>
      <w:start w:val="1"/>
    </w:lvl>
  </w:abstractNum>
  <w:abstractNum w:abstractNumId="39">
    <w:nsid w:val="5675FF36"/>
    <w:multiLevelType w:val="hybridMultilevel"/>
    <w:lvl w:ilvl="0">
      <w:lvlJc w:val="left"/>
      <w:lvlText w:val="(%1)"/>
      <w:numFmt w:val="lowerRoman"/>
      <w:start w:val="4"/>
    </w:lvl>
  </w:abstractNum>
  <w:abstractNum w:abstractNumId="40">
    <w:nsid w:val="3DD15094"/>
    <w:multiLevelType w:val="hybridMultilevel"/>
    <w:lvl w:ilvl="0">
      <w:lvlJc w:val="left"/>
      <w:lvlText w:val="(%1)"/>
      <w:numFmt w:val="lowerLetter"/>
      <w:start w:val="1"/>
    </w:lvl>
  </w:abstractNum>
  <w:abstractNum w:abstractNumId="41">
    <w:nsid w:val="3DB012B3"/>
    <w:multiLevelType w:val="hybridMultilevel"/>
    <w:lvl w:ilvl="0">
      <w:lvlJc w:val="left"/>
      <w:lvlText w:val="(%1)"/>
      <w:numFmt w:val="lowerLetter"/>
      <w:start w:val="2"/>
    </w:lvl>
  </w:abstractNum>
  <w:abstractNum w:abstractNumId="42">
    <w:nsid w:val="2708C9AF"/>
    <w:multiLevelType w:val="hybridMultilevel"/>
    <w:lvl w:ilvl="0">
      <w:lvlJc w:val="left"/>
      <w:lvlText w:val="."/>
      <w:numFmt w:val="bullet"/>
      <w:start w:val="1"/>
    </w:lvl>
  </w:abstractNum>
  <w:abstractNum w:abstractNumId="43">
    <w:nsid w:val="5B25ACE2"/>
    <w:multiLevelType w:val="hybridMultilevel"/>
    <w:lvl w:ilvl="0">
      <w:lvlJc w:val="left"/>
      <w:lvlText w:val="(%1)"/>
      <w:numFmt w:val="lowerLetter"/>
      <w:start w:val="2"/>
    </w:lvl>
  </w:abstractNum>
  <w:abstractNum w:abstractNumId="44">
    <w:nsid w:val="175DFCF0"/>
    <w:multiLevelType w:val="hybridMultilevel"/>
    <w:lvl w:ilvl="0">
      <w:lvlJc w:val="left"/>
      <w:lvlText w:val="(%1)"/>
      <w:numFmt w:val="lowerLetter"/>
      <w:start w:val="5"/>
    </w:lvl>
  </w:abstractNum>
  <w:abstractNum w:abstractNumId="45">
    <w:nsid w:val="4F97E3E4"/>
    <w:multiLevelType w:val="hybridMultilevel"/>
    <w:lvl w:ilvl="0">
      <w:lvlJc w:val="left"/>
      <w:lvlText w:val="(%1)"/>
      <w:numFmt w:val="lowerLetter"/>
      <w:start w:val="1"/>
    </w:lvl>
  </w:abstractNum>
  <w:abstractNum w:abstractNumId="46">
    <w:nsid w:val="53B0A9E"/>
    <w:multiLevelType w:val="hybridMultilevel"/>
    <w:lvl w:ilvl="0">
      <w:lvlJc w:val="left"/>
      <w:lvlText w:val="(%1)"/>
      <w:numFmt w:val="lowerRoman"/>
      <w:start w:val="1"/>
    </w:lvl>
  </w:abstractNum>
  <w:abstractNum w:abstractNumId="47">
    <w:nsid w:val="34FD6B4F"/>
    <w:multiLevelType w:val="hybridMultilevel"/>
    <w:lvl w:ilvl="0">
      <w:lvlJc w:val="left"/>
      <w:lvlText w:val="."/>
      <w:numFmt w:val="bullet"/>
      <w:start w:val="1"/>
    </w:lvl>
  </w:abstractNum>
  <w:abstractNum w:abstractNumId="48">
    <w:nsid w:val="5915FF32"/>
    <w:multiLevelType w:val="hybridMultilevel"/>
    <w:lvl w:ilvl="0">
      <w:lvlJc w:val="left"/>
      <w:lvlText w:val="(%1)"/>
      <w:numFmt w:val="lowerLetter"/>
      <w:start w:val="2"/>
    </w:lvl>
  </w:abstractNum>
  <w:abstractNum w:abstractNumId="49">
    <w:nsid w:val="56438D15"/>
    <w:multiLevelType w:val="hybridMultilevel"/>
    <w:lvl w:ilvl="0">
      <w:lvlJc w:val="left"/>
      <w:lvlText w:val="(%1)"/>
      <w:numFmt w:val="lowerLetter"/>
      <w:start w:val="1"/>
    </w:lvl>
  </w:abstractNum>
  <w:abstractNum w:abstractNumId="50">
    <w:nsid w:val="519E3149"/>
    <w:multiLevelType w:val="hybridMultilevel"/>
    <w:lvl w:ilvl="0">
      <w:lvlJc w:val="left"/>
      <w:lvlText w:val="(%1)"/>
      <w:numFmt w:val="lowerLetter"/>
      <w:start w:val="1"/>
    </w:lvl>
  </w:abstractNum>
  <w:abstractNum w:abstractNumId="51">
    <w:nsid w:val="2C6E4AFD"/>
    <w:multiLevelType w:val="hybridMultilevel"/>
    <w:lvl w:ilvl="0">
      <w:lvlJc w:val="left"/>
      <w:lvlText w:val="(%1)"/>
      <w:numFmt w:val="lowerLetter"/>
      <w:start w:val="2"/>
    </w:lvl>
  </w:abstractNum>
  <w:abstractNum w:abstractNumId="52">
    <w:nsid w:val="17A1B582"/>
    <w:multiLevelType w:val="hybridMultilevel"/>
    <w:lvl w:ilvl="0">
      <w:lvlJc w:val="left"/>
      <w:lvlText w:val="(%1)"/>
      <w:numFmt w:val="lowerLetter"/>
      <w:start w:val="1"/>
    </w:lvl>
  </w:abstractNum>
  <w:abstractNum w:abstractNumId="53">
    <w:nsid w:val="4DF72E4E"/>
    <w:multiLevelType w:val="hybridMultilevel"/>
    <w:lvl w:ilvl="0">
      <w:lvlJc w:val="left"/>
      <w:lvlText w:val="(%1)"/>
      <w:numFmt w:val="lowerLetter"/>
      <w:start w:val="3"/>
    </w:lvl>
  </w:abstractNum>
  <w:abstractNum w:abstractNumId="54">
    <w:nsid w:val="5046B5A9"/>
    <w:multiLevelType w:val="hybridMultilevel"/>
    <w:lvl w:ilvl="0">
      <w:lvlJc w:val="left"/>
      <w:lvlText w:val="."/>
      <w:numFmt w:val="bullet"/>
      <w:start w:val="1"/>
    </w:lvl>
  </w:abstractNum>
  <w:abstractNum w:abstractNumId="55">
    <w:nsid w:val="5D888A08"/>
    <w:multiLevelType w:val="hybridMultilevel"/>
    <w:lvl w:ilvl="0">
      <w:lvlJc w:val="left"/>
      <w:lvlText w:val="(%1)"/>
      <w:numFmt w:val="lowerLetter"/>
      <w:start w:val="2"/>
    </w:lvl>
  </w:abstractNum>
  <w:abstractNum w:abstractNumId="56">
    <w:nsid w:val="2A082C70"/>
    <w:multiLevelType w:val="hybridMultilevel"/>
    <w:lvl w:ilvl="0">
      <w:lvlJc w:val="left"/>
      <w:lvlText w:val="."/>
      <w:numFmt w:val="bullet"/>
      <w:start w:val="1"/>
    </w:lvl>
  </w:abstractNum>
  <w:abstractNum w:abstractNumId="57">
    <w:nsid w:val="5EC6AFD4"/>
    <w:multiLevelType w:val="hybridMultilevel"/>
    <w:lvl w:ilvl="0">
      <w:lvlJc w:val="left"/>
      <w:lvlText w:val="(%1)"/>
      <w:numFmt w:val="lowerLetter"/>
      <w:start w:val="2"/>
    </w:lvl>
  </w:abstractNum>
  <w:abstractNum w:abstractNumId="58">
    <w:nsid w:val="19E21BB2"/>
    <w:multiLevelType w:val="hybridMultilevel"/>
    <w:lvl w:ilvl="0">
      <w:lvlJc w:val="left"/>
      <w:lvlText w:val="."/>
      <w:numFmt w:val="bullet"/>
      <w:start w:val="1"/>
    </w:lvl>
  </w:abstractNum>
  <w:abstractNum w:abstractNumId="59">
    <w:nsid w:val="75E0858A"/>
    <w:multiLevelType w:val="hybridMultilevel"/>
    <w:lvl w:ilvl="0">
      <w:lvlJc w:val="left"/>
      <w:lvlText w:val="(%1)"/>
      <w:numFmt w:val="lowerLetter"/>
      <w:start w:val="2"/>
    </w:lvl>
  </w:abstractNum>
  <w:abstractNum w:abstractNumId="60">
    <w:nsid w:val="57A61A29"/>
    <w:multiLevelType w:val="hybridMultilevel"/>
    <w:lvl w:ilvl="0">
      <w:lvlJc w:val="left"/>
      <w:lvlText w:val="(%1)"/>
      <w:numFmt w:val="lowerLetter"/>
      <w:start w:val="5"/>
    </w:lvl>
  </w:abstractNum>
  <w:abstractNum w:abstractNumId="61">
    <w:nsid w:val="5399C654"/>
    <w:multiLevelType w:val="hybridMultilevel"/>
    <w:lvl w:ilvl="0">
      <w:lvlJc w:val="left"/>
      <w:lvlText w:val="."/>
      <w:numFmt w:val="bullet"/>
      <w:start w:val="1"/>
    </w:lvl>
  </w:abstractNum>
  <w:abstractNum w:abstractNumId="62">
    <w:nsid w:val="20EE1348"/>
    <w:multiLevelType w:val="hybridMultilevel"/>
    <w:lvl w:ilvl="0">
      <w:lvlJc w:val="left"/>
      <w:lvlText w:val="(%1)"/>
      <w:numFmt w:val="lowerLetter"/>
      <w:start w:val="2"/>
    </w:lvl>
  </w:abstractNum>
  <w:abstractNum w:abstractNumId="63">
    <w:nsid w:val="4427069A"/>
    <w:multiLevelType w:val="hybridMultilevel"/>
    <w:lvl w:ilvl="0">
      <w:lvlJc w:val="left"/>
      <w:lvlText w:val="."/>
      <w:numFmt w:val="bullet"/>
      <w:start w:val="1"/>
    </w:lvl>
  </w:abstractNum>
  <w:abstractNum w:abstractNumId="64">
    <w:nsid w:val="B37E80A"/>
    <w:multiLevelType w:val="hybridMultilevel"/>
    <w:lvl w:ilvl="0">
      <w:lvlJc w:val="left"/>
      <w:lvlText w:val="(%1)"/>
      <w:numFmt w:val="lowerLetter"/>
      <w:start w:val="2"/>
    </w:lvl>
  </w:abstractNum>
  <w:abstractNum w:abstractNumId="65">
    <w:nsid w:val="2157F6BC"/>
    <w:multiLevelType w:val="hybridMultilevel"/>
    <w:lvl w:ilvl="0">
      <w:lvlJc w:val="left"/>
      <w:lvlText w:val="."/>
      <w:numFmt w:val="bullet"/>
      <w:start w:val="1"/>
    </w:lvl>
  </w:abstractNum>
  <w:abstractNum w:abstractNumId="66">
    <w:nsid w:val="704E1DD5"/>
    <w:multiLevelType w:val="hybridMultilevel"/>
    <w:lvl w:ilvl="0">
      <w:lvlJc w:val="left"/>
      <w:lvlText w:val="(%1)"/>
      <w:numFmt w:val="lowerLetter"/>
      <w:start w:val="2"/>
    </w:lvl>
  </w:abstractNum>
  <w:abstractNum w:abstractNumId="67">
    <w:nsid w:val="57D2F10E"/>
    <w:multiLevelType w:val="hybridMultilevel"/>
    <w:lvl w:ilvl="0">
      <w:lvlJc w:val="left"/>
      <w:lvlText w:val="."/>
      <w:numFmt w:val="bullet"/>
      <w:start w:val="1"/>
    </w:lvl>
  </w:abstractNum>
  <w:abstractNum w:abstractNumId="68">
    <w:nsid w:val="BFFAE18"/>
    <w:multiLevelType w:val="hybridMultilevel"/>
    <w:lvl w:ilvl="0">
      <w:lvlJc w:val="left"/>
      <w:lvlText w:val="(%1)"/>
      <w:numFmt w:val="lowerLetter"/>
      <w:start w:val="2"/>
    </w:lvl>
  </w:abstractNum>
  <w:abstractNum w:abstractNumId="69">
    <w:nsid w:val="E3E47A8"/>
    <w:multiLevelType w:val="hybridMultilevel"/>
    <w:lvl w:ilvl="0">
      <w:lvlJc w:val="left"/>
      <w:lvlText w:val="(%1)"/>
      <w:numFmt w:val="lowerLetter"/>
      <w:start w:val="3"/>
    </w:lvl>
  </w:abstractNum>
  <w:abstractNum w:abstractNumId="70">
    <w:nsid w:val="2E48F044"/>
    <w:multiLevelType w:val="hybridMultilevel"/>
    <w:lvl w:ilvl="0">
      <w:lvlJc w:val="left"/>
      <w:lvlText w:val="."/>
      <w:numFmt w:val="bullet"/>
      <w:start w:val="1"/>
    </w:lvl>
  </w:abstractNum>
  <w:abstractNum w:abstractNumId="71">
    <w:nsid w:val="49D0FEAC"/>
    <w:multiLevelType w:val="hybridMultilevel"/>
    <w:lvl w:ilvl="0">
      <w:lvlJc w:val="left"/>
      <w:lvlText w:val="(%1)"/>
      <w:numFmt w:val="lowerLetter"/>
      <w:start w:val="2"/>
    </w:lvl>
  </w:abstractNum>
  <w:abstractNum w:abstractNumId="72">
    <w:nsid w:val="4BEE5A5B"/>
    <w:multiLevelType w:val="hybridMultilevel"/>
    <w:lvl w:ilvl="0">
      <w:lvlJc w:val="left"/>
      <w:lvlText w:val="."/>
      <w:numFmt w:val="bullet"/>
      <w:start w:val="1"/>
    </w:lvl>
  </w:abstractNum>
  <w:abstractNum w:abstractNumId="73">
    <w:nsid w:val="5551B9F3"/>
    <w:multiLevelType w:val="hybridMultilevel"/>
    <w:lvl w:ilvl="0">
      <w:lvlJc w:val="left"/>
      <w:lvlText w:val="(%1)"/>
      <w:numFmt w:val="lowerLetter"/>
      <w:start w:val="2"/>
    </w:lvl>
  </w:abstractNum>
  <w:abstractNum w:abstractNumId="74">
    <w:nsid w:val="24F6AB8E"/>
    <w:multiLevelType w:val="hybridMultilevel"/>
    <w:lvl w:ilvl="0">
      <w:lvlJc w:val="left"/>
      <w:lvlText w:val="(%1)"/>
      <w:numFmt w:val="lowerLetter"/>
      <w:start w:val="1"/>
    </w:lvl>
    <w:lvl w:ilvl="1">
      <w:lvlJc w:val="left"/>
      <w:lvlText w:val="(%2)"/>
      <w:numFmt w:val="lowerRoman"/>
      <w:start w:val="1"/>
    </w:lvl>
  </w:abstractNum>
  <w:abstractNum w:abstractNumId="75">
    <w:nsid w:val="634C574C"/>
    <w:multiLevelType w:val="hybridMultilevel"/>
    <w:lvl w:ilvl="0">
      <w:lvlJc w:val="left"/>
      <w:lvlText w:val="(%1)"/>
      <w:numFmt w:val="lowerLetter"/>
      <w:start w:val="2"/>
    </w:lvl>
  </w:abstractNum>
  <w:abstractNum w:abstractNumId="76">
    <w:nsid w:val="24E99DD7"/>
    <w:multiLevelType w:val="hybridMultilevel"/>
    <w:lvl w:ilvl="0">
      <w:lvlJc w:val="left"/>
      <w:lvlText w:val="(%1)"/>
      <w:numFmt w:val="lowerLetter"/>
      <w:start w:val="3"/>
    </w:lvl>
  </w:abstractNum>
  <w:abstractNum w:abstractNumId="77">
    <w:nsid w:val="2A31B62D"/>
    <w:multiLevelType w:val="hybridMultilevel"/>
    <w:lvl w:ilvl="0">
      <w:lvlJc w:val="left"/>
      <w:lvlText w:val="(%1)"/>
      <w:numFmt w:val="lowerLetter"/>
      <w:start w:val="7"/>
    </w:lvl>
  </w:abstractNum>
  <w:abstractNum w:abstractNumId="78">
    <w:nsid w:val="1849C29B"/>
    <w:multiLevelType w:val="hybridMultilevel"/>
    <w:lvl w:ilvl="0">
      <w:lvlJc w:val="left"/>
      <w:lvlText w:val="."/>
      <w:numFmt w:val="bullet"/>
      <w:start w:val="1"/>
    </w:lvl>
  </w:abstractNum>
  <w:abstractNum w:abstractNumId="79">
    <w:nsid w:val="7DFF9D09"/>
    <w:multiLevelType w:val="hybridMultilevel"/>
    <w:lvl w:ilvl="0">
      <w:lvlJc w:val="left"/>
      <w:lvlText w:val="(%1)"/>
      <w:numFmt w:val="lowerLetter"/>
      <w:start w:val="2"/>
    </w:lvl>
  </w:abstractNum>
  <w:abstractNum w:abstractNumId="80">
    <w:nsid w:val="754342"/>
    <w:multiLevelType w:val="hybridMultilevel"/>
    <w:lvl w:ilvl="0">
      <w:lvlJc w:val="left"/>
      <w:lvlText w:val="(%1)"/>
      <w:numFmt w:val="lowerLetter"/>
      <w:start w:val="6"/>
    </w:lvl>
  </w:abstractNum>
  <w:abstractNum w:abstractNumId="81">
    <w:nsid w:val="69E7F3E5"/>
    <w:multiLevelType w:val="hybridMultilevel"/>
    <w:lvl w:ilvl="0">
      <w:lvlJc w:val="left"/>
      <w:lvlText w:val="."/>
      <w:numFmt w:val="bullet"/>
      <w:start w:val="1"/>
    </w:lvl>
    <w:lvl w:ilvl="1">
      <w:lvlJc w:val="left"/>
      <w:lvlText w:val="(%2)"/>
      <w:numFmt w:val="lowerRoman"/>
      <w:start w:val="1"/>
    </w:lvl>
  </w:abstractNum>
  <w:abstractNum w:abstractNumId="82">
    <w:nsid w:val="2A6DE806"/>
    <w:multiLevelType w:val="hybridMultilevel"/>
    <w:lvl w:ilvl="0">
      <w:lvlJc w:val="left"/>
      <w:lvlText w:val="(%1)"/>
      <w:numFmt w:val="lowerLetter"/>
      <w:start w:val="2"/>
    </w:lvl>
  </w:abstractNum>
  <w:abstractNum w:abstractNumId="83">
    <w:nsid w:val="1816F8C4"/>
    <w:multiLevelType w:val="hybridMultilevel"/>
    <w:lvl w:ilvl="0">
      <w:lvlJc w:val="left"/>
      <w:lvlText w:val="(%1)"/>
      <w:numFmt w:val="lowerLetter"/>
      <w:start w:val="3"/>
    </w:lvl>
  </w:abstractNum>
  <w:abstractNum w:abstractNumId="84">
    <w:nsid w:val="37DF2233"/>
    <w:multiLevelType w:val="hybridMultilevel"/>
    <w:lvl w:ilvl="0">
      <w:lvlJc w:val="left"/>
      <w:lvlText w:val="."/>
      <w:numFmt w:val="bullet"/>
      <w:start w:val="1"/>
    </w:lvl>
  </w:abstractNum>
  <w:abstractNum w:abstractNumId="85">
    <w:nsid w:val="7AB49DAF"/>
    <w:multiLevelType w:val="hybridMultilevel"/>
    <w:lvl w:ilvl="0">
      <w:lvlJc w:val="left"/>
      <w:lvlText w:val="(%1)"/>
      <w:numFmt w:val="lowerLetter"/>
      <w:start w:val="25"/>
    </w:lvl>
    <w:lvl w:ilvl="1">
      <w:lvlJc w:val="left"/>
      <w:lvlText w:val="(%2)"/>
      <w:numFmt w:val="lowerLetter"/>
      <w:start w:val="2"/>
    </w:lvl>
  </w:abstractNum>
  <w:abstractNum w:abstractNumId="86">
    <w:nsid w:val="759F82CD"/>
    <w:multiLevelType w:val="hybridMultilevel"/>
    <w:lvl w:ilvl="0">
      <w:lvlJc w:val="left"/>
      <w:lvlText w:val="(%1)"/>
      <w:numFmt w:val="decimal"/>
      <w:start w:val="30"/>
    </w:lvl>
    <w:lvl w:ilvl="1">
      <w:lvlJc w:val="left"/>
      <w:lvlText w:val="(%2)"/>
      <w:numFmt w:val="lowerLetter"/>
      <w:start w:val="6"/>
    </w:lvl>
  </w:abstractNum>
  <w:abstractNum w:abstractNumId="87">
    <w:nsid w:val="61E74EA3"/>
    <w:multiLevelType w:val="hybridMultilevel"/>
    <w:lvl w:ilvl="0">
      <w:lvlJc w:val="left"/>
      <w:lvlText w:val="(%1)"/>
      <w:numFmt w:val="lowerLetter"/>
      <w:start w:val="8"/>
    </w:lvl>
  </w:abstractNum>
  <w:abstractNum w:abstractNumId="88">
    <w:nsid w:val="597B4D84"/>
    <w:multiLevelType w:val="hybridMultilevel"/>
    <w:lvl w:ilvl="0">
      <w:lvlJc w:val="left"/>
      <w:lvlText w:val="(%1)"/>
      <w:numFmt w:val="lowerLetter"/>
      <w:start w:val="1"/>
    </w:lvl>
  </w:abstractNum>
  <w:abstractNum w:abstractNumId="89">
    <w:nsid w:val="F819E7F"/>
    <w:multiLevelType w:val="hybridMultilevel"/>
    <w:lvl w:ilvl="0">
      <w:lvlJc w:val="left"/>
      <w:lvlText w:val="(%1)"/>
      <w:numFmt w:val="lowerRoman"/>
      <w:start w:val="2"/>
    </w:lvl>
  </w:abstractNum>
  <w:abstractNum w:abstractNumId="90">
    <w:nsid w:val="57C7D42D"/>
    <w:multiLevelType w:val="hybridMultilevel"/>
    <w:lvl w:ilvl="0">
      <w:lvlJc w:val="left"/>
      <w:lvlText w:val="(%1)"/>
      <w:numFmt w:val="lowerRoman"/>
      <w:start w:val="5"/>
    </w:lvl>
  </w:abstractNum>
  <w:abstractNum w:abstractNumId="91">
    <w:nsid w:val="312167AD"/>
    <w:multiLevelType w:val="hybridMultilevel"/>
    <w:lvl w:ilvl="0">
      <w:lvlJc w:val="left"/>
      <w:lvlText w:val="(%1)"/>
      <w:numFmt w:val="lowerLetter"/>
      <w:start w:val="1"/>
    </w:lvl>
  </w:abstractNum>
  <w:abstractNum w:abstractNumId="92">
    <w:nsid w:val="631B64D4"/>
    <w:multiLevelType w:val="hybridMultilevel"/>
    <w:lvl w:ilvl="0">
      <w:lvlJc w:val="left"/>
      <w:lvlText w:val="(%1)"/>
      <w:numFmt w:val="lowerLetter"/>
      <w:start w:val="2"/>
    </w:lvl>
  </w:abstractNum>
  <w:abstractNum w:abstractNumId="93">
    <w:nsid w:val="78B5E776"/>
    <w:multiLevelType w:val="hybridMultilevel"/>
    <w:lvl w:ilvl="0">
      <w:lvlJc w:val="left"/>
      <w:lvlText w:val="(%1)"/>
      <w:numFmt w:val="lowerRoman"/>
      <w:start w:val="1"/>
    </w:lvl>
  </w:abstractNum>
  <w:abstractNum w:abstractNumId="94">
    <w:nsid w:val="75486E47"/>
    <w:multiLevelType w:val="hybridMultilevel"/>
    <w:lvl w:ilvl="0">
      <w:lvlJc w:val="left"/>
      <w:lvlText w:val="(%1)"/>
      <w:numFmt w:val="lowerRoman"/>
      <w:start w:val="7"/>
    </w:lvl>
  </w:abstractNum>
  <w:abstractNum w:abstractNumId="95">
    <w:nsid w:val="6E534CDE"/>
    <w:multiLevelType w:val="hybridMultilevel"/>
    <w:lvl w:ilvl="0">
      <w:lvlJc w:val="left"/>
      <w:lvlText w:val="(%1)"/>
      <w:numFmt w:val="lowerLetter"/>
      <w:start w:val="3"/>
    </w:lvl>
  </w:abstractNum>
  <w:abstractNum w:abstractNumId="96">
    <w:nsid w:val="1A0DDE32"/>
    <w:multiLevelType w:val="hybridMultilevel"/>
    <w:lvl w:ilvl="0">
      <w:lvlJc w:val="left"/>
      <w:lvlText w:val="(%1)"/>
      <w:numFmt w:val="lowerLetter"/>
      <w:start w:val="4"/>
    </w:lvl>
  </w:abstractNum>
  <w:abstractNum w:abstractNumId="97">
    <w:nsid w:val="65968C1C"/>
    <w:multiLevelType w:val="hybridMultilevel"/>
    <w:lvl w:ilvl="0">
      <w:lvlJc w:val="left"/>
      <w:lvlText w:val="(%1)"/>
      <w:numFmt w:val="lowerLetter"/>
      <w:start w:val="1"/>
    </w:lvl>
    <w:lvl w:ilvl="1">
      <w:lvlJc w:val="left"/>
      <w:lvlText w:val="(%2)"/>
      <w:numFmt w:val="lowerLetter"/>
      <w:start w:val="9"/>
    </w:lvl>
  </w:abstractNum>
  <w:abstractNum w:abstractNumId="98">
    <w:nsid w:val="46263DEC"/>
    <w:multiLevelType w:val="hybridMultilevel"/>
    <w:lvl w:ilvl="0">
      <w:lvlJc w:val="left"/>
      <w:lvlText w:val="(%1)"/>
      <w:numFmt w:val="lowerRoman"/>
      <w:start w:val="2"/>
    </w:lvl>
  </w:abstractNum>
  <w:abstractNum w:abstractNumId="99">
    <w:nsid w:val="260D8C4A"/>
    <w:multiLevelType w:val="hybridMultilevel"/>
    <w:lvl w:ilvl="0">
      <w:lvlJc w:val="left"/>
      <w:lvlText w:val="(%1)"/>
      <w:numFmt w:val="lowerLetter"/>
      <w:start w:val="4"/>
    </w:lvl>
  </w:abstractNum>
  <w:abstractNum w:abstractNumId="100">
    <w:nsid w:val="73D4D3C4"/>
    <w:multiLevelType w:val="hybridMultilevel"/>
    <w:lvl w:ilvl="0">
      <w:lvlJc w:val="left"/>
      <w:lvlText w:val="(%1)"/>
      <w:numFmt w:val="lowerLetter"/>
      <w:start w:val="1"/>
    </w:lvl>
  </w:abstractNum>
  <w:abstractNum w:abstractNumId="101">
    <w:nsid w:val="746F2E30"/>
    <w:multiLevelType w:val="hybridMultilevel"/>
    <w:lvl w:ilvl="0">
      <w:lvlJc w:val="left"/>
      <w:lvlText w:val="(%1)"/>
      <w:numFmt w:val="lowerLetter"/>
      <w:start w:val="24"/>
    </w:lvl>
    <w:lvl w:ilvl="1">
      <w:lvlJc w:val="left"/>
      <w:lvlText w:val="(%2)"/>
      <w:numFmt w:val="lowerLetter"/>
      <w:start w:val="2"/>
    </w:lvl>
  </w:abstractNum>
  <w:abstractNum w:abstractNumId="102">
    <w:nsid w:val="6FDE8AF6"/>
    <w:multiLevelType w:val="hybridMultilevel"/>
    <w:lvl w:ilvl="0">
      <w:lvlJc w:val="left"/>
      <w:lvlText w:val="(%1)"/>
      <w:numFmt w:val="lowerLetter"/>
      <w:start w:val="3"/>
    </w:lvl>
  </w:abstractNum>
  <w:abstractNum w:abstractNumId="103">
    <w:nsid w:val="3FC32E20"/>
    <w:multiLevelType w:val="hybridMultilevel"/>
    <w:lvl w:ilvl="0">
      <w:lvlJc w:val="left"/>
      <w:lvlText w:val="(%1)"/>
      <w:numFmt w:val="lowerLetter"/>
      <w:start w:val="1"/>
    </w:lvl>
  </w:abstractNum>
  <w:abstractNum w:abstractNumId="104">
    <w:nsid w:val="49C0E82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05">
    <w:nsid w:val="14D5368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6">
    <w:nsid w:val="230F856C"/>
    <w:multiLevelType w:val="hybridMultilevel"/>
    <w:lvl w:ilvl="0">
      <w:lvlJc w:val="left"/>
      <w:lvlText w:val="(%1)"/>
      <w:numFmt w:val="lowerLetter"/>
      <w:start w:val="4"/>
    </w:lvl>
  </w:abstractNum>
  <w:abstractNum w:abstractNumId="107">
    <w:nsid w:val="6EAA85FB"/>
    <w:multiLevelType w:val="hybridMultilevel"/>
    <w:lvl w:ilvl="0">
      <w:lvlJc w:val="left"/>
      <w:lvlText w:val="(%1)"/>
      <w:numFmt w:val="lowerLetter"/>
      <w:start w:val="6"/>
    </w:lvl>
  </w:abstractNum>
  <w:abstractNum w:abstractNumId="108">
    <w:nsid w:val="3F06ECB2"/>
    <w:multiLevelType w:val="hybridMultilevel"/>
    <w:lvl w:ilvl="0">
      <w:lvlJc w:val="left"/>
      <w:lvlText w:val="."/>
      <w:numFmt w:val="bullet"/>
      <w:start w:val="1"/>
    </w:lvl>
  </w:abstractNum>
  <w:abstractNum w:abstractNumId="109">
    <w:nsid w:val="3B594807"/>
    <w:multiLevelType w:val="hybridMultilevel"/>
    <w:lvl w:ilvl="0">
      <w:lvlJc w:val="left"/>
      <w:lvlText w:val="%1"/>
      <w:numFmt w:val="lowerRoman"/>
      <w:start w:val="1"/>
    </w:lvl>
    <w:lvl w:ilvl="1">
      <w:lvlJc w:val="left"/>
      <w:lvlText w:val="(%2)"/>
      <w:numFmt w:val="lowerLetter"/>
      <w:start w:val="2"/>
    </w:lvl>
  </w:abstractNum>
  <w:abstractNum w:abstractNumId="110">
    <w:nsid w:val="6CAA2304"/>
    <w:multiLevelType w:val="hybridMultilevel"/>
    <w:lvl w:ilvl="0">
      <w:lvlJc w:val="left"/>
      <w:lvlText w:val="(%1)"/>
      <w:numFmt w:val="lowerRoman"/>
      <w:start w:val="4"/>
    </w:lvl>
    <w:lvl w:ilvl="1">
      <w:lvlJc w:val="left"/>
      <w:lvlText w:val="(%2)"/>
      <w:numFmt w:val="lowerLetter"/>
      <w:start w:val="3"/>
    </w:lvl>
  </w:abstractNum>
  <w:abstractNum w:abstractNumId="111">
    <w:nsid w:val="3F7C2FF4"/>
    <w:multiLevelType w:val="hybridMultilevel"/>
    <w:lvl w:ilvl="0">
      <w:lvlJc w:val="left"/>
      <w:lvlText w:val="."/>
      <w:numFmt w:val="bullet"/>
      <w:start w:val="1"/>
    </w:lvl>
  </w:abstractNum>
  <w:abstractNum w:abstractNumId="112">
    <w:nsid w:val="25413BEC"/>
    <w:multiLevelType w:val="hybridMultilevel"/>
    <w:lvl w:ilvl="0">
      <w:lvlJc w:val="left"/>
      <w:lvlText w:val="(%1)"/>
      <w:numFmt w:val="lowerLetter"/>
      <w:start w:val="2"/>
    </w:lvl>
  </w:abstractNum>
  <w:abstractNum w:abstractNumId="113">
    <w:nsid w:val="17180B0B"/>
    <w:multiLevelType w:val="hybridMultilevel"/>
    <w:lvl w:ilvl="0">
      <w:lvlJc w:val="left"/>
      <w:lvlText w:val="(%1)"/>
      <w:numFmt w:val="lowerRoman"/>
      <w:start w:val="2"/>
    </w:lvl>
    <w:lvl w:ilvl="1">
      <w:lvlJc w:val="left"/>
      <w:lvlText w:val="."/>
      <w:numFmt w:val="bullet"/>
      <w:start w:val="1"/>
    </w:lvl>
  </w:abstractNum>
  <w:abstractNum w:abstractNumId="114">
    <w:nsid w:val="579328B9"/>
    <w:multiLevelType w:val="hybridMultilevel"/>
    <w:lvl w:ilvl="0">
      <w:lvlJc w:val="left"/>
      <w:lvlText w:val="(%1)"/>
      <w:numFmt w:val="lowerLetter"/>
      <w:start w:val="2"/>
    </w:lvl>
  </w:abstractNum>
  <w:abstractNum w:abstractNumId="115">
    <w:nsid w:val="5D205E20"/>
    <w:multiLevelType w:val="hybridMultilevel"/>
    <w:lvl w:ilvl="0">
      <w:lvlJc w:val="left"/>
      <w:lvlText w:val="(%1)"/>
      <w:numFmt w:val="lowerRoman"/>
      <w:start w:val="2"/>
    </w:lvl>
  </w:abstractNum>
  <w:abstractNum w:abstractNumId="116">
    <w:nsid w:val="11CCA8BA"/>
    <w:multiLevelType w:val="hybridMultilevel"/>
    <w:lvl w:ilvl="0">
      <w:lvlJc w:val="left"/>
      <w:lvlText w:val="(%1)"/>
      <w:numFmt w:val="lowerLetter"/>
      <w:start w:val="2"/>
    </w:lvl>
  </w:abstractNum>
  <w:abstractNum w:abstractNumId="117">
    <w:nsid w:val="4D32AB86"/>
    <w:multiLevelType w:val="hybridMultilevel"/>
    <w:lvl w:ilvl="0">
      <w:lvlJc w:val="left"/>
      <w:lvlText w:val="(%1)"/>
      <w:numFmt w:val="lowerLetter"/>
      <w:start w:val="1"/>
    </w:lvl>
    <w:lvl w:ilvl="1">
      <w:lvlJc w:val="left"/>
      <w:lvlText w:val="(%2)"/>
      <w:numFmt w:val="lowerRoman"/>
      <w:start w:val="1"/>
    </w:lvl>
  </w:abstractNum>
  <w:abstractNum w:abstractNumId="118">
    <w:nsid w:val="3F07ACC3"/>
    <w:multiLevelType w:val="hybridMultilevel"/>
    <w:lvl w:ilvl="0">
      <w:lvlJc w:val="left"/>
      <w:lvlText w:val="(%1)"/>
      <w:numFmt w:val="lowerLetter"/>
      <w:start w:val="7"/>
    </w:lvl>
  </w:abstractNum>
  <w:abstractNum w:abstractNumId="119">
    <w:nsid w:val="6B47F63E"/>
    <w:multiLevelType w:val="hybridMultilevel"/>
    <w:lvl w:ilvl="0">
      <w:lvlJc w:val="left"/>
      <w:lvlText w:val="(%1)"/>
      <w:numFmt w:val="lowerLetter"/>
      <w:start w:val="1"/>
    </w:lvl>
  </w:abstractNum>
  <w:abstractNum w:abstractNumId="120">
    <w:nsid w:val="5CB44A05"/>
    <w:multiLevelType w:val="hybridMultilevel"/>
    <w:lvl w:ilvl="0">
      <w:lvlJc w:val="left"/>
      <w:lvlText w:val="(%1)"/>
      <w:numFmt w:val="lowerLetter"/>
      <w:start w:val="3"/>
    </w:lvl>
  </w:abstractNum>
  <w:abstractNum w:abstractNumId="121">
    <w:nsid w:val="16CF80F1"/>
    <w:multiLevelType w:val="hybridMultilevel"/>
    <w:lvl w:ilvl="0">
      <w:lvlJc w:val="left"/>
      <w:lvlText w:val="(%1)"/>
      <w:numFmt w:val="lowerLetter"/>
      <w:start w:val="1"/>
    </w:lvl>
  </w:abstractNum>
  <w:abstractNum w:abstractNumId="122">
    <w:nsid w:val="1C695DEC"/>
    <w:multiLevelType w:val="hybridMultilevel"/>
    <w:lvl w:ilvl="0">
      <w:lvlJc w:val="left"/>
      <w:lvlText w:val="(%1)"/>
      <w:numFmt w:val="lowerLetter"/>
      <w:start w:val="1"/>
    </w:lvl>
  </w:abstractNum>
  <w:abstractNum w:abstractNumId="123">
    <w:nsid w:val="3FCFAED9"/>
    <w:multiLevelType w:val="hybridMultilevel"/>
    <w:lvl w:ilvl="0">
      <w:lvlJc w:val="left"/>
      <w:lvlText w:val="(%1)"/>
      <w:numFmt w:val="lowerLetter"/>
      <w:start w:val="4"/>
    </w:lvl>
  </w:abstractNum>
  <w:abstractNum w:abstractNumId="124">
    <w:nsid w:val="F856867"/>
    <w:multiLevelType w:val="hybridMultilevel"/>
    <w:lvl w:ilvl="0">
      <w:lvlJc w:val="left"/>
      <w:lvlText w:val="%1"/>
      <w:numFmt w:val="lowerLetter"/>
      <w:start w:val="1"/>
    </w:lvl>
    <w:lvl w:ilvl="1">
      <w:lvlJc w:val="left"/>
      <w:lvlText w:val="(%2)"/>
      <w:numFmt w:val="lowerLetter"/>
      <w:start w:val="1"/>
    </w:lvl>
  </w:abstractNum>
  <w:abstractNum w:abstractNumId="125">
    <w:nsid w:val="11B1CC33"/>
    <w:multiLevelType w:val="hybridMultilevel"/>
    <w:lvl w:ilvl="0">
      <w:lvlJc w:val="left"/>
      <w:lvlText w:val="(%1)"/>
      <w:numFmt w:val="lowerLetter"/>
      <w:start w:val="9"/>
    </w:lvl>
    <w:lvl w:ilvl="1">
      <w:lvlJc w:val="left"/>
      <w:lvlText w:val="(%2)"/>
      <w:numFmt w:val="lowerLetter"/>
      <w:start w:val="5"/>
    </w:lvl>
  </w:abstractNum>
  <w:abstractNum w:abstractNumId="126">
    <w:nsid w:val="2E22FBB7"/>
    <w:multiLevelType w:val="hybridMultilevel"/>
    <w:lvl w:ilvl="0">
      <w:lvlJc w:val="left"/>
      <w:lvlText w:val="."/>
      <w:numFmt w:val="bullet"/>
      <w:start w:val="1"/>
    </w:lvl>
  </w:abstractNum>
  <w:abstractNum w:abstractNumId="127">
    <w:nsid w:val="29934699"/>
    <w:multiLevelType w:val="hybridMultilevel"/>
    <w:lvl w:ilvl="0">
      <w:lvlJc w:val="left"/>
      <w:lvlText w:val="(%1)"/>
      <w:numFmt w:val="lowerLetter"/>
      <w:start w:val="2"/>
    </w:lvl>
  </w:abstractNum>
  <w:abstractNum w:abstractNumId="128">
    <w:nsid w:val="77485850"/>
    <w:multiLevelType w:val="hybridMultilevel"/>
    <w:lvl w:ilvl="0">
      <w:lvlJc w:val="left"/>
      <w:lvlText w:val="."/>
      <w:numFmt w:val="bullet"/>
      <w:start w:val="1"/>
    </w:lvl>
  </w:abstractNum>
  <w:abstractNum w:abstractNumId="129">
    <w:nsid w:val="744939A3"/>
    <w:multiLevelType w:val="hybridMultilevel"/>
    <w:lvl w:ilvl="0">
      <w:lvlJc w:val="left"/>
      <w:lvlText w:val="(%1)"/>
      <w:numFmt w:val="lowerLetter"/>
      <w:start w:val="2"/>
    </w:lvl>
  </w:abstractNum>
  <w:abstractNum w:abstractNumId="130">
    <w:nsid w:val="4FA0D2E3"/>
    <w:multiLevelType w:val="hybridMultilevel"/>
    <w:lvl w:ilvl="0">
      <w:lvlJc w:val="left"/>
      <w:lvlText w:val="(%1)"/>
      <w:numFmt w:val="lowerLetter"/>
      <w:start w:val="3"/>
    </w:lvl>
  </w:abstractNum>
  <w:abstractNum w:abstractNumId="131">
    <w:nsid w:val="6B1D2C14"/>
    <w:multiLevelType w:val="hybridMultilevel"/>
    <w:lvl w:ilvl="0">
      <w:lvlJc w:val="left"/>
      <w:lvlText w:val="(%1)"/>
      <w:numFmt w:val="lowerLetter"/>
      <w:start w:val="1"/>
    </w:lvl>
  </w:abstractNum>
  <w:abstractNum w:abstractNumId="132">
    <w:nsid w:val="68B867D3"/>
    <w:multiLevelType w:val="hybridMultilevel"/>
    <w:lvl w:ilvl="0">
      <w:lvlJc w:val="left"/>
      <w:lvlText w:val="(%1)"/>
      <w:numFmt w:val="lowerLetter"/>
      <w:start w:val="7"/>
    </w:lvl>
  </w:abstractNum>
  <w:abstractNum w:abstractNumId="133">
    <w:nsid w:val="3F7F5DD9"/>
    <w:multiLevelType w:val="hybridMultilevel"/>
    <w:lvl w:ilvl="0">
      <w:lvlJc w:val="left"/>
      <w:lvlText w:val="(%1)"/>
      <w:numFmt w:val="lowerLetter"/>
      <w:start w:val="21"/>
    </w:lvl>
  </w:abstractNum>
  <w:abstractNum w:abstractNumId="134">
    <w:nsid w:val="2AE05A34"/>
    <w:multiLevelType w:val="hybridMultilevel"/>
    <w:lvl w:ilvl="0">
      <w:lvlJc w:val="left"/>
      <w:lvlText w:val="(%1)"/>
      <w:numFmt w:val="decimal"/>
      <w:start w:val="1"/>
    </w:lvl>
  </w:abstractNum>
  <w:abstractNum w:abstractNumId="135">
    <w:nsid w:val="32794FF7"/>
    <w:multiLevelType w:val="hybridMultilevel"/>
    <w:lvl w:ilvl="0">
      <w:lvlJc w:val="left"/>
      <w:lvlText w:val="(%1)"/>
      <w:numFmt w:val="lowerLetter"/>
      <w:start w:val="26"/>
    </w:lvl>
  </w:abstractNum>
  <w:abstractNum w:abstractNumId="136">
    <w:nsid w:val="5454945E"/>
    <w:multiLevelType w:val="hybridMultilevel"/>
    <w:lvl w:ilvl="0">
      <w:lvlJc w:val="left"/>
      <w:lvlText w:val="(%1)"/>
      <w:numFmt w:val="lowerLetter"/>
      <w:start w:val="27"/>
    </w:lvl>
  </w:abstractNum>
  <w:abstractNum w:abstractNumId="137">
    <w:nsid w:val="4DEFDFA0"/>
    <w:multiLevelType w:val="hybridMultilevel"/>
    <w:lvl w:ilvl="0">
      <w:lvlJc w:val="left"/>
      <w:lvlText w:val="(%1)"/>
      <w:numFmt w:val="lowerLetter"/>
      <w:start w:val="1"/>
    </w:lvl>
  </w:abstractNum>
  <w:abstractNum w:abstractNumId="138">
    <w:nsid w:val="2123D5F2"/>
    <w:multiLevelType w:val="hybridMultilevel"/>
    <w:lvl w:ilvl="0">
      <w:lvlJc w:val="left"/>
      <w:lvlText w:val="(%1)"/>
      <w:numFmt w:val="lowerLetter"/>
      <w:start w:val="9"/>
    </w:lvl>
  </w:abstractNum>
  <w:abstractNum w:abstractNumId="139">
    <w:nsid w:val="135B8110"/>
    <w:multiLevelType w:val="hybridMultilevel"/>
    <w:lvl w:ilvl="0">
      <w:lvlJc w:val="left"/>
      <w:lvlText w:val="%1"/>
      <w:numFmt w:val="lowerLetter"/>
      <w:start w:val="1"/>
    </w:lvl>
    <w:lvl w:ilvl="1">
      <w:lvlJc w:val="left"/>
      <w:lvlText w:val="(%2)"/>
      <w:numFmt w:val="lowerLetter"/>
      <w:start w:val="20"/>
    </w:lvl>
  </w:abstractNum>
  <w:abstractNum w:abstractNumId="140">
    <w:nsid w:val="94927A8"/>
    <w:multiLevelType w:val="hybridMultilevel"/>
    <w:lvl w:ilvl="0">
      <w:lvlJc w:val="left"/>
      <w:lvlText w:val="(%1)"/>
      <w:numFmt w:val="lowerLetter"/>
      <w:start w:val="25"/>
    </w:lvl>
    <w:lvl w:ilvl="1">
      <w:lvlJc w:val="left"/>
      <w:lvlText w:val="%2"/>
      <w:numFmt w:val="lowerLetter"/>
      <w:start w:val="1"/>
    </w:lvl>
  </w:abstractNum>
  <w:abstractNum w:abstractNumId="141">
    <w:nsid w:val="DCDF8F6"/>
    <w:multiLevelType w:val="hybridMultilevel"/>
    <w:lvl w:ilvl="0">
      <w:lvlJc w:val="left"/>
      <w:lvlText w:val="(%1)"/>
      <w:numFmt w:val="lowerLetter"/>
      <w:start w:val="25"/>
    </w:lvl>
  </w:abstractNum>
  <w:abstractNum w:abstractNumId="142">
    <w:nsid w:val="52D7B105"/>
    <w:multiLevelType w:val="hybridMultilevel"/>
    <w:lvl w:ilvl="0">
      <w:lvlJc w:val="left"/>
      <w:lvlText w:val="(%1)"/>
      <w:numFmt w:val="lowerLetter"/>
      <w:start w:val="1"/>
    </w:lvl>
    <w:lvl w:ilvl="1">
      <w:lvlJc w:val="left"/>
      <w:lvlText w:val="(%2)"/>
      <w:numFmt w:val="lowerLetter"/>
      <w:start w:val="9"/>
    </w:lvl>
  </w:abstractNum>
  <w:abstractNum w:abstractNumId="143">
    <w:nsid w:val="2E8A6394"/>
    <w:multiLevelType w:val="hybridMultilevel"/>
    <w:lvl w:ilvl="0">
      <w:lvlJc w:val="left"/>
      <w:lvlText w:val="(%1)"/>
      <w:numFmt w:val="lowerRoman"/>
      <w:start w:val="2"/>
    </w:lvl>
  </w:abstractNum>
  <w:abstractNum w:abstractNumId="144">
    <w:nsid w:val="24E60401"/>
    <w:multiLevelType w:val="hybridMultilevel"/>
    <w:lvl w:ilvl="0">
      <w:lvlJc w:val="left"/>
      <w:lvlText w:val=";"/>
      <w:numFmt w:val="bullet"/>
      <w:start w:val="1"/>
    </w:lvl>
  </w:abstractNum>
  <w:abstractNum w:abstractNumId="145">
    <w:nsid w:val="2A6AD9BE"/>
    <w:multiLevelType w:val="hybridMultilevel"/>
    <w:lvl w:ilvl="0">
      <w:lvlJc w:val="left"/>
      <w:lvlText w:val="(%1)"/>
      <w:numFmt w:val="lowerLetter"/>
      <w:start w:val="1"/>
    </w:lvl>
  </w:abstractNum>
  <w:abstractNum w:abstractNumId="146">
    <w:nsid w:val="BAAC1B4"/>
    <w:multiLevelType w:val="hybridMultilevel"/>
    <w:lvl w:ilvl="0">
      <w:lvlJc w:val="left"/>
      <w:lvlText w:val="(%1)"/>
      <w:numFmt w:val="lowerLetter"/>
      <w:start w:val="4"/>
    </w:lvl>
  </w:abstractNum>
  <w:abstractNum w:abstractNumId="147">
    <w:nsid w:val="36B2ACBC"/>
    <w:multiLevelType w:val="hybridMultilevel"/>
    <w:lvl w:ilvl="0">
      <w:lvlJc w:val="left"/>
      <w:lvlText w:val="(%1)"/>
      <w:numFmt w:val="lowerLetter"/>
      <w:start w:val="1"/>
    </w:lvl>
  </w:abstractNum>
  <w:abstractNum w:abstractNumId="148">
    <w:nsid w:val="779D8544"/>
    <w:multiLevelType w:val="hybridMultilevel"/>
    <w:lvl w:ilvl="0">
      <w:lvlJc w:val="left"/>
      <w:lvlText w:val="(%1)"/>
      <w:numFmt w:val="lowerLetter"/>
      <w:start w:val="6"/>
    </w:lvl>
  </w:abstractNum>
  <w:abstractNum w:abstractNumId="149">
    <w:nsid w:val="4AB26E78"/>
    <w:multiLevelType w:val="hybridMultilevel"/>
    <w:lvl w:ilvl="0">
      <w:lvlJc w:val="left"/>
      <w:lvlText w:val="(%1)"/>
      <w:numFmt w:val="lowerLetter"/>
      <w:start w:val="1"/>
    </w:lvl>
  </w:abstractNum>
  <w:abstractNum w:abstractNumId="150">
    <w:nsid w:val="21FAA2FA"/>
    <w:multiLevelType w:val="hybridMultilevel"/>
    <w:lvl w:ilvl="0">
      <w:lvlJc w:val="left"/>
      <w:lvlText w:val="(%1)"/>
      <w:numFmt w:val="lowerLetter"/>
      <w:start w:val="13"/>
    </w:lvl>
  </w:abstractNum>
  <w:abstractNum w:abstractNumId="151">
    <w:nsid w:val="5451CF49"/>
    <w:multiLevelType w:val="hybridMultilevel"/>
    <w:lvl w:ilvl="0">
      <w:lvlJc w:val="left"/>
      <w:lvlText w:val="(%1)"/>
      <w:numFmt w:val="lowerLetter"/>
      <w:start w:val="22"/>
    </w:lvl>
  </w:abstractNum>
  <w:abstractNum w:abstractNumId="152">
    <w:nsid w:val="6181EF69"/>
    <w:multiLevelType w:val="hybridMultilevel"/>
    <w:lvl w:ilvl="0">
      <w:lvlJc w:val="left"/>
      <w:lvlText w:val="."/>
      <w:numFmt w:val="bullet"/>
      <w:start w:val="1"/>
    </w:lvl>
  </w:abstractNum>
  <w:abstractNum w:abstractNumId="153">
    <w:nsid w:val="3E6400E6"/>
    <w:multiLevelType w:val="hybridMultilevel"/>
    <w:lvl w:ilvl="0">
      <w:lvlJc w:val="left"/>
      <w:lvlText w:val="(%1)"/>
      <w:numFmt w:val="lowerRoman"/>
      <w:start w:val="1"/>
    </w:lvl>
  </w:abstractNum>
  <w:abstractNum w:abstractNumId="154">
    <w:nsid w:val="14217E23"/>
    <w:multiLevelType w:val="hybridMultilevel"/>
    <w:lvl w:ilvl="0">
      <w:lvlJc w:val="left"/>
      <w:lvlText w:val="(%1)"/>
      <w:numFmt w:val="lowerRoman"/>
      <w:start w:val="6"/>
    </w:lvl>
  </w:abstractNum>
  <w:abstractNum w:abstractNumId="155">
    <w:nsid w:val="710757D0"/>
    <w:multiLevelType w:val="hybridMultilevel"/>
    <w:lvl w:ilvl="0">
      <w:lvlJc w:val="left"/>
      <w:lvlText w:val="(%1)"/>
      <w:numFmt w:val="lowerLetter"/>
      <w:start w:val="2"/>
    </w:lvl>
  </w:abstractNum>
  <w:abstractNum w:abstractNumId="156">
    <w:nsid w:val="5015CD1A"/>
    <w:multiLevelType w:val="hybridMultilevel"/>
    <w:lvl w:ilvl="0">
      <w:lvlJc w:val="left"/>
      <w:lvlText w:val="(%1)"/>
      <w:numFmt w:val="lowerRoman"/>
      <w:start w:val="10"/>
    </w:lvl>
  </w:abstractNum>
  <w:abstractNum w:abstractNumId="157">
    <w:nsid w:val="424479DA"/>
    <w:multiLevelType w:val="hybridMultilevel"/>
    <w:lvl w:ilvl="0">
      <w:lvlJc w:val="left"/>
      <w:lvlText w:val="(%1)"/>
      <w:numFmt w:val="lowerLetter"/>
      <w:start w:val="1"/>
    </w:lvl>
  </w:abstractNum>
  <w:abstractNum w:abstractNumId="158">
    <w:nsid w:val="1A9A9E69"/>
    <w:multiLevelType w:val="hybridMultilevel"/>
    <w:lvl w:ilvl="0">
      <w:lvlJc w:val="left"/>
      <w:lvlText w:val="%1"/>
      <w:numFmt w:val="decimal"/>
      <w:start w:val="1"/>
    </w:lvl>
    <w:lvl w:ilvl="1">
      <w:lvlJc w:val="left"/>
      <w:lvlText w:val="(%2)"/>
      <w:numFmt w:val="lowerLetter"/>
      <w:start w:val="2"/>
    </w:lvl>
  </w:abstractNum>
  <w:abstractNum w:abstractNumId="159">
    <w:nsid w:val="475E256A"/>
    <w:multiLevelType w:val="hybridMultilevel"/>
    <w:lvl w:ilvl="0">
      <w:lvlJc w:val="left"/>
      <w:lvlText w:val="(%1)"/>
      <w:numFmt w:val="decimal"/>
      <w:start w:val="2"/>
    </w:lvl>
    <w:lvl w:ilvl="1">
      <w:lvlJc w:val="left"/>
      <w:lvlText w:val="%2"/>
      <w:numFmt w:val="lowerLetter"/>
      <w:start w:val="1"/>
    </w:lvl>
  </w:abstractNum>
  <w:abstractNum w:abstractNumId="160">
    <w:nsid w:val="368DB37E"/>
    <w:multiLevelType w:val="hybridMultilevel"/>
    <w:lvl w:ilvl="0">
      <w:lvlJc w:val="left"/>
      <w:lvlText w:val="%1"/>
      <w:numFmt w:val="upperLetter"/>
      <w:start w:val="1"/>
    </w:lvl>
    <w:lvl w:ilvl="1">
      <w:lvlJc w:val="left"/>
      <w:lvlText w:val="(%2)"/>
      <w:numFmt w:val="lowerLetter"/>
      <w:start w:val="6"/>
    </w:lvl>
  </w:abstractNum>
  <w:abstractNum w:abstractNumId="161">
    <w:nsid w:val="6A3B714C"/>
    <w:multiLevelType w:val="hybridMultilevel"/>
    <w:lvl w:ilvl="0">
      <w:lvlJc w:val="left"/>
      <w:lvlText w:val="(%1)"/>
      <w:numFmt w:val="upperLetter"/>
      <w:start w:val="1"/>
    </w:lvl>
    <w:lvl w:ilvl="1">
      <w:lvlJc w:val="left"/>
      <w:lvlText w:val="(%2)"/>
      <w:numFmt w:val="lowerLetter"/>
      <w:start w:val="7"/>
    </w:lvl>
  </w:abstractNum>
  <w:abstractNum w:abstractNumId="162">
    <w:nsid w:val="327B517E"/>
    <w:multiLevelType w:val="hybridMultilevel"/>
    <w:lvl w:ilvl="0">
      <w:lvlJc w:val="left"/>
      <w:lvlText w:val="(%1)"/>
      <w:numFmt w:val="lowerLetter"/>
      <w:start w:val="9"/>
    </w:lvl>
  </w:abstractNum>
  <w:abstractNum w:abstractNumId="163">
    <w:nsid w:val="1F461B51"/>
    <w:multiLevelType w:val="hybridMultilevel"/>
    <w:lvl w:ilvl="0">
      <w:lvlJc w:val="left"/>
      <w:lvlText w:val="(%1)"/>
      <w:numFmt w:val="lowerLetter"/>
      <w:start w:val="1"/>
    </w:lvl>
  </w:abstractNum>
  <w:abstractNum w:abstractNumId="164">
    <w:nsid w:val="29BACF25"/>
    <w:multiLevelType w:val="hybridMultilevel"/>
    <w:lvl w:ilvl="0">
      <w:lvlJc w:val="left"/>
      <w:lvlText w:val="(%1)"/>
      <w:numFmt w:val="lowerLetter"/>
      <w:start w:val="5"/>
    </w:lvl>
  </w:abstractNum>
  <w:abstractNum w:abstractNumId="165">
    <w:nsid w:val="5D5BABB3"/>
    <w:multiLevelType w:val="hybridMultilevel"/>
    <w:lvl w:ilvl="0">
      <w:lvlJc w:val="left"/>
      <w:lvlText w:val="."/>
      <w:numFmt w:val="bullet"/>
      <w:start w:val="1"/>
    </w:lvl>
    <w:lvl w:ilvl="1">
      <w:lvlJc w:val="left"/>
      <w:lvlText w:val="(%2)"/>
      <w:numFmt w:val="lowerRoman"/>
      <w:start w:val="1"/>
    </w:lvl>
  </w:abstractNum>
  <w:abstractNum w:abstractNumId="166">
    <w:nsid w:val="51BF6B48"/>
    <w:multiLevelType w:val="hybridMultilevel"/>
    <w:lvl w:ilvl="0">
      <w:lvlJc w:val="left"/>
      <w:lvlText w:val="(%1)"/>
      <w:numFmt w:val="lowerLetter"/>
      <w:start w:val="2"/>
    </w:lvl>
  </w:abstractNum>
  <w:abstractNum w:abstractNumId="167">
    <w:nsid w:val="7E0F6384"/>
    <w:multiLevelType w:val="hybridMultilevel"/>
    <w:lvl w:ilvl="0">
      <w:lvlJc w:val="left"/>
      <w:lvlText w:val="(%1)"/>
      <w:numFmt w:val="lowerLetter"/>
      <w:start w:val="3"/>
    </w:lvl>
  </w:abstractNum>
  <w:abstractNum w:abstractNumId="168">
    <w:nsid w:val="2B4B8B53"/>
    <w:multiLevelType w:val="hybridMultilevel"/>
    <w:lvl w:ilvl="0">
      <w:lvlJc w:val="left"/>
      <w:lvlText w:val="(%1)"/>
      <w:numFmt w:val="lowerLetter"/>
      <w:start w:val="1"/>
    </w:lvl>
  </w:abstractNum>
  <w:abstractNum w:abstractNumId="169">
    <w:nsid w:val="72E3413A"/>
    <w:multiLevelType w:val="hybridMultilevel"/>
    <w:lvl w:ilvl="0">
      <w:lvlJc w:val="left"/>
      <w:lvlText w:val="(%1)"/>
      <w:numFmt w:val="lowerLetter"/>
      <w:start w:val="3"/>
    </w:lvl>
  </w:abstractNum>
  <w:abstractNum w:abstractNumId="170">
    <w:nsid w:val="116AE494"/>
    <w:multiLevelType w:val="hybridMultilevel"/>
    <w:lvl w:ilvl="0">
      <w:lvlJc w:val="left"/>
      <w:lvlText w:val="(%1)"/>
      <w:numFmt w:val="lowerLetter"/>
      <w:start w:val="4"/>
    </w:lvl>
  </w:abstractNum>
  <w:abstractNum w:abstractNumId="171">
    <w:nsid w:val="3494B2FB"/>
    <w:multiLevelType w:val="hybridMultilevel"/>
    <w:lvl w:ilvl="0">
      <w:lvlJc w:val="left"/>
      <w:lvlText w:val="(%1)"/>
      <w:numFmt w:val="lowerLetter"/>
      <w:start w:val="6"/>
    </w:lvl>
  </w:abstractNum>
  <w:abstractNum w:abstractNumId="172">
    <w:nsid w:val="B13A31"/>
    <w:multiLevelType w:val="hybridMultilevel"/>
    <w:lvl w:ilvl="0">
      <w:lvlJc w:val="left"/>
      <w:lvlText w:val="(%1)"/>
      <w:numFmt w:val="lowerLetter"/>
      <w:start w:val="1"/>
    </w:lvl>
  </w:abstractNum>
  <w:abstractNum w:abstractNumId="173">
    <w:nsid w:val="64429599"/>
    <w:multiLevelType w:val="hybridMultilevel"/>
    <w:lvl w:ilvl="0">
      <w:lvlJc w:val="left"/>
      <w:lvlText w:val="(%1)"/>
      <w:numFmt w:val="lowerLetter"/>
      <w:start w:val="4"/>
    </w:lvl>
  </w:abstractNum>
  <w:abstractNum w:abstractNumId="174">
    <w:nsid w:val="631F1690"/>
    <w:multiLevelType w:val="hybridMultilevel"/>
    <w:lvl w:ilvl="0">
      <w:lvlJc w:val="left"/>
      <w:lvlText w:val="."/>
      <w:numFmt w:val="bullet"/>
      <w:start w:val="1"/>
    </w:lvl>
  </w:abstractNum>
  <w:abstractNum w:abstractNumId="175">
    <w:nsid w:val="25973E32"/>
    <w:multiLevelType w:val="hybridMultilevel"/>
    <w:lvl w:ilvl="0">
      <w:lvlJc w:val="left"/>
      <w:lvlText w:val="(%1)"/>
      <w:numFmt w:val="lowerLetter"/>
      <w:start w:val="2"/>
    </w:lvl>
  </w:abstractNum>
  <w:abstractNum w:abstractNumId="176">
    <w:nsid w:val="EAD6F57"/>
    <w:multiLevelType w:val="hybridMultilevel"/>
    <w:lvl w:ilvl="0">
      <w:lvlJc w:val="left"/>
      <w:lvlText w:val="(%1)"/>
      <w:numFmt w:val="lowerLetter"/>
      <w:start w:val="3"/>
    </w:lvl>
  </w:abstractNum>
  <w:abstractNum w:abstractNumId="177">
    <w:nsid w:val="6EC9D844"/>
    <w:multiLevelType w:val="hybridMultilevel"/>
    <w:lvl w:ilvl="0">
      <w:lvlJc w:val="left"/>
      <w:lvlText w:val="(%1)"/>
      <w:numFmt w:val="lowerRoman"/>
      <w:start w:val="1"/>
    </w:lvl>
  </w:abstractNum>
  <w:abstractNum w:abstractNumId="178">
    <w:nsid w:val="5C49EAEE"/>
    <w:multiLevelType w:val="hybridMultilevel"/>
    <w:lvl w:ilvl="0">
      <w:lvlJc w:val="left"/>
      <w:lvlText w:val="%1"/>
      <w:numFmt w:val="lowerLetter"/>
      <w:start w:val="1"/>
    </w:lvl>
    <w:lvl w:ilvl="1">
      <w:lvlJc w:val="left"/>
      <w:lvlText w:val="(%2)"/>
      <w:numFmt w:val="lowerLetter"/>
      <w:start w:val="35"/>
    </w:lvl>
  </w:abstractNum>
  <w:abstractNum w:abstractNumId="179">
    <w:nsid w:val="64AF49B"/>
    <w:multiLevelType w:val="hybridMultilevel"/>
    <w:lvl w:ilvl="0">
      <w:lvlJc w:val="left"/>
      <w:lvlText w:val="(%1)"/>
      <w:numFmt w:val="lowerLetter"/>
      <w:start w:val="4"/>
    </w:lvl>
    <w:lvl w:ilvl="1">
      <w:lvlJc w:val="left"/>
      <w:lvlText w:val="%2"/>
      <w:numFmt w:val="lowerLetter"/>
      <w:start w:val="1"/>
    </w:lvl>
  </w:abstractNum>
  <w:abstractNum w:abstractNumId="180">
    <w:nsid w:val="397C46BC"/>
    <w:multiLevelType w:val="hybridMultilevel"/>
    <w:lvl w:ilvl="0">
      <w:lvlJc w:val="left"/>
      <w:lvlText w:val="(%1)"/>
      <w:numFmt w:val="upperLetter"/>
      <w:start w:val="1"/>
    </w:lvl>
  </w:abstractNum>
  <w:abstractNum w:abstractNumId="181">
    <w:nsid w:val="7E448DE9"/>
    <w:multiLevelType w:val="hybridMultilevel"/>
    <w:lvl w:ilvl="0">
      <w:lvlJc w:val="left"/>
      <w:lvlText w:val="(%1)"/>
      <w:numFmt w:val="lowerLetter"/>
      <w:start w:val="1"/>
    </w:lvl>
  </w:abstractNum>
  <w:abstractNum w:abstractNumId="182">
    <w:nsid w:val="5A9CC3E5"/>
    <w:multiLevelType w:val="hybridMultilevel"/>
    <w:lvl w:ilvl="0">
      <w:lvlJc w:val="left"/>
      <w:lvlText w:val="(%1)"/>
      <w:numFmt w:val="lowerLetter"/>
      <w:start w:val="2"/>
    </w:lvl>
  </w:abstractNum>
  <w:abstractNum w:abstractNumId="183">
    <w:nsid w:val="1AFE3625"/>
    <w:multiLevelType w:val="hybridMultilevel"/>
    <w:lvl w:ilvl="0">
      <w:lvlJc w:val="left"/>
      <w:lvlText w:val="."/>
      <w:numFmt w:val="bullet"/>
      <w:start w:val="1"/>
    </w:lvl>
  </w:abstractNum>
  <w:abstractNum w:abstractNumId="184">
    <w:nsid w:val="3CA88ECF"/>
    <w:multiLevelType w:val="hybridMultilevel"/>
    <w:lvl w:ilvl="0">
      <w:lvlJc w:val="left"/>
      <w:lvlText w:val="(%1)"/>
      <w:numFmt w:val="lowerLetter"/>
      <w:start w:val="2"/>
    </w:lvl>
  </w:abstractNum>
  <w:abstractNum w:abstractNumId="185">
    <w:nsid w:val="6EBE4208"/>
    <w:multiLevelType w:val="hybridMultilevel"/>
    <w:lvl w:ilvl="0">
      <w:lvlJc w:val="left"/>
      <w:lvlText w:val="(%1)"/>
      <w:numFmt w:val="upperLetter"/>
      <w:start w:val="1"/>
    </w:lvl>
  </w:abstractNum>
  <w:abstractNum w:abstractNumId="186">
    <w:nsid w:val="C058DF5"/>
    <w:multiLevelType w:val="hybridMultilevel"/>
    <w:lvl w:ilvl="0">
      <w:lvlJc w:val="left"/>
      <w:lvlText w:val="(%1)"/>
      <w:numFmt w:val="upperLetter"/>
      <w:start w:val="1"/>
    </w:lvl>
  </w:abstractNum>
  <w:abstractNum w:abstractNumId="187">
    <w:nsid w:val="CBE5BE9"/>
    <w:multiLevelType w:val="hybridMultilevel"/>
    <w:lvl w:ilvl="0">
      <w:lvlJc w:val="left"/>
      <w:lvlText w:val="(%1)"/>
      <w:numFmt w:val="upperLetter"/>
      <w:start w:val="2"/>
    </w:lvl>
  </w:abstractNum>
  <w:abstractNum w:abstractNumId="188">
    <w:nsid w:val="3102BBE2"/>
    <w:multiLevelType w:val="hybridMultilevel"/>
    <w:lvl w:ilvl="0">
      <w:lvlJc w:val="left"/>
      <w:lvlText w:val="(%1)"/>
      <w:numFmt w:val="lowerLetter"/>
      <w:start w:val="3"/>
    </w:lvl>
  </w:abstractNum>
  <w:abstractNum w:abstractNumId="189">
    <w:nsid w:val="26A02C5E"/>
    <w:multiLevelType w:val="hybridMultilevel"/>
    <w:lvl w:ilvl="0">
      <w:lvlJc w:val="left"/>
      <w:lvlText w:val="(%1)"/>
      <w:numFmt w:val="lowerLetter"/>
      <w:start w:val="4"/>
    </w:lvl>
  </w:abstractNum>
  <w:abstractNum w:abstractNumId="190">
    <w:nsid w:val="541C8153"/>
    <w:multiLevelType w:val="hybridMultilevel"/>
    <w:lvl w:ilvl="0">
      <w:lvlJc w:val="left"/>
      <w:lvlText w:val="."/>
      <w:numFmt w:val="bullet"/>
      <w:start w:val="1"/>
    </w:lvl>
  </w:abstractNum>
  <w:abstractNum w:abstractNumId="191">
    <w:nsid w:val="67906F60"/>
    <w:multiLevelType w:val="hybridMultilevel"/>
    <w:lvl w:ilvl="0">
      <w:lvlJc w:val="left"/>
      <w:lvlText w:val="(%1)"/>
      <w:numFmt w:val="lowerLetter"/>
      <w:start w:val="2"/>
    </w:lvl>
  </w:abstractNum>
  <w:abstractNum w:abstractNumId="192">
    <w:nsid w:val="10DB9DAA"/>
    <w:multiLevelType w:val="hybridMultilevel"/>
    <w:lvl w:ilvl="0">
      <w:lvlJc w:val="left"/>
      <w:lvlText w:val="(%1)"/>
      <w:numFmt w:val="lowerLetter"/>
      <w:start w:val="1"/>
    </w:lvl>
  </w:abstractNum>
  <w:abstractNum w:abstractNumId="193">
    <w:nsid w:val="697D2D2"/>
    <w:multiLevelType w:val="hybridMultilevel"/>
    <w:lvl w:ilvl="0">
      <w:lvlJc w:val="left"/>
      <w:lvlText w:val="(%1)"/>
      <w:numFmt w:val="lowerLetter"/>
      <w:start w:val="2"/>
    </w:lvl>
  </w:abstractNum>
  <w:abstractNum w:abstractNumId="194">
    <w:nsid w:val="6D68AB2"/>
    <w:multiLevelType w:val="hybridMultilevel"/>
    <w:lvl w:ilvl="0">
      <w:lvlJc w:val="left"/>
      <w:lvlText w:val="(%1)"/>
      <w:numFmt w:val="lowerLetter"/>
      <w:start w:val="1"/>
    </w:lvl>
  </w:abstractNum>
  <w:abstractNum w:abstractNumId="195">
    <w:nsid w:val="3A966CD0"/>
    <w:multiLevelType w:val="hybridMultilevel"/>
    <w:lvl w:ilvl="0">
      <w:lvlJc w:val="left"/>
      <w:lvlText w:val="(%1)"/>
      <w:numFmt w:val="lowerLetter"/>
      <w:start w:val="3"/>
    </w:lvl>
  </w:abstractNum>
  <w:abstractNum w:abstractNumId="196">
    <w:nsid w:val="63F37E85"/>
    <w:multiLevelType w:val="hybridMultilevel"/>
    <w:lvl w:ilvl="0">
      <w:lvlJc w:val="left"/>
      <w:lvlText w:val="."/>
      <w:numFmt w:val="bullet"/>
      <w:start w:val="1"/>
    </w:lvl>
  </w:abstractNum>
  <w:abstractNum w:abstractNumId="197">
    <w:nsid w:val="5895F5FA"/>
    <w:multiLevelType w:val="hybridMultilevel"/>
    <w:lvl w:ilvl="0">
      <w:lvlJc w:val="left"/>
      <w:lvlText w:val="(%1)"/>
      <w:numFmt w:val="lowerLetter"/>
      <w:start w:val="2"/>
    </w:lvl>
  </w:abstractNum>
  <w:abstractNum w:abstractNumId="198">
    <w:nsid w:val="38A5D054"/>
    <w:multiLevelType w:val="hybridMultilevel"/>
    <w:lvl w:ilvl="0">
      <w:lvlJc w:val="left"/>
      <w:lvlText w:val="(%1)"/>
      <w:numFmt w:val="lowerLetter"/>
      <w:start w:val="6"/>
    </w:lvl>
  </w:abstractNum>
  <w:abstractNum w:abstractNumId="199">
    <w:nsid w:val="F3F09D8"/>
    <w:multiLevelType w:val="hybridMultilevel"/>
    <w:lvl w:ilvl="0">
      <w:lvlJc w:val="left"/>
      <w:lvlText w:val="(%1)"/>
      <w:numFmt w:val="lowerLetter"/>
      <w:start w:val="1"/>
    </w:lvl>
    <w:lvl w:ilvl="1">
      <w:lvlJc w:val="left"/>
      <w:lvlText w:val="(%2)"/>
      <w:numFmt w:val="lowerRoman"/>
      <w:start w:val="1"/>
    </w:lvl>
  </w:abstractNum>
  <w:abstractNum w:abstractNumId="200">
    <w:nsid w:val="4B79373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2026-07-01T15:44:05Z</dcterms:created>
  <dcterms:modified xsi:type="dcterms:W3CDTF">2026-07-01T15:44:05Z</dcterms:modified>
</cp:coreProperties>
</file>