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893d8k.htm"/>
      <w:bookmarkStart w:id="1" w:name="ksd10689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Avis Budget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001-10308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06-0918165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379 Interpace Parkway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Parsippany, NJ</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07054</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(973) 496-4700</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20"/>
        </w:rPr>
      </w:pPr>
      <w:r>
        <w:rPr>
          <w:rFonts w:ascii="Times New Roman" w:hAnsi="Times New Roman"/>
          <w:b/>
          <w:sz w:val="20"/>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75" w:type="dxa"/>
        <w:jc w:val="left"/>
        <w:tblInd w:w="0" w:type="dxa"/>
        <w:tblLayout w:type="fixed"/>
        <w:tblCellMar>
          <w:top w:w="0" w:type="dxa"/>
          <w:left w:w="0" w:type="dxa"/>
          <w:bottom w:w="0" w:type="dxa"/>
          <w:right w:w="0" w:type="dxa"/>
        </w:tblCellMar>
      </w:tblPr>
      <w:tblGrid>
        <w:gridCol w:w="3065"/>
        <w:gridCol w:w="60"/>
        <w:gridCol w:w="740"/>
        <w:gridCol w:w="60"/>
        <w:gridCol w:w="3350"/>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 on Which Registered</w:t>
            </w:r>
          </w:p>
        </w:tc>
      </w:tr>
      <w:tr>
        <w:trPr/>
        <w:tc>
          <w:tcPr>
            <w:tcW w:w="306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CAR</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29, 2026, Avis Budget Car Rental, LLC (“ABCR”) and Avis Budget Finance, Inc. (together, the “Issuers”), each, a wholly-owned subsidiary of Avis Budget Group, Inc. (the “Company”), issued $300 million aggregate principal amount of 8.000% Senior Notes due 2031 (the “New Notes”). The New Notes were issued as additional notes pursuant to the Indenture, dated as of November 22, 2023 (the “Base Indenture”), as supplemented by the First Supplemental Indenture, dated as of May 29, 2026 (the “Supplemental Indenture” and, together with the Base Indenture, the “Indenture”), each by and among the Issuers, the guarantors party thereto and Citibank, N.A., as trustee. The Issuers previously issued $500 million aggregate principal amount of 8.000% Senior Notes due 2031 (the “Existing Notes” and, together with the New Notes, the “Notes”) under the Base Indenture. The New Notes will form part of the same series as the Existing Notes. </w:t>
      </w:r>
    </w:p>
    <w:p>
      <w:pPr>
        <w:pStyle w:val="TextBody"/>
        <w:bidi w:val="0"/>
        <w:spacing w:before="240" w:after="0"/>
        <w:jc w:val="left"/>
        <w:rPr>
          <w:rFonts w:ascii="Times New Roman" w:hAnsi="Times New Roman"/>
          <w:sz w:val="20"/>
        </w:rPr>
      </w:pPr>
      <w:r>
        <w:rPr>
          <w:rFonts w:ascii="Times New Roman" w:hAnsi="Times New Roman"/>
          <w:sz w:val="20"/>
        </w:rPr>
        <w:t xml:space="preserve">The Issuers intend to use the net proceeds from the offering of the New Notes, together with cash on hand, to redeem a portion of its 5.750% Senior Notes due 2027, and pay fees and expenses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February 15, 2031 and bear interest at a rate of 8.000% per annum, payable semi-annually in cash in arrears on May 15 and November 15 of each year. Interest on the New Notes will be deemed to accrue from May 15, 2026 and the first interest payment will be on November 15, 2026. </w:t>
      </w:r>
    </w:p>
    <w:p>
      <w:pPr>
        <w:pStyle w:val="TextBody"/>
        <w:bidi w:val="0"/>
        <w:spacing w:before="240" w:after="0"/>
        <w:jc w:val="left"/>
        <w:rPr>
          <w:rFonts w:ascii="Times New Roman" w:hAnsi="Times New Roman"/>
          <w:sz w:val="20"/>
        </w:rPr>
      </w:pPr>
      <w:r>
        <w:rPr>
          <w:rFonts w:ascii="Times New Roman" w:hAnsi="Times New Roman"/>
          <w:sz w:val="20"/>
        </w:rPr>
        <w:t xml:space="preserve">The Notes are guaranteed on a senior unsecured basis by the Company, Avis Budget Holdings, LLC and ABCR’s existing and future direct and indirect wholly owned domestic restricted subsidiaries that also guarantee ABCR’s senior secured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Issuers may redeem all or part of the Notes at any time prior to November 15, 2026 at a redemption price equal to 100% of the aggregate principal amount thereof, plus a make-whole premium, together with accrued and unpaid interest, if any, to, but excluding, the redemption date. The Issuers may redeem all or part of the Notes at any time on or after November 15, 2026 at the redemption prices set forth in the Indenture. At any time on or prior to November 15, 2026, up to 40% of the aggregate principal amount of the Notes may be redeemed with the net cash proceeds that ABCR raises in one or more equity offering, at the redemption price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specified kinds of changes of control, ABCR must offer to repurchase the Notes at a purchase price equal to 101% of the principal amount thereof, plus accrued and unpaid interest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limits, among other things, the ability of ABCR and its restricted subsidiaries to (i) pay dividends on or make other distributions in respect of equity interests or make other restricted payments; (ii) create liens on certain assets to secure debt; (iii) make certain investments; (iv) sell certain assets; (v) consolidate, merge, sell, or otherwise dispose of all or substantially all of ABCR’s assets; and (vi) designate ABCR’s subsidiaries as unrestricted subsidiaries. These covenants are subject to a number of important limitations and exceptions. The Indenture provides for customary events of default (subject in certain cases to customary grace and cure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Indenture and the Notes does not purport to be complete and is qualified in its entirety by reference to the complete terms of the Base Indenture and the Notes, which are filed as Exhibits 4.1 and 4.2 to the Current Report on Form 8-K filed on November 22, 2023, and the Supplemental Indenture, which is filed as Exhibit 4.1 hereto, each of which is incorporated by reference into this Item 8.01.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Exhibit</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6893dex41.htm">
              <w:r>
                <w:rPr>
                  <w:rStyle w:val="InternetLink"/>
                </w:rPr>
                <w:t xml:space="preserve">First Supplemental Indenture, dated as of May 29, 2026, by and among Avis Budget Car Rental, LLC and Avis Budget Finance, Inc., as issuers, the guarantors party thereto and Citibank, N.A., as trustee.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380"/>
        <w:gridCol w:w="60"/>
        <w:gridCol w:w="485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90" w:type="dxa"/>
            <w:gridSpan w:val="3"/>
            <w:tcBorders/>
            <w:vAlign w:val="center"/>
          </w:tcPr>
          <w:p>
            <w:pPr>
              <w:pStyle w:val="TableContents"/>
              <w:bidi w:val="0"/>
              <w:spacing w:before="0" w:after="283"/>
              <w:jc w:val="left"/>
              <w:rPr>
                <w:b/>
              </w:rPr>
            </w:pPr>
            <w:r>
              <w:rPr>
                <w:b/>
              </w:rPr>
              <w:t>AVIS BUDGET GROUP,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91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 M. Sera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Jean M. Sera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Senior Vice President, General Counsel,</w:t>
              <w:br/>
              <w:t>Chief Compliance Officer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sz w:val="20"/>
        </w:rPr>
      </w:pPr>
      <w:bookmarkStart w:id="2" w:name="d106893dex41.htm"/>
      <w:bookmarkStart w:id="3" w:name="ksd106893dex41"/>
      <w:bookmarkEnd w:id="2"/>
      <w:bookmarkEnd w:id="3"/>
      <w:r>
        <w:rPr>
          <w:rFonts w:ascii="Times New Roman" w:hAnsi="Times New Roman"/>
          <w:b/>
          <w:i/>
          <w:sz w:val="20"/>
        </w:rPr>
        <w:t>Exhibit 4.1</w:t>
      </w:r>
      <w:r>
        <w:rPr>
          <w:rFonts w:ascii="Times New Roman" w:hAnsi="Times New Roman"/>
          <w:sz w:val="20"/>
        </w:rPr>
        <w:t xml:space="preserve">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FIRST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May 29,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AVIS BUDGET CAR RENTAL, LLC and AVIS BUDGET FINANCE, INC., </w:t>
      </w:r>
    </w:p>
    <w:p>
      <w:pPr>
        <w:pStyle w:val="TextBody"/>
        <w:bidi w:val="0"/>
        <w:spacing w:before="240" w:after="0"/>
        <w:jc w:val="center"/>
        <w:rPr>
          <w:rFonts w:ascii="Times New Roman" w:hAnsi="Times New Roman"/>
          <w:sz w:val="20"/>
        </w:rPr>
      </w:pPr>
      <w:r>
        <w:rPr>
          <w:rFonts w:ascii="Times New Roman" w:hAnsi="Times New Roman"/>
          <w:sz w:val="20"/>
        </w:rPr>
        <w:t xml:space="preserve">as Issuers </w:t>
      </w:r>
    </w:p>
    <w:p>
      <w:pPr>
        <w:pStyle w:val="TextBody"/>
        <w:bidi w:val="0"/>
        <w:spacing w:before="240" w:after="0"/>
        <w:jc w:val="center"/>
        <w:rPr>
          <w:rFonts w:ascii="Times New Roman" w:hAnsi="Times New Roman"/>
          <w:sz w:val="20"/>
        </w:rPr>
      </w:pPr>
      <w:r>
        <w:rPr>
          <w:rFonts w:ascii="Times New Roman" w:hAnsi="Times New Roman"/>
          <w:sz w:val="20"/>
        </w:rPr>
        <w:t xml:space="preserve">the Guarantors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8.000% Senior Notes due 2031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FIRST SUPPLEMENTAL INDENTURE, dated as of May 29, 2026 (this “</w:t>
      </w:r>
      <w:r>
        <w:rPr>
          <w:rFonts w:ascii="Times New Roman" w:hAnsi="Times New Roman"/>
          <w:sz w:val="20"/>
          <w:u w:val="single"/>
        </w:rPr>
        <w:t>Supplemental Indenture</w:t>
      </w:r>
      <w:r>
        <w:rPr>
          <w:rFonts w:ascii="Times New Roman" w:hAnsi="Times New Roman"/>
          <w:sz w:val="20"/>
        </w:rPr>
        <w:t>”), among AVIS BUDGET CAR RENTAL, LLC, a limited liability company organized under the laws of the State of Delaware (the “</w:t>
      </w:r>
      <w:r>
        <w:rPr>
          <w:rFonts w:ascii="Times New Roman" w:hAnsi="Times New Roman"/>
          <w:sz w:val="20"/>
          <w:u w:val="single"/>
        </w:rPr>
        <w:t>Company</w:t>
      </w:r>
      <w:r>
        <w:rPr>
          <w:rFonts w:ascii="Times New Roman" w:hAnsi="Times New Roman"/>
          <w:sz w:val="20"/>
        </w:rPr>
        <w:t>”), and AVIS BUDGET FINANCE, INC., a corporation organized under the laws of the State of Delaware (together with the Company, the “</w:t>
      </w:r>
      <w:r>
        <w:rPr>
          <w:rFonts w:ascii="Times New Roman" w:hAnsi="Times New Roman"/>
          <w:sz w:val="20"/>
          <w:u w:val="single"/>
        </w:rPr>
        <w:t>Issuers</w:t>
      </w:r>
      <w:r>
        <w:rPr>
          <w:rFonts w:ascii="Times New Roman" w:hAnsi="Times New Roman"/>
          <w:sz w:val="20"/>
        </w:rPr>
        <w:t>”), the guarantors party hereto (the “</w:t>
      </w:r>
      <w:r>
        <w:rPr>
          <w:rFonts w:ascii="Times New Roman" w:hAnsi="Times New Roman"/>
          <w:sz w:val="20"/>
          <w:u w:val="single"/>
        </w:rPr>
        <w:t>Guarantors</w:t>
      </w:r>
      <w:r>
        <w:rPr>
          <w:rFonts w:ascii="Times New Roman" w:hAnsi="Times New Roman"/>
          <w:sz w:val="20"/>
        </w:rPr>
        <w:t>”) and CITIBANK, N.A., a national banking association, as trustee under the Indenture referred to below (the “</w:t>
      </w:r>
      <w:r>
        <w:rPr>
          <w:rFonts w:ascii="Times New Roman" w:hAnsi="Times New Roman"/>
          <w:sz w:val="20"/>
          <w:u w:val="single"/>
        </w:rPr>
        <w:t>Trustee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the Issuers, the Guarantors and the Trustee are party to an Indenture, dated as of November 22, 2023 (as amended or supplemented prior to the date hereof, the “</w:t>
      </w:r>
      <w:r>
        <w:rPr>
          <w:rFonts w:ascii="Times New Roman" w:hAnsi="Times New Roman"/>
          <w:sz w:val="20"/>
          <w:u w:val="single"/>
        </w:rPr>
        <w:t>Indenture</w:t>
      </w:r>
      <w:r>
        <w:rPr>
          <w:rFonts w:ascii="Times New Roman" w:hAnsi="Times New Roman"/>
          <w:sz w:val="20"/>
        </w:rPr>
        <w:t xml:space="preserve">”), relating to the issuance from time to time by the Issuers of their 8.000% Senior Notes due 2031; </w:t>
      </w:r>
    </w:p>
    <w:p>
      <w:pPr>
        <w:pStyle w:val="TextBody"/>
        <w:bidi w:val="0"/>
        <w:spacing w:before="240" w:after="0"/>
        <w:jc w:val="left"/>
        <w:rPr>
          <w:rFonts w:ascii="Times New Roman" w:hAnsi="Times New Roman"/>
          <w:sz w:val="20"/>
        </w:rPr>
      </w:pPr>
      <w:r>
        <w:rPr>
          <w:rFonts w:ascii="Times New Roman" w:hAnsi="Times New Roman"/>
          <w:sz w:val="20"/>
        </w:rPr>
        <w:t>WHEREAS, pursuant to the Indenture, the Issuers initially issued $500,000,000 aggregate principal amount of their 8.000% Senior Notes due 2031 (the “</w:t>
      </w:r>
      <w:r>
        <w:rPr>
          <w:rFonts w:ascii="Times New Roman" w:hAnsi="Times New Roman"/>
          <w:sz w:val="20"/>
          <w:u w:val="single"/>
        </w:rPr>
        <w:t>Initial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9.1(7) of the Indenture provides that the Issuers may provide for the issuance of Additional Notes (as defined in the Indenture) as permitted by Section 2.1 therein; </w:t>
      </w:r>
    </w:p>
    <w:p>
      <w:pPr>
        <w:pStyle w:val="TextBody"/>
        <w:bidi w:val="0"/>
        <w:spacing w:before="240" w:after="0"/>
        <w:jc w:val="left"/>
        <w:rPr>
          <w:rFonts w:ascii="Times New Roman" w:hAnsi="Times New Roman"/>
          <w:sz w:val="20"/>
        </w:rPr>
      </w:pPr>
      <w:r>
        <w:rPr>
          <w:rFonts w:ascii="Times New Roman" w:hAnsi="Times New Roman"/>
          <w:sz w:val="20"/>
        </w:rPr>
        <w:t>WHEREAS, the Issuers wish to issue an additional $300,000,000 aggregate principal amount of their 8.000% Senior Secured Notes due 2031 as Additional Notes under the Indenture (the “</w:t>
      </w:r>
      <w:r>
        <w:rPr>
          <w:rFonts w:ascii="Times New Roman" w:hAnsi="Times New Roman"/>
          <w:sz w:val="20"/>
          <w:u w:val="single"/>
        </w:rPr>
        <w:t>Additional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issuance of the Additional Securities, the Issuers and the Guarantors have each duly authorized the execution and delivery of this Supplemental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Sections 2.1 and 9.1 of the Indenture, the parties hereto are authorized to execute and deliver this Supplemental Indenture to amend the Indenture, without the consent of any Holder;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Issuers, the Guarantors and the Trustee mutually covenant and agree for the equal and ratable benefit of the 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Capitalized Terms</w:t>
      </w:r>
      <w:r>
        <w:rPr>
          <w:rFonts w:ascii="Times New Roman" w:hAnsi="Times New Roman"/>
          <w:sz w:val="20"/>
        </w:rPr>
        <w:t xml:space="preserve">.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Additional Notes</w:t>
      </w:r>
      <w:r>
        <w:rPr>
          <w:rFonts w:ascii="Times New Roman" w:hAnsi="Times New Roman"/>
          <w:sz w:val="20"/>
        </w:rPr>
        <w:t xml:space="preserve">. As of the date hereof, the Issuers will issue the Additional Securities. The Additional Securities issued pursuant to this Supplemental Indenture constitute Additional Notes issued pursuant to Section 2.1 of the Indenture and shall be consolidated with and form a single class with the Initial Notes previously established pursuant to the Indenture, including, without limitation, for purposes of waivers, amendments, redemptions and offers to purchase. The Additional Securities shall have the same terms and conditions in all respects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Initial Notes, except that the issue price of the Additional Securities shall be 100.500% plus accrued interest, the issue date of the Additional Securities shall be May 29, 2026 and the date from which interest on the Additional Securities shall accrue is May 15, 2026. The Additional Securities shall be Restricted Notes. The Additional Securities shall be initially evidenced by one or more Global Notes, substantially in the form of Exhibit A to the Indenture. The Additional Securities offered and sold pursuant to Rule 144A will be fungible with the outstanding Initial Notes that are evidenced by Rule 144A Global Notes and shall be issued with same Rule 144A CUSIP number (053773 BH9) and ISIN (US053773BH95). Additional Securities offered and sold pursuant to Regulation S will not be fungible with the outstanding Initial Notes that are evidenced by a Regulation S Global Note until at least 40 days following the issue date of the Additional Securities and during such period, the Additional Securities shall be evidenced by a Regulation S Temporary Global Note with the temporary CUSIP number (U05375 AY3) and temporary ISIN (USU05375AY33).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Aggregate Principal Amount</w:t>
      </w:r>
      <w:r>
        <w:rPr>
          <w:rFonts w:ascii="Times New Roman" w:hAnsi="Times New Roman"/>
          <w:sz w:val="20"/>
        </w:rPr>
        <w:t xml:space="preserve">. The aggregate principal amount of the Additional Securities that may be authenticated and delivered pursuant to this Supplemental Indenture shall be $300,000,000.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Governing Law</w:t>
      </w:r>
      <w:r>
        <w:rPr>
          <w:rFonts w:ascii="Times New Roman" w:hAnsi="Times New Roman"/>
          <w:sz w:val="20"/>
        </w:rPr>
        <w:t xml:space="preserve">. THIS SUPPLEMENTAL INDENTURE, THE ADDITIONAL SECURITIES AND THE GUARANTEES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Jurisdiction</w:t>
      </w:r>
      <w:r>
        <w:rPr>
          <w:rFonts w:ascii="Times New Roman" w:hAnsi="Times New Roman"/>
          <w:sz w:val="20"/>
        </w:rPr>
        <w:t xml:space="preserve">. The Issuers and the Guarantors agree that any suit, action or proceeding against the Issuers or any Guarantor brought by any Holder or the Trustee arising out of or based upon this Supplemental Indenture, the Guarantees or the Additional Securities may be instituted in any state or Federal court in the Borough of Manhattan, New York, New York, and any appellate court from any thereof, and each of them irrevocably submits to the non-exclusive jurisdiction of such courts in any suit, action or proceeding. The Issuers and the Guarantors irrevocably waive, to the fullest extent permitted by law, any objection to any suit, action, or proceeding that may be brought in connection with this Supplemental Indenture, the Guarantees or the Additional Securities,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Issuers and the Guarantors agree that final judgment in any such suit, action or proceeding brought in such court shall be conclusive and binding upon the Issuers or the Guarantors, as the case may be, and may be enforced in any court to the jurisdiction of which the Issuers or the Guarantors, as the case may be, are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Waivers of Jury Trial</w:t>
      </w:r>
      <w:r>
        <w:rPr>
          <w:rFonts w:ascii="Times New Roman" w:hAnsi="Times New Roman"/>
          <w:sz w:val="20"/>
        </w:rPr>
        <w:t xml:space="preserve">. THE ISSUERS, THE GUARANTORS AND THE TRUSTEE HEREBY IRREVOCABLY AND UNCONDITIONALLY WAIVE, TO THE FULLEST EXTENT PERMITTED BY APPLICABLE LAW, ANY AND ALL RIGHT TO TRIAL BY JURY IN ANY LEGAL ACTION OR PROCEEDING ARISING OUT OF OR RELATING TO THIS SUPPLEMENTAL INDENTURE, THE GUARANTEES OR THE ADDITIONAL SECURITIES AND FOR ANY COUNTERCLAIM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Ratification of Indenture; Supplemental Indentures Part of Indenture</w:t>
      </w:r>
      <w:r>
        <w:rPr>
          <w:rFonts w:ascii="Times New Roman" w:hAnsi="Times New Roman"/>
          <w:sz w:val="20"/>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Additional Securities heretofore or hereafter authenticated and delivered shall be bound hereby. The Trustee makes no representation or warranty as to the validity or sufficiency of this Supplemental Indenture or as to the accuracy of the recitals to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Counterparts; Facsimile or Electronic Signatures</w:t>
      </w:r>
      <w:r>
        <w:rPr>
          <w:rFonts w:ascii="Times New Roman" w:hAnsi="Times New Roman"/>
          <w:sz w:val="20"/>
        </w:rPr>
        <w:t xml:space="preserve">. The parties may sign any number of copies of this Supplemental Indenture. Each signed counterpart shall be deemed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Facsimile, documents executed, scanned and transmitted electronically and electronic signatures, including those created or transmitted through a software platform or application, shall be deemed original signatures for purposes of this Supplemental Indenture and all matters and agreements related thereto, with such facsimile, scanned and electronic signatures having the same legal effect as original signatures. The parties agree that this Supplemental Indenture or any instrument, agreement or document necessary for the consummation of the transactions contemplated by this Supplemental Indenture or related hereto or thereto (including, without limitation, the Additional Securities,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(it being understood that Section 2.2 of the Indenture shall be deemed amended solely with respect to the Additional Securities to the extent necessary to permit the execution and authentication of the Additional Securities by such facsimile, scanned or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Headings</w:t>
      </w:r>
      <w:r>
        <w:rPr>
          <w:rFonts w:ascii="Times New Roman" w:hAnsi="Times New Roman"/>
          <w:sz w:val="20"/>
        </w:rPr>
        <w:t xml:space="preserve">. The Section headings herein are for convenience only and shall not be deemed to alter or affect the meaning or interpretation of any provisions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and attested, all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THE ISSUERS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AVIS BUDGET CAR RENTAL, LLC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David T. Calabria</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David T. Calabria</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 Senior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AVIS BUDGET FINANCE,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David T. Calabria</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David T. Calabria</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First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THE GUARANTORS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AB CAR RENTAL SERVICES, INC.</w:t>
            </w:r>
          </w:p>
          <w:p>
            <w:pPr>
              <w:pStyle w:val="TableContents"/>
              <w:bidi w:val="0"/>
              <w:spacing w:before="0" w:after="0"/>
              <w:jc w:val="left"/>
              <w:rPr>
                <w:rFonts w:ascii="Times New Roman" w:hAnsi="Times New Roman"/>
                <w:sz w:val="20"/>
              </w:rPr>
            </w:pPr>
            <w:r>
              <w:rPr>
                <w:rFonts w:ascii="Times New Roman" w:hAnsi="Times New Roman"/>
                <w:sz w:val="20"/>
              </w:rPr>
              <w:t>AVIS BUDGET HOLDINGS, LLC</w:t>
            </w:r>
          </w:p>
          <w:p>
            <w:pPr>
              <w:pStyle w:val="TableContents"/>
              <w:bidi w:val="0"/>
              <w:spacing w:before="0" w:after="0"/>
              <w:jc w:val="left"/>
              <w:rPr>
                <w:rFonts w:ascii="Times New Roman" w:hAnsi="Times New Roman"/>
                <w:sz w:val="20"/>
              </w:rPr>
            </w:pPr>
            <w:r>
              <w:rPr>
                <w:rFonts w:ascii="Times New Roman" w:hAnsi="Times New Roman"/>
                <w:sz w:val="20"/>
              </w:rPr>
              <w:t>AVIS CAR RENTAL GROUP, LLC</w:t>
            </w:r>
          </w:p>
          <w:p>
            <w:pPr>
              <w:pStyle w:val="TableContents"/>
              <w:bidi w:val="0"/>
              <w:spacing w:before="0" w:after="0"/>
              <w:jc w:val="left"/>
              <w:rPr>
                <w:rFonts w:ascii="Times New Roman" w:hAnsi="Times New Roman"/>
                <w:sz w:val="20"/>
              </w:rPr>
            </w:pPr>
            <w:r>
              <w:rPr>
                <w:rFonts w:ascii="Times New Roman" w:hAnsi="Times New Roman"/>
                <w:sz w:val="20"/>
              </w:rPr>
              <w:t>AVIS CARIBBEAN, LIMITED</w:t>
            </w:r>
          </w:p>
          <w:p>
            <w:pPr>
              <w:pStyle w:val="TableContents"/>
              <w:bidi w:val="0"/>
              <w:spacing w:before="0" w:after="0"/>
              <w:jc w:val="left"/>
              <w:rPr>
                <w:rFonts w:ascii="Times New Roman" w:hAnsi="Times New Roman"/>
                <w:sz w:val="20"/>
              </w:rPr>
            </w:pPr>
            <w:r>
              <w:rPr>
                <w:rFonts w:ascii="Times New Roman" w:hAnsi="Times New Roman"/>
                <w:sz w:val="20"/>
              </w:rPr>
              <w:t>AVIS GROUP HOLDINGS, LLC</w:t>
            </w:r>
          </w:p>
          <w:p>
            <w:pPr>
              <w:pStyle w:val="TableContents"/>
              <w:bidi w:val="0"/>
              <w:spacing w:before="0" w:after="0"/>
              <w:jc w:val="left"/>
              <w:rPr>
                <w:rFonts w:ascii="Times New Roman" w:hAnsi="Times New Roman"/>
                <w:sz w:val="20"/>
              </w:rPr>
            </w:pPr>
            <w:r>
              <w:rPr>
                <w:rFonts w:ascii="Times New Roman" w:hAnsi="Times New Roman"/>
                <w:sz w:val="20"/>
              </w:rPr>
              <w:t>AVIS INTERNATIONAL, LTD.</w:t>
            </w:r>
          </w:p>
          <w:p>
            <w:pPr>
              <w:pStyle w:val="TableContents"/>
              <w:bidi w:val="0"/>
              <w:spacing w:before="0" w:after="0"/>
              <w:jc w:val="left"/>
              <w:rPr>
                <w:rFonts w:ascii="Times New Roman" w:hAnsi="Times New Roman"/>
                <w:sz w:val="20"/>
              </w:rPr>
            </w:pPr>
            <w:r>
              <w:rPr>
                <w:rFonts w:ascii="Times New Roman" w:hAnsi="Times New Roman"/>
                <w:sz w:val="20"/>
              </w:rPr>
              <w:t>BUDGET RENT A CAR SYSTEM, INC.</w:t>
            </w:r>
          </w:p>
          <w:p>
            <w:pPr>
              <w:pStyle w:val="TableContents"/>
              <w:bidi w:val="0"/>
              <w:spacing w:before="0" w:after="0"/>
              <w:jc w:val="left"/>
              <w:rPr>
                <w:rFonts w:ascii="Times New Roman" w:hAnsi="Times New Roman"/>
                <w:sz w:val="20"/>
              </w:rPr>
            </w:pPr>
            <w:r>
              <w:rPr>
                <w:rFonts w:ascii="Times New Roman" w:hAnsi="Times New Roman"/>
                <w:sz w:val="20"/>
              </w:rPr>
              <w:t>PR HOLDCO, INC.</w:t>
            </w:r>
          </w:p>
          <w:p>
            <w:pPr>
              <w:pStyle w:val="TableContents"/>
              <w:bidi w:val="0"/>
              <w:spacing w:before="0" w:after="0"/>
              <w:jc w:val="left"/>
              <w:rPr>
                <w:rFonts w:ascii="Times New Roman" w:hAnsi="Times New Roman"/>
                <w:sz w:val="20"/>
              </w:rPr>
            </w:pPr>
            <w:r>
              <w:rPr>
                <w:rFonts w:ascii="Times New Roman" w:hAnsi="Times New Roman"/>
                <w:sz w:val="20"/>
              </w:rPr>
              <w:t>WIZARD CO., INC.</w:t>
            </w:r>
          </w:p>
          <w:p>
            <w:pPr>
              <w:pStyle w:val="TableContents"/>
              <w:bidi w:val="0"/>
              <w:spacing w:before="0" w:after="20"/>
              <w:jc w:val="left"/>
              <w:rPr>
                <w:rFonts w:ascii="Times New Roman" w:hAnsi="Times New Roman"/>
                <w:sz w:val="20"/>
              </w:rPr>
            </w:pPr>
            <w:r>
              <w:rPr>
                <w:rFonts w:ascii="Times New Roman" w:hAnsi="Times New Roman"/>
                <w:sz w:val="20"/>
              </w:rPr>
              <w:t>WIZARD SERVICES,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David T. Calabria</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David T. Calabria</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AVIS RENT A CAR SYSTEM, LLC</w:t>
            </w:r>
          </w:p>
          <w:p>
            <w:pPr>
              <w:pStyle w:val="TableContents"/>
              <w:bidi w:val="0"/>
              <w:spacing w:before="0" w:after="0"/>
              <w:jc w:val="left"/>
              <w:rPr>
                <w:rFonts w:ascii="Times New Roman" w:hAnsi="Times New Roman"/>
                <w:sz w:val="20"/>
              </w:rPr>
            </w:pPr>
            <w:r>
              <w:rPr>
                <w:rFonts w:ascii="Times New Roman" w:hAnsi="Times New Roman"/>
                <w:sz w:val="20"/>
              </w:rPr>
              <w:t>BUDGET TRUCK RENTAL LLC</w:t>
            </w:r>
          </w:p>
          <w:p>
            <w:pPr>
              <w:pStyle w:val="TableContents"/>
              <w:bidi w:val="0"/>
              <w:spacing w:before="0" w:after="20"/>
              <w:jc w:val="left"/>
              <w:rPr>
                <w:rFonts w:ascii="Times New Roman" w:hAnsi="Times New Roman"/>
                <w:sz w:val="20"/>
              </w:rPr>
            </w:pPr>
            <w:r>
              <w:rPr>
                <w:rFonts w:ascii="Times New Roman" w:hAnsi="Times New Roman"/>
                <w:sz w:val="20"/>
              </w:rPr>
              <w:t>ZIPCAR,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David T. Calabria</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David Calabria</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 Senior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First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CITIBANK, N.A.,</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Peter Lopez</w:t>
            </w:r>
          </w:p>
        </w:tc>
      </w:tr>
      <w:tr>
        <w:trPr/>
        <w:tc>
          <w:tcPr>
            <w:tcW w:w="38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283"/>
              <w:jc w:val="left"/>
              <w:rPr/>
            </w:pPr>
            <w:r>
              <w:rPr/>
              <w:t>Name: Peter Lopez</w:t>
            </w:r>
          </w:p>
        </w:tc>
      </w:tr>
      <w:tr>
        <w:trPr/>
        <w:tc>
          <w:tcPr>
            <w:tcW w:w="38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283"/>
              <w:jc w:val="left"/>
              <w:rPr/>
            </w:pPr>
            <w:r>
              <w:rPr/>
              <w:t>Title:  Senior Trust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First Supplemental Indenture</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2929</Words>
  <Characters>15671</Characters>
  <CharactersWithSpaces>18594</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