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105410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9" w:lineRule="exact"/>
        <w:rPr>
          <w:sz w:val="24"/>
          <w:szCs w:val="24"/>
          <w:color w:val="auto"/>
        </w:rPr>
      </w:pPr>
    </w:p>
    <w:p>
      <w:pPr>
        <w:ind w:left="4100" w:right="2840" w:hanging="1145"/>
        <w:spacing w:after="0" w:line="277" w:lineRule="auto"/>
        <w:tabs>
          <w:tab w:leader="none" w:pos="315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2007</w:t>
      </w:r>
    </w:p>
    <w:p>
      <w:pPr>
        <w:spacing w:after="0" w:line="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100" w:right="2660" w:hanging="1325"/>
        <w:spacing w:after="0" w:line="277" w:lineRule="auto"/>
        <w:tabs>
          <w:tab w:leader="none" w:pos="297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w w:val="97"/>
              </w:rPr>
              <w:t>For the transition period from</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Pr>
          <w:p>
            <w:pPr>
              <w:spacing w:after="0"/>
              <w:rPr>
                <w:sz w:val="17"/>
                <w:szCs w:val="17"/>
                <w:color w:val="auto"/>
              </w:rPr>
            </w:pPr>
          </w:p>
        </w:tc>
      </w:tr>
      <w:tr>
        <w:trPr>
          <w:trHeight w:val="316"/>
        </w:trPr>
        <w:tc>
          <w:tcPr>
            <w:tcW w:w="4120" w:type="dxa"/>
            <w:vAlign w:val="bottom"/>
          </w:tcPr>
          <w:p>
            <w:pPr>
              <w:spacing w:after="0"/>
              <w:rPr>
                <w:sz w:val="24"/>
                <w:szCs w:val="24"/>
                <w:color w:val="auto"/>
              </w:rPr>
            </w:pPr>
          </w:p>
        </w:tc>
        <w:tc>
          <w:tcPr>
            <w:tcW w:w="5840" w:type="dxa"/>
            <w:vAlign w:val="bottom"/>
            <w:gridSpan w:val="7"/>
          </w:tcPr>
          <w:p>
            <w:pPr>
              <w:jc w:val="center"/>
              <w:ind w:right="2586"/>
              <w:spacing w:after="0"/>
              <w:rPr>
                <w:sz w:val="20"/>
                <w:szCs w:val="20"/>
                <w:color w:val="auto"/>
              </w:rPr>
            </w:pPr>
            <w:r>
              <w:rPr>
                <w:rFonts w:ascii="Times New Roman" w:cs="Times New Roman" w:eastAsia="Times New Roman" w:hAnsi="Times New Roman"/>
                <w:sz w:val="18"/>
                <w:szCs w:val="18"/>
                <w:b w:val="1"/>
                <w:bCs w:val="1"/>
                <w:color w:val="auto"/>
                <w:w w:val="97"/>
              </w:rPr>
              <w:t>COMMISSION FILE NO. 1-10308</w:t>
            </w:r>
          </w:p>
        </w:tc>
      </w:tr>
      <w:tr>
        <w:trPr>
          <w:trHeight w:val="164"/>
        </w:trPr>
        <w:tc>
          <w:tcPr>
            <w:tcW w:w="4120" w:type="dxa"/>
            <w:vAlign w:val="bottom"/>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spacing w:after="0"/>
              <w:rPr>
                <w:sz w:val="14"/>
                <w:szCs w:val="14"/>
                <w:color w:val="auto"/>
              </w:rPr>
            </w:pPr>
          </w:p>
        </w:tc>
        <w:tc>
          <w:tcPr>
            <w:tcW w:w="560" w:type="dxa"/>
            <w:vAlign w:val="bottom"/>
            <w:tcBorders>
              <w:bottom w:val="single" w:sz="8" w:color="auto"/>
            </w:tcBorders>
            <w:gridSpan w:val="2"/>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22"/>
        </w:trPr>
        <w:tc>
          <w:tcPr>
            <w:tcW w:w="9960" w:type="dxa"/>
            <w:vAlign w:val="bottom"/>
            <w:gridSpan w:val="8"/>
          </w:tcPr>
          <w:p>
            <w:pPr>
              <w:jc w:val="center"/>
              <w:ind w:left="1395"/>
              <w:spacing w:after="0"/>
              <w:rPr>
                <w:sz w:val="20"/>
                <w:szCs w:val="20"/>
                <w:color w:val="auto"/>
              </w:rPr>
            </w:pPr>
            <w:r>
              <w:rPr>
                <w:rFonts w:ascii="Times New Roman" w:cs="Times New Roman" w:eastAsia="Times New Roman" w:hAnsi="Times New Roman"/>
                <w:sz w:val="32"/>
                <w:szCs w:val="32"/>
                <w:b w:val="1"/>
                <w:bCs w:val="1"/>
                <w:color w:val="auto"/>
                <w:w w:val="99"/>
              </w:rPr>
              <w:t>AVIS BUDGET GROUP, INC.</w:t>
            </w:r>
          </w:p>
        </w:tc>
      </w:tr>
      <w:tr>
        <w:trPr>
          <w:trHeight w:val="178"/>
        </w:trPr>
        <w:tc>
          <w:tcPr>
            <w:tcW w:w="4120" w:type="dxa"/>
            <w:vAlign w:val="bottom"/>
          </w:tcPr>
          <w:p>
            <w:pPr>
              <w:spacing w:after="0"/>
              <w:rPr>
                <w:sz w:val="15"/>
                <w:szCs w:val="15"/>
                <w:color w:val="auto"/>
              </w:rPr>
            </w:pPr>
          </w:p>
        </w:tc>
        <w:tc>
          <w:tcPr>
            <w:tcW w:w="5840" w:type="dxa"/>
            <w:vAlign w:val="bottom"/>
            <w:gridSpan w:val="7"/>
          </w:tcPr>
          <w:p>
            <w:pPr>
              <w:jc w:val="center"/>
              <w:ind w:right="2586"/>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r>
      <w:tr>
        <w:trPr>
          <w:trHeight w:val="267"/>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2"/>
              </w:rPr>
              <w:t>DELAWARE</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80" w:type="dxa"/>
            <w:vAlign w:val="bottom"/>
            <w:gridSpan w:val="3"/>
          </w:tcPr>
          <w:p>
            <w:pPr>
              <w:jc w:val="right"/>
              <w:ind w:right="726"/>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178"/>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 or organization)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Number)</w:t>
            </w:r>
          </w:p>
        </w:tc>
      </w:tr>
      <w:tr>
        <w:trPr>
          <w:trHeight w:val="295"/>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2"/>
              </w:rPr>
              <w:t>6 SYLVAN WAY</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9"/>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4"/>
              </w:rPr>
              <w:t>PARSIPPANY, NJ</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gridSpan w:val="3"/>
          </w:tcPr>
          <w:p>
            <w:pPr>
              <w:jc w:val="right"/>
              <w:ind w:right="926"/>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178"/>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67"/>
        </w:trPr>
        <w:tc>
          <w:tcPr>
            <w:tcW w:w="6220" w:type="dxa"/>
            <w:vAlign w:val="bottom"/>
            <w:gridSpan w:val="2"/>
          </w:tcPr>
          <w:p>
            <w:pPr>
              <w:jc w:val="center"/>
              <w:ind w:left="5135"/>
              <w:spacing w:after="0"/>
              <w:rPr>
                <w:sz w:val="20"/>
                <w:szCs w:val="20"/>
                <w:color w:val="auto"/>
              </w:rPr>
            </w:pPr>
            <w:r>
              <w:rPr>
                <w:rFonts w:ascii="Times New Roman" w:cs="Times New Roman" w:eastAsia="Times New Roman" w:hAnsi="Times New Roman"/>
                <w:sz w:val="18"/>
                <w:szCs w:val="18"/>
                <w:b w:val="1"/>
                <w:bCs w:val="1"/>
                <w:color w:val="auto"/>
                <w:w w:val="98"/>
              </w:rPr>
              <w:t>973-496-4700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149"/>
        </w:trPr>
        <w:tc>
          <w:tcPr>
            <w:tcW w:w="4120" w:type="dxa"/>
            <w:vAlign w:val="bottom"/>
          </w:tcPr>
          <w:p>
            <w:pPr>
              <w:spacing w:after="0"/>
              <w:rPr>
                <w:sz w:val="12"/>
                <w:szCs w:val="12"/>
                <w:color w:val="auto"/>
              </w:rPr>
            </w:pPr>
          </w:p>
        </w:tc>
        <w:tc>
          <w:tcPr>
            <w:tcW w:w="5840" w:type="dxa"/>
            <w:vAlign w:val="bottom"/>
            <w:gridSpan w:val="7"/>
          </w:tcPr>
          <w:p>
            <w:pPr>
              <w:jc w:val="center"/>
              <w:ind w:right="2586"/>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r>
        <w:trPr>
          <w:trHeight w:val="230"/>
        </w:trPr>
        <w:tc>
          <w:tcPr>
            <w:tcW w:w="9960" w:type="dxa"/>
            <w:vAlign w:val="bottom"/>
            <w:gridSpan w:val="8"/>
          </w:tcPr>
          <w:p>
            <w:pPr>
              <w:jc w:val="center"/>
              <w:ind w:left="1375"/>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r>
      <w:tr>
        <w:trPr>
          <w:trHeight w:val="283"/>
        </w:trPr>
        <w:tc>
          <w:tcPr>
            <w:tcW w:w="4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w:t>
            </w:r>
          </w:p>
        </w:tc>
      </w:tr>
      <w:tr>
        <w:trPr>
          <w:trHeight w:val="216"/>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 WHICH REGISTERED</w:t>
            </w:r>
          </w:p>
        </w:tc>
      </w:tr>
      <w:tr>
        <w:trPr>
          <w:trHeight w:val="149"/>
        </w:trPr>
        <w:tc>
          <w:tcPr>
            <w:tcW w:w="6480" w:type="dxa"/>
            <w:vAlign w:val="bottom"/>
            <w:gridSpan w:val="3"/>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 Stock, Par Value $.01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New York Stock Exchange</w:t>
            </w:r>
          </w:p>
        </w:tc>
      </w:tr>
      <w:tr>
        <w:trPr>
          <w:trHeight w:val="178"/>
        </w:trPr>
        <w:tc>
          <w:tcPr>
            <w:tcW w:w="64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6"/>
              </w:rPr>
              <w:t>Preferred Stock Purchase Rights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New York Stock Exchange</w:t>
            </w:r>
          </w:p>
        </w:tc>
      </w:tr>
      <w:tr>
        <w:trPr>
          <w:trHeight w:val="282"/>
        </w:trPr>
        <w:tc>
          <w:tcPr>
            <w:tcW w:w="9960" w:type="dxa"/>
            <w:vAlign w:val="bottom"/>
            <w:gridSpan w:val="8"/>
          </w:tcPr>
          <w:p>
            <w:pPr>
              <w:jc w:val="center"/>
              <w:ind w:left="1375"/>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r>
      <w:tr>
        <w:trPr>
          <w:trHeight w:val="297"/>
        </w:trPr>
        <w:tc>
          <w:tcPr>
            <w:tcW w:w="4120" w:type="dxa"/>
            <w:vAlign w:val="bottom"/>
          </w:tcPr>
          <w:p>
            <w:pPr>
              <w:spacing w:after="0"/>
              <w:rPr>
                <w:sz w:val="24"/>
                <w:szCs w:val="24"/>
                <w:color w:val="auto"/>
              </w:rPr>
            </w:pPr>
          </w:p>
        </w:tc>
        <w:tc>
          <w:tcPr>
            <w:tcW w:w="2360" w:type="dxa"/>
            <w:vAlign w:val="bottom"/>
            <w:gridSpan w:val="2"/>
          </w:tcPr>
          <w:p>
            <w:pPr>
              <w:jc w:val="center"/>
              <w:ind w:left="742"/>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9"/>
        </w:trPr>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8"/>
              </w:rPr>
              <w:t>Indicate by check mark if the registrant is a well-known seasoned issuer, as defined in Rule 405 of the Securities Act.</w:t>
            </w:r>
          </w:p>
        </w:tc>
        <w:tc>
          <w:tcPr>
            <w:tcW w:w="50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30"/>
        </w:trPr>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6"/>
              </w:rPr>
              <w:t>Indicate by check mark if the registrant is not required to file reports pursuant to Section 13 or Section 15(d) of the Act.</w:t>
            </w:r>
          </w:p>
        </w:tc>
        <w:tc>
          <w:tcPr>
            <w:tcW w:w="50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4"/>
                <w:szCs w:val="14"/>
                <w:color w:val="auto"/>
                <w:w w:val="91"/>
              </w:rPr>
              <w:t xml:space="preserve">Yes </w:t>
            </w:r>
            <w:r>
              <w:rPr>
                <w:rFonts w:ascii="MS PGothic" w:cs="MS PGothic" w:eastAsia="MS PGothic" w:hAnsi="MS PGothic"/>
                <w:sz w:val="14"/>
                <w:szCs w:val="14"/>
                <w:color w:val="auto"/>
                <w:w w:val="91"/>
              </w:rPr>
              <w:t>☐</w:t>
            </w:r>
          </w:p>
        </w:tc>
        <w:tc>
          <w:tcPr>
            <w:tcW w:w="2980" w:type="dxa"/>
            <w:vAlign w:val="bottom"/>
            <w:gridSpan w:val="3"/>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54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1" w:lineRule="exact"/>
        <w:rPr>
          <w:sz w:val="24"/>
          <w:szCs w:val="24"/>
          <w:color w:val="auto"/>
        </w:rPr>
      </w:pPr>
    </w:p>
    <w:p>
      <w:pPr>
        <w:ind w:right="38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20"/>
          </w:cols>
          <w:pgMar w:left="240" w:top="226" w:right="339" w:bottom="1440" w:gutter="0" w:footer="0" w:header="0"/>
        </w:sectPr>
      </w:pP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6">
            <w:col w:w="1220" w:space="60"/>
            <w:col w:w="2020" w:space="720"/>
            <w:col w:w="900" w:space="80"/>
            <w:col w:w="2060" w:space="720"/>
            <w:col w:w="1140" w:space="60"/>
            <w:col w:w="2340"/>
          </w:cols>
          <w:pgMar w:left="240" w:top="226" w:right="33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2" w:lineRule="exact"/>
        <w:rPr>
          <w:sz w:val="24"/>
          <w:szCs w:val="24"/>
          <w:color w:val="auto"/>
        </w:rPr>
      </w:pPr>
    </w:p>
    <w:p>
      <w:pPr>
        <w:sectPr>
          <w:pgSz w:w="11900" w:h="16838" w:orient="portrait"/>
          <w:cols w:equalWidth="0" w:num="5">
            <w:col w:w="5560" w:space="140"/>
            <w:col w:w="200" w:space="60"/>
            <w:col w:w="120" w:space="140"/>
            <w:col w:w="160" w:space="80"/>
            <w:col w:w="4860"/>
          </w:cols>
          <w:pgMar w:left="240" w:top="226" w:right="339" w:bottom="1440" w:gutter="0" w:footer="0" w:header="0"/>
          <w:type w:val="continuous"/>
        </w:sectPr>
      </w:pPr>
    </w:p>
    <w:p>
      <w:pPr>
        <w:ind w:right="32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on June 29, 2007 was $2,942,661,819. All executive officers and directors of the registrant have been deemed, solely for the purpose of the foregoing calculation, to be “affiliates” of the registrant.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was 103,586,476 as of January 31, 2008.</w:t>
      </w:r>
    </w:p>
    <w:p>
      <w:pPr>
        <w:spacing w:after="0" w:line="6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4"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mailed to stockholders in connection with our annual stockholders’ meeting scheduled to be held on June 5, 2008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60" w:type="dxa"/>
            <w:vAlign w:val="bottom"/>
            <w:gridSpan w:val="4"/>
          </w:tcPr>
          <w:p>
            <w:pPr>
              <w:ind w:left="1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4360" w:type="dxa"/>
            <w:vAlign w:val="bottom"/>
            <w:gridSpan w:val="8"/>
            <w:vMerge w:val="restart"/>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PART I</w:t>
              </w:r>
            </w:hyperlink>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71"/>
        </w:trPr>
        <w:tc>
          <w:tcPr>
            <w:tcW w:w="380" w:type="dxa"/>
            <w:vAlign w:val="bottom"/>
            <w:tcBorders>
              <w:top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gridSpan w:val="8"/>
            <w:vMerge w:val="continue"/>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6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w:anchor="page5">
              <w:r>
                <w:rPr>
                  <w:rFonts w:ascii="Times New Roman" w:cs="Times New Roman" w:eastAsia="Times New Roman" w:hAnsi="Times New Roman"/>
                  <w:sz w:val="18"/>
                  <w:szCs w:val="18"/>
                  <w:color w:val="0000EE"/>
                  <w:w w:val="93"/>
                </w:rPr>
                <w:t>Business</w:t>
              </w:r>
            </w:hyperlink>
          </w:p>
        </w:tc>
        <w:tc>
          <w:tcPr>
            <w:tcW w:w="9220" w:type="dxa"/>
            <w:vAlign w:val="bottom"/>
            <w:gridSpan w:val="8"/>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21">
              <w:r>
                <w:rPr>
                  <w:rFonts w:ascii="Times New Roman" w:cs="Times New Roman" w:eastAsia="Times New Roman" w:hAnsi="Times New Roman"/>
                  <w:sz w:val="18"/>
                  <w:szCs w:val="18"/>
                  <w:color w:val="0000EE"/>
                  <w:w w:val="94"/>
                </w:rPr>
                <w:t>Risk Factors</w:t>
              </w:r>
            </w:hyperlink>
          </w:p>
        </w:tc>
        <w:tc>
          <w:tcPr>
            <w:tcW w:w="8960" w:type="dxa"/>
            <w:vAlign w:val="bottom"/>
            <w:gridSpan w:val="6"/>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9840" w:type="dxa"/>
            <w:vAlign w:val="bottom"/>
            <w:gridSpan w:val="10"/>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Unresolved Staff Comments</w:t>
              </w:r>
            </w:hyperlink>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Properties</w:t>
              </w:r>
            </w:hyperlink>
          </w:p>
        </w:tc>
        <w:tc>
          <w:tcPr>
            <w:tcW w:w="7860" w:type="dxa"/>
            <w:vAlign w:val="bottom"/>
            <w:gridSpan w:val="4"/>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Legal Proceedings</w:t>
              </w:r>
            </w:hyperlink>
          </w:p>
        </w:tc>
        <w:tc>
          <w:tcPr>
            <w:tcW w:w="8540" w:type="dxa"/>
            <w:vAlign w:val="bottom"/>
            <w:gridSpan w:val="5"/>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6"/>
        </w:trPr>
        <w:tc>
          <w:tcPr>
            <w:tcW w:w="12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9840" w:type="dxa"/>
            <w:vAlign w:val="bottom"/>
            <w:gridSpan w:val="1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Submission of Matters to a Vote of Security Holders</w:t>
              </w:r>
            </w:hyperlink>
          </w:p>
        </w:tc>
        <w:tc>
          <w:tcPr>
            <w:tcW w:w="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900" w:type="dxa"/>
            <w:vAlign w:val="bottom"/>
            <w:gridSpan w:val="10"/>
          </w:tcPr>
          <w:p>
            <w:pPr>
              <w:spacing w:after="0"/>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PART II</w:t>
              </w:r>
            </w:hyperlink>
          </w:p>
        </w:tc>
        <w:tc>
          <w:tcPr>
            <w:tcW w:w="12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8900" w:type="dxa"/>
            <w:vAlign w:val="bottom"/>
            <w:gridSpan w:val="10"/>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39">
              <w:r>
                <w:rPr>
                  <w:rFonts w:ascii="Times New Roman" w:cs="Times New Roman" w:eastAsia="Times New Roman" w:hAnsi="Times New Roman"/>
                  <w:sz w:val="18"/>
                  <w:szCs w:val="18"/>
                  <w:color w:val="0000EE"/>
                  <w:w w:val="95"/>
                </w:rPr>
                <w:t>Selected Financial Data</w:t>
              </w:r>
            </w:hyperlink>
          </w:p>
        </w:tc>
        <w:tc>
          <w:tcPr>
            <w:tcW w:w="620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8900" w:type="dxa"/>
            <w:vAlign w:val="bottom"/>
            <w:gridSpan w:val="10"/>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42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58">
              <w:r>
                <w:rPr>
                  <w:rFonts w:ascii="Times New Roman" w:cs="Times New Roman" w:eastAsia="Times New Roman" w:hAnsi="Times New Roman"/>
                  <w:sz w:val="18"/>
                  <w:szCs w:val="18"/>
                  <w:color w:val="0000EE"/>
                  <w:w w:val="96"/>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262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59">
              <w:r>
                <w:rPr>
                  <w:rFonts w:ascii="Times New Roman" w:cs="Times New Roman" w:eastAsia="Times New Roman" w:hAnsi="Times New Roman"/>
                  <w:sz w:val="18"/>
                  <w:szCs w:val="18"/>
                  <w:color w:val="0000EE"/>
                  <w:w w:val="96"/>
                </w:rPr>
                <w:t>Financial Statements and Supplementary Data</w:t>
              </w:r>
            </w:hyperlink>
          </w:p>
        </w:tc>
        <w:tc>
          <w:tcPr>
            <w:tcW w:w="5660" w:type="dxa"/>
            <w:vAlign w:val="bottom"/>
            <w:gridSpan w:val="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8900" w:type="dxa"/>
            <w:vAlign w:val="bottom"/>
            <w:gridSpan w:val="10"/>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17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59">
              <w:r>
                <w:rPr>
                  <w:rFonts w:ascii="Times New Roman" w:cs="Times New Roman" w:eastAsia="Times New Roman" w:hAnsi="Times New Roman"/>
                  <w:sz w:val="18"/>
                  <w:szCs w:val="18"/>
                  <w:color w:val="0000EE"/>
                  <w:w w:val="96"/>
                </w:rPr>
                <w:t>Controls and Procedures</w:t>
              </w:r>
            </w:hyperlink>
          </w:p>
        </w:tc>
        <w:tc>
          <w:tcPr>
            <w:tcW w:w="458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61">
              <w:r>
                <w:rPr>
                  <w:rFonts w:ascii="Times New Roman" w:cs="Times New Roman" w:eastAsia="Times New Roman" w:hAnsi="Times New Roman"/>
                  <w:sz w:val="18"/>
                  <w:szCs w:val="18"/>
                  <w:color w:val="0000EE"/>
                  <w:w w:val="95"/>
                </w:rPr>
                <w:t>Other Information</w:t>
              </w:r>
            </w:hyperlink>
          </w:p>
        </w:tc>
        <w:tc>
          <w:tcPr>
            <w:tcW w:w="7620" w:type="dxa"/>
            <w:vAlign w:val="bottom"/>
            <w:gridSpan w:val="8"/>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70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1"/>
              </w:rPr>
            </w:pPr>
            <w:hyperlink w:anchor="page61">
              <w:r>
                <w:rPr>
                  <w:rFonts w:ascii="Times New Roman" w:cs="Times New Roman" w:eastAsia="Times New Roman" w:hAnsi="Times New Roman"/>
                  <w:sz w:val="18"/>
                  <w:szCs w:val="18"/>
                  <w:b w:val="1"/>
                  <w:bCs w:val="1"/>
                  <w:color w:val="0000EE"/>
                  <w:w w:val="91"/>
                </w:rPr>
                <w:t>PART III</w:t>
              </w:r>
            </w:hyperlink>
          </w:p>
        </w:tc>
        <w:tc>
          <w:tcPr>
            <w:tcW w:w="7820" w:type="dxa"/>
            <w:vAlign w:val="bottom"/>
            <w:gridSpan w:val="6"/>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10</w:t>
            </w:r>
          </w:p>
        </w:tc>
        <w:tc>
          <w:tcPr>
            <w:tcW w:w="8520" w:type="dxa"/>
            <w:vAlign w:val="bottom"/>
            <w:gridSpan w:val="7"/>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Directors, Executive Officers and Corporate Governance</w:t>
              </w:r>
            </w:hyperlink>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1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Executive Compensation</w:t>
              </w:r>
            </w:hyperlink>
          </w:p>
        </w:tc>
        <w:tc>
          <w:tcPr>
            <w:tcW w:w="2220" w:type="dxa"/>
            <w:vAlign w:val="bottom"/>
            <w:tcBorders>
              <w:top w:val="single" w:sz="8" w:color="0000EE"/>
            </w:tcBorders>
            <w:gridSpan w:val="2"/>
          </w:tcPr>
          <w:p>
            <w:pPr>
              <w:spacing w:after="0"/>
              <w:rPr>
                <w:sz w:val="17"/>
                <w:szCs w:val="17"/>
                <w:color w:val="auto"/>
              </w:rPr>
            </w:pPr>
          </w:p>
        </w:tc>
        <w:tc>
          <w:tcPr>
            <w:tcW w:w="454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12</w:t>
            </w:r>
          </w:p>
        </w:tc>
        <w:tc>
          <w:tcPr>
            <w:tcW w:w="8520" w:type="dxa"/>
            <w:vAlign w:val="bottom"/>
            <w:gridSpan w:val="7"/>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13</w:t>
            </w:r>
          </w:p>
        </w:tc>
        <w:tc>
          <w:tcPr>
            <w:tcW w:w="71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Certain Relationships and Related Transactions, and Director Independence</w:t>
              </w:r>
            </w:hyperlink>
          </w:p>
        </w:tc>
        <w:tc>
          <w:tcPr>
            <w:tcW w:w="142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14</w:t>
            </w:r>
          </w:p>
        </w:tc>
        <w:tc>
          <w:tcPr>
            <w:tcW w:w="27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Principal Accountant Fees and Services</w:t>
              </w:r>
            </w:hyperlink>
          </w:p>
        </w:tc>
        <w:tc>
          <w:tcPr>
            <w:tcW w:w="2520" w:type="dxa"/>
            <w:vAlign w:val="bottom"/>
            <w:tcBorders>
              <w:top w:val="single" w:sz="8" w:color="0000EE"/>
            </w:tcBorders>
            <w:gridSpan w:val="2"/>
          </w:tcPr>
          <w:p>
            <w:pPr>
              <w:spacing w:after="0"/>
              <w:rPr>
                <w:sz w:val="17"/>
                <w:szCs w:val="17"/>
                <w:color w:val="auto"/>
              </w:rPr>
            </w:pPr>
          </w:p>
        </w:tc>
        <w:tc>
          <w:tcPr>
            <w:tcW w:w="322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bl>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6500" w:type="dxa"/>
            <w:vAlign w:val="bottom"/>
            <w:gridSpan w:val="4"/>
          </w:tcPr>
          <w:p>
            <w:pPr>
              <w:spacing w:after="0"/>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PART IV</w:t>
              </w:r>
            </w:hyperlink>
          </w:p>
        </w:tc>
        <w:tc>
          <w:tcPr>
            <w:tcW w:w="36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196"/>
        </w:trPr>
        <w:tc>
          <w:tcPr>
            <w:tcW w:w="800" w:type="dxa"/>
            <w:vAlign w:val="bottom"/>
          </w:tcPr>
          <w:p>
            <w:pPr>
              <w:jc w:val="right"/>
              <w:ind w:right="532"/>
              <w:spacing w:after="0" w:line="196" w:lineRule="exact"/>
              <w:rPr>
                <w:sz w:val="20"/>
                <w:szCs w:val="20"/>
                <w:color w:val="auto"/>
              </w:rPr>
            </w:pPr>
            <w:r>
              <w:rPr>
                <w:rFonts w:ascii="Times New Roman" w:cs="Times New Roman" w:eastAsia="Times New Roman" w:hAnsi="Times New Roman"/>
                <w:sz w:val="18"/>
                <w:szCs w:val="18"/>
                <w:color w:val="auto"/>
                <w:w w:val="88"/>
              </w:rPr>
              <w:t>15</w:t>
            </w:r>
          </w:p>
        </w:tc>
        <w:tc>
          <w:tcPr>
            <w:tcW w:w="3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1">
              <w:r>
                <w:rPr>
                  <w:rFonts w:ascii="Times New Roman" w:cs="Times New Roman" w:eastAsia="Times New Roman" w:hAnsi="Times New Roman"/>
                  <w:sz w:val="18"/>
                  <w:szCs w:val="18"/>
                  <w:color w:val="0000EE"/>
                  <w:w w:val="96"/>
                </w:rPr>
                <w:t>Exhibits and Financial Statement Schedules</w:t>
              </w:r>
            </w:hyperlink>
          </w:p>
        </w:tc>
        <w:tc>
          <w:tcPr>
            <w:tcW w:w="3420" w:type="dxa"/>
            <w:vAlign w:val="bottom"/>
          </w:tcPr>
          <w:p>
            <w:pPr>
              <w:spacing w:after="0"/>
              <w:rPr>
                <w:sz w:val="17"/>
                <w:szCs w:val="17"/>
                <w:color w:val="auto"/>
              </w:rPr>
            </w:pPr>
          </w:p>
        </w:tc>
        <w:tc>
          <w:tcPr>
            <w:tcW w:w="3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8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62">
              <w:r>
                <w:rPr>
                  <w:rFonts w:ascii="Times New Roman" w:cs="Times New Roman" w:eastAsia="Times New Roman" w:hAnsi="Times New Roman"/>
                  <w:sz w:val="18"/>
                  <w:szCs w:val="18"/>
                  <w:color w:val="0000EE"/>
                  <w:w w:val="94"/>
                </w:rPr>
                <w:t>Signatures</w:t>
              </w:r>
            </w:hyperlink>
          </w:p>
        </w:tc>
        <w:tc>
          <w:tcPr>
            <w:tcW w:w="5760" w:type="dxa"/>
            <w:vAlign w:val="bottom"/>
            <w:gridSpan w:val="2"/>
          </w:tcPr>
          <w:p>
            <w:pPr>
              <w:spacing w:after="0"/>
              <w:rPr>
                <w:sz w:val="17"/>
                <w:szCs w:val="17"/>
                <w:color w:val="auto"/>
              </w:rPr>
            </w:pPr>
          </w:p>
        </w:tc>
        <w:tc>
          <w:tcPr>
            <w:tcW w:w="3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herein are subject to known and unknown risks, uncertainties and other factors which may cause our actual results, performance or achievements to be materially different from any future results, performance or achievements expressed or implied by such forward-looking statements. These forward-looking statements are based on various facts and were derived utilizing numerous important assumptions and other important factors that could cause actual results to differ materially from those in the forward-looking statements. Forward-looking statements include the information concerning our future financial performance, business strategy, projected plans and objectives.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and assumptions could affect our future results and could cause actual results to differ materially from those expressed in such forward-looking statements:</w:t>
      </w:r>
    </w:p>
    <w:p>
      <w:pPr>
        <w:spacing w:after="0" w:line="184"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level of competition in the vehicle rental industry and the impact such competition may have on pricing and rental volume;</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new vehicles;</w:t>
      </w:r>
    </w:p>
    <w:p>
      <w:pPr>
        <w:spacing w:after="0" w:line="211"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ability to acquire or dispose of cars generally through repurchase or guaranteed depreciation programs or manufacturers’ changes to such programs;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results of operations or financial condition of the manufacturers of our cars;</w:t>
      </w:r>
    </w:p>
    <w:p>
      <w:pPr>
        <w:spacing w:after="0" w:line="211"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costs associated with our fleet based on our number of “risk” vehicles, including as a result of changes in the prices at which we dispose of risk vehicles in the used car market;</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airline passenger traffic in the United States or in the other international locations in which we operate;</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occurrence or threat of terrorism, pandemic disease, natural disasters or military conflict in the locations in which we operate;</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a decline in the housing market;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distribution channels;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or decline in rental activity, particularly during our peak season or in key market segments;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interest rates or in borrowing costs or a fluctuation in interest rates, which can impact the valuation of our derivatives;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for growth;</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our future results;</w:t>
      </w:r>
    </w:p>
    <w:p>
      <w:pPr>
        <w:spacing w:after="0" w:line="211"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operations upon the acquisition of other businesses, potentially including exercise of our option to purchase a majority interest in Carey Holdings, Inc., the parent company of Carey International, Inc.;</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our communication or centralized information networks;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uninsured claims in excess of historic levels;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comply with regulations or any changes in regulations;</w:t>
      </w:r>
    </w:p>
    <w:p>
      <w:pPr>
        <w:sectPr>
          <w:pgSz w:w="11900" w:h="16838" w:orient="portrait"/>
          <w:cols w:equalWidth="0" w:num="1">
            <w:col w:w="11340"/>
          </w:cols>
          <w:pgMar w:left="240" w:top="455" w:right="3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us from the actions of our licensees, dealers and independent contractors;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increases in fuel costs or decreases in fuel supply;</w:t>
      </w:r>
    </w:p>
    <w:p>
      <w:pPr>
        <w:spacing w:after="0" w:line="211"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ability to obtain financing for our operations, including the funding of our vehicle fleet via the asset-backed securities and lending market;</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economic, competitive, governmental, regulatory, political or technological factors affecting our operations, pricing or services;</w:t>
      </w:r>
    </w:p>
    <w:p>
      <w:pPr>
        <w:spacing w:after="0" w:line="211"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including our substantial amount of debt, our ability to incur substantially more debt, the restrictive covenants in agreements and instruments governing our debt and the amount of cash required to service all of our indebtedness; and</w:t>
      </w:r>
    </w:p>
    <w:p>
      <w:pPr>
        <w:spacing w:after="0" w:line="160" w:lineRule="exact"/>
        <w:rPr>
          <w:rFonts w:ascii="Times New Roman" w:cs="Times New Roman" w:eastAsia="Times New Roman" w:hAnsi="Times New Roman"/>
          <w:sz w:val="18"/>
          <w:szCs w:val="18"/>
          <w:color w:val="auto"/>
        </w:rPr>
      </w:pPr>
    </w:p>
    <w:p>
      <w:pPr>
        <w:ind w:left="780" w:hanging="326"/>
        <w:spacing w:after="0" w:line="301" w:lineRule="auto"/>
        <w:tabs>
          <w:tab w:leader="none" w:pos="7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agreements among us and the former real estate, hospitality and travel distribution businesses following the separation of those businesses from us during third quarter 2006, when we were known as Cendant Corporation, particularly with respect to the allocation of assets and liabilities, including contingent liabilities and guarantees, commercial arrangements, the performance of each of the separated companies’ obligations under these agreements, and the former real estate business’ right to control the process for resolving disputes related to contingent liabilities and assets.</w:t>
      </w:r>
    </w:p>
    <w:p>
      <w:pPr>
        <w:spacing w:after="0" w:line="1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Other factors and assumptions not identified above, including those described under “Risk Factors” set forth in Item 1A herein, were also involved in the derivation of these forward-looking statements, and the failure of such other assumptions to be realized, as well as other factors, may also cause actual results to differ materially from those projected. Most of these factors are difficult to predict accurately and are generally beyond our control.</w:t>
      </w:r>
    </w:p>
    <w:p>
      <w:pPr>
        <w:spacing w:after="0" w:line="13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You should consider the areas of risk described above, as well as those described under “Risk Factors” set forth in Item 1A herein, in connection with any forward-looking statements that may be made by us and our businesses generally. Except for our ongoing obligations to disclose material information under the federal securities laws, we undertake no obligation to release any revisions to any forward-looking statements, to report events or to report the occurrence of unanticipated events unless required by law. For any forward-looking statements contained in any document, we claim the protection of the safe harbor for forward-looking statements contained in the Private Securities Litigation Reform Act of 1995.</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Except as expressly indicated or unless the context otherwise requires, the “Company”, “Avis Budget”, “we”, “our” or “us” means Avis Budget Group, Inc., a Delaware corporation, and its subsidiaries and “Avis Budget Car Rental” or “ABCR” means Avis Budget Car Rental, LLC, a Delaware limited liability company and its subsidiaries, the companies that comprise our vehicle rental operations. “Avis” and “Budget” refer to our Avis and Budget operations, respectively, and do not include the operations of Avis Europe and its affiliates, as further discussed below.</w:t>
      </w:r>
    </w:p>
    <w:p>
      <w:pPr>
        <w:spacing w:after="0" w:line="135"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We operate two of the most recognized brands in the global vehicle rental industry through Avis and Budget. Avis is a leading rental car supplier to the premium commercial and leisure segments of the travel industry and Budget is a leading rental car supplier to the price-conscious segments of the industry. We believe we are the largest general-use vehicle rental operator in each of North America, Australia, New Zealand and certain other regions we serve, based on published airport statistics. We maintain the leading share of airport car rental revenue and operate one of the leading consumer truck rental businesses in the United States.</w:t>
      </w:r>
    </w:p>
    <w:p>
      <w:pPr>
        <w:spacing w:after="0" w:line="1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car rental operations generate significant benefits from operating two distinctive brands that target different industry segments but share the same fleet, maintenance facilities, systems, technology and administrative infrastructure. We believe that Avis and Budget both enjoy complementary demand patterns with mid-week commercial demand balanced by weekend leisure demand. For 2007, our vehicle rental operations generated revenues of $5,968 million. The Avis, Budget and Budget Truck brands accounted for approximately 63%, 30% and 7% of our vehicle rental revenue, respectively, in 2007.</w:t>
      </w:r>
    </w:p>
    <w:p>
      <w:pPr>
        <w:spacing w:after="0" w:line="13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Our operations have an extended global reach that includes approximately 6,900 car and truck rental locations in the United States, Canada, Australia, New Zealand, Latin America, the Caribbean and parts of the Pacific region. On average, our rental fleet totaled more than 425,000 vehicles, and we completed more than 28 million vehicle rental transactions worldwide in 2007. Domestically, in 2007 we derived approximately 81% of our nearly $4.0 billion in car rental revenue from on-airport locations and approximately 19% of our domestic car rental revenue from off-airport locations, which we refer to as our local business. We expanded our local business in 2007, which included an increase in our insurance replacement revenue by approximately 25%, and plan to continue this expansion further in 2008. We rent our fleet of approximately 28,700 Budget trucks through a network of approximately 2,500 dealer-operated, 230 company-operated and 85 franchisee-operated locations throughout the continental United States. We also license the use of the Avis and Budget trademarks to multiple licensees in areas in which we do not operate. The Avis and/or Budget vehicle rental systems in Europe, Africa, the Middle East and parts of Asia are operated at approximately 3,600 locations by subsidiaries and sub-licensees of an independent third party primarily under royalty-free trademark license agreements.</w:t>
      </w:r>
    </w:p>
    <w:p>
      <w:pPr>
        <w:spacing w:after="0" w:line="113"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We categorize our operations in three operating segments: domestic car rental, consisting of our Avis and Budget U.S. car rental operations; international car rental, consisting of our international Avis and Budget car rental operations; and truck rental, consisting of our Budget truck rental operations. In 2007:</w:t>
      </w:r>
    </w:p>
    <w:p>
      <w:pPr>
        <w:spacing w:after="0" w:line="115" w:lineRule="exact"/>
        <w:rPr>
          <w:sz w:val="20"/>
          <w:szCs w:val="20"/>
          <w:color w:val="auto"/>
        </w:rPr>
      </w:pPr>
    </w:p>
    <w:p>
      <w:pPr>
        <w:ind w:left="780" w:right="420" w:hanging="326"/>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domestic car rental business generated approximately 92 million rental days and time and mileage revenue per day of $40.06 with an average rental fleet of approximately 340,889 vehicles;</w:t>
      </w:r>
    </w:p>
    <w:p>
      <w:pPr>
        <w:spacing w:after="0" w:line="160"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car rental business generated approximately 14 million rental days and time and mileage revenue per day of $43.54 with an average rental fleet of approximately 55,703 vehicles; and</w:t>
      </w:r>
    </w:p>
    <w:p>
      <w:pPr>
        <w:spacing w:after="0" w:line="160"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truck rental business generated approximately 4.2 million rental days and time and mileage revenue per day of $79.17 with an average rental fleet of approximately 28,700 trucks.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For 2008, our objective is to enhance growth, profitability and our position as a leader in the vehicle rental industry. We expect to achieve our goals by focusing our efforts on the following core strategic initiatives:</w:t>
      </w:r>
    </w:p>
    <w:p>
      <w:pPr>
        <w:spacing w:after="0" w:line="158" w:lineRule="exact"/>
        <w:rPr>
          <w:sz w:val="20"/>
          <w:szCs w:val="20"/>
          <w:color w:val="auto"/>
        </w:rPr>
      </w:pPr>
    </w:p>
    <w:p>
      <w:pPr>
        <w:ind w:left="780" w:right="100" w:hanging="326"/>
        <w:spacing w:after="0" w:line="255"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Optimizing Our Two-Brand Strategy. </w:t>
      </w:r>
      <w:r>
        <w:rPr>
          <w:rFonts w:ascii="Times New Roman" w:cs="Times New Roman" w:eastAsia="Times New Roman" w:hAnsi="Times New Roman"/>
          <w:sz w:val="18"/>
          <w:szCs w:val="18"/>
          <w:color w:val="auto"/>
        </w:rPr>
        <w:t>We plan to continue to position our two distinct and well-recognized brands to capture different segments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demand. With Avis as a premium brand preferred by corporate and upscale leisure travelers, and Budget as a value brand preferred by cost-conscious travelers, we believe we are able to target a broad range of demand, particularly since the two brands share the same operational and administrative infrastructure while providing differentiated though consistently high levels of customer service. We aim to provide products, service and pricing, and to maintain marketing affiliations and corporate account contracts, which complement each brand’s positioning. In addition, we use various marketing channels as appropriate for each of our brands and seek to continue to increase the volume of reservations that we generate through our avis.com and budget.com websites, which are among our least-expensive sources of advance bookings.</w:t>
      </w:r>
    </w:p>
    <w:p>
      <w:pPr>
        <w:spacing w:after="0" w:line="175" w:lineRule="exact"/>
        <w:rPr>
          <w:rFonts w:ascii="Times New Roman" w:cs="Times New Roman" w:eastAsia="Times New Roman" w:hAnsi="Times New Roman"/>
          <w:sz w:val="18"/>
          <w:szCs w:val="18"/>
          <w:color w:val="auto"/>
        </w:rPr>
      </w:pPr>
    </w:p>
    <w:p>
      <w:pPr>
        <w:ind w:left="780" w:right="60" w:hanging="326"/>
        <w:spacing w:after="0" w:line="289" w:lineRule="auto"/>
        <w:tabs>
          <w:tab w:leader="none" w:pos="7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Expanding Our Revenue Sources. </w:t>
      </w:r>
      <w:r>
        <w:rPr>
          <w:rFonts w:ascii="Times New Roman" w:cs="Times New Roman" w:eastAsia="Times New Roman" w:hAnsi="Times New Roman"/>
          <w:sz w:val="16"/>
          <w:szCs w:val="16"/>
          <w:color w:val="auto"/>
        </w:rPr>
        <w:t>We plan to expand the revenues we generate from sources beyond on-airport time and mileage rental fees. We seek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to grow off-airport revenue for Avis and Budget by opening new locations and continuing our effort to identify and attract local demand. In particular, we plan to increase our revenues in the insurance replacement sector, in which we have historically had a more limited presence, and we employ a dedicated local sales team to expand our insurance replacement, local truck rental and off-airport general-use rental volumes. Separately, we look to expand our revenue sources by offering additional products and services to existing on- and off-airport customers, including additional insurance coverages and insurance-related and other ancillary products and services, such as electronic toll collection services and our </w:t>
      </w:r>
      <w:r>
        <w:rPr>
          <w:rFonts w:ascii="Times New Roman" w:cs="Times New Roman" w:eastAsia="Times New Roman" w:hAnsi="Times New Roman"/>
          <w:sz w:val="16"/>
          <w:szCs w:val="16"/>
          <w:i w:val="1"/>
          <w:iCs w:val="1"/>
          <w:color w:val="auto"/>
        </w:rPr>
        <w:t>Where2</w:t>
      </w:r>
      <w:r>
        <w:rPr>
          <w:rFonts w:ascii="Times New Roman" w:cs="Times New Roman" w:eastAsia="Times New Roman" w:hAnsi="Times New Roman"/>
          <w:sz w:val="16"/>
          <w:szCs w:val="16"/>
          <w:color w:val="auto"/>
        </w:rPr>
        <w:t xml:space="preserve"> GPS navigation product (which was launched in the United States in 2006 and in Canada in 2007). In October 2007 we acquired a minority interest in Carey Holdings, Inc., the leading provider of chauffeured ground transportation services worldwide, as well as a one-year option to increase our holdings to a majority interest. If we exercise our option, we expect to expand revenue by offering our customers a full range of ground transportation products.</w:t>
      </w:r>
    </w:p>
    <w:p>
      <w:pPr>
        <w:spacing w:after="0" w:line="153" w:lineRule="exact"/>
        <w:rPr>
          <w:rFonts w:ascii="Times New Roman" w:cs="Times New Roman" w:eastAsia="Times New Roman" w:hAnsi="Times New Roman"/>
          <w:sz w:val="16"/>
          <w:szCs w:val="16"/>
          <w:color w:val="auto"/>
        </w:rPr>
      </w:pPr>
    </w:p>
    <w:p>
      <w:pPr>
        <w:ind w:left="780" w:hanging="326"/>
        <w:spacing w:after="0" w:line="289" w:lineRule="auto"/>
        <w:tabs>
          <w:tab w:leader="none" w:pos="7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Capturing Incremental Profit Opportunities. </w:t>
      </w:r>
      <w:r>
        <w:rPr>
          <w:rFonts w:ascii="Times New Roman" w:cs="Times New Roman" w:eastAsia="Times New Roman" w:hAnsi="Times New Roman"/>
          <w:sz w:val="16"/>
          <w:szCs w:val="16"/>
          <w:color w:val="auto"/>
        </w:rPr>
        <w:t>We plan to continue our focus on yield management and pricing optimization, rigorous cost controls,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fleet diversification and process improvement. We are developing technology that will allow us to strengthen our yield management and we have implemented technology that enables us to tailor our product/price offerings to specific customer segments, including technology that allows Avis and Budget to target customers with rates and prices based on past shopping and rental behavior. We also plan to acquire and develop technology that will help us optimize our fleet acquisition and disposal decisions. With respect to fleet diversification, in an effort to mitigate expected increases in fleet costs, we are seeking to adjust our relationships with vehicle manufacturers by continuing to move to a more balanced multi-supplier model, increasing the risk-vehicle portion of our fleet and lengthening the average hold period. In addition, we believe the expansion of our revenue sources (discussed above) will permit us to generate incremental profits from our customer base, while at the same time enhancing their vehicle rental experience. In 2007, we launched our Performance Excellence process improvement initiative to identify methods to increase efficiency throughout our operations and generate sustainable cost savings, which we believe will have a significant impact on our financial performance.</w:t>
      </w:r>
    </w:p>
    <w:p>
      <w:pPr>
        <w:spacing w:after="0" w:line="331"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 xml:space="preserve">In 2007, we made continued progress toward our strategic objectives. We retained approximately 98% of our commercial contracts. Avis and Budget maintained their marketing alliances with USAA and AARP, which are long-time Avis marketing partners, and Budget grew its award-winning small business program. We opened approximately 195 new off-airport locations in 2007, and off-airport revenues represented 19% of our domestic car rental revenues. We are an “approved” or “preferred” provider for customers of a majority of the largest auto insurance companies in the United States. In 2007, we continued to increase revenue related to rentals of </w:t>
      </w:r>
      <w:r>
        <w:rPr>
          <w:rFonts w:ascii="Times New Roman" w:cs="Times New Roman" w:eastAsia="Times New Roman" w:hAnsi="Times New Roman"/>
          <w:sz w:val="16"/>
          <w:szCs w:val="16"/>
          <w:i w:val="1"/>
          <w:iCs w:val="1"/>
          <w:color w:val="auto"/>
        </w:rPr>
        <w:t>Where2</w:t>
      </w:r>
      <w:r>
        <w:rPr>
          <w:rFonts w:ascii="Times New Roman" w:cs="Times New Roman" w:eastAsia="Times New Roman" w:hAnsi="Times New Roman"/>
          <w:sz w:val="16"/>
          <w:szCs w:val="16"/>
          <w:color w:val="auto"/>
        </w:rPr>
        <w:t xml:space="preserve"> GPS navigation system units, loss damage waivers and insurance products, and other ancillary services. In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area of cost management, we have continued to reduce our reliance on individual fleet suppliers and to diversify our fleet purchases, and we established our Performance Excellence program to identify and effect potential process-improvement and cost saving opportunities. We are utilizing sophisticated yield-management technology to optimize our pricing and fleet planning, and we continue to analyze and streamline our operations to gain efficiencies. And, most importantly, our more than 30,000 employees continue to provide reliable, high-quality vehicle rental services that foster customer satisfaction and customer loyalty.</w:t>
      </w:r>
    </w:p>
    <w:p>
      <w:pPr>
        <w:spacing w:after="0" w:line="1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24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7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principal executive office is located at 6 Sylvan Way, Parsippany, New Jersey 07054 (telephone number: (973) 496-4700). We are subject to the informational requirements of the Securities Exchange Act of 1934, as amended, and in accordance therewith, we file reports, proxy and information statements and other information with the Commission and certain of our officers and directors file statements of changes in beneficial ownership on Form 4 with the Commission. Such reports (including our annual reports on Form 10-K, our quarterly reports on Form 10-Q, our current reports on Form 8-K and any amendments to such reports), proxy statements and other information and such Form 4s can be accessed on our website at www.avisbudget.com as soon as reasonably practicable after we electronically file such material with, or furnish it to, the Commission. A copy of our Codes of Conduct and Ethics, as defined under Item 406 of Regulation S-K, including any amendments thereto or waivers thereof, Corporate Governance Guidelines, Director Independence Criteria and Board Committee Charters can also be accessed on our website. We will provide, free of charge, a copy of our annual reports on Form 10-K, quarterly reports on Form 10-Q and current reports on Form 8-K, Codes of Conduct and Ethics, Corporate Governance Guidelines and Board Committee Charters upon request by phone or in writing at the above phone number or address, attention: Investor Relations. In accordance with New York Stock Exchange (NYSE) Rules, on June 14, 2007, we filed the annual certification by our Chief Executive Officer certifying that he was unaware of any violation by us of the NYSE’s corporate governance listing standards at the time of the certification.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were created through a merger with HFS Incorporated in December 1997 with the resultant corporation being renamed Cendant Corporation. On August 23, 2006, Cendant completed a separation into four separate companies (the “Cendant Separation”), one for each of its former Real Estate Services businesses (Realogy Corporation), its former Hospitality Services businesses (Wyndham Worldwide Corporation), its former Travel Distribution Services businesses (Travelport) and its Vehicle Rental businesses (Cendant, now Avis Budget Group). Following completion of the Cendant Separation, Cendant changed its name to Avis Budget Group, Inc. and our common stock began to trade on the New York Stock Exchange under the symbol “CAR.” Avis Budget Group’s operations consist of two of the most recognized brands in the global vehicle rental industry through Avis Budget Car Rental, LLC, the parent of Avis Rent A Car System, LLC, Budget Rent A Car System, Inc. and Budget Truck Rental, LLC.</w:t>
      </w:r>
    </w:p>
    <w:p>
      <w:pPr>
        <w:spacing w:after="0" w:line="1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Founded in 1946, Avis is believed to be the first company to rent cars from airport locations. Avis expanded its geographic reach throughout the United States in the 1950s and 1960s. In 1963, Avis introduced its award winning “We try harder” advertising campaign, which is considered one of the top ten advertising campaigns of all time by Advertising Age magazine. Budget was founded in 1958. The company name was chosen to appeal to the “budget-minded” or “value-conscious” vehicle rental customer. Avis possesses a long history of using proprietary information technology systems in its business, and its established, but continually updated, Wizard System remains the backbone of our operations. We acquired the Avis brand in 1996, Avis’ capital stock in 2001, and the Budget brand and substantially all of the domestic and certain international assets of Budget’s predecessor in 2002.</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to our vehicle rental operations, we continue to manage the administration of certain legacy items which remain following the completion of the Cendant Separation. In connection with the Cendant Separation, we entered into certain agreements, including the Separation and Distribution Agreement dated as of July 27, 2006 (the “Separation Agreement”), with Realogy, Wyndham and Travelport governing our relationships following the separation, including the assumption by Realogy and Wyndham of 62.5% and 37.5%, respectively, of certain contingent and other liabilities of Cendant.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 rental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Operations—Avis</w:t>
      </w:r>
    </w:p>
    <w:p>
      <w:pPr>
        <w:spacing w:after="0" w:line="17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operate or franchise approximately 2,200 of the approximately 5,100 rental locations that comprise the Avis car rental system (the “Avis System”), which represents one of the largest car rental systems in the world, based on total revenue and number of locations, and encompasses locations at most of the largest airports and cities in the United States and internationally. The Avis System in Europe, Africa, the Middle East and parts of Asia is primarily operated under royalty-free license agreements with Avis Europe Holdings, Limited (“Avis Europe”), an independent third party, and is comprised of approximately 2,900 locations operated by Avis Europe and its sub-licensees.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own and operate approximately 1,300 Avis car rental locations in both the on-airport and local rental segments in North America, Australia, New Zealand, Latin America and the Caribbean. In 2007, Avis generated total revenue of approximately $3.7 billion, of which approximately 83% (or $3.1 billion) was derived from U.S. operations. In addition, we franchise the Avis System to independent business owners in approximately 850 locations throughout the United States, Canada, Latin America, Australia, New Zealand and parts of the Pacific region. In 2007, approximately 95% of the Avis System total domestic revenue was generated by our locations and the remainder was generated by locations operated by franchisees. Franchisees generally pay royalty fees to us based either on total time and mileage charges or total revenue.</w:t>
      </w:r>
    </w:p>
    <w:p>
      <w:pPr>
        <w:spacing w:after="0" w:line="139" w:lineRule="exact"/>
        <w:rPr>
          <w:sz w:val="20"/>
          <w:szCs w:val="20"/>
          <w:color w:val="auto"/>
        </w:rPr>
      </w:pPr>
    </w:p>
    <w:p>
      <w:pPr>
        <w:jc w:val="both"/>
        <w:ind w:right="40"/>
        <w:spacing w:after="0" w:line="310" w:lineRule="auto"/>
        <w:rPr>
          <w:sz w:val="20"/>
          <w:szCs w:val="20"/>
          <w:color w:val="auto"/>
        </w:rPr>
      </w:pPr>
      <w:r>
        <w:rPr>
          <w:rFonts w:ascii="Times New Roman" w:cs="Times New Roman" w:eastAsia="Times New Roman" w:hAnsi="Times New Roman"/>
          <w:sz w:val="16"/>
          <w:szCs w:val="16"/>
          <w:color w:val="auto"/>
        </w:rPr>
        <w:t>In 2007, Avis derived approximately 62% and 38% of its domestic time and mileage revenue from commercial and leisure customers, respectively, and 81% and 19% of its domestic revenue from customers renting at airports and locally, respectively. We have continued to focus efforts in 2007 on increasing the amount of revenue we generate locally from customers who rent in order to temporarily replace their own cars when they are being repaired or are otherwise unavailable.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Avis brand provides high-quality car rental services at price points generally above non-branded and value-branded national car rental companies. We offer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customers a variety of premium services, including:</w:t>
      </w:r>
    </w:p>
    <w:p>
      <w:pPr>
        <w:spacing w:after="0" w:line="199"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Preferred, a counter bypass program, which is available at major airport locations;</w:t>
      </w:r>
    </w:p>
    <w:p>
      <w:pPr>
        <w:spacing w:after="0" w:line="209" w:lineRule="exact"/>
        <w:rPr>
          <w:rFonts w:ascii="Times New Roman" w:cs="Times New Roman" w:eastAsia="Times New Roman" w:hAnsi="Times New Roman"/>
          <w:sz w:val="18"/>
          <w:szCs w:val="18"/>
          <w:color w:val="auto"/>
        </w:rPr>
      </w:pPr>
    </w:p>
    <w:p>
      <w:pPr>
        <w:ind w:left="780" w:right="140" w:hanging="326"/>
        <w:spacing w:after="0" w:line="277"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a navigation system with real-time traffic alerts, including weather delays, construction tie-ups and traffic snarls, which suggests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routes and features Bluetooth hands-free calling and MP3 playback capability as well as directions in multiple languages;</w:t>
      </w:r>
    </w:p>
    <w:p>
      <w:pPr>
        <w:spacing w:after="0" w:line="158"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Cool Cars, a line of fun-to-drive vehicles such as the Cadillac CTS, Chevrolet Corvette, Chrysler Crossfire and Hummer H3, as well as eco-friendly Nissan Altima and Toyota Prius “hybrid” vehicles;</w:t>
      </w:r>
    </w:p>
    <w:p>
      <w:pPr>
        <w:spacing w:after="0" w:line="160"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Roving Rapid Return, wireless technology, which permits customers who are returning vehicles to obtain a printed charge record from service agents at the vehicle as it is being returned;</w:t>
      </w:r>
    </w:p>
    <w:p>
      <w:pPr>
        <w:spacing w:after="0" w:line="160"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Cares, a program which provides customers with area-specific driver safety information, the latest child safety seats (available for rent), local information and driving maps;</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Access, a full range of special products and services for drivers and passengers with disabilities;</w:t>
      </w:r>
    </w:p>
    <w:p>
      <w:pPr>
        <w:spacing w:after="0" w:line="211" w:lineRule="exact"/>
        <w:rPr>
          <w:rFonts w:ascii="Times New Roman" w:cs="Times New Roman" w:eastAsia="Times New Roman" w:hAnsi="Times New Roman"/>
          <w:sz w:val="18"/>
          <w:szCs w:val="18"/>
          <w:color w:val="auto"/>
        </w:rPr>
      </w:pPr>
    </w:p>
    <w:p>
      <w:pPr>
        <w:jc w:val="both"/>
        <w:ind w:left="780" w:right="360" w:hanging="326"/>
        <w:spacing w:after="0" w:line="262"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Interactive, a proprietary management tool that allows select corporate clients to easily view and analyze their rental activity via the Internet through account analysis and activity reports, allowing these clients to better manage their travel budgets and monitor employee compliance with applicable travel policies;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455" w:right="3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Avis First Program, a new customer loyalty program that rewards customers with additional benefits for frequent rentals; and</w:t>
      </w:r>
    </w:p>
    <w:p>
      <w:pPr>
        <w:spacing w:after="0" w:line="211"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Chauffeur Drive, a premium service which allows customers to hire a professional driver to drive their Avis rental car through an arrangement with a third party provider.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Operations—Budget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Budget vehicle rental system (the “Budget System”) is one of the largest car rental systems in the world, based on total revenue and number of locations. We operate or franchise approximately 1,900 of the approximately 2,600 car rental locations in the Budget System, including locations at most of the largest airports and cities in the United States and certain other regions. The Budget System in Europe, Africa and the Middle East is operated under a royalty-free trademark license agreement with an independent third party, which is an affiliate of Avis Europe and is comprised of approximately 700 additional company-operated and sub-licensee locations.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own and operate approximately 800 Budget car rental locations in the United States, Canada, Puerto Rico, Australia and New Zealand. In 2007, our Budget car rental operations generated total revenue of approximately $1.8 billion, of which 86% (or $1.5 billion) was derived from U.S. operations. We also franchise the Budget System to independent business owners who operate approximately 1,100 locations throughout the United States, Canada, Latin America, the Caribbean and parts of the Asia Pacific region. In 2007, approximately 84% of the Budget System domestic total revenue was generated by our locations with the remainder generated by locations operated by independent franchisees. Independent franchisees generally pay royalty fees to us based on gross rental revenue. In 2007, Budget derived 24% and 76% of its domestic time and mileage car rental revenue from commercial and leisure customers, respectively, and 80% and 20% of its domestic car rental revenue from customers renting at airports and locally, respectively.</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Budget is a leading rental car supplier to the price-conscious segments of the industry, and Budget was named “Leading Provider of Outstanding Car Rental Deals” in April 2007 by </w:t>
      </w:r>
      <w:r>
        <w:rPr>
          <w:rFonts w:ascii="Times New Roman" w:cs="Times New Roman" w:eastAsia="Times New Roman" w:hAnsi="Times New Roman"/>
          <w:sz w:val="18"/>
          <w:szCs w:val="18"/>
          <w:i w:val="1"/>
          <w:iCs w:val="1"/>
          <w:color w:val="auto"/>
        </w:rPr>
        <w:t>Travelzoo</w:t>
      </w:r>
      <w:r>
        <w:rPr>
          <w:rFonts w:ascii="Times New Roman" w:cs="Times New Roman" w:eastAsia="Times New Roman" w:hAnsi="Times New Roman"/>
          <w:sz w:val="18"/>
          <w:szCs w:val="18"/>
          <w:color w:val="auto"/>
        </w:rPr>
        <w:t xml:space="preserve">, a global Internet media company. Budget offers its customers Fastbreak, an expedited rental service for frequent travelers, which operates much like Avis Preferred. Budget also offers the Budget Small Business Program, a program for small businesses that offers discounted rates and central billing options, and Unlimited Budget, a loyalty program for travel professionals established by Budget over ten years ago. Budget also offers </w:t>
      </w: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xml:space="preserve"> and Roving Rapid Return, as described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Customers can make Avis and Budget reservations through our Avis and Budget websites at avis.com and budget.com, through our reservation centers (also referred to as contact centers) toll-free at 1-888-777-AVIS and 1-800-BUDGET7, respectively, through online travel portals, through selected partners, including many major airlines utilizing direct connect technology, through their travel agent or by calling a location directly. Travel agents can access our reservation systems through all major global distribution systems and can obtain information with respect to rental locations, vehicle availability and applicable rate structures through these systems.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jc w:val="both"/>
        <w:ind w:right="280"/>
        <w:spacing w:after="0" w:line="310" w:lineRule="auto"/>
        <w:rPr>
          <w:sz w:val="20"/>
          <w:szCs w:val="20"/>
          <w:color w:val="auto"/>
        </w:rPr>
      </w:pPr>
      <w:r>
        <w:rPr>
          <w:rFonts w:ascii="Times New Roman" w:cs="Times New Roman" w:eastAsia="Times New Roman" w:hAnsi="Times New Roman"/>
          <w:sz w:val="16"/>
          <w:szCs w:val="16"/>
          <w:color w:val="auto"/>
        </w:rPr>
        <w:t>Avis and Budget support their premium and value brand positions through a range of marketing channels and campaigns, including traditional media, such as television, radio and print advertising, as well as Internet and direct marketing. Avis focuses its marketing around its industry-leading customer loyalty and its award-winning “We try harder” campaign. Budget builds its marketing around retail advertising, key partnerships and online marketing campaigns.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6"/>
          <w:szCs w:val="16"/>
          <w:color w:val="auto"/>
        </w:rPr>
        <w:t>We maintain strong links to the travel industry. Avis and Budget offer customers the ability to earn frequent traveler points with most major airlines’ frequent traveler programs. Avis and Budget are also affiliated with the frequency programs of major hotel companies, including Hilton Hotels Corporation, Hyatt Corporation, Starwood Hotels and Resorts Worldwide, Inc. and Wyndham Worldwide. These arrangements provide incentives to program participants and cooperative marketing opportunities, including call transfer programs and online links with various partners’ websites. Avis has an agreement with Wyndham Worldwide’s lodging brands whereby lodging customers making reservations by telephone may be transferred to Avis if they desire to rent a vehicle.</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2007, approximately 79% of domestic vehicle rental transactions from our owned and operated Avis locations in the United States were generated by travelers who rented from Avis under contracts between Avis and the travelers’ employers or through membership in an organization with whom Avis has a contractual affiliation (such as AARP). Avis also has marketing relationships with American Express Company and Sears, Roebuck &amp; Co., through which we are able to provide customers of these companies with incentives to rent from Avis. Avis franchisees also have the option to participate in these affiliations. For commercial and leisure travelers who are unaffiliated with any of the employers or organizations that we contract with, Avis solicits business through media, direct mail, e-mail and Internet advertising. Avis conducts various loyalty programs through direct marketing campaigns, including Avis Preferred, which allows customers to bypass the counter, and Avis First, which offers our customers certain benefits for frequent rentals. As a result of these programs, Avis has been ranked as the top rental car brand for customer loyalty for nine consecutive years by a leading third party research firm. Travel agents are also able to participate in the Avis travel agent reward program, Club Red.</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Similarly, Budget offers “Unlimited Budget”, a loyalty incentive program for travel agents which had approximately 18,600 travel agents actively enrolled as of December 31, 2007, and the Budget Small Business Program, a program for small businesses that offers discounted rates and central billing options. Budget also has contractual arrangements with American Express Company and other organizations which offer members of these groups incentives to rent from Budget. In connection with its focus on price-conscious customers, Budget primarily relies on retail advertising, including Internet advertising, and on value pricing to drive customers to our Budget website, our call centers and other distribution channels. Budget also offers proprietary marketing programs such as Fastbreak, an expedited rental service for frequent renters.</w:t>
      </w:r>
    </w:p>
    <w:p>
      <w:pPr>
        <w:spacing w:after="0" w:line="13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Our international Avis and Budget operations maintain close relationships with the travel industry through participation in several non-U.S. based frequent traveler programs with airlines such as Air Canada and Qantas Airways Limited, as well as participation in Avis Europe’s programs with British Airways Plc, Deutsche Lufthansa AG and other carriers.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the approximately 2,200 Avis and approximately 1,900 Budget car rental locations we operated and/or franchised at December 31, 2007, approximately 39% and 57%, respectively, were owned and operated by franchisees. Revenue derived from our car rental franchisees in 2007 totaled approximately $35 million. Franchised locations range from large operations at major airport locations to franchise territories encompassing an entire country to relatively small operations in suburban locations. Fleets of our franchisees range from fleets in excess of 3,000 vehicles to fleets of fewer than 50 vehicles. Franchising provides us with a source of high margin revenue as there are relatively limited additional fixed costs associated with fees paid by franchisees to us. Although franchised locations represent approximately half of the locations that we own or franchise, they represent only approximately 9% of total domestic revenue generated by the Avis and Budget Systems, as the average franchised operation is significantly smaller than the average owned location. Generally, we do not actively seek new franchisees in the United States or Canada.</w:t>
      </w:r>
    </w:p>
    <w:p>
      <w:pPr>
        <w:spacing w:after="0" w:line="138"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We enjoy good relationships with our franchisees and meet regularly with them at regional, national and international meetings. Our relationships with Avis and/or Budget franchisees are governed by franchise agreements that grant the franchisees the right to operate Avis and/or Budget vehicle rental businesses in certain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exclusive territories. These franchise agreements impose obligations on the franchisee regarding the operations of each franchise and most restrict the franchisee’s ability to transfer its franchise agreement and the franchisee’s capital stock. Each franchisee is required to adhere to our system standards for each brand as updated and supplemented by our policy bulletins, brand manuals and service programs. We maintain the right to monitor the operations of franchisees and, when applicable, can declare a franchise to be in default under its franchise agreements, which may or may not be curable. We can terminate these franchise agreements for certain defaults, including failure to pay franchise fees and failure to adhere to our operational standards.</w:t>
      </w:r>
    </w:p>
    <w:p>
      <w:pPr>
        <w:spacing w:after="0" w:line="13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franchise agreements grant the franchisees the exclusive right to operate an Avis and/or Budget car and/or truck rental business in a particular geographic area. Under agreements that predate our ownership of Avis or Budget, a limited number of franchisees in the United States are also separately franchised exclusively to sell used cars under the Avis and/or Budget brand. Our current franchise agreements provide for a 20-year term. Certain existing franchise agreements provide for renewal terms for no additional fee so long as the franchisee is not in default. Upon renewal, the terms and conditions of the franchise agreement may generally be amended from those contained in the expiring franchise agreements, while language in certain older franchise agreements may limit our ability to do so. The car rental royalty fee payable to us under franchise agreements is generally 5% to 7.5% of gross rental revenue but certain franchisees of each brand, both internationally and domestically, have franchise agreements with different royalty fee structures.</w:t>
      </w:r>
    </w:p>
    <w:p>
      <w:pPr>
        <w:spacing w:after="0" w:line="1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their franchise agreements, some franchisees must meet certain requirements relating to the number of rental locations in their franchised territory, the number of vehicles available for rental and the amount of their advertising and promotional expenditures. In general, each franchise agreement provides that the franchisee must not engage in any other vehicle rental business within the franchised territory during the term of such agreement and, in the Budget franchise agreement, for 12 months thereafter. Upon termination of a franchise, the franchisee is also prohibited from using the Avis or Budget name and related marks in any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revenue from vehicle rentals and franchisee royalties, we generate revenue from Avis and Budget customers through the sale and/or rental of optional products and services such as supplemental equipment (for example, child seats and ski racks), loss damage waivers, additional/supplemental liability insurance, personal accident/effects insurance, fuel service options, fuel service charges, electronic toll collection and other ancillary products and services as described above, such as rentals of </w:t>
      </w:r>
      <w:r>
        <w:rPr>
          <w:rFonts w:ascii="Times New Roman" w:cs="Times New Roman" w:eastAsia="Times New Roman" w:hAnsi="Times New Roman"/>
          <w:sz w:val="18"/>
          <w:szCs w:val="18"/>
          <w:i w:val="1"/>
          <w:iCs w:val="1"/>
          <w:color w:val="auto"/>
        </w:rPr>
        <w:t>Where2</w:t>
      </w:r>
      <w:r>
        <w:rPr>
          <w:rFonts w:ascii="Times New Roman" w:cs="Times New Roman" w:eastAsia="Times New Roman" w:hAnsi="Times New Roman"/>
          <w:sz w:val="18"/>
          <w:szCs w:val="18"/>
          <w:color w:val="auto"/>
        </w:rPr>
        <w:t xml:space="preserve"> GPS navigation units which in 2007 contributed more than $35 million to pretax income. In 2007, approximately 4% of our vehicle rental operations revenue was generated by the sale of loss damage waivers under which we agree to relieve a customer from financial responsibility arising from vehicle damage incurred during the rental period if the customer has not breached the rental agreement. In addition, we receive reimbursement from our customers for certain operating expenses we incur, including gasoline and vehicle licensing fees, as well as airport concession fees, which we pay in exchange for the right to operate at airports and other locations.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Avis and Budget have strong brand presence on the Internet through their websites, avis.com and budget.com, as well as third party websites. In 2007, the number of Avis and Budget vehicle rental customers who obtained rate, location and fleet information and then reserved their rentals directly on these websites increased. Direct bookings via our websites incur less cost per transaction than bookings made through our voice reservation agents or through third party distribution systems. Therefore, an increase in Internet bookings generates cost savings for us. In addition, both Avis and Budget have agreements to promote their car rental services with major Internet portals and have a strong advertising presence on various search engines. Bookings over the Internet accounted for 52% of Budget’s 2007 domestic reservations, with 32% of reservations derived from bookings on budget.com. Bookings over the Internet accounted for 32% of Avis’ domestic reservations, with 25% derived from bookings on avis.com. In 2007, avis.com reservations grew by 16% and budget.com reservations grew by 10% over the prior year.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Wizard System</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own the Wizard System, our worldwide reservation, rental, data processing and information management system. The Wizard System enables us to process over one million incoming customer inquiries each day, providing our customers with accurate and timely information about our locations, rental rates and vehicle availability, as well as the ability to place or modify reservations. Additionally, the Wizard System is linked to all major travel distribution networks worldwide and provides real-time processing for travel agents, travel industry partners (such as airlines), corporate travel departments and individual consumers through our websites or calls to our contact centers. The Wizard System also provides personal profile information to our reservation and rental agents to better service our customers. Among the principal features of the Wizard System are:</w:t>
      </w:r>
    </w:p>
    <w:p>
      <w:pPr>
        <w:spacing w:after="0" w:line="180" w:lineRule="exact"/>
        <w:rPr>
          <w:sz w:val="20"/>
          <w:szCs w:val="20"/>
          <w:color w:val="auto"/>
        </w:rPr>
      </w:pPr>
    </w:p>
    <w:p>
      <w:pPr>
        <w:ind w:left="78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“Roving Rapid Return”, wireless technology which permits customers who are returning vehicles to obtain a printed charge record from service agents at the vehicle as it is being returned;</w:t>
      </w:r>
    </w:p>
    <w:p>
      <w:pPr>
        <w:spacing w:after="0" w:line="160"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Service”, Avis’ expedited rental service that provides enrolled customers with a printed Preferred Service rental record in their pre-assigned vehicle and a fast, convenient check-out;</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“Fastbreak”, Budget’s expedited rental service which allows for a faster processing of rentals and service for enrolled customers;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“Wizard on Wheels”, which enables us to assign vehicles and complete rental agreements while customers are being transported to the rental vehicle;</w:t>
      </w:r>
    </w:p>
    <w:p>
      <w:pPr>
        <w:spacing w:after="0" w:line="234" w:lineRule="exact"/>
        <w:rPr>
          <w:rFonts w:ascii="Times New Roman" w:cs="Times New Roman" w:eastAsia="Times New Roman" w:hAnsi="Times New Roman"/>
          <w:sz w:val="16"/>
          <w:szCs w:val="16"/>
          <w:color w:val="auto"/>
        </w:rPr>
      </w:pPr>
    </w:p>
    <w:p>
      <w:pPr>
        <w:ind w:left="780" w:right="18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“Flight Arrival Notification”, a system that alerts rental locations when flights have arrived so that vehicles can be assigned and paperwork prepared automatically;</w:t>
      </w:r>
    </w:p>
    <w:p>
      <w:pPr>
        <w:spacing w:after="0" w:line="160" w:lineRule="exact"/>
        <w:rPr>
          <w:rFonts w:ascii="Times New Roman" w:cs="Times New Roman" w:eastAsia="Times New Roman" w:hAnsi="Times New Roman"/>
          <w:sz w:val="18"/>
          <w:szCs w:val="18"/>
          <w:color w:val="auto"/>
        </w:rPr>
      </w:pPr>
    </w:p>
    <w:p>
      <w:pPr>
        <w:ind w:left="780" w:right="100" w:hanging="326"/>
        <w:spacing w:after="0" w:line="262"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Link”, which automatically identifies when a customer with a profile on record is entitled to special rental rates and conditions, and therefore sharply reduces the number of instances in which we inadvertently fail to give Avis renters the benefits of negotiated rate arrangements to which they are entitled;</w:t>
      </w:r>
    </w:p>
    <w:p>
      <w:pPr>
        <w:spacing w:after="0" w:line="172"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Link”, which allows both brands to verify all major credit cards through a real-time connection during the rental processing;</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interfaces through third party computerized reservation systems such as Galileo and Sabre;</w:t>
      </w:r>
    </w:p>
    <w:p>
      <w:pPr>
        <w:spacing w:after="0" w:line="211" w:lineRule="exact"/>
        <w:rPr>
          <w:rFonts w:ascii="Times New Roman" w:cs="Times New Roman" w:eastAsia="Times New Roman" w:hAnsi="Times New Roman"/>
          <w:sz w:val="18"/>
          <w:szCs w:val="18"/>
          <w:color w:val="auto"/>
        </w:rPr>
      </w:pPr>
    </w:p>
    <w:p>
      <w:pPr>
        <w:ind w:left="780" w:right="200" w:hanging="326"/>
        <w:spacing w:after="0" w:line="339" w:lineRule="auto"/>
        <w:tabs>
          <w:tab w:leader="none" w:pos="7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“Avis Interactive”, which allows select corporate clients to easily view and analyze their rental activity via the Internet through account analysis and activity reports, allowing these clients to better manage their travel budgets and monitor employee compliance with applicable travel policies;</w:t>
      </w:r>
    </w:p>
    <w:p>
      <w:pPr>
        <w:spacing w:after="0" w:line="114" w:lineRule="exact"/>
        <w:rPr>
          <w:rFonts w:ascii="Times New Roman" w:cs="Times New Roman" w:eastAsia="Times New Roman" w:hAnsi="Times New Roman"/>
          <w:sz w:val="16"/>
          <w:szCs w:val="16"/>
          <w:color w:val="auto"/>
        </w:rPr>
      </w:pPr>
    </w:p>
    <w:p>
      <w:pPr>
        <w:ind w:left="780" w:right="14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Connect”, a service offered to business to business partners that allows them to easily connect their electronic systems to the Wizard System, for either brand, and to obtain rate, location and fleet information as well as book reservations for their customers; and</w:t>
      </w:r>
    </w:p>
    <w:p>
      <w:pPr>
        <w:spacing w:after="0" w:line="16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management programs that, among other things, enable field personnel to manage which vehicles will be rented next.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use data supplied from the Wizard System and airline reservation systems in certain proprietary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71" w:lineRule="exact"/>
        <w:rPr>
          <w:sz w:val="20"/>
          <w:szCs w:val="20"/>
          <w:color w:val="auto"/>
        </w:rPr>
      </w:pPr>
    </w:p>
    <w:p>
      <w:pPr>
        <w:ind w:left="780" w:right="160" w:hanging="326"/>
        <w:spacing w:after="0" w:line="277"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Fleet planning model</w:t>
      </w:r>
      <w:r>
        <w:rPr>
          <w:rFonts w:ascii="Times New Roman" w:cs="Times New Roman" w:eastAsia="Times New Roman" w:hAnsi="Times New Roman"/>
          <w:sz w:val="18"/>
          <w:szCs w:val="18"/>
          <w:color w:val="auto"/>
        </w:rPr>
        <w:t>. We have created a comprehensive decision tool to develop fleet plans and schedules for the acquisition and disposition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fleet, along with fleet age, mix, mileage and cost</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00"/>
        <w:spacing w:after="0" w:line="275" w:lineRule="auto"/>
        <w:rPr>
          <w:sz w:val="20"/>
          <w:szCs w:val="20"/>
          <w:color w:val="auto"/>
        </w:rPr>
      </w:pPr>
      <w:r>
        <w:rPr>
          <w:rFonts w:ascii="Times New Roman" w:cs="Times New Roman" w:eastAsia="Times New Roman" w:hAnsi="Times New Roman"/>
          <w:sz w:val="18"/>
          <w:szCs w:val="18"/>
          <w:color w:val="auto"/>
        </w:rPr>
        <w:t>reports based upon these plans and schedules. This tool allows management to monitor and change fleet volume and composition on a daily basis and to optimize our fleet plan based on estimated business levels and available repurchase and guaranteed depreciation programs.</w:t>
      </w:r>
    </w:p>
    <w:p>
      <w:pPr>
        <w:spacing w:after="0" w:line="172" w:lineRule="exact"/>
        <w:rPr>
          <w:sz w:val="20"/>
          <w:szCs w:val="20"/>
          <w:color w:val="auto"/>
        </w:rPr>
      </w:pPr>
    </w:p>
    <w:p>
      <w:pPr>
        <w:ind w:left="780" w:right="80" w:hanging="326"/>
        <w:spacing w:after="0" w:line="257"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Yield management</w:t>
      </w:r>
      <w:r>
        <w:rPr>
          <w:rFonts w:ascii="Times New Roman" w:cs="Times New Roman" w:eastAsia="Times New Roman" w:hAnsi="Times New Roman"/>
          <w:sz w:val="18"/>
          <w:szCs w:val="18"/>
          <w:color w:val="auto"/>
        </w:rPr>
        <w:t>. We have created a yield management system which is designed to enhance profits by providing greater control of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and rate availability changes at our rental locations. The system monitors and forecasts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74" w:lineRule="exact"/>
        <w:rPr>
          <w:rFonts w:ascii="Times New Roman" w:cs="Times New Roman" w:eastAsia="Times New Roman" w:hAnsi="Times New Roman"/>
          <w:sz w:val="18"/>
          <w:szCs w:val="18"/>
          <w:color w:val="auto"/>
        </w:rPr>
      </w:pPr>
    </w:p>
    <w:p>
      <w:pPr>
        <w:ind w:left="780" w:right="80" w:hanging="326"/>
        <w:spacing w:after="0" w:line="302" w:lineRule="auto"/>
        <w:tabs>
          <w:tab w:leader="none" w:pos="7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Pricing decision support system</w:t>
      </w:r>
      <w:r>
        <w:rPr>
          <w:rFonts w:ascii="Times New Roman" w:cs="Times New Roman" w:eastAsia="Times New Roman" w:hAnsi="Times New Roman"/>
          <w:sz w:val="16"/>
          <w:szCs w:val="16"/>
          <w:color w:val="auto"/>
        </w:rPr>
        <w:t>. Pricing in the vehicle rental industry is highly competitive and complex. To improve our ability to respond to rental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changes in the marketplace, we have developed sophisticated systems to gather and report competitive industry rental rate changes every day. The system, using data from third party reservation systems as its source of information, automatically scans rate movements and reports significant changes to a staff of pricing analysts for evaluation. The system greatly enhances our ability to gather and respond to rate changes in the marketplace.</w:t>
      </w:r>
    </w:p>
    <w:p>
      <w:pPr>
        <w:spacing w:after="0" w:line="140" w:lineRule="exact"/>
        <w:rPr>
          <w:rFonts w:ascii="Times New Roman" w:cs="Times New Roman" w:eastAsia="Times New Roman" w:hAnsi="Times New Roman"/>
          <w:sz w:val="16"/>
          <w:szCs w:val="16"/>
          <w:color w:val="auto"/>
        </w:rPr>
      </w:pPr>
    </w:p>
    <w:p>
      <w:pPr>
        <w:ind w:left="780" w:hanging="326"/>
        <w:spacing w:after="0" w:line="259"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mix model</w:t>
      </w:r>
      <w:r>
        <w:rPr>
          <w:rFonts w:ascii="Times New Roman" w:cs="Times New Roman" w:eastAsia="Times New Roman" w:hAnsi="Times New Roman"/>
          <w:sz w:val="18"/>
          <w:szCs w:val="18"/>
          <w:color w:val="auto"/>
        </w:rPr>
        <w:t>. We have developed a strategic planning model to evaluate discrete components of our business relative to each other. The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considers revenue and costs to determine the potential margin contribution of each discrete segment. The model develops business mix and fleet optimization recommendations by using data from our financial systems, the Wizard System and the fleet and revenue management systems along with management’s objectives and targets.</w:t>
      </w:r>
    </w:p>
    <w:p>
      <w:pPr>
        <w:spacing w:after="0" w:line="173" w:lineRule="exact"/>
        <w:rPr>
          <w:rFonts w:ascii="Times New Roman" w:cs="Times New Roman" w:eastAsia="Times New Roman" w:hAnsi="Times New Roman"/>
          <w:sz w:val="18"/>
          <w:szCs w:val="18"/>
          <w:color w:val="auto"/>
        </w:rPr>
      </w:pPr>
    </w:p>
    <w:p>
      <w:pPr>
        <w:ind w:left="780" w:right="60" w:hanging="326"/>
        <w:spacing w:after="0" w:line="264"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profitability model</w:t>
      </w:r>
      <w:r>
        <w:rPr>
          <w:rFonts w:ascii="Times New Roman" w:cs="Times New Roman" w:eastAsia="Times New Roman" w:hAnsi="Times New Roman"/>
          <w:sz w:val="18"/>
          <w:szCs w:val="18"/>
          <w:color w:val="auto"/>
        </w:rPr>
        <w:t>. We have developed a sophisticated model which analyzes a corporate customer’s rental pattern to estimate the fleet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operations costs and division overhead expenses associated with that customer’s vehicle rentals. We use this profitability model to determine the financial merit of individual corporate contracts.</w:t>
      </w:r>
    </w:p>
    <w:p>
      <w:pPr>
        <w:spacing w:after="0" w:line="167" w:lineRule="exact"/>
        <w:rPr>
          <w:rFonts w:ascii="Times New Roman" w:cs="Times New Roman" w:eastAsia="Times New Roman" w:hAnsi="Times New Roman"/>
          <w:sz w:val="18"/>
          <w:szCs w:val="18"/>
          <w:color w:val="auto"/>
        </w:rPr>
      </w:pPr>
    </w:p>
    <w:p>
      <w:pPr>
        <w:ind w:left="780" w:right="120" w:hanging="326"/>
        <w:spacing w:after="0" w:line="264"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data warehouse</w:t>
      </w:r>
      <w:r>
        <w:rPr>
          <w:rFonts w:ascii="Times New Roman" w:cs="Times New Roman" w:eastAsia="Times New Roman" w:hAnsi="Times New Roman"/>
          <w:sz w:val="18"/>
          <w:szCs w:val="18"/>
          <w:color w:val="auto"/>
        </w:rPr>
        <w:t>. We have developed a sophisticated and comprehensive electronic data storage and retrieval system which retains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related to various aspects of our business. This data warehouse allows us to take advantage of comprehensive management reports, query capability and easy access to data for strategic decision making for both brands.</w:t>
      </w:r>
    </w:p>
    <w:p>
      <w:pPr>
        <w:spacing w:after="0" w:line="167" w:lineRule="exact"/>
        <w:rPr>
          <w:rFonts w:ascii="Times New Roman" w:cs="Times New Roman" w:eastAsia="Times New Roman" w:hAnsi="Times New Roman"/>
          <w:sz w:val="18"/>
          <w:szCs w:val="18"/>
          <w:color w:val="auto"/>
        </w:rPr>
      </w:pPr>
    </w:p>
    <w:p>
      <w:pPr>
        <w:ind w:left="780" w:right="100" w:hanging="326"/>
        <w:spacing w:after="0" w:line="259"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 systems</w:t>
      </w:r>
      <w:r>
        <w:rPr>
          <w:rFonts w:ascii="Times New Roman" w:cs="Times New Roman" w:eastAsia="Times New Roman" w:hAnsi="Times New Roman"/>
          <w:sz w:val="18"/>
          <w:szCs w:val="18"/>
          <w:color w:val="auto"/>
        </w:rPr>
        <w:t>. We have developed a sophisticated system of online data screens which enables our sales force to analyze key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our corporate customers including historical and current rental activity, revenue and booking sources, top renting locations, rate usage categories and customer satisfaction data. We use this information, which is updated weekly and captured on a country-by-country basis, to determine opportunities for revenue growth, profitability and improvement.</w:t>
      </w:r>
    </w:p>
    <w:p>
      <w:pPr>
        <w:spacing w:after="0" w:line="173" w:lineRule="exact"/>
        <w:rPr>
          <w:rFonts w:ascii="Times New Roman" w:cs="Times New Roman" w:eastAsia="Times New Roman" w:hAnsi="Times New Roman"/>
          <w:sz w:val="18"/>
          <w:szCs w:val="18"/>
          <w:color w:val="auto"/>
        </w:rPr>
      </w:pPr>
    </w:p>
    <w:p>
      <w:pPr>
        <w:jc w:val="both"/>
        <w:ind w:left="780" w:right="280" w:hanging="326"/>
        <w:spacing w:after="0" w:line="264"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adjustments</w:t>
      </w:r>
      <w:r>
        <w:rPr>
          <w:rFonts w:ascii="Times New Roman" w:cs="Times New Roman" w:eastAsia="Times New Roman" w:hAnsi="Times New Roman"/>
          <w:sz w:val="18"/>
          <w:szCs w:val="18"/>
          <w:color w:val="auto"/>
        </w:rPr>
        <w:t>. We have developed a multi-linked customer data system which allows us to easily retrieve pertinent customer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make needed adjustments online for superior customer service. This data system links with other accounting systems to handle any charge card transactions automatically.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Fleet</w:t>
      </w:r>
    </w:p>
    <w:p>
      <w:pPr>
        <w:spacing w:after="0" w:line="173"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maintain a single fleet of vehicles for Avis and Budget. We rent a wide variety of vehicles, including luxury and specialty vehicles. Our fleet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primarily of vehicles from the current and immediately preceding model year. Rentals are generally made on a daily, weekly or monthly basis. Rental charges 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computed on the basis of the length of the rental or, in some cases, on the length of the rental plus a mileage charge. Rates vary at different locations depending on the type of vehicle rented, the local marketplace and competitive and cost factors. Rentals are made utilizing rate plans under which the customer is responsible for gasoline used during the rental. We also generally offer our customers the convenience of leaving a rented vehicle at a location in a city other than the one in which it was rented, although, consistent with industry practices, a drop-off charge or special intercity rate may be imposed. We facilitate one-way car rentals between corporate-owned and franchised locations in the United States that enable us to operate as an integrated network of locations.</w:t>
      </w:r>
    </w:p>
    <w:p>
      <w:pPr>
        <w:spacing w:after="0" w:line="1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Vehicle purchasing</w:t>
      </w:r>
      <w:r>
        <w:rPr>
          <w:rFonts w:ascii="Times New Roman" w:cs="Times New Roman" w:eastAsia="Times New Roman" w:hAnsi="Times New Roman"/>
          <w:sz w:val="18"/>
          <w:szCs w:val="18"/>
          <w:color w:val="auto"/>
        </w:rPr>
        <w:t>. We participate in a variety of vehicle purchase programs with major domestic and foreign vehicle manufacturers. General Motors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featured supplier for Avis, and Ford is the featured supplier for Budget. During 2007, approximately 44%, 26% and 15% of the cars acquired for our U.S. car rental fleet were manufactured by General Motors, Ford and Chrysler, respectively, compared to 42%, 32% and 12%, respectively, in 2006. During 2007, we also purchased Hyundai, Kia, Nissan, Subaru, Suzuki, Toyota and Volkswagen vehicles. The decrease in the portion of our fleet sourced from Ford in 2007 is reflective of our overall efforts to diversify our fleet, which we expect to continue in 2008. The substantial majority of vehicles used in our rental car business are purchased through our principal U.S. vehicle financing program, which is an asset-backed facility.</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Vehicle disposition</w:t>
      </w:r>
      <w:r>
        <w:rPr>
          <w:rFonts w:ascii="Times New Roman" w:cs="Times New Roman" w:eastAsia="Times New Roman" w:hAnsi="Times New Roman"/>
          <w:sz w:val="18"/>
          <w:szCs w:val="18"/>
          <w:color w:val="auto"/>
        </w:rPr>
        <w:t>. We generally hold a vehicle in our domestic fleet for a term of four to fourteen months. For 2007 and 2006, approximately 75% and 88%,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the rental cars purchased for our domestic car fleet were subject to agreements requiring automobile manufacturers to repurchase them or guarantee our rate of depreciation during a specified period of time. Cars subject to these agreements are sometimes referred to as “program vehicles” or “program cars” and cars not subject to these agreements are sometimes referred to as “risk cars” or “risk vehicles”. The programs in which we participate currently require that the program vehicles be maintained in our fleet for a minimum number of months (typically four to twelve months) and impose return conditions, including those related to mileage and condition. At the time of return to the manufacturer, we receive the price guaranteed at the time of purchase and are thus protected from fluctuations in the prices of previously-owned vehicles in the wholesale market at the time of disposition. The future percentages of program vehicles in our fleet will be dependent on the availability and attractiveness of manufacturers’ repurchase and guaranteed depreciation programs, and we expect percentages for 2008 to be lower than 2007 as we acquire more risk vehicles in order to mitigate the anticipated increased cost of program vehicles. We dispose of our risk vehicles largely through automobile auctions, including auctions that enable dealers to purchase vehicles online more quickly than traditional auctions.</w:t>
      </w:r>
    </w:p>
    <w:p>
      <w:pPr>
        <w:spacing w:after="0" w:line="14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Of the approximately 407,000 cars from our rental car fleet that we sold in 2007 (compared to 445,000 that we sold in 2006), we sold approximately 88% back to the manufacturers pursuant to repurchase or guaranteed depreciation programs and the rest through third party channels such as wholesale auctions. In 2008, we expect the percentage of cars sold back to the manufacturers to decrease as we acquire more risk vehicles.</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Utilization and seasonality</w:t>
      </w:r>
      <w:r>
        <w:rPr>
          <w:rFonts w:ascii="Times New Roman" w:cs="Times New Roman" w:eastAsia="Times New Roman" w:hAnsi="Times New Roman"/>
          <w:sz w:val="18"/>
          <w:szCs w:val="18"/>
          <w:color w:val="auto"/>
        </w:rPr>
        <w:t>. Our car rental business is subject to seasonal variations in customer demand, with the summer vacation period representing the 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season. The general seasonal variation in demand, along with more localized changes in demand at each of our locations, causes us to vary our fleet size over the course of the year. For 2007, our average monthly fleet size in the U.S. ranged from a low of approximately 300,000 vehicles in December to a high of approximately 388,000 vehicles in July. Our average fleet size increased 4.2% in 2007, to 340,899 vehicles. Domestic fleet utilization for 2007, which is based on the number of rental days (or portion thereof) that vehicles are rented compared to the total amount of time that vehicles are available for rent, ranged from 68% in December to 79% in August and averaged 75% for 2007. Our calculation of utilization may not be comparable to other companies’ calculation of similarly titled statistics.</w:t>
      </w:r>
    </w:p>
    <w:p>
      <w:pPr>
        <w:spacing w:after="0" w:line="13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i w:val="1"/>
          <w:iCs w:val="1"/>
          <w:color w:val="auto"/>
        </w:rPr>
        <w:t>Maintenance</w:t>
      </w:r>
      <w:r>
        <w:rPr>
          <w:rFonts w:ascii="Times New Roman" w:cs="Times New Roman" w:eastAsia="Times New Roman" w:hAnsi="Times New Roman"/>
          <w:sz w:val="18"/>
          <w:szCs w:val="18"/>
          <w:color w:val="auto"/>
        </w:rPr>
        <w:t>. We place a strong emphasis on vehicle maintenance since quick and proper repairs are critical to fleet utilization. To accomplish this task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 a fully-certified National Institute for Automotive Service Excellence (“ASE”) technician instructor at our headquarters. This instructor has developed a specialized training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program for our 418 technicians who operate in approximately 100 maintenance and damage repair centers for both Avis and Budget. We use advanced diagnostic equipment, including General Motors’ “Techline” and “Tech 2” diagnostic computers and Ford’s PDS diagnostic system. Our technician training department also prepares its own technical service bulletins that can be retrieved electronically at all of our repair locations. Approximately 89% of our technicians are ASE-certified.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commitment to delivering a consistently high level of customer service is a critical element of our success and strategy. Each year, our internal quality auditors conduct approximately 1,000 unannounced reviews of locations to measure service levels by location. We identify specific areas of achievement and opportunity from these assessments. We address areas of improvement on a system-wide level and develop standard methods and measures. The major focus areas of these assessments include (i) vehicle condition and availability; (ii) customer interaction, including helpfulness and courtesy; and (iii) location image. In addition, we utilize a toll-free “800” number and a dedicated customer service e-mail address to allow customers of both Avis and Budget to report problems directly to our customer relations department. Location associates and managers also receive training and are empowered to resolve virtually all customer issues at the location level. We prepare weekly and monthly reports on the types and number of complaints received for use in conjunction with the customer satisfaction reports by location management as feedback of customer service delivery. Finally, we conduct daily location-specific customer satisfaction tracking by sending web-based surveys to recent customers of our top volume locations.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Airport concession fees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general, concession fees for on-airport locations are based on a percentage of total commissionable revenue (as defined by each airport authority), subject to minimum annual guaranteed amounts. Concessions are typically awarded by airport authorities every three to five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The car rental industry is characterized by intense price and service competition. Competition in the U.S. vehicle rental operations business is based primarily upon price, reliability, vehicle availability, national distribution, usability of booking systems, ease of rental and return and other elements of customer service. In addition, competition is influenced strongly by advertising, marketing and brand reputation. We compete primarily with the following car rental companies: Hertz Global Holdings, Inc., Dollar Thrifty Automotive Group, and Enterprise Rent-A-Car Company, which also operates the National Car Rental and Alamo brands.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2007 Acquisitions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23, 2007 we acquired a minority interest in Carey Holdings, Inc., the parent company of Carey International, Inc., a worldwide provider of chauffeured ground transportation services. In connection with this transaction, we invested approximately $60 million in cash and acquired approximately 48% percent of Carey’s common stock. We also acquired a one-year option to increase our ownership stake to 80% of Carey’s common stock, subject to certain conditions, which would likely include the assumption or repayment of Carey’s existing indebtedness. If we exercise of our option, we expect to expand revenue by offering our customers a full range of ground transportation products.</w:t>
      </w:r>
    </w:p>
    <w:p>
      <w:pPr>
        <w:spacing w:after="0" w:line="13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 2007, we also purchased the car and truck rental operating rights and/or assets from approximately 13 of our former Avis and Budget domestic franchisees for approximately $10 million in cash. Such acquisitions were not significant individually or in the aggregate to our business.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Truck rental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7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Budget’s truck rental business is one of the largest local and one-way truck rental businesses in the United States. The Budget truck rental business has a combined fleet of approximately 28,000 trucks, with a median truck age of less than three years, which are rented through a network of approximately 2,500 dealers, 230 company-operated and 85 franchisee-operated locations throughout the continental United States.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 In 2007, the Budget truck rental business generated total revenue of approximately $416 million.</w:t>
      </w:r>
    </w:p>
    <w:p>
      <w:pPr>
        <w:spacing w:after="0" w:line="1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primarily advertise in “yellow pages” telephone directories to promote our truck rental business to potential customers. Budget truck rental customers can make reservations through the Budget truck rental reservation center toll-free at 1-800-GO-BUDGET, through our Budget truck rental website at budgettruck.com or by calling a location directly. In addition, we have established online affiliations with websites like moving.com to reach our targeted audience. Budget truck rental reservations may also be made through the budget.com website.</w:t>
      </w:r>
    </w:p>
    <w:p>
      <w:pPr>
        <w:spacing w:after="0" w:line="136"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In 2007, we completed the integration of our Denver-based corporate truck operations into our Parsippany headquarters and existing car-rental facilities, eliminated certain positions and significantly reduced separate senior management for our truck rental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Budget’s truck rental business is offered through a national network, which included approximately 2,500 dealers as of December 31, 2007. These independently owned dealers primarily operate self-storage facilities, rental centers, hardware stores, service stations and other similar retail service businesses. In addition to the dealers’ principal businesses, the dealers rent our light- and medium-duty trucks to consumers and to our commercial accounts and are responsible for collecting payments on our behalf. The dealers receive a commission on all truck rentals and ancillary equipment rentals. Generally, dealership agreements may be terminated by either party upon 30 to 90 days’ prior written notice.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 and Agreements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September 2007, Budget entered into a co-branding agreement with Public Storage, the largest owner and operator of self-storage facilities worldwide, as an exclusive third-party provider of rental trucks to Public Storage customers. As part of this agreement, approximately 200 Public Storage locations in the U.S. will offer on-site Budget truck rentals, and the parties will engage in cross-promotional efforts, including co-branding of websites and “yellow pages” advertising. Budget has also entered into a strategic partnership with Sears, Roebuck &amp; Co., whereby Budget will have the opportunity to open Budget truck rental locations at certain Sears appliance outlet stores nationwide. In September 2007, Budget was accepted as an “approved vendor” of truck rental services by the U.S. Government Services Administration (“GSA”). The GSA agreement allows Budget to bid and/or receive contracts from any federal agency for temporary fleet replacement, special events, natural disasters and other general use.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auto"/>
        </w:rPr>
        <w:t>The truck rental industry is characterized by intense price and service competition. We compete with a large number of truck rental companies throughout the country, including U-Haul International, Inc., Penske Truck Leasing Corporation, Ryder System, Inc., Enterprise Rent-A-Car Company and many others.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7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Our truck rental operations are subject to seasonal demand patterns, with generally higher levels of demand occurring during the late spring and summer months when most self moves occur, with the third quarter typically being our busiest quarter. Generally, December is also a strong month due to increased retail sales activity and package deliveries.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Ancillary products and insurance coverages</w:t>
      </w:r>
    </w:p>
    <w:p>
      <w:pPr>
        <w:spacing w:after="0" w:line="175"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6"/>
          <w:szCs w:val="16"/>
          <w:color w:val="auto"/>
        </w:rPr>
        <w:t xml:space="preserve">We supplement our daily truck rental revenue by offering customers a range of ancillary optional products. We rent automobile towing equipment and other moving accessories such as hand trucks, furniture pads and moving supplies, as well as </w:t>
      </w:r>
      <w:r>
        <w:rPr>
          <w:rFonts w:ascii="Times New Roman" w:cs="Times New Roman" w:eastAsia="Times New Roman" w:hAnsi="Times New Roman"/>
          <w:sz w:val="16"/>
          <w:szCs w:val="16"/>
          <w:i w:val="1"/>
          <w:iCs w:val="1"/>
          <w:color w:val="auto"/>
        </w:rPr>
        <w:t>Where2</w:t>
      </w:r>
      <w:r>
        <w:rPr>
          <w:rFonts w:ascii="Times New Roman" w:cs="Times New Roman" w:eastAsia="Times New Roman" w:hAnsi="Times New Roman"/>
          <w:sz w:val="16"/>
          <w:szCs w:val="16"/>
          <w:color w:val="auto"/>
        </w:rPr>
        <w:t xml:space="preserve"> GPS navigation units. We also make available to customers a range of optional liability-limiting products and coverages such as physical damage waivers, automobile towing protection, personal accident and cargo insurance, and supplemental liability insurance. These ancillary products enhance our appeal to consumers by offering customers “one-stop” moving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generally assume the risk of liability to third parties arising from vehicle rental services in the United States, Canada, Puerto Rico and the U.S. Virgin Islands, for up to $1 million per occurrence, through a combination of self-insurance, insurance coverage provided by one of our domestic subsidiaries and insurance coverage secured from one or more unaffiliated domestic insurance carriers. We retain the exposure for up to $9 million per occurrence, in excess of the previously described $1 million level, through an unaffiliated fronting carrier who is reinsured by our offshore captive insurance company, Constellation Reinsurance Co., Ltd. We also purchase additional excess insurance coverage from a combination of unaffiliated excess carriers.</w:t>
      </w:r>
    </w:p>
    <w:p>
      <w:pPr>
        <w:spacing w:after="0" w:line="13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We insure the risk of liability to third parties in Argentina, Australia and New Zealand through a combination of unaffiliated carriers and our affiliates. These carriers provide coverage supplemental to minimum local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service marks “Avis” and “Budget”, related marks incorporating the words “Avis” or “Budget”, and related logos and marks such as “We try harder” are material to our vehicle rental business. Our subsidiaries, licensees and franchisees actively use these marks. All of the material marks used by the Avis and Budget Systems are registered (or have applications pending for registration) with the United States Patent and Trademark Office as well as all countries worldwide where Avis and Budget have operations. Our subsidiaries own the marks, patents and other intellectual property, including the Wizard System, used in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DATA OF SEGMENTS AND GEOGRAPHIC AREAS</w:t>
      </w:r>
    </w:p>
    <w:p>
      <w:pPr>
        <w:spacing w:after="0" w:line="17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Financial data for our segments and geographic areas are reported in Note 23—Segment Information to our Consolidated Financial Statements included in Item 8 of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including those relating to taxing and licensing of vehicles, franchising, consumer credit, consumer protection, environmental protection, insurance, privacy and labor matters.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75"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The principal environmental regulatory requirements applicable to our vehicle rental operations relate to the ownership or use of tanks for the storage of petroleum products, such as gasoline, diesel fuel and waste oils; the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treatment or discharge of waste waters; and the generation, storage, transportation and off-site treatment or disposal of solid or liquid wastes. We operate approximately 440 Avis and Budget locations at which petroleum products are stored in underground or above ground tanks. We have instituted an environmental compliance program designed to ensure that these tanks are in compliance with applicable technical and operational requirements, including the replacement and upgrade of underground tanks to comply with the December 1998 U.S. Environmental Protection Agency upgrade mandate and periodic testing and leak monitoring of underground storage tanks. We believe that the locations where we currently operate are in compliance, in all material respects, with such regulatory requirements.</w:t>
      </w:r>
    </w:p>
    <w:p>
      <w:pPr>
        <w:spacing w:after="0" w:line="1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We may also be subject to requirements related to the remediation of, or the liability for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w:t>
      </w:r>
    </w:p>
    <w:p>
      <w:pPr>
        <w:spacing w:after="0" w:line="13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may be eligible for reimbursement or payment of remediation costs associated with future releases from regulated underground storage tanks and have established funds to assist in the payment of remediation costs for releases from certain registered underground tanks. Subject to certain deductibles, the availability of funds, compliance status of the tanks and the nature of the release, these tank funds may be available to us for use in remediating future releases from our tank systems.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damage waivers</w:t>
      </w:r>
    </w:p>
    <w:p>
      <w:pPr>
        <w:spacing w:after="0" w:line="17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A traditional revenue source for the vehicle rental industry has been the sale of loss damage waivers, by which rental companies agree to relieve a customer from financial responsibility arising from vehicle damage incurred during the rental period if there has been no breach of the rental agreement. Approximately 4% of our revenue during 2007 was generated by the sale of loss damage waivers. To date, 24 states have enacted legislation which requires disclosure to each customer at the time of rental that damage to the rented vehicle may be covered by the customer’s personal automobile insurance and that loss damage waivers may not be necessary. In addition, New York permits the sale of loss damage waivers at a capped rate per day based on the vehicle manufacturer’s suggested retail price. Illinois, Nevada and California have similar statutes, which establish the daily rate that can be charged for loss damage waivers.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our reinsurance of the optional insurance coverages that we offer through unaffiliated third party insurance companies as well as other insurance obligations, we are subject to regulation under the insurance statutes, including insurance holding company statutes, of the jurisdictions in which our insurance company subsidiaries are domiciled. These regulations vary from jurisdiction to jurisdiction, but generally require insurance holding companies and insurers that are subsidiaries of insurance holding companies to register and file certain reports, including information concerning their capital structure, ownership, financial condition and general business operations with the regulatory authority of the applicable jurisdiction, and require prior regulatory agency approval of changes in control of an insurer and intra-corporate transfers of assets within the holding company structure. Such insurance statutes may also require that we obtain limited licenses to sell optional insurance coverage to our customers at the time of rental.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regulation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sale of franchises is regulated by various state laws, as well as by the Federal Trade Commission (the “FTC”). The FTC requires that franchisors make extensive disclosure to prospective franchisees but does not require registration. A number of states require registration or disclosure in connection with franchise offers and sales. In addition, several states have “franchise relationship laws” or “business opportunity laws” that limit the ability of the franchisor to terminate franchise agreements or to withhold consent to the renewal or transfer of</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these agreements. Although our franchising operations have not been materially adversely affected by such existing regulations, we cannot predict the effect of any future federal, state or local legislation or regulation.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w:t>
      </w:r>
    </w:p>
    <w:p>
      <w:pPr>
        <w:spacing w:after="0" w:line="17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Laws in some countries and jurisdictions limit the types of information we may collect about individuals with whom we deal or propose to deal, as well as how we collect, retain and use the information that we are permitted to collect, some of which is non-public personally identifiable information. The centralized nature of our information systems requires the routine flow of information about customers and potential customers across national borders, particularly into the United States. If this flow of information were to become illegal, or subject to onerous restrictions, our ability to serve our customers could be seriously impaired for an extended period of time. In addition, our failure to maintain the security of the data we hold, whether as a result of our own error or the actions of others, could harm our reputation or give rise to legal liabilities leading to lower revenue, increased costs and otherwise adversely impact our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3"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As of December 31, 2007, we employed approximately 30,000 employees, of which approximately 10,800 people were employed on a part-time basis. Approximately 27% of our employees are covered by collective bargaining agreements. We believe our employee relations are satisfactory. We have never experienced a large-scale work stoppage.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set forth in this Annual Report on Form 10-K. Based on the information currently known to us, we believe that the following information identifies the most significant risk factors affecting our company in each of these categories of risk. However, the risks and uncertainties our company faces are not limited to those described below. Additional risks and uncertainties not presently known to us or that we currently believe to be immaterial may also adversely affect our business. Past financial performance may not be a reliable indicator of future performance and historical trends should not be used to anticipate results or trends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9"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high level of competition in the vehicle rental industry may lead to reduced rental volumes, downward pricing or an inability to increase our prices, which could have an adverse impact on our results of operations.</w:t>
      </w:r>
    </w:p>
    <w:p>
      <w:pPr>
        <w:spacing w:after="0" w:line="1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vehicle rental industry in which we operate is highly competitive. We believe that price is one of the primary competitive factors in the vehicle rental industry. Our competitors, some of whom may have access to substantial capital, may seek to compete aggressively on the basis of pricing. To the extent that we match competitors’ downward pricing, it could have an adverse impact on our results of operations. To the extent that we do not match or remain within a reasonable competitive margin of our competitors’ pricing, it could also have an adverse impact on our results of operations, as we may lose rental volume. The Internet has increased pricing transparency among vehicle rental companies by enabling cost-conscious customers to more easily obtain and compare the rates available from various vehicle rental companies for any given rental. This transparency may increase the prevalence and intensity of price competition in the future.</w:t>
      </w:r>
    </w:p>
    <w:p>
      <w:pPr>
        <w:spacing w:after="0" w:line="137"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risks of increased fleet costs, both generally and the possibility that manufacturers could change or cease their repurchase or guaranteed depreciation programs.</w:t>
      </w:r>
    </w:p>
    <w:p>
      <w:pPr>
        <w:spacing w:after="0" w:line="1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Fleet costs represented approximately 29% of our aggregate expenses for 2007 and can vary from year to year based on the prices at which we are able to purchase and dispose of rental vehicles. For 2007 and 2006, approximately 75% and 88%, respectively, of the rental cars purchased for our domestic car fleet were the subject of agreements requiring automobile manufacturers to repurchase them or guarantee the depreciation rate for a specified period of time. We refer to cars subject to such agreements as “program cars.” Under these repurchase and guaranteed depreciation programs, automobile manufacturers agree to repurchase cars at a specified price during a specified time period or guarantee the rate of depreciation for a specified period of time, typically subject to certain car condition and mileage requirements. Repurchase and guaranteed depreciation programs, therefore, enable us to determine, in advance, our depreciation expense, which is a significant cost factor in our car rental operations. Repurchase and guaranteed depreciation programs also limit the risk to us that the market value of a car, at the time of its disposition, will be less than its estimated residual (or depreciated) value.</w:t>
      </w:r>
    </w:p>
    <w:p>
      <w:pPr>
        <w:spacing w:after="0" w:line="138"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color w:val="auto"/>
        </w:rPr>
        <w:t>Automobile manufacturers may not continue to sell cars to us subject to repurchase or guaranteed depreciation programs at all or on terms consistent with past practice. The overall cost of cars subject to repurchase or guaranteed depreciation programs could also increase if the manufacturers were to make changes to these programs, particularly if such changes were to result in a decrease in the repurchase price or guaranteed depreciation without a corresponding decrease to the original purchase price. Repurchase or guaranteed depreciation programs also generally provide us with flexibility to reduce the size of our fleet rapidly in response to an economic downturn or changes in demand by returning cars sooner than originally expected. This flexibility may be reduced in the future to the extent the percentage of program cars in our car rental fleet decreases or this feature of repurchase or guaranteed depreciation programs is altered.</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a possible decline in the financial condition of automobile manufacturers.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2007, approximately 69% of the cars acquired for our U.S. car rental fleet were manufactured by either General Motors Corporation or Ford Motor Company. A default on any repurchase or guaranteed depreciation agreement, particularly with respect to GM or Ford, might leave us with a substantial unpaid claim against the manufacturer with respect to program cars that were either (i) sold for an amount less than the amount guaranteed under the applicable agreement or (ii) sold and returned to the car manufacturer but for which we were not paid, as well as potential additional expenses if the prices at which we were able to dispose of program cars were less than the specified prices under the repurchase or guaranteed depreciation program. Any increased risk with respect to the likelihood of these defaults or a decline in the results of operations or financial condition of the manufacturers of the cars we purchase could also impact our ability to finance the purchase of cars to maintain our car rental fleet.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of increased fleet costs as a result of the increase in our number of “risk” vehicles.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no control over the terms of manufacturers’ repurchase and guaranteed depreciation programs, and we anticipate that the cost of program vehicles will increase in 2008. We intend to reduce the number of program cars we purchase in 2008 as we acquire more vehicles not covered by repurchase or guaranteed depreciation programs (“risk vehicles”) in order to mitigate such increased costs. We currently sell risk vehicles through auctions, third party resellers and other channels, which channels may not produce stable used vehicle pricing in the future. The costs of our risk vehicles may be materially impacted by the relative strength of the used vehicle marketplace, particularly the marketplace for roughly one-year-old used cars. A decline in the prices at which we sell risk vehicles could have an adverse impact on our fleet holding costs and profitability.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car rental business is dependent on airline passenger traffic, and disruptions in travel patterns could harm our business.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2007, we generated approximately 81% of our domestic car rental revenue from our corporate-owned on-airport locations. As a result, a decline in airline passenger traffic could have an adverse impact on our results of operations. Events that affect air travel could include economic downturns, work stoppages, military conflicts, terrorist incidents or threats, pandemic diseases, natural disasters or the response of governments to any of these events. We also face increased costs of maintaining our positions on-airport through increased competitive bidding and minimum airport guarantees.</w:t>
      </w:r>
    </w:p>
    <w:p>
      <w:pPr>
        <w:spacing w:after="0" w:line="13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decline in general economic conditions, including a decline in the residential housing market, could result in a decline in business and leisure travel, and a decline in truck rentals, which could harm our business.</w:t>
      </w:r>
    </w:p>
    <w:p>
      <w:pPr>
        <w:spacing w:after="0" w:line="1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results of operations are affected by downturns in economic activity in the United States and abroad. An economic downturn could result in a decline in both business and leisure travel and cause a decline in the volume of car rental transactions, and a decline in home sales may result in a decline in truck rental transactions, both of which could have an adverse impact on our business. In the case of a decline in car rental or truck rental activity, we may reduce rental rates to meet competitive pressures, which could have an adverse impact on our results of operations. A general decline in economic conditions also may have an adverse impact on residual values realized on the disposition of our risk vehicles in the wholesale market.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 party distribution channels, and the success of our business depends in significant part on these relationships.</w:t>
      </w:r>
    </w:p>
    <w:p>
      <w:pPr>
        <w:spacing w:after="0" w:line="17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operators of third party distribution channels, through which we generate approximately 45% of our domestic reservations, generally can cancel or modify their agreements with us upon relatively short notice. Changes in our pricing agreements, commission schedules or arrangements with third party distribution channels, the termination of any of our relationships or a reduction in the transaction volume of such channels could have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an adverse impact on our business, financial condition and results of operations. Most of these reservations are made in connection with global distribution systems or GDS (Amadeus, Galileo, Sabre and Worldspan), which aggregate reservations from various sources. Our largest third party source of reservations (other than from GDS) in 2007 was responsible for less than 3% of our domestic reservations.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seasonal, and a disruption in rental activity during our peak season could materially adversely affect our results of operations.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our business, the third quarter of the year has historically been our strongest quarter due to the increased level of leisure travel and household moving activity. In 2007, the third quarter accounted for approximately 28% of our vehicle rental revenue and more than 39% of EBITDA for each of our Domestic Car Rental, International Car Rental and Truck Rental segments. Any occurrence that disrupts rental activity during the third quarter could have a disproportionately adverse impact on our liquidity and/or our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would increase the cost of servicing our debt and could reduce our profitability.</w:t>
      </w:r>
    </w:p>
    <w:p>
      <w:pPr>
        <w:spacing w:after="0" w:line="175"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A significant amount of our borrowings, primarily our vehicle-backed borrowings, bear interest at variable rates and expose us to interest rate risk. If interest rates increase, whether because of an increase in market interest rates or an increase in our own cost of borrowing, our debt service obligations for our variable rate indebtedness would increase even though the amount of borrowings remained the same, and our net income could be adversely affected. As of December 31, 2007, our total outstanding debt of approximately $7.4 billion included interest rate sensitive debt of approximately $500 million (either by its original terms or through the use of interest rate derivatives), which had a weighted average interest rate of approximately 6% per annum. During our seasonal borrowing peak in 2007, outstanding interest rate sensitive debt totaled approximately $1.9 billion, with a weighted average interest rate of approximately 6% per annum.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derivative instruments may impact our results of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utilize derivative instruments to manage a portion of our risk related to interest rate fluctuations. The derivative instruments we use are typically in the form of interest rate swaps. Periodically, we are required to determine the change in fair value, called the “mark to market,” of these derivative instruments, which can result in a non-cash charge or gain being recognized in our financial results for a period preceding the period or periods in which settlement occurs under the derivative instruments and interest payments are made. Changes or shifts in interest rates can significantly impact the valuation of our derivatives and therefore could expose us to substantial mark-to-market losses or gains if interest rates fluctuate materially from the time when the derivatives were entered into. Accordingly, a fluctuation in interest rates may impact our financial position, results of operations, and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implementing our business strategies and growth initiatives.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plan to increase revenues from sources beyond time and mileage rental fees generated by our on-airport locations. In addition to expanding revenue generated by additional products and services offered to our on- and off-airport customers, we plan to expand our presence in the domestic off-airport segment of the car rental market and expand our insurance replacement and local sales at new and existing off-airport locations through a dedicated local sales team. Our ability to generate significant revenue at new or existing off-airport locations may depend on many factors, including our ability to successfully market to off-airport renters, including local customers needing cars while their vehicles are temporarily unavailable due to repairs or other reasons, and our ability to acquire and maintain our status as an approved car rental company by insurance companies. As a result, revenues generated at off-airport locations may not increase substantially in the short-term. We also anticipate generating sustainable cost savings through implementation of our Performance Excellence process improvement initiative and other efforts. If we are unable to successfully implement these strategies, our financial condition and results of operations could be adversely impacted.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exercise of our option to purchase a majority interest in Carey Holdings, Inc., or future acquisitions of existing Avis or Budget franchisees or other businesses, could have an adverse impact on our results of operations.</w:t>
      </w:r>
    </w:p>
    <w:p>
      <w:pPr>
        <w:spacing w:after="0" w:line="1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an option to purchase additional interests which would increase our total ownership to approximately 80% of the common stock of Carey Holdings, Inc., which option expires October 23, 2008. Our decision to exercise this option may involve numerous risks, including those associated with integrating Carey’s operations, technology and personnel into our business, potential disruption of our ongoing business and distraction of management, and exposure to existing as well as unknown liabilities, including litigation involving Carey. Exercise of the option is subject to certain conditions, which would likely include assumption or repayment of Carey’s existing debt facility. Our acquisition of Carey may not be accretive to our earnings and may negatively impact our balance sheet or results of operations. In the future, we may also decide to acquire or invest in other businesses (including the acquisition of existing franchisees), some of which may be significant, and which acquisitions or investments may involve the same or similar risks.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our heavy reliance on communications networks and centralized information systems.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heavily on information systems, including our reservation system, to accept reservations, process rental and sales transactions, manage our fleet of vehicles, account for our activities and otherwise conduct our business. We have centralized our information systems, and we rely on communications service providers to link our systems with the business locations these systems serve. A failure of a major system, or a major disruption of communications between the system and the locations it serves, could cause a loss of reservations, interfere with our ability to manage our fleet, slow rental and sales processes, and otherwise materially adversely affect our ability to manage our business effectively. Our systems’ business continuity plans and insurance programs are designed to mitigate such a risk, not eliminate it.</w:t>
      </w:r>
    </w:p>
    <w:p>
      <w:pPr>
        <w:spacing w:after="0" w:line="139"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In addition, because our systems contain personally identifiable non-public information about millions of individuals and businesses, our failure to maintain the security of the data we hold, whether as a result of our own error or the actions of others, could harm our reputation, give rise to legal liabilities leading to lower revenue and increased costs or otherwise adversely impact our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liability and insurance.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businesses expose us to claims for personal injury, death and property damage related to the use of our vehicles and for workers’ compensation claims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and we may not have sufficient capital available to pay any uninsured claims. Furthermore, insurance with unaffiliated carriers may not continue to be available to us on economically reasonable terms or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could subject us to liability for fines or damages.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environmental laws and regulations in connection with our operations, including, among other things, with respect to the ownership and operation of tanks for the storage of petroleum products, such as gasoline, diesel fuel and motor and waste oils. We have established a compliance program for our tank systems that is intended to ensure that the tanks are properly registered with the state or other jurisdiction in which the tanks are located and have been either replaced or upgraded to meet applicable leak detection and spill, overfill, corrosion protection and vapor recovery requirements. These tank systems may not at all times remain free from undetected leaks, and the use of these tanks may result in significant spills.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made, and will continue to make, expenditures to comply with environmental laws and regulations, including, among others, expenditures for the cleanup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consolidated financial position, results of operations or cash flows.</w:t>
      </w:r>
    </w:p>
    <w:p>
      <w:pPr>
        <w:spacing w:after="0" w:line="132"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Changes in the U.S. and foreign legal and regulatory environment that affect our operations, including laws and regulations relating to the insurance products we sell, consumer privacy, data security, automobile-related liability and insurance rates, could disrupt our business, increase our expenses or otherwise have an adverse impact on our results of operations.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the other countries and jurisdictions in which we operate, and changes in the level of government regulation of our business have the potential to materially alter our business practices or our profitability. Depending on the jurisdiction, those changes may come about through new legislation, the issuance of new laws and regulations or changes in the interpretation of existing laws and regulations by a court, regulatory body or governmental official.</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Optional insurance products, including, but not limited to, supplemental liability insurance, personal accident insurance and personal effects protection, we offer to renters providing various insurance coverages in our domestic vehicle rental operations are regulated under state laws governing the licensing of such products. In our international car rental operations, our offering of optional products providing insurance coverages historically has not been regulated.</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Any changes in U.S. or foreign law that change our operating requirements with respect to optional insurance products could increase our costs of compliance or make it uneconomical to offer such products, which would lead to a reduction in revenue. If customers decline to purchase supplemental liability insurance products through us as a result of any changes in these laws or otherwise, our results of operations could be materially adversely affected.</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almost every state, we recover various costs associated with the title and registration of our vehicles. In addition, where permitted, we also recover certain costs, including concession costs imposed by an airport authority or the owner and/or operator of the premises from which our vehicle is rented. Our long-standing business practice has been to separately state the existence of these additional costs in our rental agreements and invoices, and disclose to consumers additional surcharges used to recover such costs together with an estimated total price, inclusive of these surcharges, in all distribution channels. This standard practice comports with the Federal Trade Commission Act and has been upheld by several courts. We may in the future be subject to potential legislative changes or administrative action which could limit, restrict or prohibit our ability to separately state, charge and recover such costs, which would result in a cost reallocation. If any such changes were to be enacted there may be an adverse impact or limitation on our ability to recover all of the surcharges we currently charge, which could adversely impact our profitability and results of operations.</w:t>
      </w:r>
    </w:p>
    <w:p>
      <w:pPr>
        <w:spacing w:after="0" w:line="134"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held responsible by third parties, regulators or courts for the actions of, or failures to act by, our licensees, dealers or independent operators, which exposes us to possible fines, other liabilities and bad publicity.</w:t>
      </w:r>
    </w:p>
    <w:p>
      <w:pPr>
        <w:spacing w:after="0" w:line="115"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Our car and truck rental franchisee and dealer locations are independently owned and operated. We also operate many of our corporate locations through agreements with “agency operators,” which are third party independent contractors who receive commissions to operate such locations. Our agreements with our franchisees, dealers and agency operators require that they comply with all laws and regulations applicable to their businesses, including our internal policies and standards. Under these agreements, our franchisees, dealers and agency operators retain control over the employment and management of all personnel. Third parties, regulators or courts may seek to hold us responsible for the actions of, or failures to act by, our franchisees, dealers or agency operators. Although</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maintain the right to monitor the operations of these franchisees, dealers and agency operators, and under certain circumstances have the ability to terminate their agreements for failure to adhere to contracted operational standards, we are unlikely to detect all problems. Moreover, there are occasions when the actions and activities of our franchisees, dealers or agency operators may not be clearly distinguishable from our own. It is our policy to vigorously seek to be dismissed from any such claims and to pursue indemnity for any adverse decisions. Failure of our franchisees, dealers or agency operators to comply with laws and regulations may expose us to liability, damages and publicity that may adversely affect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or sustained increases in fuel costs or limitations in fuel supplies could harm our business.</w:t>
      </w:r>
    </w:p>
    <w:p>
      <w:pPr>
        <w:spacing w:after="0" w:line="175"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We could be adversely affected by limitations in fuel supplies or significant or sustained increases in fuel prices. A severe or protracted disruption in fuel supplies or significant increases in fuel prices could have an adverse impact on our financial condition and results of operations, either by directly discouraging consumers from renting cars and trucks or by causing a decline in airline passenger traffic.</w:t>
      </w:r>
    </w:p>
    <w:p>
      <w:pPr>
        <w:spacing w:after="0" w:line="12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substantial capital, and a disruption in our ability to obtain financing for our operations, whether or not beyond our control, could have an adverse impact on our profitability and financial condition.</w:t>
      </w:r>
    </w:p>
    <w:p>
      <w:pPr>
        <w:spacing w:after="0" w:line="1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rely on asset-backed financing for our operations, particularly with respect to our vehicle fleet, which we fund largely through the asset-backed securities and lending market. There has been significant turbulence, reduced liquidity and a significant increase in borrowing spreads in the asset-backed debt markets since third quarter 2007. We may be unable to obtain financing for our operations or refinance our existing financing on similar terms, as a result of negative credit events specific to us, the current asset-backed market environment or a further deterioration in the markets for asset-backed securities, such as:</w:t>
      </w:r>
    </w:p>
    <w:p>
      <w:pPr>
        <w:spacing w:after="0" w:line="177" w:lineRule="exact"/>
        <w:rPr>
          <w:sz w:val="20"/>
          <w:szCs w:val="20"/>
          <w:color w:val="auto"/>
        </w:rPr>
      </w:pPr>
    </w:p>
    <w:p>
      <w:pPr>
        <w:ind w:left="780" w:right="64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the terms, availability and credit market acceptance of the financial guarantee insurance policies that insure our asset-backed indebtedness at the time of the incurrence of additional, or refinancing of existing, asset-backed indebtedness;</w:t>
      </w:r>
    </w:p>
    <w:p>
      <w:pPr>
        <w:spacing w:after="0" w:line="160" w:lineRule="exact"/>
        <w:rPr>
          <w:rFonts w:ascii="Times New Roman" w:cs="Times New Roman" w:eastAsia="Times New Roman" w:hAnsi="Times New Roman"/>
          <w:sz w:val="18"/>
          <w:szCs w:val="18"/>
          <w:color w:val="auto"/>
        </w:rPr>
      </w:pPr>
    </w:p>
    <w:p>
      <w:pPr>
        <w:ind w:left="780" w:hanging="326"/>
        <w:spacing w:after="0" w:line="25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 agencies that provide credit ratings for our asset-backed indebtedness, financial guarantee insurers that insure our asset-backed indebtedness or other third parties requiring changes in the terms and structure of our asset-backed financings, including increased credit enhancement (i) in connection with the incurrence of additional or refinancing of existing asset-backed debt, (ii) upon the occurrence of external events, such as changes in general economic and market conditions or further deterioration in the credit ratings of our principal car manufacturers, including Ford and General Motors, or (iii) any other reasons;</w:t>
      </w:r>
    </w:p>
    <w:p>
      <w:pPr>
        <w:spacing w:after="0" w:line="179" w:lineRule="exact"/>
        <w:rPr>
          <w:rFonts w:ascii="Times New Roman" w:cs="Times New Roman" w:eastAsia="Times New Roman" w:hAnsi="Times New Roman"/>
          <w:sz w:val="18"/>
          <w:szCs w:val="18"/>
          <w:color w:val="auto"/>
        </w:rPr>
      </w:pPr>
    </w:p>
    <w:p>
      <w:pPr>
        <w:ind w:left="780" w:right="40" w:hanging="326"/>
        <w:spacing w:after="0" w:line="25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including but not limited to, an insolvency of, or a payment default by, a financial guarantee insurer of our asset-backed indebtedness, that, under the agreements governing our asset-backed indebtedness, could result, among other things, in (i) an amortization event pursuant to which payments of principal and interest on the affected series of asset-backed notes may be accelerated, or (ii) a liquidation event of default pursuant to which the trustee or holders of asset-backed notes would be permitted to require the sale of fleet vehicles or equipment that collateralizes the asset-backed financing; or</w:t>
      </w:r>
    </w:p>
    <w:p>
      <w:pPr>
        <w:spacing w:after="0" w:line="179"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the acceptance by credit markets of the structures and structural risks associated with asset-backed financing programs such as ours, particularly in light of recent developments in the markets for mortgage-backed securities.</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Any disruption in our ability to obtain asset-backed financing for our operations, or maintain our current funding capacity, financing costs and interest rates, could have an adverse impact on our profitability and financial condition.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terms of ABCR’s senior credit facility and our senior unsecured notes permit us to finance or refinance new car acquisitions through other means, including secured financing that is not limited to the assets of special purpose entity subsidiaries. We may seek in the future to finance or refinance new car acquisitions through such other means. No assurances can be given, however, as to whether such financing will be available, or as to whether the terms of such financing will be comparable to the terms of the senior credit facility or senior unsecured 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impair our financial condition and adversely affect our ability to react to changes in our business.</w:t>
      </w:r>
    </w:p>
    <w:p>
      <w:pPr>
        <w:spacing w:after="0" w:line="175"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As of December 31, 2007, our total debt was approximately $7.4 billion and ABCR had approximately $1.2 billion of available borrowing capacity under ABCR’s senior secured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including:</w:t>
      </w:r>
    </w:p>
    <w:p>
      <w:pPr>
        <w:spacing w:after="0" w:line="212" w:lineRule="exact"/>
        <w:rPr>
          <w:sz w:val="20"/>
          <w:szCs w:val="20"/>
          <w:color w:val="auto"/>
        </w:rPr>
      </w:pPr>
    </w:p>
    <w:p>
      <w:pPr>
        <w:ind w:left="780" w:right="220" w:hanging="326"/>
        <w:spacing w:after="0" w:line="275"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debt service requirements, execution of our business strategy, acquisitions and other purposes;</w:t>
      </w:r>
    </w:p>
    <w:p>
      <w:pPr>
        <w:spacing w:after="0" w:line="160"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debt, which would reduce the funds available to us for other purposes;</w:t>
      </w:r>
    </w:p>
    <w:p>
      <w:pPr>
        <w:spacing w:after="0" w:line="16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flexibility in planning for, and making it more difficult for us to react quickly to, changing conditions; and</w:t>
      </w:r>
    </w:p>
    <w:p>
      <w:pPr>
        <w:spacing w:after="0" w:line="160"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some of our borrowings are at variable rates of interest, which could result in higher interest expenses in the event of increases in interest rates.</w:t>
      </w:r>
    </w:p>
    <w:p>
      <w:pPr>
        <w:spacing w:after="0" w:line="116"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indebtedness levels, we may still be able to incur substantially more debt. This could further exacerbate the risks associated with our substantial indebtedness.</w:t>
      </w:r>
    </w:p>
    <w:p>
      <w:pPr>
        <w:spacing w:after="0" w:line="1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specified limitations, the indenture governing our senior unsecured notes limits, but does not prohibit, us from incurring additional indebtedness in the future. As of December 31, 2007, ABCR’s senior secured credit facility provided us commitments for additional borrowings of up to $1.2 billion, in the aggregate. All of those borrowings would be secured and the lenders under ABCR’s senior secured credit facility would have a prior claim to the assets that secure such indebtedness. If new debt is added to our current debt levels, the risks described above in the previous risk factor could intensify.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agreements and instruments governing our debt may adversely affect our ability to operate our business.</w:t>
      </w:r>
    </w:p>
    <w:p>
      <w:pPr>
        <w:spacing w:after="0" w:line="17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indenture governing our senior unsecured notes and the agreement governing ABCR’s senior secured credit facility contain, and our future debt instruments may contain, various provisions that limit our ability to, among other things:</w:t>
      </w:r>
    </w:p>
    <w:p>
      <w:pPr>
        <w:spacing w:after="0" w:line="160" w:lineRule="exact"/>
        <w:rPr>
          <w:sz w:val="20"/>
          <w:szCs w:val="20"/>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guarantees in respect of obligations of other persons;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redeemable stock and preferred stock;</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redeem or repurchase capital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capital expenditures;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from our subsidiaries;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capital stock of our subsidiaries;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or sell substantially all of our assets to, another person.</w:t>
      </w:r>
    </w:p>
    <w:p>
      <w:pPr>
        <w:spacing w:after="0" w:line="167"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require a significant amount of cash to service all of our indebtedness and our ability to generate sufficient cash depends on many factors, some of which are beyond our control.</w:t>
      </w:r>
    </w:p>
    <w:p>
      <w:pPr>
        <w:spacing w:after="0" w:line="115"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Our ability to make payments on and refinance our debt depends on our ability to generate cash flow. To some extent, this is subject to prevailing economic and competitive conditions and to certain financial, business and other factors, some of which are beyond our control. Our business may not generate cash flow from operations at levels sufficient to permit us to pay principal, premium, if any, and interest on our indebtedness, and our cash needs may increase. If we are unable to generate sufficient cash flow from operations to service our debt and meet our other cash needs, we may be forced to reduce or delay capital expenditures, sell assets or operations, seek additional capital or restructure or refinance our indebtedness. If we must sell our assets, it may negatively affect our ability to generate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Cendant Separation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as a stand-alone vehicle rental company.</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financial information included in this annual report on Form 10-K does not reflect the financial condition, results of operations or cash flows we would have achieved as a stand-alone vehicle rental company during 2005 or 2006. Prior to the completion of the Cendant Separation, the vehicle rental business was operated by Cendant as part of its broader corporate organization, rather than as an independent company. Cendant or one of its affiliates performed various corporate functions for our vehicle rental business, including, but not limited to, tax administration, certain governance functions (including compliance with the Sarbanes-Oxley Act of 2002 and internal audit) and external reporting. Our financial results for all periods other than fourth quarter 2006 and full year 2007 for our operating segments reflect allocations of corporate expenses from Cendant for these and similar functions. These allocations may be more or less than the comparable expenses we would have incurred had we operated as a stand-alone vehicle rental company during those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relying on Realogy, Wyndham Worldwide and Travelport to fulfill their obligations under the Separation Agreement and other agreements.</w:t>
      </w:r>
    </w:p>
    <w:p>
      <w:pPr>
        <w:spacing w:after="0" w:line="17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Pursuant to the Separation Agreement, Realogy and Wyndham Worldwide are responsible for 62.5% and 37.5%, respectively of certain contingent and other of our corporate liabilities including those relating to unresolved tax and legal matters (the “Assumed Obligations”). More specifically, Realogy and Wyndham Worldwide have generally assumed and are responsible for the payment of their allocated percentage of (i) all taxes imposed on us and certain of our subsidiaries and (ii) certain of our contingent and other corporate liabilities and/or our subsidiaries to the extent incurred prior to August 23, 2006. These contingent and other corporate liabilities include liabilities relating to (i) Cendant’s terminated or divested businesses, including among others, the former PHH and Marketing Services (Affinion) businesses, (ii) liabilities relating to the sale of Travelport, (iii) the Securities Action and related litigation (for a further description of these litigation matters, see “Legal Proceedings”) and (iv) generally any actions with respect to the Cendant Separation or the distributions brought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by any third party. If either Realogy or Wyndham were to default in its payment, when due, of any such Assumed Obligations, each non-defaulting party, including us, would be required to pay an equal portion of the amounts in default.</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10, 2007, Realogy was acquired by an affiliate of Apollo Management VI, L.P. and is no longer listed as an independent public company. The acquisition does not affect Relaogy’s obligation to satisfy 62.5% of the Assumed Obligations. However, as a result of the acquisition, Realogy has greater debt obligations and its ability to satisfy its portion of such Assumed Obligations may be adversely impacted. In accordance with the terms of the Separation Agreement, Realogy posted a letter of credit in April 2007 for the benefit of the Company to cover its estimated share of the Assumed Obligations, which is subject to adjustment from time to time, although there can be no assurance that such letter of credit will be sufficient or effective to cover Realogy’s actual obligations if and when they arise. In addition, the Separation Agreement effectively provides Realogy with the right to control the process for resolving disputes related to many of the Assumed Obligations.</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the Separation Agreement provides for cross-indemnities designed to place financial responsibility of certain liabilities and other obligations with the proper company. For example, Realogy, Wyndham Worldwide and/or Travelport are required to indemnify us in respect of certain effective guarantees that result from either us or one of our subsidiaries remaining a named lessee on real estate leases pertaining to properties occupied by Realogy, Wyndham and/or Travelport. Any failure by Realogy, Wyndham Worldwide or Travelport to pay any of their assumed liabilities when due or to indemnify us when required may adversely impact our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shares may fluctuate widely.</w:t>
      </w:r>
    </w:p>
    <w:p>
      <w:pPr>
        <w:spacing w:after="0" w:line="17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The market price of our common stock may fluctuate widely, depending upon many factors, some of which may be beyond our control, including:</w:t>
      </w:r>
    </w:p>
    <w:p>
      <w:pPr>
        <w:spacing w:after="0" w:line="160" w:lineRule="exact"/>
        <w:rPr>
          <w:sz w:val="20"/>
          <w:szCs w:val="20"/>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7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may adversely affect the trading price of our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may be diluted in the future.</w:t>
      </w:r>
    </w:p>
    <w:p>
      <w:pPr>
        <w:spacing w:after="0" w:line="17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Your percentage ownership may be diluted in the future because of equity awards that we granted to our directors, officers and employees and the accelerated vesting of other equity awards. As disclosed in the notes to</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455" w:right="3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our financial statements included herein, in 2007, we granted approximately 1.1 million restricted stock units. We also expect to grant restricted stock units and/or other types of equity awards in the future.</w:t>
      </w:r>
    </w:p>
    <w:p>
      <w:pPr>
        <w:spacing w:after="0" w:line="11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stockholder rights plan and provisions in our certificate of incorporation and by-laws, and of Delaware law may prevent or delay an acquisition of our company, which could decrease the trading price of our common stock.</w:t>
      </w:r>
    </w:p>
    <w:p>
      <w:pPr>
        <w:spacing w:after="0" w:line="11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are intended to deter coercive takeover practices and inadequate takeover bids by making such practices or bids unacceptably expensive to the raider and to encourage prospective acquirors to negotiate with our Board of Directors rather than to attempt a hostile takeover. These provisions include, among others:</w:t>
      </w:r>
    </w:p>
    <w:p>
      <w:pPr>
        <w:spacing w:after="0" w:line="173"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our stockholders to act by written consent;</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issue preferred stock without stockholder approval; and</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right of stockholders to remove directors.</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Delaware law also imposes some restrictions on mergers and other business combinations between us and any holder of 15% or more of our outstanding common stock.</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2006, prior to the Cendant Separation, our Board adopted a stockholder rights plan (the “Rights Plan”) which provides, among other things, that when specified events occur, our stockholders will be entitled to purchase from us a newly created series of junior preferred stock. The preferred stock purchase rights are triggered by the earlier to occur of (i) ten business days (or a later date determined by our Board of Directors before the rights are separated from our common stock) after the public announcement that a person or group has become an “acquiring person” by acquiring beneficial ownership of 15% or more of our outstanding common stock or (ii) ten business days (or a later date determined by our Board before the rights are separated from our common stock) after a person or group begins a tender or exchange offer that, if completed, would result in that person or group becoming an acquiring person. The issuance of preferred stock pursuant to the stockholder rights plan would cause substantial dilution to a person or group that attempts to acquire us on terms not approved by our Board of Directors. The existing Rights Plan will expire in accordance with its current terms unless stockholders approve its continuation at our 2008 annual meeting of stockholders.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these provisions protect our stockholders from coercive or otherwise unfair takeover tactics by requiring potential acquirors to negotiate with our Board and by providing our Board with more time to assess any acquisition proposal. These provisions are not intended to make our company immune from takeovers. However, these provisions apply even if the offer may be considered beneficial by some stockholders and could delay or prevent an acquisition that our Board determines is not in the best interests of our company and our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Our principal executive offices are located at leased offices at 6 Sylvan Way, Parsippany, New Jersey 07054 pursuant to a lease expiring in 2023. Additional corporate functions are also conducted at leased offices at 10 Sylvan Way and Three Century Drive in Parsippany, New Jersey pursuant to leases expiring in 2011 and 2018, respectively. We also own a facility in Virginia Beach, Virginia, which serves as a satellite administrative facility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our car and truck rental operations. Office space is also leased in Orlando, Florida; Englewood, Colorado; Wichita Falls, Texas; Tulsa, Oklahoma; and Fredericton, Canada pursuant to leases expiring in 2010, except for the Englewood and Fredericton leases which expire in 2011. These locations primarily provide operational services for both brands, including call center operations. The Budget office at Redding, California was closed in 2005 and is currently vacant and is subject to a lease expiring in 2011. In addition, there are approximately 15 other leased office locations in the United States for administrative activities, regional sales and operations activities.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lease or have vehicle rental concessions for both the Avis and Budget brands at locations throughout the world. Avis operates approximately 1,000 locations in the United States and approximately 315 locations outside the United States. Of those locations, approximately 240 in the United States and approximately 120 outside the United States are at airports. Budget operates at approximately 620 locations in the United States of which approximately 160 are at airports. Budget also operates at approximately 180 locations outside the United States of which approximately 60 are at airports. Typically, an airport receives a percentage of vehicle rental revenue, with a guaranteed minimum. Because there is a limit to the number of vehicle rental locations in an airport, vehicle rental companies frequently bid for the available locations, usually on the basis of the size of the guaranteed minimums. We believe that our properties are sufficient to meet our present needs and we do not anticipate any difficulty in securing additional space, as needed, on acceptable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Rental 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along with our subsidiaries, are involved from time to time in legal proceedings in the ordinary course of business, including the cases described below.</w:t>
      </w:r>
    </w:p>
    <w:p>
      <w:pPr>
        <w:spacing w:after="0" w:line="16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 xml:space="preserve">On August 8, 2006, </w:t>
      </w:r>
      <w:r>
        <w:rPr>
          <w:rFonts w:ascii="Times New Roman" w:cs="Times New Roman" w:eastAsia="Times New Roman" w:hAnsi="Times New Roman"/>
          <w:sz w:val="16"/>
          <w:szCs w:val="16"/>
          <w:i w:val="1"/>
          <w:iCs w:val="1"/>
          <w:color w:val="auto"/>
        </w:rPr>
        <w:t>Ludwig v. Avis Rent A Car System, Inc.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Farrell v. Budget Rent A Car System, Inc</w:t>
      </w:r>
      <w:r>
        <w:rPr>
          <w:rFonts w:ascii="Times New Roman" w:cs="Times New Roman" w:eastAsia="Times New Roman" w:hAnsi="Times New Roman"/>
          <w:sz w:val="16"/>
          <w:szCs w:val="16"/>
          <w:color w:val="auto"/>
        </w:rPr>
        <w:t>. were commenced in the Superior Court of California in and for Los Angeles on behalf of plaintiffs and all others similarly situated claiming violations of California Civil Code Section 1936 and unlawful, unfair or fraudulent business practices under California Business and Professions Code Section 17203. In both cases, plaintiffs seek class certification, general and compensatory damages, attorneys’ fees and seek that Avis and Budget, respectively, be enjoined from future conduct constituting violations of Civil Code Section 1936. Section 1936 of the California Civil Code establishes the additional daily rates which a rental car company may charge for the optional loss damage waiver product based on the manufacturer suggested retail price (MSRP) of the vehicle in 2002 with Consumer Price Index increases to the MSRP commencing January 1, 2003. Plaintiffs contend that the amount of the daily charge imposed for certain classes of vehicles exceeds the amount set forth in the statute based on the vehicle cost. No class certification hearing has been scheduled or heard by the court. On January 8, 2008, the court determined that no further briefing on any motions, including class certification motions, could occur until after a decision is reached on our motion for summary judgment.</w:t>
      </w:r>
    </w:p>
    <w:p>
      <w:pPr>
        <w:spacing w:after="0" w:line="1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Avis has been named as a defendant in two putative class actions (</w:t>
      </w:r>
      <w:r>
        <w:rPr>
          <w:rFonts w:ascii="Times New Roman" w:cs="Times New Roman" w:eastAsia="Times New Roman" w:hAnsi="Times New Roman"/>
          <w:sz w:val="18"/>
          <w:szCs w:val="18"/>
          <w:i w:val="1"/>
          <w:iCs w:val="1"/>
          <w:color w:val="auto"/>
        </w:rPr>
        <w:t>Esquivel v. Avis</w:t>
      </w:r>
      <w:r>
        <w:rPr>
          <w:rFonts w:ascii="Times New Roman" w:cs="Times New Roman" w:eastAsia="Times New Roman" w:hAnsi="Times New Roman"/>
          <w:sz w:val="18"/>
          <w:szCs w:val="18"/>
          <w:color w:val="auto"/>
        </w:rPr>
        <w:t xml:space="preserve">, commenced January 24, 2004 in the 214th Judicial District of Nueces County, Texas, and </w:t>
      </w:r>
      <w:r>
        <w:rPr>
          <w:rFonts w:ascii="Times New Roman" w:cs="Times New Roman" w:eastAsia="Times New Roman" w:hAnsi="Times New Roman"/>
          <w:sz w:val="18"/>
          <w:szCs w:val="18"/>
          <w:i w:val="1"/>
          <w:iCs w:val="1"/>
          <w:color w:val="auto"/>
        </w:rPr>
        <w:t>Stafford v. Avis</w:t>
      </w:r>
      <w:r>
        <w:rPr>
          <w:rFonts w:ascii="Times New Roman" w:cs="Times New Roman" w:eastAsia="Times New Roman" w:hAnsi="Times New Roman"/>
          <w:sz w:val="18"/>
          <w:szCs w:val="18"/>
          <w:color w:val="auto"/>
        </w:rPr>
        <w:t xml:space="preserve">, commenced February 16, 2005 in the District Court in and for Creek County, State of Oklahoma). Each case alleges that the Company’s use and collection of the fuel service charge (“FSC”), pursuant to its rental agreements, constitutes an illegal penalty and is therefore a breach of the rental agreements between the Company and the putative class members and is unconscionable under the relevant state Uniform Commercial Code. The cases assert other causes of action such as fraudulent misrepresentation, unjust enrichment and unfair trade practice under the Oklahoma Consumer Protection Act. The putative class in </w:t>
      </w:r>
      <w:r>
        <w:rPr>
          <w:rFonts w:ascii="Times New Roman" w:cs="Times New Roman" w:eastAsia="Times New Roman" w:hAnsi="Times New Roman"/>
          <w:sz w:val="18"/>
          <w:szCs w:val="18"/>
          <w:i w:val="1"/>
          <w:iCs w:val="1"/>
          <w:color w:val="auto"/>
        </w:rPr>
        <w:t>Esquivel</w:t>
      </w:r>
      <w:r>
        <w:rPr>
          <w:rFonts w:ascii="Times New Roman" w:cs="Times New Roman" w:eastAsia="Times New Roman" w:hAnsi="Times New Roman"/>
          <w:sz w:val="18"/>
          <w:szCs w:val="18"/>
          <w:color w:val="auto"/>
        </w:rPr>
        <w:t xml:space="preserve"> comprises all Texas residents who were charged an FSC by Avis or its licensee in Texas after February 6, 2000; and in </w:t>
      </w:r>
      <w:r>
        <w:rPr>
          <w:rFonts w:ascii="Times New Roman" w:cs="Times New Roman" w:eastAsia="Times New Roman" w:hAnsi="Times New Roman"/>
          <w:sz w:val="18"/>
          <w:szCs w:val="18"/>
          <w:i w:val="1"/>
          <w:iCs w:val="1"/>
          <w:color w:val="auto"/>
        </w:rPr>
        <w:t>Stafford</w:t>
      </w:r>
      <w:r>
        <w:rPr>
          <w:rFonts w:ascii="Times New Roman" w:cs="Times New Roman" w:eastAsia="Times New Roman" w:hAnsi="Times New Roman"/>
          <w:sz w:val="18"/>
          <w:szCs w:val="18"/>
          <w:color w:val="auto"/>
        </w:rPr>
        <w:t>, the class comprises all persons who were charged an FSC by Avis, or alternatively, all Oklahoma residents who were charged an FSC by Avis. In each case, the plaintiff seeks an unspecified amount of compensatory damages, with the return of all FSC paid or the difference between the FSC and the Company’s actual costs, disgorgement of unearned profits, attorneys’ fees and costs. In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Esquivel</w:t>
      </w:r>
      <w:r>
        <w:rPr>
          <w:rFonts w:ascii="Times New Roman" w:cs="Times New Roman" w:eastAsia="Times New Roman" w:hAnsi="Times New Roman"/>
          <w:sz w:val="18"/>
          <w:szCs w:val="18"/>
          <w:color w:val="auto"/>
        </w:rPr>
        <w:t xml:space="preserve"> matter, a hearing on the plaintiff’s motion for class certification was adjourned and has not been rescheduled. No class certification hearing has been scheduled in the Stafford case, where discovery is ongoing.</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27, 2006, plaintiffs Giuseppe Demarte and Mona Self filed a complaint against Budget Truck Rental, LLC (“BTR”) in the Superior Court of the State of California, County of Los Angeles. The complaint alleges causes of action for unlawful business practices in violation of California Business &amp; Professions Code Section 17200, et seq., and conversion, relating to BTR’s refueling practices and procedures. The complaint is asserted as a putative class action on behalf of “all persons who, within the four years preceding the filing of the Complaint, have entered into a truck rental agreement with BTR in California that provided for a refueling fee and who paid that fee, or have paid for fuel in connection with that rental agreement based on the amount of fuel measured by the rented truck’s fuel gauge, or have returned the rented truck to Budget with more fuel in the tank than at the initiation of the rental.” The parties have settled this action and court approval of settlement terms is pending.</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November 14, 2007, two California residents filed a putative class action lawsuit, captioned </w:t>
      </w:r>
      <w:r>
        <w:rPr>
          <w:rFonts w:ascii="Times New Roman" w:cs="Times New Roman" w:eastAsia="Times New Roman" w:hAnsi="Times New Roman"/>
          <w:sz w:val="18"/>
          <w:szCs w:val="18"/>
          <w:i w:val="1"/>
          <w:iCs w:val="1"/>
          <w:color w:val="auto"/>
        </w:rPr>
        <w:t>Michael Shames et al. v. The Hertz Corp. et al.</w:t>
      </w:r>
      <w:r>
        <w:rPr>
          <w:rFonts w:ascii="Times New Roman" w:cs="Times New Roman" w:eastAsia="Times New Roman" w:hAnsi="Times New Roman"/>
          <w:sz w:val="18"/>
          <w:szCs w:val="18"/>
          <w:color w:val="auto"/>
        </w:rPr>
        <w:t xml:space="preserve">, No. 07 CV 2174H (S.D. Cal.), against Avis Budget, six other rental car companies, the California Travel and Tourism Commission (the “CTTC”) and the CTTC’s Executive Director, alleging that the defendants violated federal antitrust law and California’s Unfair Competition Law and False Advertising Law by allegedly agreeing to pass on airport concession fees and a state tourism commission assessment to passenger car renters in California. One plaintiff has raised an additional claim against the CTTC and its Executive Director of alleged violations of California’s Bagley-Keene Open Meeting Act. The plaintiffs are seeking treble damages, injunctive relief and attorneys’ fees and costs. We have filed a motion to dismiss the </w:t>
      </w:r>
      <w:r>
        <w:rPr>
          <w:rFonts w:ascii="Times New Roman" w:cs="Times New Roman" w:eastAsia="Times New Roman" w:hAnsi="Times New Roman"/>
          <w:sz w:val="18"/>
          <w:szCs w:val="18"/>
          <w:i w:val="1"/>
          <w:iCs w:val="1"/>
          <w:color w:val="auto"/>
        </w:rPr>
        <w:t>Shames</w:t>
      </w:r>
      <w:r>
        <w:rPr>
          <w:rFonts w:ascii="Times New Roman" w:cs="Times New Roman" w:eastAsia="Times New Roman" w:hAnsi="Times New Roman"/>
          <w:sz w:val="18"/>
          <w:szCs w:val="18"/>
          <w:color w:val="auto"/>
        </w:rPr>
        <w:t xml:space="preserve"> suit, which has not yet been decided. We intend to vigorously defend this suit as we believe it is without merit.</w:t>
      </w:r>
    </w:p>
    <w:p>
      <w:pPr>
        <w:spacing w:after="0" w:line="13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In December 2007, two individuals filed separate but virtually identical putative class action lawsuits, captioned </w:t>
      </w:r>
      <w:r>
        <w:rPr>
          <w:rFonts w:ascii="Times New Roman" w:cs="Times New Roman" w:eastAsia="Times New Roman" w:hAnsi="Times New Roman"/>
          <w:sz w:val="16"/>
          <w:szCs w:val="16"/>
          <w:i w:val="1"/>
          <w:iCs w:val="1"/>
          <w:color w:val="auto"/>
        </w:rPr>
        <w:t>Thomas J. Comiskey et al. v. Avis Budget Group,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 et al., </w:t>
      </w:r>
      <w:r>
        <w:rPr>
          <w:rFonts w:ascii="Times New Roman" w:cs="Times New Roman" w:eastAsia="Times New Roman" w:hAnsi="Times New Roman"/>
          <w:sz w:val="16"/>
          <w:szCs w:val="16"/>
          <w:color w:val="auto"/>
        </w:rPr>
        <w:t>No. CV07-08118 (C.D. Cal.) and</w:t>
      </w:r>
      <w:r>
        <w:rPr>
          <w:rFonts w:ascii="Times New Roman" w:cs="Times New Roman" w:eastAsia="Times New Roman" w:hAnsi="Times New Roman"/>
          <w:sz w:val="16"/>
          <w:szCs w:val="16"/>
          <w:i w:val="1"/>
          <w:iCs w:val="1"/>
          <w:color w:val="auto"/>
        </w:rPr>
        <w:t xml:space="preserve"> Isabel S. Cohen et al. v. Avis Budget Group, Inc. et al, </w:t>
      </w:r>
      <w:r>
        <w:rPr>
          <w:rFonts w:ascii="Times New Roman" w:cs="Times New Roman" w:eastAsia="Times New Roman" w:hAnsi="Times New Roman"/>
          <w:sz w:val="16"/>
          <w:szCs w:val="16"/>
          <w:color w:val="auto"/>
        </w:rPr>
        <w:t>No. CV07-08164 (C.D. Cal.), against Avis Budget, 12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rental car companies, the CTTC and California’s Secretary of Business, Transportation and Housing. These suits challenge the tourism commission assessment fees imposed on certain renters in California as of January 1, 2007. Both the </w:t>
      </w:r>
      <w:r>
        <w:rPr>
          <w:rFonts w:ascii="Times New Roman" w:cs="Times New Roman" w:eastAsia="Times New Roman" w:hAnsi="Times New Roman"/>
          <w:sz w:val="16"/>
          <w:szCs w:val="16"/>
          <w:i w:val="1"/>
          <w:iCs w:val="1"/>
          <w:color w:val="auto"/>
        </w:rPr>
        <w:t>Comiskey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Cohen</w:t>
      </w:r>
      <w:r>
        <w:rPr>
          <w:rFonts w:ascii="Times New Roman" w:cs="Times New Roman" w:eastAsia="Times New Roman" w:hAnsi="Times New Roman"/>
          <w:sz w:val="16"/>
          <w:szCs w:val="16"/>
          <w:color w:val="auto"/>
        </w:rPr>
        <w:t xml:space="preserve"> suits allege that California’s tourism assessment program with respect to the rental car industry (i) infringes on renters’ speech and associational rights in violation of both the U. S. and California Constitutions, (ii) violates the Commerce Clause of the U.S. Constitution, (iii) violates 42 U.S.C. § 1983 insofar as the assessment program violates the federal Constitution’s Commerce Clause and First and Fourteenth Amendments, and (iv) violates the Motor Vehicle Revenues section of the California Constitution. Both complaints seek declaratory and injunctive relief, a refund of all California tourism commission assessment fees collected by the rental car defendants, attorneys’ fees and costs, and unspecified damages. On February 5, 2008, the district court consolidated the </w:t>
      </w:r>
      <w:r>
        <w:rPr>
          <w:rFonts w:ascii="Times New Roman" w:cs="Times New Roman" w:eastAsia="Times New Roman" w:hAnsi="Times New Roman"/>
          <w:sz w:val="16"/>
          <w:szCs w:val="16"/>
          <w:i w:val="1"/>
          <w:iCs w:val="1"/>
          <w:color w:val="auto"/>
        </w:rPr>
        <w:t>Comiskey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Cohen</w:t>
      </w:r>
      <w:r>
        <w:rPr>
          <w:rFonts w:ascii="Times New Roman" w:cs="Times New Roman" w:eastAsia="Times New Roman" w:hAnsi="Times New Roman"/>
          <w:sz w:val="16"/>
          <w:szCs w:val="16"/>
          <w:color w:val="auto"/>
        </w:rPr>
        <w:t xml:space="preserve"> suits, and defendants’ responses have been postponed until after the plaintiffs have filed a consolidated complaint. We intend to vigorously defend this consolidated action as we believe it is without merit.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Litigation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the Separation Agreement, Realogy has assumed 62.5% and Wyndham Worldwide has assumed 37.5% of certain contingent and other corporate liabilities (and related costs and expenses), including legal matters and related disputes, of the Company or its subsidiaries which are not primarily related to any of the respective businesses of Realogy, Wyndham Worldwide, Travelport and/or the Company’s vehicle rental operations, in each case incurred or allegedly incurred on or prior to the date of the separation of Travelport from the Company. Such litigation includes the litigation described below.</w:t>
      </w:r>
    </w:p>
    <w:p>
      <w:pPr>
        <w:spacing w:after="0" w:line="13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After the April 15, 1998 announcement of the discovery of accounting irregularities in the former CUC International, Inc. (“CUC”) business units approximately 70 lawsuits claiming to be class actions and other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were commenced against the Company and other defendants, virtually all of which have been settled other than as discussed below.</w:t>
      </w:r>
    </w:p>
    <w:p>
      <w:pPr>
        <w:spacing w:after="0" w:line="16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In Re Cendant Corporation Litigation</w:t>
      </w:r>
      <w:r>
        <w:rPr>
          <w:rFonts w:ascii="Times New Roman" w:cs="Times New Roman" w:eastAsia="Times New Roman" w:hAnsi="Times New Roman"/>
          <w:sz w:val="18"/>
          <w:szCs w:val="18"/>
          <w:color w:val="auto"/>
        </w:rPr>
        <w:t>, Master File No. 98-1664 (WHW) (D.N.J.) (the “Securities Action”), was a consolidated class action brought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persons who acquired securities of Cendant and CUC, except PRIDES securities, between May 31, 1995 and August 28, 1998. Named as defendants are the Company; 28 current and former officers and directors of Cendant, CUC and HFS Incorporated; and Ernst &amp; Young LLP, CUC’s former independent accounting firm.</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Amended and Consolidated Class Action Complaint in the Securities Action alleges that, among other things, the lead plaintiffs and members of the class were damaged when they acquired securities of Cendant and CUC because, as a result of accounting irregularities, Cendant’s and CUC’s previously issued financial statements were materially false and misleading, and the allegedly false and misleading financial statements caused the prices of Cendant’s and CUC’s securities to be inflated artificially.</w:t>
      </w:r>
    </w:p>
    <w:p>
      <w:pPr>
        <w:spacing w:after="0" w:line="136"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On December 7, 1999, we announced that we had reached an agreement to settle claims made by class members in the Securities Action for approximately $2,850 million in cash plus 50 percent of any net recovery we receive from Ernst &amp; Young as a result of our cross-claims against Ernst &amp; Young as described below. This settlement received all necessary court approvals and was fully funded on May 24, 2002.</w:t>
      </w:r>
    </w:p>
    <w:p>
      <w:pPr>
        <w:spacing w:after="0" w:line="13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January 25, 1999, we asserted cross-claims against Ernst &amp; Young that alleged that Ernst &amp; Young failed to follow professional standards to discover and recklessly disregarded the accounting irregularities and is therefore liable to us for damages in unspecified amounts. The cross-claims assert claims for breaches of Ernst &amp; Young’s audit agreements with us, negligence, breaches of fiduciary duty, fraud and contribution. On July 18, 2000, we filed amended cross-claims against Ernst &amp; Young asserting the same claims.</w:t>
      </w:r>
    </w:p>
    <w:p>
      <w:pPr>
        <w:spacing w:after="0" w:line="13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March 26, 1999, Ernst &amp; Young filed cross-claims against us and certain of our present and former officers and directors that alleged that any failure by Ernst &amp; Young to discover the accounting irregularities was caused by misrepresentations and omissions made to Ernst &amp; Young in the course of its audits and other reviews of our financial statements. Ernst &amp; Young’s cross-claims assert claims for breach of contract, fraud, fraudulent inducement, negligent misrepresentation and contribution. Damages in unspecified amounts were sought for the costs to Ernst &amp; Young associated with defending the various shareholder lawsuits, lost business it claims is attributable to Ernst &amp; Young’s association with us, and for harm to Ernst &amp; Young’s reputation. On June 4, 2001, Ernst &amp; Young filed amended cross-claims against us asserting the same claims.</w:t>
      </w:r>
    </w:p>
    <w:p>
      <w:pPr>
        <w:spacing w:after="0" w:line="139"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On December 21, 2007, the Company and certain other parties entered into a settlement agreement with Ernst &amp; Young to settle all claims between the parties arising out of the Securities Action. Pursuant to the terms of the settlement, Ernst &amp; Young has agreed to pay into escrow an aggregate of $298.5 million (the “Settlement Amount”) to settle all claims arising from the Securities Action.</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Settlement Amount will be distributed from escrow to certain parties involved in the Securities Action, including the plaintiff class members in the Securities Action, persons who purchased or otherwise acquired shares of Cendant’s PRIDES securities between April 16, 1998 and August 28, 1998, certain officers and directors of HFS Incorporated and to Realogy and Wyndham. Pursuant to the terms of the Separation Agreement, Realogy and Wyndham are entitled to 62.5% and 37.5%, respectively, of our portion of the Settlement Amount. Pursuant to the Separation Agreement, Realogy and Wyndham have approved the terms of, and authorized us to execute, the settlement agreement. The receipt and distribution of the Settlement Amount will have no net impact on our financial statements or cash balances.</w:t>
      </w:r>
    </w:p>
    <w:p>
      <w:pPr>
        <w:spacing w:after="0" w:line="137"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CSI Investment et. al. vs. Cendant et. al., </w:t>
      </w:r>
      <w:r>
        <w:rPr>
          <w:rFonts w:ascii="Times New Roman" w:cs="Times New Roman" w:eastAsia="Times New Roman" w:hAnsi="Times New Roman"/>
          <w:sz w:val="18"/>
          <w:szCs w:val="18"/>
          <w:color w:val="auto"/>
        </w:rPr>
        <w:t>(Case No. 1:00-CV-01422 (DAB-DFE) (S.D.N.Y.) (“Credentials Litigation”) is an action for breach of contract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fraud arising out of Cendant’s acquisition of the Credentials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business in 1998. The Credentials Litigation commenced in February 2000 and was filed against Cendant and its senior management. The Stock Purchase Agreement provided for the sale of Credentials Services International to Cendant for a set price of $125 million plus an additional amount which was contingent on Credentials’ future performance. The closing occurred just prior to Cendant’s April 15, 1998 announcement of the discovery of accounting irregularities in the former CUC business units. Plaintiffs seek payment of certain “hold back” monies in the total amount of $5.7 million, as well as a contingent payment based upon future performance that plaintiffs contend should have been approximately $50 million. In early 2007, the parties moved for summary judgment on various aspects of the case. In a written opinion issued on September 7, 2007, the Court granted Cendant’s motion for summary judgment on the fraud claims and plaintiffs’ motion for summary judgment with respect to the plaintiffs’ claims for hold back monies and for breach of contract for failing to perform in good faith and pay the contingent fee. Including pre-judgment interest, the Court entered judgment in favor of plaintiffs in the amount of approximately $94.3 million plus attorneys fees. On September 21, 2007, we filed a motion for reconsideration. On October 22, 2007, plaintiffs opposed the motion and cross moved for reconsideration of the Court’s dismissal of plaintiffs’ fraud claims. We opposed the cross motion on November 5, 2007, and filed a reply on its motion on November 12, 2007. Both motions are still pending. Pursuant to the Separation Agreement, Realogy and Wyndham are responsible for 62.5% and 37.5%, respectively, of any liability related to the Credentials Litigation; therefore, we expect that any judgment or payment related to the Credentials Litigation will have no net impact on our financial statements or cash balances.</w:t>
      </w:r>
    </w:p>
    <w:p>
      <w:pPr>
        <w:spacing w:after="0" w:line="146"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Realogy, Wyndham Worldwide and Travelport have also assumed under the Separation Agreement certain contingent and other corporate liabilities (and related costs and expenses), which include legal proceedings where we are named as a defendant but are primarily related to each of their respective businesses.</w:t>
      </w:r>
    </w:p>
    <w:p>
      <w:pPr>
        <w:spacing w:after="0" w:line="72" w:lineRule="exact"/>
        <w:rPr>
          <w:sz w:val="20"/>
          <w:szCs w:val="20"/>
          <w:color w:val="auto"/>
        </w:rPr>
      </w:pPr>
    </w:p>
    <w:p>
      <w:pPr>
        <w:ind w:right="5300"/>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ITEM 4. SUBMISSION OF MATTERS TO A VOTE OF SECURITY HOLDERS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left="920" w:right="580" w:hanging="904"/>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Common Stock</w:t>
      </w:r>
    </w:p>
    <w:p>
      <w:pPr>
        <w:spacing w:after="0" w:line="17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“CAR”. At January 31, 2008, the number of stockholders of record was approximately 3,528. The following table sets forth the quarterly high and low sales prices per share of CAR common stock as reported by the NYSE for 2007 and 2006.</w:t>
      </w:r>
    </w:p>
    <w:p>
      <w:pPr>
        <w:sectPr>
          <w:pgSz w:w="11900" w:h="16838" w:orient="portrait"/>
          <w:cols w:equalWidth="0" w:num="1">
            <w:col w:w="11420"/>
          </w:cols>
          <w:pgMar w:left="240" w:top="455" w:right="2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891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Second Quarter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2006 </w:t>
      </w:r>
      <w:r>
        <w:rPr>
          <w:rFonts w:ascii="Times New Roman" w:cs="Times New Roman" w:eastAsia="Times New Roman" w:hAnsi="Times New Roman"/>
          <w:sz w:val="22"/>
          <w:szCs w:val="2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89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First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Second Quarter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67"/>
        <w:spacing w:after="0"/>
        <w:rPr>
          <w:sz w:val="20"/>
          <w:szCs w:val="20"/>
          <w:color w:val="auto"/>
        </w:rPr>
      </w:pPr>
      <w:r>
        <w:rPr>
          <w:rFonts w:ascii="Times New Roman" w:cs="Times New Roman" w:eastAsia="Times New Roman" w:hAnsi="Times New Roman"/>
          <w:sz w:val="18"/>
          <w:szCs w:val="18"/>
          <w:b w:val="1"/>
          <w:bCs w:val="1"/>
          <w:color w:val="auto"/>
        </w:rPr>
        <w:t>High</w:t>
      </w:r>
    </w:p>
    <w:p>
      <w:pPr>
        <w:spacing w:after="0" w:line="25" w:lineRule="exact"/>
        <w:rPr>
          <w:sz w:val="20"/>
          <w:szCs w:val="20"/>
          <w:color w:val="auto"/>
        </w:rPr>
      </w:pPr>
    </w:p>
    <w:p>
      <w:pPr>
        <w:ind w:left="107" w:hanging="107"/>
        <w:spacing w:after="0"/>
        <w:tabs>
          <w:tab w:leader="none" w:pos="10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28.10</w:t>
      </w:r>
    </w:p>
    <w:p>
      <w:pPr>
        <w:spacing w:after="0" w:line="44" w:lineRule="exact"/>
        <w:rPr>
          <w:rFonts w:ascii="Times New Roman" w:cs="Times New Roman" w:eastAsia="Times New Roman" w:hAnsi="Times New Roman"/>
          <w:sz w:val="16"/>
          <w:szCs w:val="16"/>
          <w:color w:val="auto"/>
        </w:rPr>
      </w:pPr>
    </w:p>
    <w:p>
      <w:pPr>
        <w:ind w:left="10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31.47</w:t>
      </w:r>
    </w:p>
    <w:p>
      <w:pPr>
        <w:spacing w:after="0" w:line="32" w:lineRule="exact"/>
        <w:rPr>
          <w:rFonts w:ascii="Times New Roman" w:cs="Times New Roman" w:eastAsia="Times New Roman" w:hAnsi="Times New Roman"/>
          <w:sz w:val="16"/>
          <w:szCs w:val="16"/>
          <w:color w:val="auto"/>
        </w:rPr>
      </w:pPr>
    </w:p>
    <w:p>
      <w:pPr>
        <w:ind w:left="10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30.24</w:t>
      </w:r>
    </w:p>
    <w:p>
      <w:pPr>
        <w:spacing w:after="0" w:line="32" w:lineRule="exact"/>
        <w:rPr>
          <w:rFonts w:ascii="Times New Roman" w:cs="Times New Roman" w:eastAsia="Times New Roman" w:hAnsi="Times New Roman"/>
          <w:sz w:val="16"/>
          <w:szCs w:val="16"/>
          <w:color w:val="auto"/>
        </w:rPr>
      </w:pPr>
    </w:p>
    <w:p>
      <w:pPr>
        <w:ind w:left="10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-535305</wp:posOffset>
            </wp:positionV>
            <wp:extent cx="317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27" w:lineRule="exact"/>
        <w:rPr>
          <w:sz w:val="20"/>
          <w:szCs w:val="20"/>
          <w:color w:val="auto"/>
        </w:rPr>
      </w:pPr>
    </w:p>
    <w:p>
      <w:pPr>
        <w:ind w:left="67"/>
        <w:spacing w:after="0"/>
        <w:rPr>
          <w:sz w:val="20"/>
          <w:szCs w:val="20"/>
          <w:color w:val="auto"/>
        </w:rPr>
      </w:pPr>
      <w:r>
        <w:rPr>
          <w:rFonts w:ascii="Times New Roman" w:cs="Times New Roman" w:eastAsia="Times New Roman" w:hAnsi="Times New Roman"/>
          <w:sz w:val="18"/>
          <w:szCs w:val="18"/>
          <w:b w:val="1"/>
          <w:bCs w:val="1"/>
          <w:color w:val="auto"/>
        </w:rPr>
        <w:t>High</w:t>
      </w:r>
    </w:p>
    <w:p>
      <w:pPr>
        <w:spacing w:after="0" w:line="25" w:lineRule="exact"/>
        <w:rPr>
          <w:sz w:val="20"/>
          <w:szCs w:val="20"/>
          <w:color w:val="auto"/>
        </w:rPr>
      </w:pPr>
    </w:p>
    <w:p>
      <w:pPr>
        <w:ind w:left="107" w:hanging="107"/>
        <w:spacing w:after="0"/>
        <w:tabs>
          <w:tab w:leader="none" w:pos="10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23.95</w:t>
      </w:r>
    </w:p>
    <w:p>
      <w:pPr>
        <w:spacing w:after="0" w:line="44" w:lineRule="exact"/>
        <w:rPr>
          <w:rFonts w:ascii="Times New Roman" w:cs="Times New Roman" w:eastAsia="Times New Roman" w:hAnsi="Times New Roman"/>
          <w:sz w:val="16"/>
          <w:szCs w:val="16"/>
          <w:color w:val="auto"/>
        </w:rPr>
      </w:pPr>
    </w:p>
    <w:p>
      <w:pPr>
        <w:ind w:left="10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24.02</w:t>
      </w:r>
    </w:p>
    <w:p>
      <w:pPr>
        <w:spacing w:after="0" w:line="32" w:lineRule="exact"/>
        <w:rPr>
          <w:rFonts w:ascii="Times New Roman" w:cs="Times New Roman" w:eastAsia="Times New Roman" w:hAnsi="Times New Roman"/>
          <w:sz w:val="16"/>
          <w:szCs w:val="16"/>
          <w:color w:val="auto"/>
        </w:rPr>
      </w:pPr>
    </w:p>
    <w:p>
      <w:pPr>
        <w:ind w:left="10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25.50</w:t>
      </w:r>
    </w:p>
    <w:p>
      <w:pPr>
        <w:spacing w:after="0" w:line="32" w:lineRule="exact"/>
        <w:rPr>
          <w:rFonts w:ascii="Times New Roman" w:cs="Times New Roman" w:eastAsia="Times New Roman" w:hAnsi="Times New Roman"/>
          <w:sz w:val="16"/>
          <w:szCs w:val="16"/>
          <w:color w:val="auto"/>
        </w:rPr>
      </w:pPr>
    </w:p>
    <w:p>
      <w:pPr>
        <w:ind w:left="10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-535305</wp:posOffset>
            </wp:positionV>
            <wp:extent cx="317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Low</w:t>
      </w:r>
    </w:p>
    <w:p>
      <w:pPr>
        <w:spacing w:after="0" w:line="25" w:lineRule="exact"/>
        <w:rPr>
          <w:sz w:val="20"/>
          <w:szCs w:val="20"/>
          <w:color w:val="auto"/>
        </w:rPr>
      </w:pPr>
    </w:p>
    <w:p>
      <w:pPr>
        <w:ind w:left="100" w:hanging="100"/>
        <w:spacing w:after="0"/>
        <w:tabs>
          <w:tab w:leader="none" w:pos="1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21.80</w:t>
      </w:r>
    </w:p>
    <w:p>
      <w:pPr>
        <w:spacing w:after="0" w:line="44" w:lineRule="exact"/>
        <w:rPr>
          <w:rFonts w:ascii="Times New Roman" w:cs="Times New Roman" w:eastAsia="Times New Roman" w:hAnsi="Times New Roman"/>
          <w:sz w:val="16"/>
          <w:szCs w:val="16"/>
          <w:color w:val="auto"/>
        </w:rPr>
      </w:pPr>
    </w:p>
    <w:p>
      <w:pPr>
        <w:ind w:left="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26.02</w:t>
      </w:r>
    </w:p>
    <w:p>
      <w:pPr>
        <w:spacing w:after="0" w:line="32" w:lineRule="exact"/>
        <w:rPr>
          <w:rFonts w:ascii="Times New Roman" w:cs="Times New Roman" w:eastAsia="Times New Roman" w:hAnsi="Times New Roman"/>
          <w:sz w:val="16"/>
          <w:szCs w:val="16"/>
          <w:color w:val="auto"/>
        </w:rPr>
      </w:pPr>
    </w:p>
    <w:p>
      <w:pPr>
        <w:ind w:left="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19.08</w:t>
      </w:r>
    </w:p>
    <w:p>
      <w:pPr>
        <w:spacing w:after="0" w:line="32" w:lineRule="exact"/>
        <w:rPr>
          <w:rFonts w:ascii="Times New Roman" w:cs="Times New Roman" w:eastAsia="Times New Roman" w:hAnsi="Times New Roman"/>
          <w:sz w:val="16"/>
          <w:szCs w:val="16"/>
          <w:color w:val="auto"/>
        </w:rPr>
      </w:pPr>
    </w:p>
    <w:p>
      <w:pPr>
        <w:ind w:left="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-535305</wp:posOffset>
            </wp:positionV>
            <wp:extent cx="317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Low</w:t>
      </w:r>
    </w:p>
    <w:p>
      <w:pPr>
        <w:spacing w:after="0" w:line="25" w:lineRule="exact"/>
        <w:rPr>
          <w:sz w:val="20"/>
          <w:szCs w:val="20"/>
          <w:color w:val="auto"/>
        </w:rPr>
      </w:pPr>
    </w:p>
    <w:p>
      <w:pPr>
        <w:ind w:left="100" w:hanging="100"/>
        <w:spacing w:after="0"/>
        <w:tabs>
          <w:tab w:leader="none" w:pos="1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20.17</w:t>
      </w:r>
    </w:p>
    <w:p>
      <w:pPr>
        <w:spacing w:after="0" w:line="44" w:lineRule="exact"/>
        <w:rPr>
          <w:rFonts w:ascii="Times New Roman" w:cs="Times New Roman" w:eastAsia="Times New Roman" w:hAnsi="Times New Roman"/>
          <w:sz w:val="16"/>
          <w:szCs w:val="16"/>
          <w:color w:val="auto"/>
        </w:rPr>
      </w:pPr>
    </w:p>
    <w:p>
      <w:pPr>
        <w:ind w:left="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20.33</w:t>
      </w:r>
    </w:p>
    <w:p>
      <w:pPr>
        <w:spacing w:after="0" w:line="32" w:lineRule="exact"/>
        <w:rPr>
          <w:rFonts w:ascii="Times New Roman" w:cs="Times New Roman" w:eastAsia="Times New Roman" w:hAnsi="Times New Roman"/>
          <w:sz w:val="16"/>
          <w:szCs w:val="16"/>
          <w:color w:val="auto"/>
        </w:rPr>
      </w:pPr>
    </w:p>
    <w:p>
      <w:pPr>
        <w:ind w:left="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17.30</w:t>
      </w:r>
    </w:p>
    <w:p>
      <w:pPr>
        <w:spacing w:after="0" w:line="32" w:lineRule="exact"/>
        <w:rPr>
          <w:rFonts w:ascii="Times New Roman" w:cs="Times New Roman" w:eastAsia="Times New Roman" w:hAnsi="Times New Roman"/>
          <w:sz w:val="16"/>
          <w:szCs w:val="16"/>
          <w:color w:val="auto"/>
        </w:rPr>
      </w:pPr>
    </w:p>
    <w:p>
      <w:pPr>
        <w:ind w:left="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-535305</wp:posOffset>
            </wp:positionV>
            <wp:extent cx="317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3">
            <w:col w:w="9133" w:space="720"/>
            <w:col w:w="507" w:space="560"/>
            <w:col w:w="500"/>
          </w:cols>
          <w:pgMar w:left="240" w:top="455" w:right="239" w:bottom="1440" w:gutter="0" w:footer="0" w:header="0"/>
          <w:type w:val="continuous"/>
        </w:sectPr>
      </w:pPr>
    </w:p>
    <w:p>
      <w:pPr>
        <w:ind w:left="340" w:right="260" w:hanging="332"/>
        <w:spacing w:after="0" w:line="259" w:lineRule="auto"/>
        <w:tabs>
          <w:tab w:leader="none" w:pos="3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Stock prices reflect the impact of the Cendant Separation and have been adjusted for the 1-for-10 reverse stock split which became effective September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paid no cash dividends on our common stock in 2007 and we do not anticipate paying dividends on our common stock for the foreseeable future. Our ability to pay dividends to holders of our common stock is limited as a practical matter by ABCR’s senior credit facilities, the indenture governing our senior notes and our vehicle financing programs, insofar as we may seek to pay dividends out of funds made available to Avis Budget Group by ABCR and/or its subsidiaries, because these debt financings directly or indirectly restrict ABCR’s ability to pay dividends or make loans. The declaration and payment of future dividends to holders of our common stock will be at the discretion of our Board of Directors and will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14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2006, we paid cash dividends of $1.10 per common share in the first quarter. These dividend amounts have been adjusted to reflect a one-for-ten reverse stock split completed in September 2006.</w:t>
      </w:r>
    </w:p>
    <w:p>
      <w:pPr>
        <w:spacing w:after="0" w:line="120"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color w:val="auto"/>
        </w:rPr>
        <w:t>On July 31, 2006, we distributed 100% of our ownership interest in Realogy and Wyndham, comprising Cendant’s former Real Estate Services and Hospitality Services businesses, respectively, to our stockholders. We distributed one share of Realogy common stock for every four shares of our common stock and one share of Wyndham stock for every five shares of our common stock, in each case outstanding on the record date for the distribution. On January 31, 2005, we distributed 100% of our ownership interest in PHH Corporation, comprising our former mortgage, appraisal and fleet management businesses, to our stockholders. We distributed one share of PHH common stock for every 20 shares of our common stock outstanding on the record date for the distribution.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and restricted stock units under all of our existing equity compensation plans as of December 31, 2007. The table excludes 850,000 shares of our common stock approved by stockholders issued or available for issuance pursuant to the 1998 Employee Stock Purchase Plan.</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Of the 8.9 million shares of our common stock to be issued upon exercise of outstanding options, stock settled stock appreciation rights and restricted stock units, approximately 6.0 million shares are related to stock option grants that were made by Cendant Corporation to employees of Cendant Corporation prior to the spin-offs of Realogy and Wyndham, virtually all of which have strike prices in excess of our closing stock price of $13.00 on December 31,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 of Securities</w:t>
            </w:r>
          </w:p>
        </w:tc>
      </w:t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Remaining Available</w:t>
            </w:r>
          </w:p>
        </w:tc>
      </w:t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Future Issuance</w:t>
            </w:r>
          </w:p>
        </w:tc>
      </w:t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to be Issued Upon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Exercise Price of</w:t>
            </w: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 Plans</w:t>
            </w:r>
          </w:p>
        </w:tc>
      </w:t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6"/>
              </w:rPr>
              <w:t>Outstanding Options,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(Excluding</w:t>
            </w:r>
          </w:p>
        </w:tc>
      </w:t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5"/>
              </w:rPr>
              <w:t>Warrants, Rights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Warrants and Rights</w:t>
            </w: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Securities</w:t>
            </w:r>
          </w:p>
        </w:tc>
      </w:tr>
      <w:tr>
        <w:trPr>
          <w:trHeight w:val="216"/>
        </w:trPr>
        <w:tc>
          <w:tcPr>
            <w:tcW w:w="1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5"/>
              </w:rPr>
              <w:t>and Restricted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(Excludes Restricted</w:t>
            </w:r>
          </w:p>
        </w:tc>
        <w:tc>
          <w:tcPr>
            <w:tcW w:w="1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Reflected in First</w:t>
            </w:r>
          </w:p>
        </w:tc>
      </w:tr>
      <w:tr>
        <w:trPr>
          <w:trHeight w:val="23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Plan Category</w:t>
            </w:r>
          </w:p>
        </w:tc>
        <w:tc>
          <w:tcPr>
            <w:tcW w:w="322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 Units (d)</w:t>
            </w:r>
          </w:p>
        </w:tc>
        <w:tc>
          <w:tcPr>
            <w:tcW w:w="1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Units) ($) (d)</w:t>
            </w:r>
          </w:p>
        </w:tc>
        <w:tc>
          <w:tcPr>
            <w:tcW w:w="1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Column)</w:t>
            </w:r>
          </w:p>
        </w:tc>
      </w:tr>
      <w:tr>
        <w:trPr>
          <w:trHeight w:val="196"/>
        </w:trPr>
        <w:tc>
          <w:tcPr>
            <w:tcW w:w="4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43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Company stockholders </w:t>
            </w:r>
            <w:r>
              <w:rPr>
                <w:rFonts w:ascii="Times New Roman" w:cs="Times New Roman" w:eastAsia="Times New Roman" w:hAnsi="Times New Roman"/>
                <w:sz w:val="22"/>
                <w:szCs w:val="22"/>
                <w:color w:val="auto"/>
                <w:vertAlign w:val="superscript"/>
              </w:rPr>
              <w:t>(a)</w:t>
            </w:r>
          </w:p>
        </w:tc>
        <w:tc>
          <w:tcPr>
            <w:tcW w:w="27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4,264,416</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$26.19</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7,966,924</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3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Company stockholders </w:t>
            </w:r>
            <w:r>
              <w:rPr>
                <w:rFonts w:ascii="Times New Roman" w:cs="Times New Roman" w:eastAsia="Times New Roman" w:hAnsi="Times New Roman"/>
                <w:sz w:val="22"/>
                <w:szCs w:val="22"/>
                <w:color w:val="auto"/>
                <w:vertAlign w:val="superscript"/>
              </w:rPr>
              <w:t>(b)(e)</w:t>
            </w:r>
          </w:p>
        </w:tc>
        <w:tc>
          <w:tcPr>
            <w:tcW w:w="27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4,568,450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$24.03</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assumed in</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mergers, acquisitions and corporate</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3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transactions </w:t>
            </w:r>
            <w:r>
              <w:rPr>
                <w:rFonts w:ascii="Times New Roman" w:cs="Times New Roman" w:eastAsia="Times New Roman" w:hAnsi="Times New Roman"/>
                <w:sz w:val="22"/>
                <w:szCs w:val="22"/>
                <w:color w:val="auto"/>
                <w:vertAlign w:val="superscript"/>
              </w:rPr>
              <w:t>(c)</w:t>
            </w:r>
          </w:p>
        </w:tc>
        <w:tc>
          <w:tcPr>
            <w:tcW w:w="27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41,340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$23.04</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8,874,206</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$25.08</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7,966,924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right="120" w:hanging="332"/>
        <w:spacing w:after="0" w:line="254"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to be issued includes options and other awards granted under the following plans: 2007 Equity and Incentive Plan; 1997 Stock Incentive Plan; 1997 Stock Option Plan; 1987 Stock Option Plan and the Directors Deferred Compensation Plan. Each plan other than the 2007 Equity and Incentive Plan was approved by stockholders with respect to an initial allocation of shares. The number of securities remaining available for future issuance under equity compensation plans represents solely shares available for issuance under the 2007 Equity and Incentive Plan.</w:t>
      </w:r>
    </w:p>
    <w:p>
      <w:pPr>
        <w:ind w:left="340" w:right="16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and other awards granted under the following plans: 1999 Broad-Based Employee Stock Option Plan; 1997 Employee Stock Plan; 1992 Employee Stock Option Plan; 1992 Bonus and Salary Replacement Stock Option Plan; and stand-alone option grants to former officers. The material terms of these plans are set forth under footnote (e) below. Notwithstanding the terms of these plans to the contrary, no option granted under any of these plans provides for a term in excess of 10 years or an exercise price below fair market value as of the date of grant (other than options assumed or replaced in connection with acquisitions). All options granted under these plans have been approved by the Board of Directors or the Compensation Committee of the Board of Directors.</w:t>
      </w:r>
    </w:p>
    <w:p>
      <w:pPr>
        <w:spacing w:after="0" w:line="2" w:lineRule="exact"/>
        <w:rPr>
          <w:rFonts w:ascii="Times New Roman" w:cs="Times New Roman" w:eastAsia="Times New Roman" w:hAnsi="Times New Roman"/>
          <w:sz w:val="18"/>
          <w:szCs w:val="18"/>
          <w:color w:val="auto"/>
        </w:rPr>
      </w:pPr>
    </w:p>
    <w:p>
      <w:pPr>
        <w:ind w:left="340" w:right="1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granted under the following plans: Galileo International, Inc. 1999 Equity and Performance Incentive Plan; Galileo International Inc. 1997 Stock Incentive Plan, Trendwest Resorts, Inc. 1997 Employee Stock Option Plan, Fairfield Communities Inc. 2000 Incentive Stock Plan, CT 1999 Stock Incentive Plan, Avis Group Holdings Inc. 1997 Stock Option Plan, and the Avis Group Holdings Inc. 2000 Compensation Plan.</w:t>
      </w:r>
    </w:p>
    <w:p>
      <w:pPr>
        <w:spacing w:after="0" w:line="1" w:lineRule="exact"/>
        <w:rPr>
          <w:rFonts w:ascii="Times New Roman" w:cs="Times New Roman" w:eastAsia="Times New Roman" w:hAnsi="Times New Roman"/>
          <w:sz w:val="18"/>
          <w:szCs w:val="18"/>
          <w:color w:val="auto"/>
        </w:rPr>
      </w:pPr>
    </w:p>
    <w:p>
      <w:pPr>
        <w:ind w:left="340" w:right="26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equitable adjustment of stock options and restricted stock units in connection with the spin-off of PHH Corporation to our stockholders during 2005 and the distributions of Realogy and Wyndham in 2006. Also reflects the one-for-ten reverse stock split completed in September 2006.</w:t>
      </w: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are the material terms of plans not submitted for stockholder approval:</w:t>
      </w:r>
    </w:p>
    <w:p>
      <w:pPr>
        <w:spacing w:after="0" w:line="9" w:lineRule="exact"/>
        <w:rPr>
          <w:rFonts w:ascii="Times New Roman" w:cs="Times New Roman" w:eastAsia="Times New Roman" w:hAnsi="Times New Roman"/>
          <w:sz w:val="18"/>
          <w:szCs w:val="18"/>
          <w:color w:val="auto"/>
        </w:rPr>
      </w:pPr>
    </w:p>
    <w:p>
      <w:pPr>
        <w:ind w:left="340" w:right="1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1999 Broad-Based Employee Stock Option Plan</w:t>
      </w:r>
      <w:r>
        <w:rPr>
          <w:rFonts w:ascii="Times New Roman" w:cs="Times New Roman" w:eastAsia="Times New Roman" w:hAnsi="Times New Roman"/>
          <w:sz w:val="18"/>
          <w:szCs w:val="18"/>
          <w:color w:val="auto"/>
        </w:rPr>
        <w:t>. This plan provides for the grant of stock options, shares of Common Stock and other awards valued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Common Stock to our employees who are not executive officers. Shares issued pursuant to the exercise of options granted under this plan may be authorized and unissued shares or treasury shares. In the event of any change in corporate capitalization, any reorganization of our company or a similar event,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right="20"/>
        <w:spacing w:after="0" w:line="252" w:lineRule="auto"/>
        <w:rPr>
          <w:sz w:val="20"/>
          <w:szCs w:val="20"/>
          <w:color w:val="auto"/>
        </w:rPr>
      </w:pPr>
      <w:r>
        <w:rPr>
          <w:rFonts w:ascii="Times New Roman" w:cs="Times New Roman" w:eastAsia="Times New Roman" w:hAnsi="Times New Roman"/>
          <w:sz w:val="18"/>
          <w:szCs w:val="18"/>
          <w:color w:val="auto"/>
        </w:rPr>
        <w:t>shares subject to outstanding options, the exercise price of outstanding options and the number and type of shares remaining to be made subject to options under this plan may be adjusted or substituted for, as the Compensation Committee or Board may determine. The terms and conditions of options granted under this plan are to be determined by the Compensation Committee, provided that the exercise price of an option may not be less than the fair market value of the shares covered thereby on the date of grant. Each option granted under this plan will become immediately exercisable upon a “change-of-control transaction” (as defined in the plan). Unless otherwise determined by the Compensation Committee, following termination of employment, options granted under this plan generally will remain exercisable, to the extent exercisable at the time of termination, for one year (two years, in the case of retirement, death or disability).</w:t>
      </w:r>
    </w:p>
    <w:p>
      <w:pPr>
        <w:spacing w:after="0" w:line="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6"/>
          <w:szCs w:val="16"/>
          <w:i w:val="1"/>
          <w:iCs w:val="1"/>
          <w:color w:val="auto"/>
        </w:rPr>
        <w:t>1997 Employee Stock Plan</w:t>
      </w:r>
      <w:r>
        <w:rPr>
          <w:rFonts w:ascii="Times New Roman" w:cs="Times New Roman" w:eastAsia="Times New Roman" w:hAnsi="Times New Roman"/>
          <w:sz w:val="16"/>
          <w:szCs w:val="16"/>
          <w:color w:val="auto"/>
        </w:rPr>
        <w:t>. This plan provides for the grant of awards of stock options, stock appreciation rights (payable in cash or shares or a combination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thereof) and restricted stock to our employees and affiliates. Shares issued pursuant to awards granted under this plan may be authorized and unissued shares or treasury shares. In the event of any change in corporate capitalization, any reorganization of our company or a similar event, shares subject to outstanding awards, the exercise price of outstanding options and the number and type of shares remaining to be made subject to awards under this plan may be adjusted or substituted for, as the Compensation Committee or Board may determine. The terms and conditions of awards granted under this plan are to be determined by the Compensation Committee, provided that the exercise price of an option may not be less than the fair market value of the shares covered thereby on the date of grant. Under this plan, stock appreciation rights may be granted only in tandem with an option, and will be cancelled to the extent the related option is exercised or cancelled. The vesting of restricted stock awards granted under this plan may be subject to the attainment of predetermined performance goals.</w:t>
      </w:r>
    </w:p>
    <w:p>
      <w:pPr>
        <w:jc w:val="both"/>
        <w:ind w:left="340" w:right="260"/>
        <w:spacing w:after="0" w:line="254" w:lineRule="auto"/>
        <w:rPr>
          <w:sz w:val="20"/>
          <w:szCs w:val="20"/>
          <w:color w:val="auto"/>
        </w:rPr>
      </w:pPr>
      <w:r>
        <w:rPr>
          <w:rFonts w:ascii="Times New Roman" w:cs="Times New Roman" w:eastAsia="Times New Roman" w:hAnsi="Times New Roman"/>
          <w:sz w:val="18"/>
          <w:szCs w:val="18"/>
          <w:color w:val="auto"/>
        </w:rPr>
        <w:t>Unless otherwise determined by the Compensation Committee, following termination of employment, options and stock appreciation rights granted under this plan generally will remain exercisable, to the extent exercisable at the time of termination, for one year (two years, in the case of retirement, death or disability). Unless otherwise determined by the Compensation Committee, following termination of employment for any reason, shares that are subject to restrictions under a restricted stock award will be immediately forfeited.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graph assumes $100 invested on December 31, 2002 and compares (a) the yearly percentage change in our cumulative total stockholder return on our common stock (as measured by dividing (i) the sum of (A) the cumulative amount of dividends (including the Realogy, Wyndham and PHH distributions (described above under “Dividend Policy”), assuming dividend reinvestment, during the five years commencing on the last trading day before January 1, 2003 and ending on December 31, 2007, and (B) the difference between our stock price at the end and the beginning of the periods presented by (ii) the share price at the beginning of the periods presented) with (b) (i) the Standard &amp; Poor’s MidCap 400 Index and (ii) the Standard &amp; Poor’s Diversified Commercial and Professional Services Index.</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Among Avis Budget Group, Inc., the S&amp;P MidCap 400 Index</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and the S&amp;P Diversified Commercial &amp; Professional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109855</wp:posOffset>
            </wp:positionV>
            <wp:extent cx="4673600" cy="3009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360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80"/>
          </w:cols>
          <w:pgMar w:left="240" w:top="455"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6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At or For the Year Ended December 31,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11"/>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 millions, except per share data)</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vMerge w:val="continue"/>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(14.71)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(14.71)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(19.82)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dividends declared </w:t>
            </w:r>
            <w:r>
              <w:rPr>
                <w:rFonts w:ascii="Times New Roman" w:cs="Times New Roman" w:eastAsia="Times New Roman" w:hAnsi="Times New Roman"/>
                <w:sz w:val="22"/>
                <w:szCs w:val="22"/>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12,474</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13,271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2"/>
              </w:rPr>
              <w:t>34,493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42,698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2"/>
              </w:rPr>
              <w:t>20,512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29,452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Debt under vehicle programs </w:t>
            </w:r>
            <w:r>
              <w:rPr>
                <w:rFonts w:ascii="Times New Roman" w:cs="Times New Roman" w:eastAsia="Times New Roman" w:hAnsi="Times New Roman"/>
                <w:sz w:val="22"/>
                <w:szCs w:val="22"/>
                <w:color w:val="auto"/>
                <w:vertAlign w:val="superscript"/>
              </w:rPr>
              <w:t>(b)</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7,909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2"/>
              </w:rPr>
              <w:t>11,342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12,464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40" w:right="160" w:hanging="332"/>
        <w:spacing w:after="0" w:line="230" w:lineRule="auto"/>
        <w:tabs>
          <w:tab w:leader="none" w:pos="34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Cash dividends declared have been adjusted to reflect the 1-for-10 reverse stock split of our common stock which became effective in September 2006. See Note 1 to our Consolidated Financial Statements.</w:t>
      </w:r>
    </w:p>
    <w:p>
      <w:pPr>
        <w:spacing w:after="0" w:line="1"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related-party debt due to Avis Budget Rental Car Funding (AESOP), LLC. See Note 17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presenting the financial data above in conformity with generally accepted accounting principles, we are required to make estimates and assumptions that affect the amounts reported. See “Critical Accounting Policies” under Item 7 included elsewhere herein for a detailed discussion of the accounting policies that we believe require subjective and complex judgments that could potentially affect reported results.</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Income (loss) from discontinued operations, net of tax, includes the after tax results of the following disposed businesses for all periods presented (through their dates of disposition): (i) Travelport, which we sold in August 2006, (ii) Realogy and Wyndham, which were spun-off on July 31, 2006, (iii) our former Marketing Services division, which we sold in October 2005, (iv) Wright Express Corporation, which we sold in February 2005, (v) our former mortgage, fleet leasing and appraisal businesses, which were included in the spin-off of PHH Corporation on January 31, 2005, and (vi) Jackson Hewitt Tax Service Inc., which we sold in June 2004. Income (loss) from discontinued operations, net of tax, also includes a tax benefit realized as a result of certain elections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made in connection with the disposition of Travelport on income tax returns filed during 2007, the after tax losses on the sale of Travelport and the spin-offs of Realogy and Wyndham in 2006, the after tax gains on the sale of our Marketing Services division and Wright Express in 2005, the after tax loss on the spin-off of PHH in 2005, and the after tax gain on the sale of Jackson Hewitt in 2004. See Note 3 to our Consolidated Financial Statements for more detailed information regarding these discontinued operations.</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2007, a $1,195 million ($1,073 million after tax) charge was recorded for the impairment of goodwill at each of our reporting units to reflect the decline in their fair value as evidenced by a decline in the market value of our common stock. See Note 2 to our Consolidated Financial Statements.</w:t>
      </w:r>
    </w:p>
    <w:p>
      <w:pPr>
        <w:spacing w:after="0" w:line="120"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In 2006 and 2005, we incurred costs of $574 million and $15 million, respectively, in connection with the disposition of Realogy and Wyndham and the sale of Travelport. These costs consisted primarily of legal, accounting, other professional and consulting fees and various employee costs, and for 2006 include costs associated with the retirement of corporate debt. During 2007, these separation-related costs were insignificant.</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2006, we recorded $10 million of restructuring charges related to restructuring initiatives within our Truck Rental and Domestic Car Rental segments. In 2005, we recorded $26 million of restructuring and transaction-related charges as a result of restructuring activities undertaken following the spin-off of PHH Corporation and the initial public offering of Wright Express Corporation. See Note 5 to our Consolidated Financial Statements for a detailed description of such charges.</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2006, 2005, 2004 and 2003, we incurred $40 million, $35 million, $(28) million and $11 million, respectively, for litigation and related costs (credits) primarily in connection with the 1998 discovery of accounting irregularities in the former business units of CUC International, Inc. The amount in 2004 includes a $55 million credit recorded in connection with previously established liabilities for severance and other termination benefits for which we no longer believe we are liable. In 2007, these costs were immaterial.</w:t>
      </w:r>
    </w:p>
    <w:p>
      <w:pPr>
        <w:spacing w:after="0" w:line="136"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In 2003, we consolidated a number of entities pursuant to Financial Accounting Standards Board Interpretation No. 46, “Consolidation of Variable Interest Entities,” and/or as a result of amendments to the underlying structures of certain of the facilities we used to securitize assets. See Notes 2 and 17 to the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our Consolidated Financial Statements and accompanying Notes thereto included elsewhere herein.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all dollar amounts are in millions and those relating to our results of operations are presented before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two of the most recognized brands in the global vehicle rental industry through Avis Rent A Car System, LLC and Budget Rent A Car System,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car and truck rentals and ancillary services to businesses and consumers in the United States and internationally.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the following business segments:</w:t>
      </w:r>
    </w:p>
    <w:p>
      <w:pPr>
        <w:spacing w:after="0" w:line="210" w:lineRule="exact"/>
        <w:rPr>
          <w:sz w:val="20"/>
          <w:szCs w:val="20"/>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Domestic Car Rental</w:t>
      </w:r>
      <w:r>
        <w:rPr>
          <w:rFonts w:ascii="Times New Roman" w:cs="Times New Roman" w:eastAsia="Times New Roman" w:hAnsi="Times New Roman"/>
          <w:sz w:val="18"/>
          <w:szCs w:val="18"/>
          <w:color w:val="auto"/>
        </w:rPr>
        <w:t>—provides car rentals and ancillary products and services in the United States.</w:t>
      </w:r>
    </w:p>
    <w:p>
      <w:pPr>
        <w:spacing w:after="0" w:line="211" w:lineRule="exact"/>
        <w:rPr>
          <w:rFonts w:ascii="Times New Roman" w:cs="Times New Roman" w:eastAsia="Times New Roman" w:hAnsi="Times New Roman"/>
          <w:sz w:val="18"/>
          <w:szCs w:val="18"/>
          <w:color w:val="auto"/>
        </w:rPr>
      </w:pPr>
    </w:p>
    <w:p>
      <w:pPr>
        <w:ind w:left="780" w:right="100" w:hanging="326"/>
        <w:spacing w:after="0" w:line="277"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Car Rental</w:t>
      </w:r>
      <w:r>
        <w:rPr>
          <w:rFonts w:ascii="Times New Roman" w:cs="Times New Roman" w:eastAsia="Times New Roman" w:hAnsi="Times New Roman"/>
          <w:sz w:val="18"/>
          <w:szCs w:val="18"/>
          <w:color w:val="auto"/>
        </w:rPr>
        <w:t>—provides car rentals and ancillary products and services primarily in Argentina, Australia, Canada, New Zealand, Puerto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Rico and the U.S. Virgin Islands.</w:t>
      </w:r>
    </w:p>
    <w:p>
      <w:pPr>
        <w:spacing w:after="0" w:line="15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Truck Rental</w:t>
      </w:r>
      <w:r>
        <w:rPr>
          <w:rFonts w:ascii="Times New Roman" w:cs="Times New Roman" w:eastAsia="Times New Roman" w:hAnsi="Times New Roman"/>
          <w:sz w:val="18"/>
          <w:szCs w:val="18"/>
          <w:color w:val="auto"/>
        </w:rPr>
        <w:t>—provides truck rentals and related services to consumers and light commercial users in the United States.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revenues are derived principally from car and truck rentals in our Company-owned operations and include (i) time and mileage (“T&amp;M”) fees charged to our customers for vehicle rentals, (ii) reimbursement from our customers for certain operating expenses we incur, including gasoline and vehicle licensing fees, as well as airport concession fees, which we pay in exchange for the right to operate at airports and other locations, and (iii) sales of loss damage waivers and insurance and rentals of GPS navigation units and other items in conjunction with vehicle rentals. We also earn royalty revenue from our franchisees in conjunction with their vehicle rental transactions.</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Car rental volumes are closely associated with the travel industry, particularly airline passenger volumes, or enplanements. Because we operate primarily in the United States and generate a significant portion of our revenue from our on-airport operations, we expect that our ability to generate revenue growth will be somewhat dependent on increases in domestic enplanements. We have also experienced significant per-unit fleet cost increases on model-year 2006 and 2007 vehicles, which have negatively impacted our margins. Accordingly, our ability to achieve profit margins consistent with prior periods remains dependent on our ability to successfully reflect corresponding changes in our pricing programs.</w:t>
      </w:r>
    </w:p>
    <w:p>
      <w:pPr>
        <w:spacing w:after="0" w:line="13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Our vehicle rental operations are seasonal. Historically, the third quarter of the year has been our strongest quarter due to the increased level of leisure travel and household moving activity. Any occurrence that disrupts rental activity during the third quarter could have a disproportionately adverse impact on our results of operations. We have a predominantly variable cost structure and routinely adjust the size and, therefore, the cost of our rental fleet in response to fluctuations in demand. However, certain expenses, such as rent, are fixed and cannot be reduced in response to seasonal fluctuations in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trends, among others, may affect and/or have impacted our financial condition and results of operations:</w:t>
      </w:r>
    </w:p>
    <w:p>
      <w:pPr>
        <w:spacing w:after="0" w:line="212" w:lineRule="exact"/>
        <w:rPr>
          <w:sz w:val="20"/>
          <w:szCs w:val="20"/>
          <w:color w:val="auto"/>
        </w:rPr>
      </w:pPr>
    </w:p>
    <w:p>
      <w:pPr>
        <w:ind w:left="780" w:hanging="326"/>
        <w:spacing w:after="0" w:line="257"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enplanements, which increased compared to 2006 and are expected to increase modestly in 2008, assuming there are no major disruptions in travel;</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per-unit car fleet costs, which we began to experience in 2005 and anticipate will continue with model-year 2008 vehicles;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60"/>
          </w:cols>
          <w:pgMar w:left="240" w:top="455" w:right="2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increases, which we instituted throughout 2006 in response to rising fleet costs and intend to continue to pursue, where appropriate;</w:t>
      </w:r>
    </w:p>
    <w:p>
      <w:pPr>
        <w:spacing w:after="0" w:line="2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expansion in off-airport, or local markets, including insurance replacement rentals;</w:t>
      </w:r>
    </w:p>
    <w:p>
      <w:pPr>
        <w:spacing w:after="0" w:line="9" w:lineRule="exact"/>
        <w:rPr>
          <w:rFonts w:ascii="Times New Roman" w:cs="Times New Roman" w:eastAsia="Times New Roman" w:hAnsi="Times New Roman"/>
          <w:sz w:val="18"/>
          <w:szCs w:val="18"/>
          <w:color w:val="auto"/>
        </w:rPr>
      </w:pPr>
    </w:p>
    <w:p>
      <w:pPr>
        <w:ind w:left="780" w:right="280" w:hanging="326"/>
        <w:spacing w:after="0" w:line="250"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changes in certain states that enable us to recover a greater percentage of airport concession and vehicle licensing fees, which favorably impacted our year-over-year results throughout 2007; and</w:t>
      </w: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truck rentals, which has been impacted by household moving activity.</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2005, we undertook a strategic realignment to simplify our business model through exiting non-core businesses or businesses that produced volatility to our earnings inconsistent with our business model and the remainder of our core businesses. In October 2005, the strategic realignment was completed and our management team and Board of Directors, with the aid of financial and legal advisors, performed a comprehensive review of the growth opportunities and estimated market valuations for each of our core businesses. As a result of this review, from October 2005 to July 2006, our Board of Directors approved a plan to separate Cendant into four independent companies:</w:t>
      </w:r>
    </w:p>
    <w:p>
      <w:pPr>
        <w:spacing w:after="0" w:line="177" w:lineRule="exact"/>
        <w:rPr>
          <w:sz w:val="20"/>
          <w:szCs w:val="20"/>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Realogy Corporation—</w:t>
      </w:r>
      <w:r>
        <w:rPr>
          <w:rFonts w:ascii="Times New Roman" w:cs="Times New Roman" w:eastAsia="Times New Roman" w:hAnsi="Times New Roman"/>
          <w:sz w:val="18"/>
          <w:szCs w:val="18"/>
          <w:color w:val="auto"/>
        </w:rPr>
        <w:t>encompasses our former Realogy segment, which is now presented as a discontinued operation.</w:t>
      </w:r>
    </w:p>
    <w:p>
      <w:pPr>
        <w:spacing w:after="0" w:line="211" w:lineRule="exact"/>
        <w:rPr>
          <w:rFonts w:ascii="Times New Roman" w:cs="Times New Roman" w:eastAsia="Times New Roman" w:hAnsi="Times New Roman"/>
          <w:sz w:val="18"/>
          <w:szCs w:val="18"/>
          <w:color w:val="auto"/>
        </w:rPr>
      </w:pPr>
    </w:p>
    <w:p>
      <w:pPr>
        <w:ind w:left="780" w:right="260" w:hanging="326"/>
        <w:spacing w:after="0" w:line="277"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Wyndham Worldwide Corporation—</w:t>
      </w:r>
      <w:r>
        <w:rPr>
          <w:rFonts w:ascii="Times New Roman" w:cs="Times New Roman" w:eastAsia="Times New Roman" w:hAnsi="Times New Roman"/>
          <w:sz w:val="18"/>
          <w:szCs w:val="18"/>
          <w:color w:val="auto"/>
        </w:rPr>
        <w:t>encompasses our former Hospitality Services and Timeshare Resorts segments, which are now presented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discontinued operations.</w:t>
      </w:r>
    </w:p>
    <w:p>
      <w:pPr>
        <w:spacing w:after="0" w:line="15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Travelport, Inc.</w:t>
      </w:r>
      <w:r>
        <w:rPr>
          <w:rFonts w:ascii="Times New Roman" w:cs="Times New Roman" w:eastAsia="Times New Roman" w:hAnsi="Times New Roman"/>
          <w:sz w:val="18"/>
          <w:szCs w:val="18"/>
          <w:color w:val="auto"/>
        </w:rPr>
        <w:t>—encompasses our former Travel Distribution Services segment, which is now presented as a discontinued operation.</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Avis Budget Group, Inc.—</w:t>
      </w:r>
      <w:r>
        <w:rPr>
          <w:rFonts w:ascii="Times New Roman" w:cs="Times New Roman" w:eastAsia="Times New Roman" w:hAnsi="Times New Roman"/>
          <w:sz w:val="18"/>
          <w:szCs w:val="18"/>
          <w:color w:val="auto"/>
        </w:rPr>
        <w:t>encompasses our vehicle rental operations.</w:t>
      </w:r>
    </w:p>
    <w:p>
      <w:pPr>
        <w:spacing w:after="0" w:line="17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July 31, 2006, we completed the spin-offs of Realogy Corporation (“Realogy”) and Wyndham Worldwide Corporation (“Wyndham”) in tax-free distributions of one share each of Realogy and Wyndham common stock for every four and five shares, respectively, of then outstanding Cendant common stock held on July 21, 2006. On August 1, 2006, Realogy and Wyndham stock began regular-way trading on the New York Stock Exchange under the symbols “H” and “WYN,” respectively. Prior to the completion of the spin-offs, we received special cash dividends of $2,225 million and $1,360 million from Realogy and Wyndham, respectively, and utilized such proceeds to fund a portion of the repayment of our outstanding debt, as discussed below. On August 23, 2006, we completed the sale of Travelport for proceeds of approximately $4.1 billion, net of closing adjustments, of which approximately $1.8 billion was used to repay indebtedness of Travelport. The spin-offs of Realogy and Wyndham and the sale of Travelport are referred to as the “Cendant Separation.” Pursuant to the Separation Agreement, during third quarter 2006, we distributed $1,423 million and $760 million of the proceeds of the Travelport sale to Realogy and Wyndham, respectively. In connection with executing our plan, we incurred costs of $574 million and $15 million during 2006 and 2005, respectively. These costs consist primarily of legal, accounting, other professional and consulting fees and various employee costs, and for 2006 include costs associated with the retirement of corporate debt. In connection with the Cendant Separation, we entered into the Separation Agreement, a tax sharing agreement and a transition services agreement with Realogy, Wyndham and Travelport.</w:t>
      </w:r>
    </w:p>
    <w:p>
      <w:pPr>
        <w:spacing w:after="0" w:line="147" w:lineRule="exact"/>
        <w:rPr>
          <w:sz w:val="20"/>
          <w:szCs w:val="20"/>
          <w:color w:val="auto"/>
        </w:rPr>
      </w:pPr>
    </w:p>
    <w:p>
      <w:pPr>
        <w:ind w:right="720"/>
        <w:spacing w:after="0" w:line="262" w:lineRule="auto"/>
        <w:rPr>
          <w:sz w:val="20"/>
          <w:szCs w:val="20"/>
          <w:color w:val="auto"/>
        </w:rPr>
      </w:pPr>
      <w:r>
        <w:rPr>
          <w:rFonts w:ascii="Times New Roman" w:cs="Times New Roman" w:eastAsia="Times New Roman" w:hAnsi="Times New Roman"/>
          <w:sz w:val="18"/>
          <w:szCs w:val="18"/>
          <w:color w:val="auto"/>
        </w:rPr>
        <w:t>On August 29, 2006, our stockholders approved certain amendments to our Certificate of Incorporation, including a change in our name from Cendant Corporation to Avis Budget Group, Inc. and a 1-for-10 reverse stock split of our common stock, each of which became effective on the New York Stock Exchange at the opening of the market on September 5, 2006 and, at that time, our ticker symbol changed to “CAR”.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Discussed below are our consolidated results of operations and the results of operations for each of our reportable segments. Generally accepted accounting principles require us to segregate and report as discontinued operations, for all periods presented, the account balances and activities of PHH, Wright Express, our former Marketing Services division, Realogy, Wyndham and Travelport. Prior to completion of the Realogy spin-off, we could not classify our former mortgage business as a discontinued operation due to Realogy’s participation in a mortgage origination venture that was established with PHH in connection with our January 2005 spin-off of PHH. However, due to the spin-off of Realogy on July 31, 2006, this business is classified as a discontinued operation.</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Our car rental operating statistics (rental days and T&amp;M revenue per rental day) are all calculated based on the actual usage of the vehicle during a 24-hour period. We believe that this methodology, while conservative, provides our management with the most relevant statistics in order to manage the business. Our calculation may not be comparable to other companies’ calculation of similarly-titled statistics.</w:t>
      </w:r>
    </w:p>
    <w:p>
      <w:pPr>
        <w:spacing w:after="0" w:line="1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reportable segments presented below represent our operating segments for which separate financial information is available and is utilized on a regular basis by our chief operating decision maker to assess performance and to allocate resources. In identifying our reportable segments, we also consider the nature of services provided by our operating segments. Management evaluates the operating results of each of our reportable segments based upon revenue and “EBITDA,” which we define as income from continuing operations before non-vehicle related depreciation and amortization, any goodwill impairment charge, non-vehicle related interest and income taxes. Our presentation of EBITDA may not be comparable to similarly-titled measures used by other companies.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2007 vs. Year Ended December 31, 2006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results of operations comprised the following:</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87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2006</w:t>
            </w:r>
          </w:p>
        </w:tc>
        <w:tc>
          <w:tcPr>
            <w:tcW w:w="50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7"/>
        </w:trPr>
        <w:tc>
          <w:tcPr>
            <w:tcW w:w="87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3"/>
              </w:rPr>
              <w:t>5,986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rPr>
              <w:t>$ 5,689</w:t>
            </w: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297</w:t>
            </w:r>
          </w:p>
        </w:tc>
        <w:tc>
          <w:tcPr>
            <w:tcW w:w="60" w:type="dxa"/>
            <w:vAlign w:val="bottom"/>
          </w:tcPr>
          <w:p>
            <w:pPr>
              <w:spacing w:after="0"/>
              <w:rPr>
                <w:sz w:val="17"/>
                <w:szCs w:val="17"/>
                <w:color w:val="auto"/>
              </w:rPr>
            </w:pPr>
          </w:p>
        </w:tc>
      </w:tr>
      <w:tr>
        <w:trPr>
          <w:trHeight w:val="22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6,978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Pr>
          <w:p>
            <w:pPr>
              <w:spacing w:after="0"/>
              <w:rPr>
                <w:sz w:val="19"/>
                <w:szCs w:val="19"/>
                <w:color w:val="auto"/>
              </w:rPr>
            </w:pPr>
          </w:p>
        </w:tc>
      </w:tr>
      <w:tr>
        <w:trPr>
          <w:trHeight w:val="211"/>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18"/>
                <w:szCs w:val="18"/>
                <w:color w:val="auto"/>
              </w:rPr>
            </w:pPr>
          </w:p>
        </w:tc>
      </w:tr>
      <w:tr>
        <w:trPr>
          <w:trHeight w:val="22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0" w:type="dxa"/>
            <w:vAlign w:val="bottom"/>
          </w:tcPr>
          <w:p>
            <w:pPr>
              <w:spacing w:after="0"/>
              <w:rPr>
                <w:sz w:val="19"/>
                <w:szCs w:val="19"/>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9"/>
                <w:szCs w:val="19"/>
                <w:color w:val="auto"/>
              </w:rPr>
            </w:pPr>
          </w:p>
        </w:tc>
      </w:tr>
      <w:tr>
        <w:trPr>
          <w:trHeight w:val="211"/>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60" w:type="dxa"/>
            <w:vAlign w:val="bottom"/>
          </w:tcPr>
          <w:p>
            <w:pPr>
              <w:spacing w:after="0"/>
              <w:rPr>
                <w:sz w:val="18"/>
                <w:szCs w:val="18"/>
                <w:color w:val="auto"/>
              </w:rPr>
            </w:pPr>
          </w:p>
        </w:tc>
      </w:tr>
      <w:tr>
        <w:trPr>
          <w:trHeight w:val="22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ind w:right="358"/>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r>
      <w:tr>
        <w:trPr>
          <w:trHeight w:val="225"/>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(1,994</w:t>
            </w:r>
          </w:p>
        </w:tc>
        <w:tc>
          <w:tcPr>
            <w:tcW w:w="5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2007, our total revenues increased $297 million (5%) driven by our car rental operations, which experienced a 5% increase in T&amp;M revenue, reflecting a 4% increase in rental days and a 1% increase in T&amp;M revenue per day, and a 13% increase in ancillary revenue. The growth in our car rental operations was partially offset by a 7% reduction in truck rental days and an 8% reduction in truck T&amp;M revenue per day. Ancillary revenue growth was primarily driven by increases in airport concession and vehicle licensing revenues, rentals of GPS navigation units, and sales of loss damage waivers and insurance products. In addition, the total revenue increase includes $67 million related to foreign currency exchange rate fluctuations on the translation of our international operations results into U.S. dollars.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Total expenses increased $612 million (10%) due to (i) a $1,195 million charge recorded for the impairment of goodwill at each of our reporting units to reflect the decline in their fair value as evidenced by a decline in the market value of our common stock, (ii) a $146 million (5%) increase in operating expense largely due to the 4% increase in car rental days, (iii) an increase in vehicle depreciation and lease charges of $155 million (11%) resulting from higher per unit vehicle costs and 4% growth in our average car rental fleet and (iv) the adverse impact from foreign exchange currency rates of $56 million. The increase in expenses was offset by decreases principally due to the $313 million charge for early extinguishment of debt incurred during 2006 and a $266 million decrease in separation-related costs. The separation costs related primarily to severance, retention and legal, accounting and other professional fees incurred in connection with the Cendant Separation. We also experienced (i) a $160 million reduction in selling, general and administrative expenses resulting mainly from unallocated corporate expense in 2006 related to the discontinued operations treatment of our former subsidiaries and (ii) $109 million lower interest expense related to corporate debt, resulting from the repayment of approximately $3.5 billion of such debt in third quarter 2006. As a result of these items and a $181 million reduction in our benefit from income taxes, our loss from continuing operations increased $496 million. Our effective tax rate for continuing operations were benefits of 4.5% and 33.4% for 2007 and 2006, respectively. The decrease in our effective tax rate for 2007 was primarily due to the non-deductible portion of the goodwill impairment charge.</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(loss) from discontinued operations decreased $480 million, which principally reflects the absence of net income generated by Realogy, Wyndham and Travelport prior to the Cendant Separation, which was completed in 2006. The $2 billion increase in gain (loss) on disposal of discontinued operations, net of tax primarily represents the loss on disposal of discontinued operations in 2006, partially offset by a tax benefit realized as a result of certain elections made in connection with the Travelport disposition on the income tax returns filed during 2007.</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Absent in 2007 were the non-cash charges recorded in 2006 of $103 million ($64 million, after tax) to reflect the cumulative effect of accounting changes as a result of our adoption of (i) Statement of Financial Accounting Standards (“SFAS”) No. 152, “Accounting for Real Estate Time-Sharing Transactions,” and American Institute of Certified Public Accountants’ Statement of Position No. 04-2, “Accounting for Real Estate Time-Sharing Transactions” on January 1, 2006, which resulted in a non-cash charge of $65 million after tax, and (ii) SFAS No. 123R, “Share-Based Payment,” on January 1, 2006, which resulted in a non-cash credit of $1 million after tax.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above-mentioned items, net loss decreased approximately $1.1 billion.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more detailed discussion of the results of each of our reportable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2"/>
                <w:szCs w:val="22"/>
                <w:b w:val="1"/>
                <w:bCs w:val="1"/>
                <w:color w:val="auto"/>
                <w:vertAlign w:val="superscript"/>
              </w:rPr>
              <w:t>(a)</w:t>
            </w:r>
          </w:p>
        </w:tc>
        <w:tc>
          <w:tcPr>
            <w:tcW w:w="5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jc w:val="right"/>
              <w:ind w:right="112"/>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jc w:val="right"/>
              <w:ind w:right="132"/>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5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5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1"/>
              </w:rPr>
              <w:t>Change</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Domestic Car Rental</w:t>
            </w: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4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2"/>
              </w:rPr>
              <w:t>$4,679</w:t>
            </w:r>
          </w:p>
        </w:tc>
        <w:tc>
          <w:tcPr>
            <w:tcW w:w="500" w:type="dxa"/>
            <w:vAlign w:val="bottom"/>
            <w:vMerge w:val="continue"/>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$4,395</w:t>
            </w:r>
          </w:p>
        </w:tc>
        <w:tc>
          <w:tcPr>
            <w:tcW w:w="500" w:type="dxa"/>
            <w:vAlign w:val="bottom"/>
            <w:vMerge w:val="continue"/>
          </w:tcPr>
          <w:p>
            <w:pPr>
              <w:spacing w:after="0"/>
              <w:rPr>
                <w:sz w:val="17"/>
                <w:szCs w:val="17"/>
                <w:color w:val="auto"/>
              </w:rPr>
            </w:pPr>
          </w:p>
        </w:tc>
        <w:tc>
          <w:tcPr>
            <w:tcW w:w="1240" w:type="dxa"/>
            <w:vAlign w:val="bottom"/>
            <w:gridSpan w:val="2"/>
          </w:tcPr>
          <w:p>
            <w:pPr>
              <w:jc w:val="right"/>
              <w:ind w:right="500"/>
              <w:spacing w:after="0" w:line="197"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265</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$ 214</w:t>
            </w:r>
          </w:p>
        </w:tc>
        <w:tc>
          <w:tcPr>
            <w:tcW w:w="580" w:type="dxa"/>
            <w:vAlign w:val="bottom"/>
            <w:vMerge w:val="continue"/>
          </w:tcPr>
          <w:p>
            <w:pPr>
              <w:spacing w:after="0"/>
              <w:rPr>
                <w:sz w:val="17"/>
                <w:szCs w:val="17"/>
                <w:color w:val="auto"/>
              </w:rPr>
            </w:pPr>
          </w:p>
        </w:tc>
        <w:tc>
          <w:tcPr>
            <w:tcW w:w="7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131</w:t>
            </w:r>
          </w:p>
        </w:tc>
        <w:tc>
          <w:tcPr>
            <w:tcW w:w="1320" w:type="dxa"/>
            <w:vAlign w:val="bottom"/>
            <w:gridSpan w:val="3"/>
          </w:tcPr>
          <w:p>
            <w:pPr>
              <w:jc w:val="right"/>
              <w:ind w:right="498"/>
              <w:spacing w:after="0"/>
              <w:rPr>
                <w:sz w:val="20"/>
                <w:szCs w:val="20"/>
                <w:color w:val="auto"/>
              </w:rPr>
            </w:pPr>
            <w:r>
              <w:rPr>
                <w:rFonts w:ascii="Times New Roman" w:cs="Times New Roman" w:eastAsia="Times New Roman" w:hAnsi="Times New Roman"/>
                <w:sz w:val="18"/>
                <w:szCs w:val="18"/>
                <w:color w:val="auto"/>
              </w:rPr>
              <w:t>111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5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4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(b)</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3"/>
          </w:tcPr>
          <w:p>
            <w:pPr>
              <w:jc w:val="right"/>
              <w:ind w:right="438"/>
              <w:spacing w:after="0"/>
              <w:rPr>
                <w:sz w:val="20"/>
                <w:szCs w:val="20"/>
                <w:color w:val="auto"/>
              </w:rPr>
            </w:pPr>
            <w:r>
              <w:rPr>
                <w:rFonts w:ascii="Times New Roman" w:cs="Times New Roman" w:eastAsia="Times New Roman" w:hAnsi="Times New Roman"/>
                <w:sz w:val="18"/>
                <w:szCs w:val="18"/>
                <w:color w:val="auto"/>
              </w:rPr>
              <w:t>(393)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5,986</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5,689</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vMerge w:val="restart"/>
          </w:tcPr>
          <w:p>
            <w:pPr>
              <w:jc w:val="right"/>
              <w:ind w:right="202"/>
              <w:spacing w:after="0"/>
              <w:rPr>
                <w:sz w:val="20"/>
                <w:szCs w:val="20"/>
                <w:color w:val="auto"/>
              </w:rPr>
            </w:pPr>
            <w:r>
              <w:rPr>
                <w:rFonts w:ascii="Times New Roman" w:cs="Times New Roman" w:eastAsia="Times New Roman" w:hAnsi="Times New Roman"/>
                <w:sz w:val="18"/>
                <w:szCs w:val="18"/>
                <w:color w:val="auto"/>
              </w:rPr>
              <w:t>84</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50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related to corporate debt, net </w:t>
            </w:r>
            <w:r>
              <w:rPr>
                <w:rFonts w:ascii="Times New Roman" w:cs="Times New Roman" w:eastAsia="Times New Roman" w:hAnsi="Times New Roman"/>
                <w:sz w:val="22"/>
                <w:szCs w:val="22"/>
                <w:color w:val="auto"/>
                <w:vertAlign w:val="superscript"/>
              </w:rPr>
              <w:t>(c)</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127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50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2"/>
                <w:szCs w:val="22"/>
                <w:color w:val="auto"/>
                <w:vertAlign w:val="superscript"/>
              </w:rPr>
              <w:t>(d)</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w w:val="93"/>
              </w:rPr>
              <w:t>1,195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(677</w:t>
            </w:r>
          </w:p>
        </w:tc>
        <w:tc>
          <w:tcPr>
            <w:tcW w:w="5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right="40" w:hanging="332"/>
        <w:spacing w:after="0" w:line="237" w:lineRule="auto"/>
        <w:tabs>
          <w:tab w:leader="none" w:pos="34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 2007, EBITDA reflects separation-related costs (credits) of $5 million in Domestic Car Rental and ($10) million in Corporate and Other. In 2006, EBITDA reflects separation-related costs of $19 million in Domestic Car Rental, $1 million in International Car Rental, $3 million in Truck Rental and $238 million in Corporate and Other.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7" w:lineRule="exact"/>
        <w:rPr>
          <w:sz w:val="20"/>
          <w:szCs w:val="20"/>
          <w:color w:val="auto"/>
        </w:rPr>
      </w:pPr>
    </w:p>
    <w:p>
      <w:pPr>
        <w:ind w:left="340" w:right="160" w:hanging="332"/>
        <w:spacing w:after="0" w:line="232"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unallocated corporate overhead, the elimination of transactions between segments and the results of operations of certain non-strategic businesses. In addition, EBITDA for 2006 reflects unallocated corporate expenses related to discontinued operations. Following the completion of the Cendant Separation, we do not incur the majority of such costs.</w:t>
      </w:r>
    </w:p>
    <w:p>
      <w:pPr>
        <w:ind w:left="340" w:hanging="332"/>
        <w:spacing w:after="0" w:line="203"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amount in 2006 includes a $313 million charge related to the early extinguishment of corporate debt.</w:t>
      </w:r>
    </w:p>
    <w:p>
      <w:pPr>
        <w:ind w:left="340" w:right="240" w:hanging="332"/>
        <w:spacing w:after="0" w:line="238" w:lineRule="auto"/>
        <w:tabs>
          <w:tab w:leader="none" w:pos="34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We recorded a charge of $1,195 million for the impairment of goodwill during the three months ended December 31, 2007. Domestic Car Rental recorded $786 million of the goodwill impairment, International Car Rental recorded $268 million and Truck Rental recorded $141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Car Rental</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Revenues and EBITDA increased $284 million (6%) and $51 million (24%), respectively, in 2007 compared with 2006. We experienced increased demand for car rentals and significantly increased our ancillary revenues.</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revenue increase of $284 million was comprised of a $132 million (4%) increase in T&amp;M revenue and a $152 million (19%) increase in ancillary revenues. The increase in T&amp;M revenue was principally driven by a 4% increase in rental days. The $152 million increase in ancillary revenues was due primarily to (i) a $72 million increase in airport concession and vehicle licensing revenues, $20 million of which was offset in EBITDA by higher airport concession and vehicle licensing expenses remitted to airport and other regulatory authorities, (ii) a $69 million increase in rentals of GPS navigation units, sales of loss damage waivers and insurance products and other items, and (iii) an $11 million increase in gasoline sales.</w:t>
      </w:r>
    </w:p>
    <w:p>
      <w:pPr>
        <w:spacing w:after="0" w:line="13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The favorable effect of incremental revenues was offset in EBITDA by $125 million (11%) of increased fleet depreciation and lease charges primarily resulting from increased per-unit fleet costs in 2007 and a 4% increase in average fleet size. EBITDA also reflected a $92 million increase in operating expenses including</w:t>
      </w:r>
    </w:p>
    <w:p>
      <w:pPr>
        <w:spacing w:after="0" w:line="1" w:lineRule="exact"/>
        <w:rPr>
          <w:sz w:val="20"/>
          <w:szCs w:val="20"/>
          <w:color w:val="auto"/>
        </w:rPr>
      </w:pPr>
    </w:p>
    <w:p>
      <w:pPr>
        <w:ind w:right="140" w:firstLine="8"/>
        <w:spacing w:after="0" w:line="253" w:lineRule="auto"/>
        <w:tabs>
          <w:tab w:leader="none" w:pos="2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of additional expenses associated with increased car rental volume and fleet size, primarily related to credit card fees and agency operator commissions and (ii) $29 million of incremental expenses, primarily representing inflationary increases in salaries and wages and off-airport rental expense. We incurred $8 million more vehicle-related interest expense during 2007 compared to 2006, primarily due to the loss of intercompany interest income recorded in 2006 prior to the Cendant Separation. EBITDA also benefited from a $17 million decrease in separation-related costs, primarily related to accelerated vesting of stock-based compensation awards incurred in 2006.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Car Rental</w:t>
      </w:r>
    </w:p>
    <w:p>
      <w:pPr>
        <w:spacing w:after="0" w:line="1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Revenues and EBITDA increased $112 million (15%) and $20 million (18%), respectively, in 2007 compared with 2006, primarily due to the impact of foreign currency exchange rate fluctuations, increased car rental pricing and higher demand for car rentals.</w:t>
      </w:r>
    </w:p>
    <w:p>
      <w:pPr>
        <w:spacing w:after="0" w:line="12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revenue increase of $112 million was comprised of a $73 million (13%) increase in car rental T&amp;M revenue and a $39 million (18%) increase in ancillary revenues. The increase in T&amp;M revenue was principally driven by a 10% increase in T&amp;M revenue per day and a 3% increase in the number of days a car was rented. The total growth in revenue includes a $67 million increase related to the translation of foreign currency exchange rates, which increased T&amp;M revenue per day by 8% and was largely offset in EBITDA by the opposite impact on expenses and provided a net benefit of $8 million year-over-year. The $39 million increase in ancillary revenues was due primarily to (i) a $23 million increase in counter sales of insurance and other items, and (ii) a $13 million increase in airport concession and vehicle licensing revenues, which was more than offset in EBITDA by higher airport concession and vehicle licensing expenses remitted to airport and other regulatory authorities.</w:t>
      </w:r>
    </w:p>
    <w:p>
      <w:pPr>
        <w:spacing w:after="0" w:line="14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favorable effect of incremental T&amp;M revenues was partially offset in EBITDA by $27 million (15%) of increased fleet depreciation and lease charges principally resulting from an increase of 4% in the average size of our international rental fleet and increased per-unit fleet costs including the effects of foreign exchange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movements. EBITDA also reflects $37 million of incremental operating expenses including (i) $22 million in inflationary increases in salaries and wages, rents and other costs, (ii) $11 million in additional expenses associated with increased car rental volume, primarily related to license and registration fees and other vehicle costs, and (iii) $4 million in increased gasoline expenses. We incurred $7 million more interest expense during 2007 than in 2006 due to increased borrowings for international operations and higher interest rates.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Rental</w:t>
      </w:r>
    </w:p>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Revenues and EBITDA declined $56 million (12%) and $28 million (62%), respectively, in 2007 compared with 2006, primarily reflecting decreases in rental day volume and T&amp;M revenue per day. EBITDA was also impacted by increased fleet costs.</w:t>
      </w:r>
    </w:p>
    <w:p>
      <w:pPr>
        <w:spacing w:after="0" w:line="1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Substantially all of the revenue decrease was due to a decline in T&amp;M revenue, which reflected a 7% reduction in rental days and an 8% decrease in T&amp;M revenue per day. The 7% reduction in rental days resulted primarily from declines in one-way consumer and commercial volumes, and a 6% reduction in the average size or our rental fleet. We believe these decreases reflect a soft housing market and heightened competition for commercial rentals. Despite the reduction in the average size of our truck rental fleet, we incurred $4 million (4%) of incremental fleet depreciation, interest and lease charges primarily due to higher per-unit fleet costs, including a reduction in expense of $5 million due to a change in projected vehicle hold periods. These items were offset by $22 million in reduced operating expenses, including (i) a decrease of $11 million in operating commission expense primarily reflecting the decrease in T&amp;M revenue, (ii) a $10 million decrease in maintenance and damage costs, and (iii) an $8 million reduction in insurance expense as a result of favorable claims experience and the reduction in rental days. EBITDA also reflected a $5 million reduction in restructuring charges compared to 2006 and a year-over-year reduction of $3 million in costs related to the Cendant Separation.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decreased $43 million and EBITDA increased from a loss of $393 million in 2006 to an income of $1 million in 2007.</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Revenues were lower in 2007 due to (i) the absence of $17 million in revenue associated with a credit card marketing program under which we earned fees based on a percentage of credit card spending through the date of the Cendant Separation, (ii) a $16 million decrease in revenues earned for information technology service contracts with Realogy, Wyndham and Travelport as the contracts expire and services are no longer being provided and (iii) a $10 million reduction primarily related to dividend income and gains on the sale of marketable securities in 2006.</w:t>
      </w:r>
    </w:p>
    <w:p>
      <w:pPr>
        <w:spacing w:after="0" w:line="13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EBITDA increased primarily due to (i) a $131 million reduction in selling and general expenses resulting from the spin-offs of Realogy and Wyndham and the sale of Travelport in third quarter 2006, (ii) a $248 million reduction in separation-related expenses, including unallocated corporate costs, (iii) a $40 million reduction in legal fees for litigation related to the former CUC business units and (iv) a $21 million decrease in intercompany interest expense prior to the Cendant Separation.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2006 vs. Year Ended December 31, 2005</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Our consolidated results of operations comprised the following:</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846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6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7"/>
        </w:trPr>
        <w:tc>
          <w:tcPr>
            <w:tcW w:w="84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rPr>
              <w:t>$ 5,689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$5,400</w:t>
            </w:r>
          </w:p>
        </w:tc>
        <w:tc>
          <w:tcPr>
            <w:tcW w:w="64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289</w:t>
            </w:r>
          </w:p>
        </w:tc>
        <w:tc>
          <w:tcPr>
            <w:tcW w:w="60" w:type="dxa"/>
            <w:vAlign w:val="bottom"/>
          </w:tcPr>
          <w:p>
            <w:pPr>
              <w:spacing w:after="0"/>
              <w:rPr>
                <w:sz w:val="17"/>
                <w:szCs w:val="17"/>
                <w:color w:val="auto"/>
              </w:rPr>
            </w:pPr>
          </w:p>
        </w:tc>
      </w:tr>
      <w:tr>
        <w:trPr>
          <w:trHeight w:val="228"/>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9"/>
                <w:szCs w:val="19"/>
                <w:color w:val="auto"/>
              </w:rPr>
            </w:pPr>
          </w:p>
        </w:tc>
      </w:tr>
      <w:tr>
        <w:trPr>
          <w:trHeight w:val="211"/>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Pr>
          <w:p>
            <w:pPr>
              <w:spacing w:after="0"/>
              <w:rPr>
                <w:sz w:val="18"/>
                <w:szCs w:val="18"/>
                <w:color w:val="auto"/>
              </w:rPr>
            </w:pPr>
          </w:p>
        </w:tc>
      </w:tr>
      <w:tr>
        <w:trPr>
          <w:trHeight w:val="228"/>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00" w:type="dxa"/>
            <w:vAlign w:val="bottom"/>
            <w:gridSpan w:val="3"/>
          </w:tcPr>
          <w:p>
            <w:pPr>
              <w:jc w:val="right"/>
              <w:ind w:right="242"/>
              <w:spacing w:after="0"/>
              <w:rPr>
                <w:sz w:val="20"/>
                <w:szCs w:val="20"/>
                <w:color w:val="auto"/>
              </w:rPr>
            </w:pPr>
            <w:r>
              <w:rPr>
                <w:rFonts w:ascii="Times New Roman" w:cs="Times New Roman" w:eastAsia="Times New Roman" w:hAnsi="Times New Roman"/>
                <w:sz w:val="18"/>
                <w:szCs w:val="18"/>
                <w:color w:val="auto"/>
              </w:rPr>
              <w:t>(226)</w:t>
            </w:r>
          </w:p>
        </w:tc>
        <w:tc>
          <w:tcPr>
            <w:tcW w:w="14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1"/>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900" w:type="dxa"/>
            <w:vAlign w:val="bottom"/>
            <w:gridSpan w:val="3"/>
          </w:tcPr>
          <w:p>
            <w:pPr>
              <w:jc w:val="right"/>
              <w:ind w:right="242"/>
              <w:spacing w:after="0"/>
              <w:rPr>
                <w:sz w:val="20"/>
                <w:szCs w:val="20"/>
                <w:color w:val="auto"/>
              </w:rPr>
            </w:pPr>
            <w:r>
              <w:rPr>
                <w:rFonts w:ascii="Times New Roman" w:cs="Times New Roman" w:eastAsia="Times New Roman" w:hAnsi="Times New Roman"/>
                <w:sz w:val="18"/>
                <w:szCs w:val="18"/>
                <w:color w:val="auto"/>
              </w:rPr>
              <w:t>(1,957)</w:t>
            </w: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(2,506)</w:t>
            </w:r>
          </w:p>
        </w:tc>
      </w:tr>
      <w:tr>
        <w:trPr>
          <w:trHeight w:val="228"/>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900" w:type="dxa"/>
            <w:vAlign w:val="bottom"/>
            <w:gridSpan w:val="3"/>
          </w:tcPr>
          <w:p>
            <w:pPr>
              <w:jc w:val="right"/>
              <w:ind w:right="242"/>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(1,994</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1,618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(3,612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6"/>
          <w:szCs w:val="16"/>
          <w:color w:val="auto"/>
        </w:rPr>
        <w:t>During 2006, our total revenues increased $289 million (5%) principally due to a 5% increase in T&amp;M revenue reflecting a 2% increase in rental days and a 5% increase in T&amp;M revenue per day within our car rental operations, partially offset by a 14% reduction in truck rental days. Total expenses increased $904 million (17%) principally reflecting separation-related charges of $574 million we incurred during 2006 and increased fleet depreciation and lease charges of $178 million resulting from higher per unit fleet costs and a larger car rental fleet. The separation charges relate primarily to the early extinguishment of debt, stock-based compensation, severance and retention and legal, accounting, and other professional fees. The year-over-year increase in total expenses also reflects</w:t>
      </w:r>
    </w:p>
    <w:p>
      <w:pPr>
        <w:ind w:left="220" w:hanging="212"/>
        <w:spacing w:after="0"/>
        <w:tabs>
          <w:tab w:leader="none" w:pos="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associated with increased car rental volume and fleet size, including vehicle maintenance and damage costs, commissions and</w:t>
      </w:r>
    </w:p>
    <w:p>
      <w:pPr>
        <w:spacing w:after="0" w:line="9"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shuttling costs, and (ii) incremental expenses representing inflationary increases in rent, salaries and wages and other costs. Interest expense related to corporate debt increased $64 million primarily due to the absence in 2006 of a $73 million reversal of accrued interest during first quarter 2005 associated with the resolution of amounts due under a litigation settlement reached in 1999. We also incurred $101 million of incremental corporate interest expense related to $1,875 million of borrowings by Avis Budget Car Rental in second quarter 2006, which was substantially offset by a reduction in corporate interest expense resulting from the repayment of approximately $3.5 billion of corporate debt in third quarter 2006. As a result of these items, as well as a $175 million increase in our benefit from income taxes, our loss from continuing operations increased $440 million. Our effective tax rate for continuing operations was a benefit of 33.4% and 82.3% for 2006 and 2005, respectively. The 2005 rate was higher due to the favorable resolution of prior years’ examination matters and state taxes. Selling, general and administrative expenses include unallocated corporate expenses related to the discontinued operations treatment of our former subsidiaries. We will not incur the majority of these corporate costs going forward.</w:t>
      </w:r>
    </w:p>
    <w:p>
      <w:pPr>
        <w:spacing w:after="0" w:line="14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Income from discontinued operations decreased $610 million, which primarily reflects (i) a decrease of $745 million in net income generated by Realogy and Wyndham in 2006 compared to 2005 (these businesses were included in our 2006 results through July 31, 2006, the date of disposition, but were included in our results for the full year ended December 31, 2005) and (ii) the absence in 2006 of net income of $53 million related to our former Marketing Services division (this business was disposed in fourth quarter 2005). These decreases were partially offset by (i) an increase of $160 million in net income generated by Travelport during 2006, which reflects the absence in 2006 of a $425 million pretax impairment charge recorded in 2005, partially offset by the inclusion of this business in our 2006 results through August 23, 2006, the date of disposition, but for the full year ended December 31, 2005 and (ii) the absence of a $24 million loss incurred by PHH in 2005.</w:t>
      </w:r>
    </w:p>
    <w:p>
      <w:pPr>
        <w:spacing w:after="0" w:line="14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net loss we recognized on the disposal of discontinued operations increased approximately $2.5 billion year-over-year, which reflects (i) a $1.8 billion loss on the disposal of Travelport in 2006, (ii) $112 million of costs we incurred in connection with the spin-offs of Realogy and Wyndham and (iii) the absence of a net gain on disposals of $549 million in 2005, which includes a $581 million gain on the sale of our former Marketing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Services division and a $253 million gain recognized primarily in connection with the initial public offering of Wright Express, partially offset by a $285 million charge related to the spin-off of PHH.</w:t>
      </w:r>
    </w:p>
    <w:p>
      <w:pPr>
        <w:spacing w:after="0" w:line="12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color w:val="auto"/>
        </w:rPr>
        <w:t>During 2006, we recorded non-cash charges of $103 million ($64 million, after tax) to reflect the cumulative effect of accounting changes as a result of our adoption of (i) SFAS No. 152, “Accounting for Real Estate Time-Sharing Transactions,” and American Institute of Certified Public Accountants’ Statement of Position No. 04-2, “Accounting for Real Estate Time-Sharing Transactions” on January 1, 2006, which resulted in a non-cash charge of $65 million after tax, and</w:t>
      </w:r>
    </w:p>
    <w:p>
      <w:pPr>
        <w:spacing w:after="0" w:line="1" w:lineRule="exact"/>
        <w:rPr>
          <w:sz w:val="20"/>
          <w:szCs w:val="20"/>
          <w:color w:val="auto"/>
        </w:rPr>
      </w:pPr>
    </w:p>
    <w:p>
      <w:pPr>
        <w:jc w:val="both"/>
        <w:ind w:right="560" w:firstLine="8"/>
        <w:spacing w:after="0" w:line="255"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123R, “Share-Based Payment,” on January 1, 2006, which resulted in a non-cash credit of $1 million after tax. In addition, during 2005, we recorded a $14 million ($8 million, after tax) non-cash charge to reflect the cumulative effect of accounting change as a result of our adoption of Financial Accounting Standards Board (“FASB”) Interpretation No. 47, “Accounting for Conditional Asset Retirement Obligations.”</w:t>
      </w:r>
    </w:p>
    <w:p>
      <w:pPr>
        <w:spacing w:after="0" w:line="138"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As a result of the above-mentioned items, which arose from the dramatic change in composition of our operations effected over 2005 and 2006, net income decreased approximately $3.6 billion.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more detailed discussion of the results of each of our reportable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jc w:val="right"/>
              <w:ind w:right="112"/>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jc w:val="right"/>
              <w:ind w:right="112"/>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500" w:type="dxa"/>
            <w:vAlign w:val="bottom"/>
          </w:tcPr>
          <w:p>
            <w:pPr>
              <w:spacing w:after="0"/>
              <w:rPr>
                <w:sz w:val="20"/>
                <w:szCs w:val="20"/>
                <w:color w:val="auto"/>
              </w:rPr>
            </w:pPr>
          </w:p>
        </w:tc>
        <w:tc>
          <w:tcPr>
            <w:tcW w:w="12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5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Domestic Car Rental</w:t>
            </w:r>
          </w:p>
        </w:tc>
        <w:tc>
          <w:tcPr>
            <w:tcW w:w="7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$4,395</w:t>
            </w:r>
          </w:p>
        </w:tc>
        <w:tc>
          <w:tcPr>
            <w:tcW w:w="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$4,109</w:t>
            </w:r>
          </w:p>
        </w:tc>
        <w:tc>
          <w:tcPr>
            <w:tcW w:w="500" w:type="dxa"/>
            <w:vAlign w:val="bottom"/>
            <w:vMerge w:val="continue"/>
          </w:tcPr>
          <w:p>
            <w:pPr>
              <w:spacing w:after="0"/>
              <w:rPr>
                <w:sz w:val="17"/>
                <w:szCs w:val="17"/>
                <w:color w:val="auto"/>
              </w:rPr>
            </w:pPr>
          </w:p>
        </w:tc>
        <w:tc>
          <w:tcPr>
            <w:tcW w:w="1240" w:type="dxa"/>
            <w:vAlign w:val="bottom"/>
            <w:gridSpan w:val="2"/>
          </w:tcPr>
          <w:p>
            <w:pPr>
              <w:jc w:val="right"/>
              <w:ind w:right="520"/>
              <w:spacing w:after="0" w:line="197" w:lineRule="exact"/>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$ 214</w:t>
            </w:r>
          </w:p>
        </w:tc>
        <w:tc>
          <w:tcPr>
            <w:tcW w:w="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225</w:t>
            </w:r>
          </w:p>
        </w:tc>
        <w:tc>
          <w:tcPr>
            <w:tcW w:w="560" w:type="dxa"/>
            <w:vAlign w:val="bottom"/>
            <w:vMerge w:val="continue"/>
          </w:tcPr>
          <w:p>
            <w:pPr>
              <w:spacing w:after="0"/>
              <w:rPr>
                <w:sz w:val="17"/>
                <w:szCs w:val="17"/>
                <w:color w:val="auto"/>
              </w:rPr>
            </w:pPr>
          </w:p>
        </w:tc>
        <w:tc>
          <w:tcPr>
            <w:tcW w:w="78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661</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111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546</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6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(a)</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84</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w w:val="97"/>
              </w:rPr>
              <w:t>(213)</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740" w:type="dxa"/>
            <w:vAlign w:val="bottom"/>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5,689</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5,400</w:t>
            </w:r>
          </w:p>
        </w:tc>
        <w:tc>
          <w:tcPr>
            <w:tcW w:w="5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478"/>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50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related to corporate debt, net </w:t>
            </w:r>
            <w:r>
              <w:rPr>
                <w:rFonts w:ascii="Times New Roman" w:cs="Times New Roman" w:eastAsia="Times New Roman" w:hAnsi="Times New Roman"/>
                <w:sz w:val="22"/>
                <w:szCs w:val="22"/>
                <w:color w:val="auto"/>
                <w:vertAlign w:val="superscript"/>
              </w:rPr>
              <w:t>(b)</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(677</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Includes unallocated corporate overhead, the elimination of transactions between segments and the results of operations of certain non-strategic businesses.</w:t>
      </w:r>
    </w:p>
    <w:p>
      <w:pPr>
        <w:spacing w:after="0" w:line="11" w:lineRule="exact"/>
        <w:rPr>
          <w:rFonts w:ascii="Times New Roman" w:cs="Times New Roman" w:eastAsia="Times New Roman" w:hAnsi="Times New Roman"/>
          <w:sz w:val="11"/>
          <w:szCs w:val="11"/>
          <w:color w:val="auto"/>
        </w:rPr>
      </w:pPr>
    </w:p>
    <w:p>
      <w:pPr>
        <w:ind w:left="340" w:right="320" w:hanging="332"/>
        <w:spacing w:after="0" w:line="238" w:lineRule="auto"/>
        <w:tabs>
          <w:tab w:leader="none" w:pos="34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2006 amount includes a $313 million charge related to early extinguishment of corporate debt. The 2005 amount includes a credit resulting from the reversal of $73 million of accrued interest associated with the resolution of amounts due under a litigation settlement reached in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Car Rental</w:t>
      </w:r>
    </w:p>
    <w:p>
      <w:pPr>
        <w:spacing w:after="0" w:line="1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Revenues increased $286 million (7%) while EBITDA decreased $11 million (5%) in 2006 compared with 2005. We achieved higher car rental pricing in 2006 compared to 2005, but EBITDA margin comparisons were negatively impacted by higher fleet costs.</w:t>
      </w:r>
    </w:p>
    <w:p>
      <w:pPr>
        <w:spacing w:after="0" w:line="12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The revenue increase of $286 million was comprised of a $222 million (7%) increase in T&amp;M revenue and a $64 million (8%) increase in ancillary revenues. The increase in T&amp;M revenue was principally driven by a 1% increase in the number of days a car was rented and a 6% increase in T&amp;M revenue per day. Fleet depreciation and lease charges increased $122 million (12%) in 2006 primarily due to (i) an increase of 1% in the average size of our domestic rental fleet and</w:t>
      </w:r>
    </w:p>
    <w:p>
      <w:pPr>
        <w:spacing w:after="0" w:line="1" w:lineRule="exact"/>
        <w:rPr>
          <w:sz w:val="20"/>
          <w:szCs w:val="20"/>
          <w:color w:val="auto"/>
        </w:rPr>
      </w:pPr>
    </w:p>
    <w:p>
      <w:pPr>
        <w:jc w:val="both"/>
        <w:ind w:right="180" w:firstLine="8"/>
        <w:spacing w:after="0" w:line="254" w:lineRule="auto"/>
        <w:tabs>
          <w:tab w:leader="none" w:pos="2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per unit fleet costs for model year 2007 and 2006 vehicles compared, respectively, to model year 2006 and 2005 vehicles. We incurred $5 million more vehicle-related interest expense during 2006 compared to 2005, primarily due to a decrease in intercompany interest income. The impact of rising interest rates was substantially offset by the reduction in vehicle related debt in April 2006 with the proceeds from our corporate borrowings incurred in 2006. Interest expense related to such corporate debt is not included in EBITDA, whereas interest related to vehicle-backed debt is included in EBITDA.</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The $64 million increase in ancillary revenues was due primarily to (i) a $27 million increase in counter sales of insurance and other items, (ii) a $24 million increase in airport concession and vehicle licensing revenues, which was offset in EBITDA by higher airport concession and vehicle licensing expenses remitted to airport and other regulatory authorities, and (iii) a $13 million increase in gasoline revenues, which was offset in EBITDA by $24 million of additional gasoline costs. EBITDA from our domestic car rental operations also reflects (i) $87 million of additional expenses primarily associated with increased car rental volume and fleet size, including vehicle maintenance and damage costs, (ii) $43 million of incremental expenses primarily representing inflationary increases in rent, salaries and wages and other costs, (iii) $28 million of incremental agency-operator and credit card commission expense associated with increased T&amp;M revenue and (iv) $19 million of separation-related charges we incurred during 2006 primarily related to accelerated vesting of stock-based compensation awards. Such activity was partially offset by (i) a $26 million decrease in public liability and property damage costs reflecting more favorable claims experience, (ii) the absence of $12 million of expenses relating to damages caused by the hurricanes experienced in the Gulf Coast in September 2005, (iii) a $10 million reduction in incentive compensation expenses and (iv) the absence of $10 million of litigation expense incurred in 2005 resulting from the settlement of a dispute.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Car Rental</w:t>
      </w:r>
    </w:p>
    <w:p>
      <w:pPr>
        <w:spacing w:after="0" w:line="17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Revenues increased $100 million (15%) while EBITDA was unchanged in 2006 compared with 2005, primarily reflecting growth in rental day volume and the impact on our 2006 results of franchisees acquired during or subsequent to 2005, as discussed below. Our EBITDA margins were negatively impacted by higher fleet and interest costs.</w:t>
      </w:r>
    </w:p>
    <w:p>
      <w:pPr>
        <w:spacing w:after="0" w:line="132"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6"/>
          <w:szCs w:val="16"/>
          <w:color w:val="auto"/>
        </w:rPr>
        <w:t>The revenue increase of $100 million was comprised of a $69 million (14%) increase in car rental T&amp;M revenue and a $31 million (18%) increase in ancillary revenues. The increase in T&amp;M revenue was principally driven by a 13% increase in the number of days a car was rented (which includes 4% organic growth) and a 2% increase in T&amp;M revenue per day. The favorable effect of incremental T&amp;M revenues was partially offset in EBITDA by $35 million (24%) of increased fleet depreciation and lease charges resulting from an increase of 13% in the average size of our international rental fleet and increased per-unit fleet costs. We incurred $10 million more vehicle-related interest expense during 2006 compared to 2005, primarily due to increased interest rates.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$31 million increase in ancillary revenues was due primarily to (i) a $16 million increase in counter sales of insurance and other items, (ii) an $11 million increase in airport concession and vehicle licensing revenues, the majority of which was offset in EBITDA by higher airport concession and vehicle licensing expenses remitted to airport and other regulatory authorities, and (iii) a $4 million increase in gasoline revenues, which was partially offset in EBITDA by $1 million of additional gasoline costs. EBITDA also reflects (i) $20 million of higher operating expenses primarily due to increased car rental volume and fleet size, including vehicle maintenance and damage costs, (ii) $20 million of incremental expenses primarily representing inflationary increases in rent, salaries and wages and other costs and (iii) $7 million of incremental agency-operator and credit card commission expense associated with increased T&amp;M revenue. The increases discussed above also include (i) $55 million of revenue and $1 million of EBITDA losses resulting from our acquisitions of international franchisees during or subsequent to 2005 and (ii) a $12 million increase in revenue related to favorable foreign currency exchange rate fluctuations, which was substantially offset in EBITDA by the opposite impact of foreign currency exchange rate fluctuations on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Rental</w:t>
      </w:r>
    </w:p>
    <w:p>
      <w:pPr>
        <w:spacing w:after="0" w:line="17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Revenues and EBITDA declined $74 million (14%) and $58 million (56%), respectively, for 2006 compared with 2005, primarily reflecting lower rental day volume and lower T&amp;M revenue per day. EBITDA was also impacted by higher fleet costs.</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Substantially all of the revenue decrease of $74 million was due to a decrease in T&amp;M revenue, which reflected a 14% reduction in rental days and a 2% decrease in T&amp;M revenue per day. The 14% reduction in rental days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reflected declines primarily in commercial volumes and a 5% reduction in the average size of our rental fleet. Despite the reduction in the average size of our truck rental fleet, reflecting our efforts to focus on newer and more efficient trucks, we incurred $23 million (23%) of incremental fleet depreciation, interest and lease charges primarily due to higher per-unit fleet costs. EBITDA was also unfavorably impacted by the absence of a $13 million credit relating to a refinement made during 2005 in how we estimate repair and refurbishment costs of our truck fleet. During 2006, we recorded $3 million of separation-related charges, including debt termination and other costs. These items were partially offset by (i) a $31 million decrease in operating expenses primarily due to operating a smaller and more efficient fleet and reduced rental volumes, (ii) a $13 million decrease in our public liability and property damage costs as a result of more favorable claims experience and a reduction in rental days, (iii) a decrease of $12 million in credit card and other commission expense partially associated with decreased T&amp;M revenue and (iv) the absence of a $5 million restructuring charge recorded in 2005, which represented costs incurred in connection with the closure of a reservation center and unprofitable rental locations, which was more than offset by an $8 million charge in 2006 principally related to the closure of the Budget Truck Rental headquarters and other facilities and reductions in staff.</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decreased $23 million and the EBITDA loss increased from $213 million in 2005 to $393 million in 2006.</w:t>
      </w:r>
    </w:p>
    <w:p>
      <w:pPr>
        <w:spacing w:after="0" w:line="17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Revenues and EBITDA were unfavorably impacted in 2006 by the absence of an $18 million realized gain on the sale of Homestore stock in 2005. Revenues were also impacted by a $12 million reduction in earnings on a credit card marketing program under which we earned fees based on a percentage of credit card spending through the date of the completion of the Cendant Separation.</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EBITDA was also unfavorably impacted year-over-year by a $182 million increase in general and administrative costs in 2006, including separation-related charges, unallocated corporate expenses and executive salaries. These increases were partially offset by a $32 million decrease in incentive compensation costs in 2006, and the absence in 2006 of $19 million of restructuring charges recorded during 2005.</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present separately the financial data of our vehicle programs. These programs are distinct from our other activities as the assets are generally funded through the issuance of debt that is collateralized by such assets. Assets under vehicle programs are funded through borrowings under asset-backed funding or other similar arrangements.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4"/>
        </w:trPr>
        <w:tc>
          <w:tcPr>
            <w:tcW w:w="7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7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8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1"/>
              </w:rPr>
              <w:t>Change</w:t>
            </w:r>
          </w:p>
        </w:tc>
      </w:tr>
      <w:tr>
        <w:trPr>
          <w:trHeight w:val="197"/>
        </w:trPr>
        <w:tc>
          <w:tcPr>
            <w:tcW w:w="71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220" w:type="dxa"/>
            <w:vAlign w:val="bottom"/>
            <w:tcBorders>
              <w:top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4,493</w:t>
            </w:r>
          </w:p>
        </w:tc>
        <w:tc>
          <w:tcPr>
            <w:tcW w:w="780" w:type="dxa"/>
            <w:vAlign w:val="bottom"/>
          </w:tcPr>
          <w:p>
            <w:pPr>
              <w:spacing w:after="0"/>
              <w:rPr>
                <w:sz w:val="17"/>
                <w:szCs w:val="17"/>
                <w:color w:val="auto"/>
              </w:rPr>
            </w:pPr>
          </w:p>
        </w:tc>
        <w:tc>
          <w:tcPr>
            <w:tcW w:w="220" w:type="dxa"/>
            <w:vAlign w:val="bottom"/>
            <w:tcBorders>
              <w:top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5,571</w:t>
            </w:r>
          </w:p>
        </w:tc>
        <w:tc>
          <w:tcPr>
            <w:tcW w:w="800" w:type="dxa"/>
            <w:vAlign w:val="bottom"/>
          </w:tcPr>
          <w:p>
            <w:pPr>
              <w:spacing w:after="0"/>
              <w:rPr>
                <w:sz w:val="17"/>
                <w:szCs w:val="17"/>
                <w:color w:val="auto"/>
              </w:rPr>
            </w:pPr>
          </w:p>
        </w:tc>
        <w:tc>
          <w:tcPr>
            <w:tcW w:w="5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4"/>
              </w:rPr>
              <w:t>$ (1,078)</w:t>
            </w:r>
          </w:p>
        </w:tc>
        <w:tc>
          <w:tcPr>
            <w:tcW w:w="60" w:type="dxa"/>
            <w:vAlign w:val="bottom"/>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 programs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r>
      <w:tr>
        <w:trPr>
          <w:trHeight w:val="22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(978)</w:t>
            </w:r>
          </w:p>
        </w:tc>
      </w:tr>
    </w:tbl>
    <w:p>
      <w:pPr>
        <w:spacing w:after="0" w:line="15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Total assets exclusive of assets under vehicle programs decreased $1.1 billion principally due to (i) a $1,193 million decrease in goodwill and (ii) a $99 million decrease in other current assets and other non-current assets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primarily as a result of the sale of our preferred stock investment in Affinion. These decreases were offset by (i) an increase of $60 million in other non-current assets related to our investment in Carey in 2007, (ii) a $43 million increase in deferred taxes (iii) a $42 million increase in cash and cash equivalents (see “Liquidity and Capital Resources—Cash Flows” for a detailed discussion), (iv) a $29 million increase in accounts receivable primarily due to an increase in retention receivables from manufacturers, (v) a $21 million increase in intangible assets related to our acquisition of vehicle rental licensees and (vi) fluctuations in foreign currency exchange rates.</w:t>
      </w:r>
    </w:p>
    <w:p>
      <w:pPr>
        <w:spacing w:after="0" w:line="13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Total liabilities exclusive of liabilities under vehicle programs decreased $260 million primarily due to (i) a $99 million decrease in balances due to Realogy and Wyndham related to our preferred stock investment in Affinion, (ii) a $73 million decrease in accrued payroll costs, (iii) an $80 million decrease in income taxes payable and (iv) a $45 million decrease in our corporate debt. These decreases were partially offset by a $50 million increase in accrued settlement liabilities, for which we are entitled to indemnification by Realogy and Wyndham.</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Assets under vehicle programs increased $281 million as a result of $425 million of net additions primarily to our International and Domestic vehicle rental fleets, reflecting projected year-over- year increases in demand. This increase was partially offset by a $131 million decrease in our Investment in Avis Budget Rental Car Funding related to a change in the value of derivatives, including derivatives which qualify for hedge-accounting treatment, used to manage the interest rate risk associated with the debt under vehicle program for our wholly-owned subsidiary, AESOP Leasing LP.</w:t>
      </w:r>
    </w:p>
    <w:p>
      <w:pPr>
        <w:spacing w:after="0" w:line="136" w:lineRule="exact"/>
        <w:rPr>
          <w:sz w:val="20"/>
          <w:szCs w:val="20"/>
          <w:color w:val="auto"/>
        </w:rPr>
      </w:pPr>
    </w:p>
    <w:p>
      <w:pPr>
        <w:jc w:val="both"/>
        <w:ind w:right="220"/>
        <w:spacing w:after="0" w:line="339" w:lineRule="auto"/>
        <w:rPr>
          <w:sz w:val="20"/>
          <w:szCs w:val="20"/>
          <w:color w:val="auto"/>
        </w:rPr>
      </w:pPr>
      <w:r>
        <w:rPr>
          <w:rFonts w:ascii="Times New Roman" w:cs="Times New Roman" w:eastAsia="Times New Roman" w:hAnsi="Times New Roman"/>
          <w:sz w:val="16"/>
          <w:szCs w:val="16"/>
          <w:color w:val="auto"/>
        </w:rPr>
        <w:t>Liabilities under vehicle programs increased $441 million, primarily reflecting additional borrowings to support the growth in our vehicle rental fleet described above. See “Liquidity and Capital Resources—Debt and Financing Arrangements” for a detailed account of the change in our debt related to vehicle programs.</w:t>
      </w:r>
    </w:p>
    <w:p>
      <w:pPr>
        <w:spacing w:after="0" w:line="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Stockholders’ equity decreased $978 million primarily due to (i) a net loss of $916 million for 2007 reflecting a charge of $1,195 related to the impairment of goodwill, (ii) a $66 million decrease to additional paid-in capital related to post Cendant Separation dividend adjustments to Realogy and Wyndham in accordance with the Separation Agreement, (iii) a $36 million decrease in accumulated other comprehensive income as a result of unrealized losses on cash flow hedges incurred during 2007, partially offset by currency translation adjustments and (iv) an $18 million charge to stockholders’ equity as a result of the adoption of Financial Accounting Standards Board (“FASB”) Interpretation No. 48 (“FIN 48”). These decreases were partially offset by a net $49 million increase in stockholders’ equity related to the exercise of employee stock options and (iii) a net $12 million increase related to the granting and vesting of restricted stock units.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3"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At December 31, 2007, we had $214 million of cash on hand, an increase of $42 million from $172 million at December 31, 2006. The following table summarizes such increase: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2"/>
        </w:trPr>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0" w:type="dxa"/>
            <w:vAlign w:val="bottom"/>
          </w:tcPr>
          <w:p>
            <w:pPr>
              <w:spacing w:after="0"/>
              <w:rPr>
                <w:sz w:val="18"/>
                <w:szCs w:val="18"/>
                <w:color w:val="auto"/>
              </w:rPr>
            </w:pPr>
          </w:p>
        </w:tc>
      </w:tr>
      <w:tr>
        <w:trPr>
          <w:trHeight w:val="195"/>
        </w:trPr>
        <w:tc>
          <w:tcPr>
            <w:tcW w:w="8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Cash provided by (used 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252</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60" w:type="dxa"/>
            <w:vAlign w:val="bottom"/>
          </w:tcPr>
          <w:p>
            <w:pPr>
              <w:spacing w:after="0"/>
              <w:rPr>
                <w:sz w:val="18"/>
                <w:szCs w:val="18"/>
                <w:color w:val="auto"/>
              </w:rPr>
            </w:pP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(1,917)</w:t>
            </w:r>
          </w:p>
        </w:tc>
        <w:tc>
          <w:tcPr>
            <w:tcW w:w="100" w:type="dxa"/>
            <w:vAlign w:val="bottom"/>
          </w:tcPr>
          <w:p>
            <w:pPr>
              <w:spacing w:after="0"/>
              <w:rPr>
                <w:sz w:val="18"/>
                <w:szCs w:val="18"/>
                <w:color w:val="auto"/>
              </w:rPr>
            </w:pPr>
          </w:p>
        </w:tc>
        <w:tc>
          <w:tcPr>
            <w:tcW w:w="8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(1,164)</w:t>
            </w:r>
          </w:p>
        </w:tc>
      </w:tr>
      <w:tr>
        <w:trPr>
          <w:trHeight w:val="216"/>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w w:val="98"/>
              </w:rPr>
              <w:t>(4,704)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60" w:type="dxa"/>
            <w:vAlign w:val="bottom"/>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28"/>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4,829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(4,829)</w:t>
            </w:r>
          </w:p>
        </w:tc>
      </w:tr>
      <w:tr>
        <w:trPr>
          <w:trHeight w:val="225"/>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For 2007, we generated approximately $1.5 billion more cash from operating activities in comparison to 2006. This change principally reflected (i) an increase in operating results in 2007 primarily due to lower expenses than those incurred in 2006 related to the Cendant Separation of $266 million and debt extinguishment costs of $313 million, (ii) decreased interest expense and (iii) reduced use of cash for working capital requirements.</w:t>
      </w:r>
    </w:p>
    <w:p>
      <w:pPr>
        <w:spacing w:after="0" w:line="13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We used approximately $1.2 billion more cash in investing activities during 2007 compared with 2006. This change was principally due to the activities of our vehicle programs which produced a greater cash outflow of approximately $1.2 billion in 2007 compared to 2006 and reflected the reduction in the size of our fleet in 2006, changes in vehicle prices and the timing of payments and receipts for vehicles. As a result of these changes we received $1.9 billion less cash during 2007 compared to 2006 in payments received on vehicles repurchased by manufacturers partially offset by our reduced investment in vehicles purchased of $715 million during 2007. During 2008, we expect to utilize at least $4.9 billion of cash to purchase rental vehicles, which will primarily be funded with proceeds received on sale of rental vehicles to manufacturers under our repurchase or guaranteed depreciation agreements or in the used car market and our borrowings under our vehicle-backed debt programs. We anticipate aggregate capital expenditure investments for 2008 to approximate $100 million.</w:t>
      </w:r>
    </w:p>
    <w:p>
      <w:pPr>
        <w:spacing w:after="0" w:line="11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used approximately $4.9 billion less cash in financing activities during 2007 compared to 2006. This change primarily reflects (i) the absence of $3.6 billion of cash used in 2006 to repay corporate debt previously issued by Cendant, (ii) an approximately $2.9 billion decrease in principal debt payments related to our vehicle rental activities net of decreased proceeds, (iii) a reduction of $247 million in cash utilized as compared to 2006 for net repurchases or issuances of common stock and (iv) a reduction of dividend payments of $113 million. These increases were partially offset by the absence of the proceeds received in connection with the issuance of $1,875 million of fixed and floating rate notes in 2006.</w:t>
      </w:r>
    </w:p>
    <w:p>
      <w:pPr>
        <w:spacing w:after="0" w:line="13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For 2007, we received approximately $4.8 billion less cash from discontinued operations compared to 2006, which primarily reflects the absence of the net proceeds of $4.1 billion received in connection with the sale of Travelport in 2006.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FINANCING ARRANGEMENTS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At December 31, 2007, we had approximately $7.4 billion of indebtedness (including corporate indebtedness of approximately $1.8 billion and debt under vehicle programs of approximately $5.6 billion).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Corporate indebtedness consisted of:</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5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24"/>
                <w:szCs w:val="24"/>
                <w:color w:val="auto"/>
              </w:rPr>
            </w:pPr>
          </w:p>
        </w:tc>
        <w:tc>
          <w:tcPr>
            <w:tcW w:w="15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68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1"/>
        </w:trPr>
        <w:tc>
          <w:tcPr>
            <w:tcW w:w="5880" w:type="dxa"/>
            <w:vAlign w:val="bottom"/>
          </w:tcPr>
          <w:p>
            <w:pPr>
              <w:spacing w:after="0"/>
              <w:rPr>
                <w:sz w:val="20"/>
                <w:szCs w:val="20"/>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Date</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700" w:type="dxa"/>
            <w:vAlign w:val="bottom"/>
          </w:tcPr>
          <w:p>
            <w:pPr>
              <w:spacing w:after="0"/>
              <w:rPr>
                <w:sz w:val="20"/>
                <w:szCs w:val="20"/>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0"/>
                <w:szCs w:val="20"/>
                <w:color w:val="auto"/>
              </w:rPr>
            </w:pPr>
          </w:p>
        </w:tc>
      </w:tr>
      <w:tr>
        <w:trPr>
          <w:trHeight w:val="345"/>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Floating rate term loan </w:t>
            </w:r>
            <w:r>
              <w:rPr>
                <w:rFonts w:ascii="Times New Roman" w:cs="Times New Roman" w:eastAsia="Times New Roman" w:hAnsi="Times New Roman"/>
                <w:sz w:val="22"/>
                <w:szCs w:val="22"/>
                <w:color w:val="auto"/>
                <w:vertAlign w:val="superscript"/>
              </w:rPr>
              <w:t>(a) (b)</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April 2012</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88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Floating rate notes </w:t>
            </w:r>
            <w:r>
              <w:rPr>
                <w:rFonts w:ascii="Times New Roman" w:cs="Times New Roman" w:eastAsia="Times New Roman" w:hAnsi="Times New Roman"/>
                <w:sz w:val="22"/>
                <w:szCs w:val="22"/>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88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 notes </w:t>
            </w:r>
            <w:r>
              <w:rPr>
                <w:rFonts w:ascii="Times New Roman" w:cs="Times New Roman" w:eastAsia="Times New Roman" w:hAnsi="Times New Roman"/>
                <w:sz w:val="22"/>
                <w:szCs w:val="22"/>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58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 notes </w:t>
            </w:r>
            <w:r>
              <w:rPr>
                <w:rFonts w:ascii="Times New Roman" w:cs="Times New Roman" w:eastAsia="Times New Roman" w:hAnsi="Times New Roman"/>
                <w:sz w:val="22"/>
                <w:szCs w:val="22"/>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2016</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09"/>
        </w:trPr>
        <w:tc>
          <w:tcPr>
            <w:tcW w:w="5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r>
      <w:tr>
        <w:trPr>
          <w:trHeight w:val="229"/>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4"/>
        </w:trPr>
        <w:tc>
          <w:tcPr>
            <w:tcW w:w="5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80" w:hanging="332"/>
        <w:spacing w:after="0" w:line="232" w:lineRule="auto"/>
        <w:tabs>
          <w:tab w:leader="none" w:pos="34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 connection with the Cendant Separation, Avis Budget Car Rental borrowed $1,875 million in April 2006, which consisted of (i) $1 billion of unsecured fixed and floating rate notes and (ii) an $875 million secured floating rate term loan under a credit facility. The floating rate term loan and floating rate notes bear interest at three month LIBOR plus 125 basis points and three month LIBOR plus 250 basis points, respectively. We use various hedging strategies, including derivative instruments, to manage a portion of the risks associated with our floating rate debt.</w:t>
      </w:r>
    </w:p>
    <w:p>
      <w:pPr>
        <w:spacing w:after="0" w:line="2" w:lineRule="exact"/>
        <w:rPr>
          <w:rFonts w:ascii="Times New Roman" w:cs="Times New Roman" w:eastAsia="Times New Roman" w:hAnsi="Times New Roman"/>
          <w:sz w:val="11"/>
          <w:szCs w:val="11"/>
          <w:color w:val="auto"/>
        </w:rPr>
      </w:pPr>
    </w:p>
    <w:p>
      <w:pPr>
        <w:ind w:left="340" w:right="40" w:hanging="332"/>
        <w:spacing w:after="0" w:line="237" w:lineRule="auto"/>
        <w:tabs>
          <w:tab w:leader="none" w:pos="34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floating rate term loan and our revolving credit facility are secured by pledges of all of the capital stock of all of our direct or indirect domestic subsidiaries and up to 66% of the capital stock of each direct foreign subsidiary, subject to certain exceptions, and liens on substantially all of the Company’s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-898525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our debt under vehicle programs (including related party debt due to Avis Budget Rental Car Funding (AESOP) LLC):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3"/>
              </w:rPr>
              <w:t>December 31,</w:t>
            </w:r>
          </w:p>
        </w:tc>
        <w:tc>
          <w:tcPr>
            <w:tcW w:w="860" w:type="dxa"/>
            <w:vAlign w:val="bottom"/>
          </w:tcPr>
          <w:p>
            <w:pPr>
              <w:spacing w:after="0"/>
              <w:rPr>
                <w:sz w:val="18"/>
                <w:szCs w:val="18"/>
                <w:color w:val="auto"/>
              </w:rPr>
            </w:pPr>
          </w:p>
        </w:tc>
        <w:tc>
          <w:tcPr>
            <w:tcW w:w="19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88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7"/>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Avis Budget Rental Car Funding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4,646</w:t>
            </w:r>
          </w:p>
        </w:tc>
        <w:tc>
          <w:tcPr>
            <w:tcW w:w="860" w:type="dxa"/>
            <w:vAlign w:val="bottom"/>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4,511</w:t>
            </w:r>
          </w:p>
        </w:tc>
        <w:tc>
          <w:tcPr>
            <w:tcW w:w="88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0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22"/>
                <w:szCs w:val="22"/>
                <w:color w:val="auto"/>
                <w:vertAlign w:val="superscript"/>
              </w:rPr>
              <w:t>(b)</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r>
      <w:tr>
        <w:trPr>
          <w:trHeight w:val="216"/>
        </w:trPr>
        <w:tc>
          <w:tcPr>
            <w:tcW w:w="700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Capital leases </w:t>
            </w:r>
            <w:r>
              <w:rPr>
                <w:rFonts w:ascii="Times New Roman" w:cs="Times New Roman" w:eastAsia="Times New Roman" w:hAnsi="Times New Roman"/>
                <w:sz w:val="22"/>
                <w:szCs w:val="22"/>
                <w:color w:val="auto"/>
                <w:vertAlign w:val="superscript"/>
              </w:rPr>
              <w:t>(c)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0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20"/>
                <w:szCs w:val="20"/>
                <w:color w:val="auto"/>
              </w:rPr>
            </w:pPr>
          </w:p>
        </w:tc>
      </w:tr>
      <w:tr>
        <w:trPr>
          <w:trHeight w:val="223"/>
        </w:trPr>
        <w:tc>
          <w:tcPr>
            <w:tcW w:w="7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8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8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120" w:hanging="332"/>
        <w:spacing w:after="0" w:line="230"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change in the balance at December 31, 2007 principally reflects the issuance of vehicle-backed floating rate notes during the first six months of 2007 to support the acquisition of rental vehicles within the Company’s Domestic Car Rental operations.</w:t>
      </w:r>
    </w:p>
    <w:p>
      <w:pPr>
        <w:spacing w:after="0" w:line="1" w:lineRule="exact"/>
        <w:rPr>
          <w:rFonts w:ascii="Times New Roman" w:cs="Times New Roman" w:eastAsia="Times New Roman" w:hAnsi="Times New Roman"/>
          <w:sz w:val="11"/>
          <w:szCs w:val="11"/>
          <w:color w:val="auto"/>
        </w:rPr>
      </w:pPr>
    </w:p>
    <w:p>
      <w:pPr>
        <w:ind w:left="340" w:right="660" w:hanging="332"/>
        <w:spacing w:after="0" w:line="219"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change in the balance at December 31, 2007 primarily reflects incremental borrowings during the year ended December 31, 2007 to support the acquisition of rental vehicles within the Budget Truck rental fleet.</w:t>
      </w:r>
    </w:p>
    <w:p>
      <w:pPr>
        <w:ind w:left="340" w:hanging="332"/>
        <w:spacing w:after="0" w:line="203"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change in the balance at December 31, 2007 primarily reflects repayments made during the year ended December 31, 2007 on capital leases.</w:t>
      </w:r>
    </w:p>
    <w:p>
      <w:pPr>
        <w:ind w:left="340" w:right="760" w:hanging="332"/>
        <w:spacing w:after="0" w:line="296" w:lineRule="auto"/>
        <w:tabs>
          <w:tab w:leader="none" w:pos="3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The change in the balance at December 31, 2007 primarily reflects incremental borrowings to support the acquisition of vehicles in the Company’s International Car Rental operations and new fleet loans to support the acquisition of certain vehicles for Domestic Car Rental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contractual maturities for our corporate debt and our debt under vehicle programs (including related party debt due to Avis Budget Rental Car Funding) at December 31,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Debt Under</w:t>
            </w:r>
          </w:p>
        </w:tc>
      </w:tr>
      <w:tr>
        <w:trPr>
          <w:trHeight w:val="216"/>
        </w:trPr>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Corporate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Vehicle</w:t>
            </w:r>
          </w:p>
        </w:tc>
      </w:tr>
      <w:tr>
        <w:trPr>
          <w:trHeight w:val="230"/>
        </w:trPr>
        <w:tc>
          <w:tcPr>
            <w:tcW w:w="8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82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Programs</w:t>
            </w:r>
          </w:p>
        </w:tc>
      </w:tr>
      <w:tr>
        <w:trPr>
          <w:trHeight w:val="197"/>
        </w:trPr>
        <w:tc>
          <w:tcPr>
            <w:tcW w:w="89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Due in 2008</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Due in 2009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Due in 2010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Due in 2011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Due in 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224"/>
        </w:trPr>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1,797</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At December 31, 2007, we had approximately $4.1 billion of available funding under our various financing arrangements (comprised of approximately $1.2 billion of availability at the corporate level and approximately $2.9 billion available for use in our vehicle programs). As of December 31, 2007, the committed credit facilities available to us and/or our subsidiaries at the corporate or Avis Budget Car Rental level included: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Outstanding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rPr>
              <w:t>Letters of</w:t>
            </w:r>
          </w:p>
        </w:tc>
        <w:tc>
          <w:tcPr>
            <w:tcW w:w="7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Available</w:t>
            </w:r>
          </w:p>
        </w:tc>
      </w:tr>
      <w:tr>
        <w:trPr>
          <w:trHeight w:val="230"/>
        </w:trPr>
        <w:tc>
          <w:tcPr>
            <w:tcW w:w="5900" w:type="dxa"/>
            <w:vAlign w:val="bottom"/>
          </w:tcPr>
          <w:p>
            <w:pPr>
              <w:spacing w:after="0"/>
              <w:rPr>
                <w:sz w:val="20"/>
                <w:szCs w:val="20"/>
                <w:color w:val="auto"/>
              </w:rPr>
            </w:pPr>
          </w:p>
        </w:tc>
        <w:tc>
          <w:tcPr>
            <w:tcW w:w="14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Credit Issued</w:t>
            </w:r>
          </w:p>
        </w:tc>
        <w:tc>
          <w:tcPr>
            <w:tcW w:w="7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Capacity</w:t>
            </w:r>
          </w:p>
        </w:tc>
      </w:tr>
      <w:tr>
        <w:trPr>
          <w:trHeight w:val="197"/>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$1.5 billion revolving credit facility </w:t>
            </w:r>
            <w:r>
              <w:rPr>
                <w:rFonts w:ascii="Times New Roman" w:cs="Times New Roman" w:eastAsia="Times New Roman" w:hAnsi="Times New Roman"/>
                <w:sz w:val="22"/>
                <w:szCs w:val="22"/>
                <w:color w:val="auto"/>
                <w:vertAlign w:val="superscript"/>
              </w:rPr>
              <w:t>(a)</w:t>
            </w:r>
          </w:p>
        </w:tc>
        <w:tc>
          <w:tcPr>
            <w:tcW w:w="6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1,500</w:t>
            </w:r>
          </w:p>
        </w:tc>
        <w:tc>
          <w:tcPr>
            <w:tcW w:w="720" w:type="dxa"/>
            <w:vAlign w:val="bottom"/>
          </w:tcPr>
          <w:p>
            <w:pPr>
              <w:spacing w:after="0"/>
              <w:rPr>
                <w:sz w:val="17"/>
                <w:szCs w:val="17"/>
                <w:color w:val="auto"/>
              </w:rPr>
            </w:pPr>
          </w:p>
        </w:tc>
        <w:tc>
          <w:tcPr>
            <w:tcW w:w="4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338</w:t>
            </w:r>
          </w:p>
        </w:tc>
        <w:tc>
          <w:tcPr>
            <w:tcW w:w="740" w:type="dxa"/>
            <w:vAlign w:val="bottom"/>
          </w:tcPr>
          <w:p>
            <w:pPr>
              <w:spacing w:after="0"/>
              <w:rPr>
                <w:sz w:val="17"/>
                <w:szCs w:val="17"/>
                <w:color w:val="auto"/>
              </w:rPr>
            </w:pPr>
          </w:p>
        </w:tc>
        <w:tc>
          <w:tcPr>
            <w:tcW w:w="7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1,162</w:t>
            </w:r>
          </w:p>
        </w:tc>
        <w:tc>
          <w:tcPr>
            <w:tcW w:w="20" w:type="dxa"/>
            <w:vAlign w:val="bottom"/>
          </w:tcPr>
          <w:p>
            <w:pPr>
              <w:spacing w:after="0"/>
              <w:rPr>
                <w:sz w:val="17"/>
                <w:szCs w:val="17"/>
                <w:color w:val="auto"/>
              </w:rPr>
            </w:pPr>
          </w:p>
        </w:tc>
      </w:tr>
      <w:tr>
        <w:trPr>
          <w:trHeight w:val="30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Letter of credit facility </w:t>
            </w:r>
            <w:r>
              <w:rPr>
                <w:rFonts w:ascii="Times New Roman" w:cs="Times New Roman" w:eastAsia="Times New Roman" w:hAnsi="Times New Roman"/>
                <w:sz w:val="22"/>
                <w:szCs w:val="22"/>
                <w:color w:val="auto"/>
                <w:vertAlign w:val="superscript"/>
              </w:rPr>
              <w:t>(b)</w:t>
            </w: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303</w:t>
            </w:r>
          </w:p>
        </w:tc>
        <w:tc>
          <w:tcPr>
            <w:tcW w:w="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 w:lineRule="exact"/>
        <w:rPr>
          <w:sz w:val="20"/>
          <w:szCs w:val="20"/>
          <w:color w:val="auto"/>
        </w:rPr>
      </w:pPr>
    </w:p>
    <w:p>
      <w:pPr>
        <w:ind w:left="340" w:right="180" w:hanging="332"/>
        <w:spacing w:after="0" w:line="232" w:lineRule="auto"/>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This secured revolving credit facility was entered into by Avis Budget Car Rental in April 2006, has a five year term and currently bears interest of LIBOR plus 125 basis points. The floating rate term loan and our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w:t>
      </w:r>
    </w:p>
    <w:p>
      <w:pPr>
        <w:spacing w:after="0" w:line="2"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Final maturity date is July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available funding under our debt arrangements related to our vehicle programs at December 31, 2007: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Available</w:t>
            </w:r>
          </w:p>
        </w:tc>
      </w:tr>
      <w:tr>
        <w:trPr>
          <w:trHeight w:val="232"/>
        </w:trPr>
        <w:tc>
          <w:tcPr>
            <w:tcW w:w="7480" w:type="dxa"/>
            <w:vAlign w:val="bottom"/>
          </w:tcPr>
          <w:p>
            <w:pPr>
              <w:spacing w:after="0"/>
              <w:rPr>
                <w:sz w:val="20"/>
                <w:szCs w:val="20"/>
                <w:color w:val="auto"/>
              </w:rPr>
            </w:pPr>
          </w:p>
        </w:tc>
        <w:tc>
          <w:tcPr>
            <w:tcW w:w="1580" w:type="dxa"/>
            <w:vAlign w:val="bottom"/>
            <w:gridSpan w:val="4"/>
          </w:tcPr>
          <w:p>
            <w:pPr>
              <w:ind w:left="2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Capacity </w:t>
            </w:r>
            <w:r>
              <w:rPr>
                <w:rFonts w:ascii="Times New Roman" w:cs="Times New Roman" w:eastAsia="Times New Roman" w:hAnsi="Times New Roman"/>
                <w:sz w:val="22"/>
                <w:szCs w:val="22"/>
                <w:b w:val="1"/>
                <w:bCs w:val="1"/>
                <w:color w:val="auto"/>
                <w:vertAlign w:val="superscript"/>
              </w:rPr>
              <w:t>(a)</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5"/>
        </w:trPr>
        <w:tc>
          <w:tcPr>
            <w:tcW w:w="7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22"/>
                <w:szCs w:val="22"/>
                <w:color w:val="auto"/>
                <w:vertAlign w:val="superscript"/>
              </w:rPr>
              <w:t>(b)</w:t>
            </w:r>
          </w:p>
        </w:tc>
        <w:tc>
          <w:tcPr>
            <w:tcW w:w="18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6,621</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4,646</w:t>
            </w:r>
          </w:p>
        </w:tc>
        <w:tc>
          <w:tcPr>
            <w:tcW w:w="72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1,975</w:t>
            </w:r>
          </w:p>
        </w:tc>
        <w:tc>
          <w:tcPr>
            <w:tcW w:w="20" w:type="dxa"/>
            <w:vAlign w:val="bottom"/>
          </w:tcPr>
          <w:p>
            <w:pPr>
              <w:spacing w:after="0"/>
              <w:rPr>
                <w:sz w:val="16"/>
                <w:szCs w:val="16"/>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8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22"/>
                <w:szCs w:val="22"/>
                <w:color w:val="auto"/>
                <w:vertAlign w:val="superscript"/>
              </w:rPr>
              <w:t>(c)</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48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Capital leases</w:t>
            </w:r>
            <w:r>
              <w:rPr>
                <w:rFonts w:ascii="Times New Roman" w:cs="Times New Roman" w:eastAsia="Times New Roman" w:hAnsi="Times New Roman"/>
                <w:sz w:val="22"/>
                <w:szCs w:val="22"/>
                <w:color w:val="auto"/>
                <w:vertAlign w:val="superscript"/>
              </w:rPr>
              <w:t>(d)</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(e)</w:t>
            </w:r>
          </w:p>
        </w:tc>
        <w:tc>
          <w:tcPr>
            <w:tcW w:w="1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r>
      <w:tr>
        <w:trPr>
          <w:trHeight w:val="223"/>
        </w:trPr>
        <w:tc>
          <w:tcPr>
            <w:tcW w:w="74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8,452</w:t>
            </w: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9"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Capacity is subject to maintaining sufficient assets to collateralize debt.</w:t>
      </w:r>
    </w:p>
    <w:p>
      <w:pPr>
        <w:ind w:left="340" w:right="120" w:hanging="332"/>
        <w:spacing w:after="0" w:line="219" w:lineRule="auto"/>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outstanding debt is collateralized by approximately $6.7 billion of underlying vehicles (the majority of which are subject to manufacturer repurchase or guaranteed depreciation obligations) and related assets.</w:t>
      </w:r>
    </w:p>
    <w:p>
      <w:pPr>
        <w:ind w:left="340" w:hanging="332"/>
        <w:spacing w:after="0" w:line="203" w:lineRule="auto"/>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outstanding debt is collateralized by approximately $296 million of underlying vehicles and related assets.</w:t>
      </w:r>
    </w:p>
    <w:p>
      <w:pPr>
        <w:ind w:left="340" w:right="540" w:hanging="332"/>
        <w:spacing w:after="0" w:line="219" w:lineRule="auto"/>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 connection with these capital leases, there are corresponding unamortized assets of $207 million classified within vehicles, net on our Consolidated Balance Sheet as of December 31, 2007.</w:t>
      </w: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outstanding debt is collateralized by $1.1 billion of vehicles and related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significant terms for our outstanding debt instruments, credit facilities and available funding arrangements as of December 31, 2007 can be found in Notes 16 and 17 to our Consolidated Financial Statements.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that access to our existing financing arrangements is sufficient to meet liquidity requirements for the foreseeable future. Our primary liquidity needs include the payment of operating expenses, corporate and vehicle related debt and procurement of rental vehicles to be used in our operations. Our primary sources of funding are operating revenue, cash received upon sale of vehicles, borrowings under our vehicle-backed borrowing arrangements and our revolving credit facility.</w:t>
      </w:r>
    </w:p>
    <w:p>
      <w:pPr>
        <w:spacing w:after="0" w:line="13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Our liquidity position may be negatively affected by unfavorable conditions in the vehicle rental industry or the asset backed financing market. Additionally, our liquidity as it relates to vehicle programs could be adversely affected by (i) the deterioration in the performance of the underlying assets of such programs,</w:t>
      </w:r>
    </w:p>
    <w:p>
      <w:pPr>
        <w:spacing w:after="0" w:line="1" w:lineRule="exact"/>
        <w:rPr>
          <w:sz w:val="20"/>
          <w:szCs w:val="20"/>
          <w:color w:val="auto"/>
        </w:rPr>
      </w:pPr>
    </w:p>
    <w:p>
      <w:pPr>
        <w:ind w:right="100" w:firstLine="8"/>
        <w:spacing w:after="0" w:line="252" w:lineRule="auto"/>
        <w:tabs>
          <w:tab w:leader="none" w:pos="2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the principal financing program for our vehicle rental subsidiaries if General Motors Corporation or Ford Motor Company is not able to honor its obligations to repurchase or guarantee the depreciation on the related vehicles, (iii) any disruption in our ability to obtain financing due to negative credit events specific to us or affecting the overall debt market and (iv) default by any of the financial-guarantee firms that have insured a portion of our outstanding vehicle-backed debt. Our liquidity may also be negatively impacted if either Realogy or Wyndham is unable to meet its indemnification and other obligations under the agreements among us, Realogy, Wyndham and Travelport entered into in connection with the Cendant Separation. Access to our credit facilities may be limited if we were to fail to meet certain financial ratios or other requirements.</w:t>
      </w:r>
    </w:p>
    <w:p>
      <w:pPr>
        <w:spacing w:after="0" w:line="14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Additionally, we monitor the maintenance of required financial ratios and, as of December 31, 2007, we were in compliance with all financial covenants under our credit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future contractual obligations as of December 31, 2007: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2009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2010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4"/>
              </w:rPr>
              <w:t>2011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2012</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197"/>
        </w:trPr>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2"/>
                <w:szCs w:val="22"/>
                <w:color w:val="auto"/>
                <w:vertAlign w:val="superscript"/>
              </w:rPr>
              <w:t>(a)</w:t>
            </w: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760</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1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1,797</w:t>
            </w:r>
          </w:p>
        </w:tc>
        <w:tc>
          <w:tcPr>
            <w:tcW w:w="20" w:type="dxa"/>
            <w:vAlign w:val="bottom"/>
          </w:tcPr>
          <w:p>
            <w:pPr>
              <w:spacing w:after="0"/>
              <w:rPr>
                <w:sz w:val="17"/>
                <w:szCs w:val="17"/>
                <w:color w:val="auto"/>
              </w:rPr>
            </w:pP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Asset-backed debt under programs </w:t>
            </w:r>
            <w:r>
              <w:rPr>
                <w:rFonts w:ascii="Times New Roman" w:cs="Times New Roman" w:eastAsia="Times New Roman" w:hAnsi="Times New Roman"/>
                <w:sz w:val="22"/>
                <w:szCs w:val="22"/>
                <w:color w:val="auto"/>
                <w:vertAlign w:val="superscript"/>
              </w:rPr>
              <w:t>(b)</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5,596</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Debt interest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w:t>
            </w: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2"/>
                <w:szCs w:val="22"/>
                <w:color w:val="auto"/>
                <w:vertAlign w:val="superscript"/>
              </w:rPr>
              <w:t>(c)</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1,935</w:t>
            </w: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Commitments to purchase vehicles </w:t>
            </w:r>
            <w:r>
              <w:rPr>
                <w:rFonts w:ascii="Times New Roman" w:cs="Times New Roman" w:eastAsia="Times New Roman" w:hAnsi="Times New Roman"/>
                <w:sz w:val="22"/>
                <w:szCs w:val="22"/>
                <w:color w:val="auto"/>
                <w:vertAlign w:val="superscript"/>
              </w:rPr>
              <w:t>(d)</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4,910</w:t>
            </w: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obligations </w:t>
            </w:r>
            <w:r>
              <w:rPr>
                <w:rFonts w:ascii="Times New Roman" w:cs="Times New Roman" w:eastAsia="Times New Roman" w:hAnsi="Times New Roman"/>
                <w:sz w:val="22"/>
                <w:szCs w:val="22"/>
                <w:color w:val="auto"/>
                <w:vertAlign w:val="superscript"/>
              </w:rPr>
              <w:t>(e)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59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purchase commitments </w:t>
            </w:r>
            <w:r>
              <w:rPr>
                <w:rFonts w:ascii="Times New Roman" w:cs="Times New Roman" w:eastAsia="Times New Roman" w:hAnsi="Times New Roman"/>
                <w:sz w:val="22"/>
                <w:szCs w:val="22"/>
                <w:color w:val="auto"/>
                <w:vertAlign w:val="superscript"/>
              </w:rPr>
              <w:t>(f)</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280" w:hanging="332"/>
        <w:spacing w:after="0" w:line="230" w:lineRule="auto"/>
        <w:tabs>
          <w:tab w:leader="none" w:pos="3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Consists primarily of borrowings of Avis Budget Car Rental including $1,000 million of fixed and floating rate senior notes and $797 million outstanding under a secured floating rate term loan.</w:t>
      </w:r>
    </w:p>
    <w:p>
      <w:pPr>
        <w:spacing w:after="0" w:line="1" w:lineRule="exact"/>
        <w:rPr>
          <w:rFonts w:ascii="Times New Roman" w:cs="Times New Roman" w:eastAsia="Times New Roman" w:hAnsi="Times New Roman"/>
          <w:sz w:val="11"/>
          <w:szCs w:val="11"/>
          <w:color w:val="auto"/>
        </w:rPr>
      </w:pPr>
    </w:p>
    <w:p>
      <w:pPr>
        <w:ind w:left="340" w:right="160" w:hanging="332"/>
        <w:spacing w:after="0" w:line="219" w:lineRule="auto"/>
        <w:tabs>
          <w:tab w:leader="none" w:pos="3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debt under vehicle programs (including related party debt due to Avis Budget Rental Car Funding), which was issued to support the purchase of vehicles.</w:t>
      </w:r>
    </w:p>
    <w:p>
      <w:pPr>
        <w:ind w:left="340" w:hanging="332"/>
        <w:spacing w:after="0" w:line="203" w:lineRule="auto"/>
        <w:tabs>
          <w:tab w:leader="none" w:pos="3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Operating lease obligations are presented net of sublease rentals to be received (see Note 18 to our Consolidated Financial Statements).</w:t>
      </w:r>
    </w:p>
    <w:p>
      <w:pPr>
        <w:ind w:left="340" w:right="200" w:hanging="332"/>
        <w:spacing w:after="0" w:line="227" w:lineRule="auto"/>
        <w:tabs>
          <w:tab w:leader="none" w:pos="3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commitments to purchase vehicles, the majority of which are from General Motors Corporation, Ford Motor Company or Chrysler LLC. These commitments are subject to the vehicle manufacturers’ satisfying their obligations under the repurchase and guaranteed depreciation agreements. The purchase of such vehicles is financed through the issuance of debt under vehicle programs in addition to cash received upon the sale of vehicles primarily under repurchase and guaranteed depreciation programs (see Note 18 to our Consolidated Financial Statements).</w:t>
      </w:r>
    </w:p>
    <w:p>
      <w:pPr>
        <w:ind w:left="340" w:right="400" w:hanging="332"/>
        <w:spacing w:after="0" w:line="219" w:lineRule="auto"/>
        <w:tabs>
          <w:tab w:leader="none" w:pos="3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represents income tax uncertainties related to FASB Interpretation No. 48, “</w:t>
      </w:r>
      <w:r>
        <w:rPr>
          <w:rFonts w:ascii="Times New Roman" w:cs="Times New Roman" w:eastAsia="Times New Roman" w:hAnsi="Times New Roman"/>
          <w:sz w:val="18"/>
          <w:szCs w:val="18"/>
          <w:i w:val="1"/>
          <w:iCs w:val="1"/>
          <w:color w:val="auto"/>
        </w:rPr>
        <w:t>Accounting for Uncertainty in Income Taxes—an interpretation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FASB Statement No. 109</w:t>
      </w:r>
      <w:r>
        <w:rPr>
          <w:rFonts w:ascii="Times New Roman" w:cs="Times New Roman" w:eastAsia="Times New Roman" w:hAnsi="Times New Roman"/>
          <w:sz w:val="18"/>
          <w:szCs w:val="18"/>
          <w:color w:val="auto"/>
        </w:rPr>
        <w:t>” (“FIN 48”), substantially all of which are entitled to indemnification by Realogy and Wyndham.</w:t>
      </w:r>
    </w:p>
    <w:p>
      <w:pPr>
        <w:ind w:left="340" w:hanging="332"/>
        <w:spacing w:after="0"/>
        <w:tabs>
          <w:tab w:leader="none" w:pos="3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represents commitments under service contracts for information technology and telecommunications.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-1471930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guarantees and indemnifications, see Note 18 to our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presenting our financial statements in conformity with generally accepted accounting principles,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and Other Indefinite-lived Intangible Assets. </w:t>
      </w:r>
      <w:r>
        <w:rPr>
          <w:rFonts w:ascii="Times New Roman" w:cs="Times New Roman" w:eastAsia="Times New Roman" w:hAnsi="Times New Roman"/>
          <w:sz w:val="18"/>
          <w:szCs w:val="18"/>
          <w:color w:val="auto"/>
        </w:rPr>
        <w:t>We have reviewed the carrying value of our goodwill and other indefinite-lived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SFAS No. 142, “Goodwill and Other Intangible Assets.”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impairment may have occurred.</w:t>
      </w:r>
    </w:p>
    <w:p>
      <w:pPr>
        <w:spacing w:after="0" w:line="137"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6"/>
          <w:szCs w:val="16"/>
          <w:color w:val="auto"/>
        </w:rPr>
        <w:t>Our goodwill and other indefinite-lived intangible assets are allocated among three reporting units. A $1,195 million charge was recorded for the impairment of goodwill at each of our reporting units to reflect the decline in the fair value as evidenced by a decline in the market value of our common stock. Domestic Car Rental operations recorded $786 million of the goodwill impairment, International Car Rental recorded $268 million and Truck Rental recorded $141 million.</w:t>
      </w:r>
    </w:p>
    <w:p>
      <w:pPr>
        <w:spacing w:after="0" w:line="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Following the goodwill impairment charge, the aggregate carrying value of our goodwill and other indefinite-lived intangible assets was approximately $1.0 billion and $690 million, respectively, at December 31, 2007.</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Vehicles. </w:t>
      </w:r>
      <w:r>
        <w:rPr>
          <w:rFonts w:ascii="Times New Roman" w:cs="Times New Roman" w:eastAsia="Times New Roman" w:hAnsi="Times New Roman"/>
          <w:sz w:val="18"/>
          <w:szCs w:val="18"/>
          <w:color w:val="auto"/>
        </w:rPr>
        <w:t>We present vehicles at cost, net of accumulated depreciation on the Consolidated Balance Sheets. We record the initial cost of the vehicle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and allowances from manufactures.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vehicles acquired outside of manufacturer repurchase and guaranteed depreciation programs, we depreciate based on the vehicles’ estimated residual market values and their expected dates of disposition. See Note 2 to our Consolidated Financial Statements.</w:t>
      </w:r>
    </w:p>
    <w:p>
      <w:pPr>
        <w:spacing w:after="0" w:line="13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future tax consequences of events that have been included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2 and 10 to our Consolidated Financial Statements for more information regarding income taxes.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We estimate fair values for each of our financial instruments, including derivative instruments. Most of these financial instruments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on an organized exchange. In the absence of quoted market prices, we must develop an estimate of fair value using dealer quotes, present value cash flow models, option pricing models or other conventional valuation methods, as appropriate. The use of these fair value techniques involves significant judgments and assumptions, including estimates of future interest rate levels based on interest rate yield curves, volatility factors, and an estimation of the timing of future cash flows. The use of different assumptions may have a material effect on the estimated fair value amounts recorded in the financial statements, which are disclosed in Note 22 to our Consolidated Financial Statements. In addition, hedge accounting requires that at the beginning of each hedge period, we justify an expectation that the relationship between the changes in fair value of derivatives designated as hedges compared to changes in the fair value of the underlying hedged items will be highly effective. This effectiveness assessment, which is performed at least quarterly, involves an estimation of changes in fair value resulting from changes in interest rates, as well as the probability of the occurrence of transactions for cash flow hedges. The use of different assumptions and changing market conditions may impact the results of the effectiveness assessment and ultimately the timing of when changes in derivative fair values and the underlying hedged items are recorded in earnings. See Item 7a. “Quantitative and Qualitative Disclosures about Market Risk” for a discussion of the effect of hypothetical changes to these assumptions.</w:t>
      </w:r>
    </w:p>
    <w:p>
      <w:pPr>
        <w:spacing w:after="0" w:line="13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Public Liability, Property Damage and Other Insurance Liabilities, Net. </w:t>
      </w:r>
      <w:r>
        <w:rPr>
          <w:rFonts w:ascii="Times New Roman" w:cs="Times New Roman" w:eastAsia="Times New Roman" w:hAnsi="Times New Roman"/>
          <w:sz w:val="18"/>
          <w:szCs w:val="18"/>
          <w:color w:val="auto"/>
        </w:rPr>
        <w:t>Insurance liabilities on our Consolidated Balance Sheets include additional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and changes in the ultimate cost per incident.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2007, we adopted the following standards as a result of the issuance of a new accounting pronouncement:</w:t>
      </w:r>
    </w:p>
    <w:p>
      <w:pPr>
        <w:spacing w:after="0" w:line="212" w:lineRule="exact"/>
        <w:rPr>
          <w:sz w:val="20"/>
          <w:szCs w:val="20"/>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Interpretation No. 48, “Accounting for Uncertainty in Income Taxes”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FIN 48-1, “Definition of Settlement in FASB Interpretation No. 48”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adopt the following recently issued standards as required:</w:t>
      </w:r>
    </w:p>
    <w:p>
      <w:pPr>
        <w:spacing w:after="0" w:line="212" w:lineRule="exact"/>
        <w:rPr>
          <w:sz w:val="20"/>
          <w:szCs w:val="20"/>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157, “Fair Value Measurements”</w:t>
      </w:r>
    </w:p>
    <w:p>
      <w:pPr>
        <w:spacing w:after="0" w:line="90" w:lineRule="exact"/>
        <w:rPr>
          <w:rFonts w:ascii="Times New Roman" w:cs="Times New Roman" w:eastAsia="Times New Roman" w:hAnsi="Times New Roman"/>
          <w:sz w:val="18"/>
          <w:szCs w:val="18"/>
          <w:color w:val="auto"/>
        </w:rPr>
      </w:pPr>
    </w:p>
    <w:p>
      <w:pPr>
        <w:ind w:left="780" w:right="54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157-1, “Application of SFAS No. 157 to SFAS No. 13 and its Related Interpretative Accounting Pronouncements that Address Leasing Transactions”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FAS 157-2, “Effective Date of SFAS 157”</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159, “The Fair Value Option for Financial Assets and Financial Liabilities”</w:t>
      </w:r>
    </w:p>
    <w:p>
      <w:pPr>
        <w:spacing w:after="0" w:line="21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141(R), “Business Combinations”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No. 160, “Noncontrolling Interests in Consolidated Financial Statement – an amendment of ARB No. 51”</w:t>
      </w:r>
    </w:p>
    <w:p>
      <w:pPr>
        <w:spacing w:after="0" w:line="171" w:lineRule="exact"/>
        <w:rPr>
          <w:sz w:val="20"/>
          <w:szCs w:val="20"/>
          <w:color w:val="auto"/>
        </w:rPr>
      </w:pPr>
    </w:p>
    <w:p>
      <w:pPr>
        <w:ind w:right="280"/>
        <w:spacing w:after="0" w:line="438" w:lineRule="auto"/>
        <w:rPr>
          <w:sz w:val="20"/>
          <w:szCs w:val="20"/>
          <w:color w:val="auto"/>
        </w:rPr>
      </w:pPr>
      <w:r>
        <w:rPr>
          <w:rFonts w:ascii="Times New Roman" w:cs="Times New Roman" w:eastAsia="Times New Roman" w:hAnsi="Times New Roman"/>
          <w:sz w:val="18"/>
          <w:szCs w:val="18"/>
          <w:color w:val="auto"/>
        </w:rPr>
        <w:t xml:space="preserve">For detailed information regarding these pronouncements and the impact thereof on our business, see Notes 1 and 2 to our Consolidated Financial Statements. </w:t>
      </w:r>
      <w:r>
        <w:rPr>
          <w:rFonts w:ascii="Times New Roman" w:cs="Times New Roman" w:eastAsia="Times New Roman" w:hAnsi="Times New Roman"/>
          <w:sz w:val="18"/>
          <w:szCs w:val="18"/>
          <w:b w:val="1"/>
          <w:bCs w:val="1"/>
          <w:color w:val="auto"/>
        </w:rPr>
        <w:t>ITEM 7A. QUANTITATIVE AND QUALITATIVE DISCLOSURES ABOUT MARKET RISK</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use various financial instruments, particularly swap contracts, futures and options contracts, to manage and reduce the interest rate risk related specifically to our debt. Foreign currency forwards are also used to manage and reduce the foreign currency exchange rate risk associated with our foreign currency denominated receivables and forecasted royalties, forecasted earnings of foreign subsidiaries and other transactions. We also use derivative commodity instruments to manage and reduce the risk of changing unleaded gasoline prices.</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exclusively an end user of these instruments, which are commonly referred to as derivatives. We do not engage in trading, market-making or other speculative activities in the derivatives markets. More detailed information about these financial instruments is provided in Note 22—Financial Instruments to our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market exposures are interest and foreign currency rate risks.</w:t>
      </w:r>
    </w:p>
    <w:p>
      <w:pPr>
        <w:spacing w:after="0" w:line="212" w:lineRule="exact"/>
        <w:rPr>
          <w:sz w:val="20"/>
          <w:szCs w:val="20"/>
          <w:color w:val="auto"/>
        </w:rPr>
      </w:pPr>
    </w:p>
    <w:p>
      <w:pPr>
        <w:ind w:left="780" w:right="300" w:hanging="326"/>
        <w:spacing w:after="0" w:line="25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interest rate exposure at December 31, 2007 was to interest rate fluctuations in the United States, specifically LIBOR and commercial paper interest rates due to their impact on variable rate borrowings and other interest rate sensitive liabilities. We anticipate that LIBOR and commercial paper rates will remain a primary market risk exposure for the foreseeable future.</w:t>
      </w:r>
    </w:p>
    <w:p>
      <w:pPr>
        <w:jc w:val="both"/>
        <w:ind w:left="780" w:right="220" w:hanging="326"/>
        <w:spacing w:after="0" w:line="250"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rate exposure to exchange rate fluctuations worldwide and particularly with respect to the British pound, Canadian dollar, Australian dollar and the New Zealand dollar. We anticipate that such foreign currency exchange rate risk will remain a market risk exposure for the foreseeable future.</w:t>
      </w:r>
    </w:p>
    <w:p>
      <w:pPr>
        <w:spacing w:after="0" w:line="1" w:lineRule="exact"/>
        <w:rPr>
          <w:rFonts w:ascii="Times New Roman" w:cs="Times New Roman" w:eastAsia="Times New Roman" w:hAnsi="Times New Roman"/>
          <w:sz w:val="18"/>
          <w:szCs w:val="18"/>
          <w:color w:val="auto"/>
        </w:rPr>
      </w:pPr>
    </w:p>
    <w:p>
      <w:pPr>
        <w:ind w:left="780" w:right="360" w:hanging="326"/>
        <w:spacing w:after="0" w:line="261"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commodity price exposure related to fluctuations in the price of unleaded gasoline. We anticipate that such commodity risk will remain a market risk exposure for the foreseeable future.</w:t>
      </w:r>
    </w:p>
    <w:p>
      <w:pPr>
        <w:spacing w:after="0" w:line="132"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We assess our market risk based on changes in interest and foreign currency exchange rates utilizing a sensitivity analysis. The sensitivity analysis measures the potential impact in earnings, fair values and cash flows based on a hypothetical 10% change (increase and decrease) in interest and currency rates.</w:t>
      </w:r>
    </w:p>
    <w:p>
      <w:pPr>
        <w:spacing w:after="0" w:line="74"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auto"/>
        </w:rPr>
        <w:t>We use a duration-based model in determining the impact of interest rate shifts on our debt portfolio and interest rate derivative portfolios. The primary assumption used in this model is that a 10% increase or decrease in the benchmark interest rate produces a parallel shift in the yield curve across all maturities.</w:t>
      </w:r>
    </w:p>
    <w:p>
      <w:pPr>
        <w:spacing w:after="0" w:line="7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Our total market risk is influenced by a wide variety of factors including the volatility present within the markets and the liquidity of the markets. There are certain limitations inherent in the sensitivity analyses presented. While probably the most meaningful analysis, these “shock tests” are constrained by several factors, including the necessity to conduct the analysis based on a single point in time and the inability to include the complex market reactions that normally would arise from the market shifts modeled.</w:t>
      </w:r>
    </w:p>
    <w:p>
      <w:pPr>
        <w:spacing w:after="0" w:line="13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We used December 31, 2007, 2006 and 2005 market rates on outstanding financial instruments to perform the sensitivity analyses separately for each of our market risk exposures. The estimates are based on the market risk sensitive portfolios described in the preceding paragraphs and assume instantaneous, parallel shifts in interest rate yield curves and exchange rates.</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have determined that the impact of a 10% change in interest and foreign currency exchange rates and prices on our earnings, fair values and cash flows would not be material. While these results may be used as benchmarks, they should not be viewed as forecasts.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Consolidated Financial Statements and Consolidated Financial Statement Index commencing on Page F-1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ind w:left="460" w:hanging="452"/>
        <w:spacing w:after="0" w:line="259"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 Officer, has evaluated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3" w:lineRule="exact"/>
        <w:rPr>
          <w:rFonts w:ascii="Times New Roman" w:cs="Times New Roman" w:eastAsia="Times New Roman" w:hAnsi="Times New Roman"/>
          <w:sz w:val="18"/>
          <w:szCs w:val="18"/>
          <w:color w:val="auto"/>
        </w:rPr>
      </w:pPr>
    </w:p>
    <w:p>
      <w:pPr>
        <w:ind w:left="460" w:right="20" w:hanging="452"/>
        <w:spacing w:after="0" w:line="293" w:lineRule="auto"/>
        <w:tabs>
          <w:tab w:leader="none" w:pos="4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Management’s Annual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internal control over financial reporting, as defined in Rules 13a-15(f) and 15d-15(f) under the Exchange Act. Our management assessed the effectiveness of our internal control over financial reporting as of December 31, 2007. In making this assessment, management used the criteria set forth by the Committee of Sponsoring Organizations of the Treadway Commission (COSO)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Based on this assessment, our management believes that, as of December 31, 2007, our internal control over financial reporting is effective. Our independent registered public accounting firm has issued an attestation report on the effectiveness of the Company’s internal control over financial reporting, which is included below.</w:t>
      </w:r>
    </w:p>
    <w:p>
      <w:pPr>
        <w:spacing w:after="0" w:line="151" w:lineRule="exact"/>
        <w:rPr>
          <w:rFonts w:ascii="Times New Roman" w:cs="Times New Roman" w:eastAsia="Times New Roman" w:hAnsi="Times New Roman"/>
          <w:sz w:val="16"/>
          <w:szCs w:val="16"/>
          <w:color w:val="auto"/>
        </w:rPr>
      </w:pPr>
    </w:p>
    <w:p>
      <w:pPr>
        <w:ind w:left="460" w:right="60" w:hanging="452"/>
        <w:spacing w:after="0" w:line="264"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the Company’s internal control over financial reporting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 is defined in Rules 13a-15(f) and 15d-15(f) under the Exchange Act) during the Company’s fiscal fourth quarter that have materially affected, or are reasonably likely to materially affect, the Company’s internal control over financial reporting.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54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Avis Budget Group, Inc.</w:t>
      </w:r>
    </w:p>
    <w:p>
      <w:pPr>
        <w:spacing w:after="0" w:line="1"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Avis Budget Group, Inc. and subsidiaries (the “Company”) as of December 31, 2007, based on criteria established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the Company’s internal control over financial reporting based on our audit.</w:t>
      </w:r>
    </w:p>
    <w:p>
      <w:pPr>
        <w:spacing w:after="0" w:line="1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2007,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consolidated financial statements and financial statement schedule as of and for the year ended December 31, 2007 of the Company and our report dated February 27, 2008 expressed an unqualified opinion on those financial statements and financial statement schedule and included an explanatory paragraph relating to the Company’s adoption of Financial Accounting Standards Board Interpretation No. 48, </w:t>
      </w:r>
      <w:r>
        <w:rPr>
          <w:rFonts w:ascii="Times New Roman" w:cs="Times New Roman" w:eastAsia="Times New Roman" w:hAnsi="Times New Roman"/>
          <w:sz w:val="18"/>
          <w:szCs w:val="18"/>
          <w:i w:val="1"/>
          <w:iCs w:val="1"/>
          <w:color w:val="auto"/>
        </w:rPr>
        <w:t>Accounting for Uncertainty in Income Taxes - an interpretation of FASB Statement No. 109</w:t>
      </w:r>
      <w:r>
        <w:rPr>
          <w:rFonts w:ascii="Times New Roman" w:cs="Times New Roman" w:eastAsia="Times New Roman" w:hAnsi="Times New Roman"/>
          <w:sz w:val="18"/>
          <w:szCs w:val="18"/>
          <w:color w:val="auto"/>
        </w:rPr>
        <w:t>, on January 1, 2007.</w:t>
      </w:r>
    </w:p>
    <w:p>
      <w:pPr>
        <w:spacing w:after="0" w:line="1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2008</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73" w:lineRule="exact"/>
        <w:rPr>
          <w:sz w:val="20"/>
          <w:szCs w:val="20"/>
          <w:color w:val="auto"/>
        </w:rPr>
      </w:pPr>
    </w:p>
    <w:p>
      <w:pPr>
        <w:ind w:right="820"/>
        <w:spacing w:after="0" w:line="339" w:lineRule="auto"/>
        <w:rPr>
          <w:sz w:val="20"/>
          <w:szCs w:val="20"/>
          <w:color w:val="auto"/>
        </w:rPr>
      </w:pPr>
      <w:r>
        <w:rPr>
          <w:rFonts w:ascii="Times New Roman" w:cs="Times New Roman" w:eastAsia="Times New Roman" w:hAnsi="Times New Roman"/>
          <w:sz w:val="16"/>
          <w:szCs w:val="16"/>
          <w:color w:val="auto"/>
        </w:rPr>
        <w:t>The information contained in the Company’s Annual Proxy Statement under the sections titled “Board of Directors,” “Executive Officers,” “Corporate Governance” and “Section 16(a) Beneficial Ownership Reporting Compliance” is incorporated herein by reference in response to this item.</w:t>
      </w:r>
    </w:p>
    <w:p>
      <w:pPr>
        <w:spacing w:after="0" w:line="1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7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“Executive Compensation” is incorporated herein by reference in response to this item.</w:t>
      </w:r>
    </w:p>
    <w:p>
      <w:pPr>
        <w:spacing w:after="0" w:line="158" w:lineRule="exact"/>
        <w:rPr>
          <w:sz w:val="20"/>
          <w:szCs w:val="20"/>
          <w:color w:val="auto"/>
        </w:rPr>
      </w:pPr>
    </w:p>
    <w:p>
      <w:pPr>
        <w:ind w:left="1040" w:right="74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18" w:lineRule="exact"/>
        <w:rPr>
          <w:sz w:val="20"/>
          <w:szCs w:val="20"/>
          <w:color w:val="auto"/>
        </w:rPr>
      </w:pPr>
    </w:p>
    <w:p>
      <w:pPr>
        <w:ind w:right="92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“Security Ownership of Certain Beneficial Owners and Management” is incorporated herein by reference in response to this item.</w:t>
      </w:r>
    </w:p>
    <w:p>
      <w:pPr>
        <w:spacing w:after="0" w:line="12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Information concerning our equity compensation plans is included in Part II of this report under the caption “Securities Authorized For Issuance Under Equity Compensation Plans.”</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7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“Certain Relationships and Related Transactions” and “Board of Directors” is incorporated herein by reference in response to this item.</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“Ratification of Appointment of Auditors” is incorporated herein by reference in response to this item.</w:t>
      </w:r>
    </w:p>
    <w:p>
      <w:pPr>
        <w:spacing w:after="0" w:line="11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Consolidated Financial Statements and Consolidated Financial Statements Index commencing on page F-1 hereof.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 FINANCIAL STATEMENT SCHEDULES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II—Valuation and Qualifying Account for the years ended December 31, 2007, 2006 and 2005 commencing on page G-1 hereof.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 EXHIBITS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commencing on page H-1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AVIS BUDGET GROUP, INC.</w:t>
      </w:r>
    </w:p>
    <w:p>
      <w:pPr>
        <w:spacing w:after="0" w:line="11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BRETT WEINBLATT</w:t>
            </w:r>
          </w:p>
        </w:tc>
      </w:tr>
      <w:tr>
        <w:trPr>
          <w:trHeight w:val="208"/>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Brett Weinblatt</w:t>
            </w:r>
          </w:p>
        </w:tc>
      </w:tr>
      <w:tr>
        <w:trPr>
          <w:trHeight w:val="218"/>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Senior Vice President and Chief Accounting Officer</w:t>
            </w:r>
          </w:p>
        </w:tc>
      </w:tr>
      <w:tr>
        <w:trPr>
          <w:trHeight w:val="228"/>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Date: February 28, 2008</w:t>
            </w:r>
          </w:p>
        </w:tc>
      </w:tr>
    </w:tbl>
    <w:p>
      <w:pPr>
        <w:spacing w:after="0" w:line="16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8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2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RONALD L. NELSON</w:t>
            </w:r>
          </w:p>
        </w:tc>
        <w:tc>
          <w:tcPr>
            <w:tcW w:w="4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Chairman of the Board, Chief Executive Officer and</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4"/>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(Ronald L. Nelson)</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F. ROBERT SALERNO</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President, Chief Operating Officer and 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 Robert Salerno)</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DAVID B. WYSHNER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(David B. Wyshner)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BRETT WEINBLATT</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Senior Vice President and Chief Accounting Officer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(Brett Weinblatt)</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MARY C. CHOKSI</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(Mary C. Choksi)</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LEONARD S. COLEMAN, JR.</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(Leonard S. Coleman, Jr.)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MARTIN L. EDELMAN</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(Martin L. Edelman)</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/s/ LYNN KROMINGA</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(Lynn Krominga)</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SHELI Z. ROSENBERG</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(Sheli Z. Rosenberg)</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STENDER E. SWEENEY</w:t>
            </w:r>
          </w:p>
        </w:tc>
        <w:tc>
          <w:tcPr>
            <w:tcW w:w="4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6"/>
              </w:rPr>
              <w:t>Director</w:t>
            </w:r>
          </w:p>
        </w:tc>
        <w:tc>
          <w:tcPr>
            <w:tcW w:w="162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February 28, 2008</w:t>
            </w:r>
          </w:p>
        </w:tc>
      </w:tr>
      <w:tr>
        <w:trPr>
          <w:trHeight w:val="223"/>
        </w:trPr>
        <w:tc>
          <w:tcPr>
            <w:tcW w:w="5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(Stender E. Sweeney)</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4"/>
        </w:trPr>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6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8"/>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Report of Independent Registered Public Accounting Firm</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Consolidated Statements of Operations for the years ended December 31, 2007, 2006 and 2005</w:t>
              </w:r>
            </w:hyperlink>
          </w:p>
        </w:tc>
        <w:tc>
          <w:tcPr>
            <w:tcW w:w="4000" w:type="dxa"/>
            <w:vAlign w:val="bottom"/>
            <w:gridSpan w:val="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304"/>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Balance Sheets as of December 31, 2007 and 2006</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Cash Flows for the years ended December 31, 2007, 2006 and 2005</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304"/>
        </w:trPr>
        <w:tc>
          <w:tcPr>
            <w:tcW w:w="67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Stockholders’ Equity for the years ended December 31, 2007,</w:t>
              </w:r>
            </w:hyperlink>
          </w:p>
        </w:tc>
        <w:tc>
          <w:tcPr>
            <w:tcW w:w="3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2006 and 2005</w:t>
              </w:r>
            </w:hyperlink>
          </w:p>
        </w:tc>
        <w:tc>
          <w:tcPr>
            <w:tcW w:w="4380" w:type="dxa"/>
            <w:vAlign w:val="bottom"/>
            <w:gridSpan w:val="3"/>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67"/>
        </w:trPr>
        <w:tc>
          <w:tcPr>
            <w:tcW w:w="1060" w:type="dxa"/>
            <w:vAlign w:val="bottom"/>
            <w:tcBorders>
              <w:top w:val="single" w:sz="8" w:color="0000EE"/>
            </w:tcBorders>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Notes to Consolidated Financial Statements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54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Avis Budget Group, Inc.</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Avis Budget Group, Inc. and subsidiaries (the “Company”) as of December 31, 2007 and 2006, and the related consolidated statements of operations, stockholders’ equity, and cash flows for each of the three years in the period ended December 31, 2007.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the Company as of December 31, 2007 and 2006, and the consolidated results of its operations and its cash flows for each of the three years in the period ended December 31, 2007,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3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adopted Financial Accounting Standards Board Interpretation No. 48,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Uncertainty in Income Taxes—an interpretation of FASB Statement No. 109</w:t>
      </w:r>
      <w:r>
        <w:rPr>
          <w:rFonts w:ascii="Times New Roman" w:cs="Times New Roman" w:eastAsia="Times New Roman" w:hAnsi="Times New Roman"/>
          <w:sz w:val="18"/>
          <w:szCs w:val="18"/>
          <w:color w:val="auto"/>
        </w:rPr>
        <w:t>, on January 1, 2007.</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2007,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2008 expressed an unqualified opinion on the effectiveness of the Company’s internal control over financial reporting.</w:t>
      </w:r>
    </w:p>
    <w:p>
      <w:pPr>
        <w:spacing w:after="0" w:line="13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2008</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rental</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4,667</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1,319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5,986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3,033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1,571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interest,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Non-vehicle related 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Separation costs,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1,195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6,978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1"/>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cumulative effect of accounting changes</w:t>
            </w:r>
          </w:p>
        </w:tc>
        <w:tc>
          <w:tcPr>
            <w:tcW w:w="1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(1,930)</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9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320" w:type="dxa"/>
            <w:vAlign w:val="bottom"/>
            <w:gridSpan w:val="2"/>
          </w:tcPr>
          <w:p>
            <w:pPr>
              <w:jc w:val="right"/>
              <w:ind w:right="28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6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4"/>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8"/>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9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$19 and $20)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from vehicle manufacturers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Avis Budget Rental Car Funding (AESOP) LLC—related party</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5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 programs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due to Avis Budget Rental Car Funding (AESOP) LLC—related party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$.01 par value—authorized 10 million shares; none issued and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$.01 par value—authorized 250 million shares; issued 136,706,236 and 135,498,121 shares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cost—32,719,985 and 34,306,694 shares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2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64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80" w:type="dxa"/>
            <w:vAlign w:val="bottom"/>
          </w:tcPr>
          <w:p>
            <w:pPr>
              <w:spacing w:after="0"/>
              <w:rPr>
                <w:sz w:val="18"/>
                <w:szCs w:val="18"/>
                <w:color w:val="auto"/>
              </w:rPr>
            </w:pPr>
          </w:p>
        </w:tc>
        <w:tc>
          <w:tcPr>
            <w:tcW w:w="6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   (916)</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(1,994)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arrive at loss from continuing operations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6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2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loss from continuing operations to net cash provided by (used in) operating</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activities exclusive of vehicle programs:</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Non-vehicle related depreciation and amortization</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(57)</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1,195</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assets and liabilities, excluding the impact of acquisitions and dispositions:</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(6)</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8"/>
                <w:szCs w:val="18"/>
                <w:color w:val="auto"/>
              </w:rPr>
            </w:pP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(301)</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(120)</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(38)</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(143)</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4"/>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 exclusive of vehicle programs</w:t>
            </w:r>
          </w:p>
        </w:tc>
        <w:tc>
          <w:tcPr>
            <w:tcW w:w="480" w:type="dxa"/>
            <w:vAlign w:val="bottom"/>
          </w:tcPr>
          <w:p>
            <w:pPr>
              <w:spacing w:after="0"/>
              <w:rPr>
                <w:sz w:val="19"/>
                <w:szCs w:val="19"/>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4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1,565</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(94)</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 and acquisition-related payments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(118)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 to Realogy and Wyndham, net</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(108)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exclusive of vehicle programs</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vehicles</w:t>
            </w:r>
          </w:p>
        </w:tc>
        <w:tc>
          <w:tcPr>
            <w:tcW w:w="150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(10,633)</w:t>
            </w: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(11,348)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on disposition of vehicles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8,864</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3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756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F-5</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short-term repayments under revolving credit agreement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 exclusive of vehicle programs</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(2,076)</w:t>
            </w:r>
          </w:p>
        </w:tc>
        <w:tc>
          <w:tcPr>
            <w:tcW w:w="8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(10,236)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w w:val="94"/>
              </w:rPr>
              <w:t>(13,310)</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(2,628)</w:t>
            </w:r>
          </w:p>
        </w:tc>
        <w:tc>
          <w:tcPr>
            <w:tcW w:w="8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(4,704)</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 and cash equivalents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discontinued operations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changes in exchange rates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4"/>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provided by discontinued operations</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8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payments (refunds),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5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580" w:type="dxa"/>
            <w:vAlign w:val="bottom"/>
            <w:gridSpan w:val="6"/>
            <w:vMerge w:val="continue"/>
          </w:tcPr>
          <w:p>
            <w:pPr>
              <w:spacing w:after="0"/>
              <w:rPr>
                <w:sz w:val="13"/>
                <w:szCs w:val="13"/>
                <w:color w:val="auto"/>
              </w:rPr>
            </w:pPr>
          </w:p>
        </w:tc>
        <w:tc>
          <w:tcPr>
            <w:tcW w:w="860" w:type="dxa"/>
            <w:vAlign w:val="bottom"/>
            <w:gridSpan w:val="3"/>
          </w:tcPr>
          <w:p>
            <w:pPr>
              <w:jc w:val="center"/>
              <w:ind w:right="40"/>
              <w:spacing w:after="0" w:line="15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7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0"/>
                <w:szCs w:val="10"/>
                <w:color w:val="auto"/>
              </w:rPr>
            </w:pPr>
          </w:p>
        </w:tc>
        <w:tc>
          <w:tcPr>
            <w:tcW w:w="1240" w:type="dxa"/>
            <w:vAlign w:val="bottom"/>
            <w:gridSpan w:val="3"/>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4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65"/>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2005</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4420" w:type="dxa"/>
            <w:vAlign w:val="bottom"/>
            <w:vMerge w:val="continue"/>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2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11,802</w:t>
            </w:r>
          </w:p>
        </w:tc>
        <w:tc>
          <w:tcPr>
            <w:tcW w:w="360" w:type="dxa"/>
            <w:vAlign w:val="bottom"/>
            <w:vMerge w:val="continue"/>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2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340" w:type="dxa"/>
            <w:vAlign w:val="bottom"/>
            <w:vMerge w:val="continue"/>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w:t>
            </w:r>
          </w:p>
        </w:tc>
        <w:tc>
          <w:tcPr>
            <w:tcW w:w="16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(5,561)</w:t>
            </w:r>
          </w:p>
        </w:tc>
        <w:tc>
          <w:tcPr>
            <w:tcW w:w="34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12,464</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 net of tax of $(20)</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gains on cash flow hedges, net of tax of $26</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3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for gains on cash flow hedges, net of tax of $(8)</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 sale securities, net of tax of $1</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for realized holding gains on available-for- sale securities,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of tax of $(10)</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Minimum pension liability adjustment, net of tax of $(12)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(17)</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63</w:t>
            </w:r>
          </w:p>
        </w:tc>
        <w:tc>
          <w:tcPr>
            <w:tcW w:w="42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4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7"/>
              </w:rPr>
              <w:t>(1,349)</w:t>
            </w:r>
          </w:p>
        </w:tc>
        <w:tc>
          <w:tcPr>
            <w:tcW w:w="42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dividends</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of PHH Corporation</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49"/>
        </w:trPr>
        <w:tc>
          <w:tcPr>
            <w:tcW w:w="4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 to offset PHH valuation charge included in net income</w:t>
            </w:r>
          </w:p>
        </w:tc>
        <w:tc>
          <w:tcPr>
            <w:tcW w:w="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61"/>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2005</w:t>
            </w: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135.1</w:t>
            </w:r>
          </w:p>
        </w:tc>
        <w:tc>
          <w:tcPr>
            <w:tcW w:w="2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2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7"/>
              </w:rPr>
              <w:t>(6,718)</w:t>
            </w:r>
          </w:p>
        </w:tc>
        <w:tc>
          <w:tcPr>
            <w:tcW w:w="42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3"/>
              </w:rPr>
              <w:t>11,342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54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5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10"/>
                <w:szCs w:val="10"/>
                <w:color w:val="auto"/>
              </w:rPr>
            </w:pPr>
          </w:p>
        </w:tc>
        <w:tc>
          <w:tcPr>
            <w:tcW w:w="88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2006</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80" w:type="dxa"/>
            <w:vAlign w:val="bottom"/>
            <w:gridSpan w:val="2"/>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3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88"/>
              </w:rPr>
              <w:t>Shares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500" w:type="dxa"/>
            <w:vAlign w:val="bottom"/>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5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340" w:type="dxa"/>
            <w:vAlign w:val="bottom"/>
            <w:vMerge w:val="continue"/>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(6,718)</w:t>
            </w:r>
          </w:p>
        </w:tc>
        <w:tc>
          <w:tcPr>
            <w:tcW w:w="32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 net of tax of $16</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 of tax of $(6)</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for gains on cash flow hedges, net of tax of $(1)</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Minimum pension liability adjustment, net of tax of $5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of Realogy Corporation and Wyndham Worldwide Corporation</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(4,482)</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(7,010)</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effect of adoption of SFAS No. 158, net of tax of $(2)</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2006</w:t>
            </w: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00" w:type="dxa"/>
            <w:vAlign w:val="bottom"/>
            <w:vMerge w:val="continue"/>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135.5</w:t>
            </w:r>
          </w:p>
        </w:tc>
        <w:tc>
          <w:tcPr>
            <w:tcW w:w="2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9,664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(586)</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68</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(6,704)</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 of tax of $59</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Pension liability adjustment, net of tax of $(5)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Adoption of FIN 48 (see Note 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activity related to restricted stock units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Activity related to employee stock purchase plan</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Post-separation dividend adjustment</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2007</w:t>
            </w:r>
          </w:p>
        </w:tc>
        <w:tc>
          <w:tcPr>
            <w:tcW w:w="4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4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136.7</w:t>
            </w:r>
          </w:p>
        </w:tc>
        <w:tc>
          <w:tcPr>
            <w:tcW w:w="260" w:type="dxa"/>
            <w:vAlign w:val="bottom"/>
          </w:tcPr>
          <w:p>
            <w:pPr>
              <w:spacing w:after="0"/>
              <w:rPr>
                <w:sz w:val="13"/>
                <w:szCs w:val="13"/>
                <w:color w:val="auto"/>
              </w:rPr>
            </w:pPr>
          </w:p>
        </w:tc>
        <w:tc>
          <w:tcPr>
            <w:tcW w:w="3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9,320</w:t>
            </w:r>
          </w:p>
        </w:tc>
        <w:tc>
          <w:tcPr>
            <w:tcW w:w="2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(1,520)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72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(6,368)</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(Unless otherwise noted, all amounts are in millions, except per share amounts)</w:t>
      </w:r>
    </w:p>
    <w:p>
      <w:pPr>
        <w:spacing w:after="0" w:line="197"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3" w:lineRule="exact"/>
        <w:rPr>
          <w:rFonts w:ascii="Times New Roman" w:cs="Times New Roman" w:eastAsia="Times New Roman" w:hAnsi="Times New Roman"/>
          <w:sz w:val="18"/>
          <w:szCs w:val="18"/>
          <w:b w:val="1"/>
          <w:bCs w:val="1"/>
          <w:color w:val="auto"/>
        </w:rPr>
      </w:pPr>
    </w:p>
    <w:p>
      <w:pPr>
        <w:ind w:left="36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Avis Budget Group, Inc. provides car and truck rentals and ancillary services to businesses and consumers in the United States and internationally. The accompanying Consolidated Financial Statements include the accounts and transactions of Avis Budget Group, Inc. and its subsidiaries (“Avis Budget”), as well as entities in which Avis Budget directly or indirectly has a controlling financial interest (collectively, the “Company”).</w:t>
      </w:r>
    </w:p>
    <w:p>
      <w:pPr>
        <w:spacing w:after="0" w:line="13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the following business segments:</w:t>
      </w:r>
    </w:p>
    <w:p>
      <w:pPr>
        <w:spacing w:after="0" w:line="209" w:lineRule="exact"/>
        <w:rPr>
          <w:rFonts w:ascii="Times New Roman" w:cs="Times New Roman" w:eastAsia="Times New Roman" w:hAnsi="Times New Roman"/>
          <w:sz w:val="18"/>
          <w:szCs w:val="18"/>
          <w:b w:val="1"/>
          <w:bCs w:val="1"/>
          <w:color w:val="auto"/>
        </w:rPr>
      </w:pPr>
    </w:p>
    <w:p>
      <w:pPr>
        <w:ind w:left="1000" w:hanging="317"/>
        <w:spacing w:after="0"/>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Domestic Car Rental</w:t>
      </w:r>
      <w:r>
        <w:rPr>
          <w:rFonts w:ascii="Times New Roman" w:cs="Times New Roman" w:eastAsia="Times New Roman" w:hAnsi="Times New Roman"/>
          <w:sz w:val="18"/>
          <w:szCs w:val="18"/>
          <w:color w:val="auto"/>
        </w:rPr>
        <w:t>—provides car rentals and ancillary products and services in the United States.</w:t>
      </w:r>
    </w:p>
    <w:p>
      <w:pPr>
        <w:spacing w:after="0" w:line="211" w:lineRule="exact"/>
        <w:rPr>
          <w:rFonts w:ascii="Times New Roman" w:cs="Times New Roman" w:eastAsia="Times New Roman" w:hAnsi="Times New Roman"/>
          <w:sz w:val="18"/>
          <w:szCs w:val="18"/>
          <w:color w:val="auto"/>
        </w:rPr>
      </w:pPr>
    </w:p>
    <w:p>
      <w:pPr>
        <w:ind w:left="1000" w:right="420" w:hanging="317"/>
        <w:spacing w:after="0" w:line="277" w:lineRule="auto"/>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Car Rental</w:t>
      </w:r>
      <w:r>
        <w:rPr>
          <w:rFonts w:ascii="Times New Roman" w:cs="Times New Roman" w:eastAsia="Times New Roman" w:hAnsi="Times New Roman"/>
          <w:sz w:val="18"/>
          <w:szCs w:val="18"/>
          <w:color w:val="auto"/>
        </w:rPr>
        <w:t>—provides car rentals and ancillary products and services primarily in Argentina, Australia, Canada, New Zealand,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Puerto Rico and the U.S. Virgin Islands.</w:t>
      </w:r>
    </w:p>
    <w:p>
      <w:pPr>
        <w:spacing w:after="0" w:line="156"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Truck Rental</w:t>
      </w:r>
      <w:r>
        <w:rPr>
          <w:rFonts w:ascii="Times New Roman" w:cs="Times New Roman" w:eastAsia="Times New Roman" w:hAnsi="Times New Roman"/>
          <w:sz w:val="18"/>
          <w:szCs w:val="18"/>
          <w:color w:val="auto"/>
        </w:rPr>
        <w:t>—provides truck rentals and related services to consumers and light commercial users in the United States.</w:t>
      </w:r>
    </w:p>
    <w:p>
      <w:pPr>
        <w:spacing w:after="0" w:line="173" w:lineRule="exact"/>
        <w:rPr>
          <w:sz w:val="20"/>
          <w:szCs w:val="20"/>
          <w:color w:val="auto"/>
        </w:rPr>
      </w:pPr>
    </w:p>
    <w:p>
      <w:pPr>
        <w:ind w:left="360" w:right="220"/>
        <w:spacing w:after="0" w:line="262" w:lineRule="auto"/>
        <w:rPr>
          <w:sz w:val="20"/>
          <w:szCs w:val="20"/>
          <w:color w:val="auto"/>
        </w:rPr>
      </w:pPr>
      <w:r>
        <w:rPr>
          <w:rFonts w:ascii="Times New Roman" w:cs="Times New Roman" w:eastAsia="Times New Roman" w:hAnsi="Times New Roman"/>
          <w:sz w:val="18"/>
          <w:szCs w:val="18"/>
          <w:color w:val="auto"/>
        </w:rPr>
        <w:t>In presenting the Consolidated Financial Statements in accordance with accounting principles generally accepted in the United States, management makes estimates and assumptions that affect the amounts reported and related disclosures. Estimates, by their nature, are based on judgment and available information. Accordingly, actual results could differ from those estimates.</w:t>
      </w:r>
    </w:p>
    <w:p>
      <w:pPr>
        <w:spacing w:after="0" w:line="130" w:lineRule="exact"/>
        <w:rPr>
          <w:sz w:val="20"/>
          <w:szCs w:val="20"/>
          <w:color w:val="auto"/>
        </w:rPr>
      </w:pPr>
    </w:p>
    <w:p>
      <w:pPr>
        <w:ind w:left="360"/>
        <w:spacing w:after="0" w:line="287" w:lineRule="auto"/>
        <w:rPr>
          <w:sz w:val="20"/>
          <w:szCs w:val="20"/>
          <w:color w:val="auto"/>
        </w:rPr>
      </w:pP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 On January 31, 2005, the Company completed the spin-off of its former mortgage, fleet leasing and appraisal businesses in a tax-free distribution to the Company’s stockholders of one share of PHH Corporation (“PHH”) common stock per every twenty shares of Cendant common stock held on January 19, 2005. In February 2005, the Company completed an initial public offering of Wright Express Corporation (“Wright Express”), its former fuel card subsidiary, and in October 2005, the Company sold its former Marketing Services division, which was comprised of its individual membership and loyalty/insurance marketing businesses. Also, on July 31, 2006, the Company completed the spin-offs of Realogy Corporation (“Realogy”) and Wyndham Worldwide Corporation (“Wyndham”), and on August 23, 2006, the Company completed the sale of Travelport, Inc. (“Travelport”) (see Cendant Separation below). Upon completion of the spin-off of PHH, the Company’s former mortgage business was not classified as a discontinued operation due to Realogy’s participation in a mortgage origination venture that was established with PHH in connection with the spin-off. However, due to the spin-off of Realogy on July 31, 2006, the Company no longer participated in the venture. Pursuant to Statement of Financial Accounting Standards (“SFAS”) No. 144, “Accounting for the Impairment or Disposal of Long-Lived Assets” (“SFAS No. 144”), the account balances and activities of PHH, Wright Express, the former Marketing Services division, Realogy, Wyndham and Travelport have been segregated and reported as discontinued operations for all periods presented. Summarized financial data for the aforementioned businesses are provided in Note 3—Discontinued Operations.</w:t>
      </w:r>
    </w:p>
    <w:p>
      <w:pPr>
        <w:spacing w:after="0" w:line="335" w:lineRule="exact"/>
        <w:rPr>
          <w:sz w:val="20"/>
          <w:szCs w:val="20"/>
          <w:color w:val="auto"/>
        </w:rPr>
      </w:pPr>
    </w:p>
    <w:p>
      <w:pPr>
        <w:ind w:left="3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Cendant Separation. </w:t>
      </w:r>
      <w:r>
        <w:rPr>
          <w:rFonts w:ascii="Times New Roman" w:cs="Times New Roman" w:eastAsia="Times New Roman" w:hAnsi="Times New Roman"/>
          <w:sz w:val="18"/>
          <w:szCs w:val="18"/>
          <w:color w:val="auto"/>
        </w:rPr>
        <w:t>In July 2006, under a Board of Directors approved plan, the Company, then known as Cendant Corporation (“Cendant”), was separated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four independent companies (the “Cendant Separation”):</w:t>
      </w:r>
    </w:p>
    <w:p>
      <w:pPr>
        <w:spacing w:after="0" w:line="157" w:lineRule="exact"/>
        <w:rPr>
          <w:sz w:val="20"/>
          <w:szCs w:val="20"/>
          <w:color w:val="auto"/>
        </w:rPr>
      </w:pPr>
    </w:p>
    <w:p>
      <w:pPr>
        <w:ind w:left="1000" w:hanging="31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Realogy Corporation – </w:t>
      </w:r>
      <w:r>
        <w:rPr>
          <w:rFonts w:ascii="Times New Roman" w:cs="Times New Roman" w:eastAsia="Times New Roman" w:hAnsi="Times New Roman"/>
          <w:sz w:val="18"/>
          <w:szCs w:val="18"/>
          <w:color w:val="auto"/>
        </w:rPr>
        <w:t>encompasses the Company’s former Realogy segment, which is now presented as a discontinued operation.</w:t>
      </w:r>
    </w:p>
    <w:p>
      <w:pPr>
        <w:spacing w:after="0" w:line="211" w:lineRule="exact"/>
        <w:rPr>
          <w:rFonts w:ascii="Times New Roman" w:cs="Times New Roman" w:eastAsia="Times New Roman" w:hAnsi="Times New Roman"/>
          <w:sz w:val="18"/>
          <w:szCs w:val="18"/>
          <w:color w:val="auto"/>
        </w:rPr>
      </w:pPr>
    </w:p>
    <w:p>
      <w:pPr>
        <w:ind w:left="1000" w:right="120" w:hanging="317"/>
        <w:spacing w:after="0" w:line="27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Wyndham Worldwide Corporation – </w:t>
      </w:r>
      <w:r>
        <w:rPr>
          <w:rFonts w:ascii="Times New Roman" w:cs="Times New Roman" w:eastAsia="Times New Roman" w:hAnsi="Times New Roman"/>
          <w:sz w:val="18"/>
          <w:szCs w:val="18"/>
          <w:color w:val="auto"/>
        </w:rPr>
        <w:t>encompasses the Company’s former Hospitality Services and Timeshare Resorts segments, which are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as discontinued operations.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000" w:hanging="317"/>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Travelport, Inc. – </w:t>
      </w:r>
      <w:r>
        <w:rPr>
          <w:rFonts w:ascii="Times New Roman" w:cs="Times New Roman" w:eastAsia="Times New Roman" w:hAnsi="Times New Roman"/>
          <w:sz w:val="16"/>
          <w:szCs w:val="16"/>
          <w:color w:val="auto"/>
        </w:rPr>
        <w:t>encompasses the Company’s former Travel Distribution Services segment, which is now presented as a discontinued operation.</w:t>
      </w:r>
    </w:p>
    <w:p>
      <w:pPr>
        <w:spacing w:after="0" w:line="234" w:lineRule="exact"/>
        <w:rPr>
          <w:rFonts w:ascii="Times New Roman" w:cs="Times New Roman" w:eastAsia="Times New Roman" w:hAnsi="Times New Roman"/>
          <w:sz w:val="16"/>
          <w:szCs w:val="16"/>
          <w:color w:val="auto"/>
        </w:rPr>
      </w:pPr>
    </w:p>
    <w:p>
      <w:pPr>
        <w:ind w:left="1000" w:hanging="31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Avis Budget Group, Inc. – </w:t>
      </w:r>
      <w:r>
        <w:rPr>
          <w:rFonts w:ascii="Times New Roman" w:cs="Times New Roman" w:eastAsia="Times New Roman" w:hAnsi="Times New Roman"/>
          <w:sz w:val="18"/>
          <w:szCs w:val="18"/>
          <w:color w:val="auto"/>
        </w:rPr>
        <w:t>encompasses the Company’s vehicle rental operations.</w:t>
      </w:r>
    </w:p>
    <w:p>
      <w:pPr>
        <w:spacing w:after="0" w:line="173" w:lineRule="exact"/>
        <w:rPr>
          <w:sz w:val="20"/>
          <w:szCs w:val="20"/>
          <w:color w:val="auto"/>
        </w:rPr>
      </w:pPr>
    </w:p>
    <w:p>
      <w:pPr>
        <w:ind w:left="360" w:right="80"/>
        <w:spacing w:after="0" w:line="254" w:lineRule="auto"/>
        <w:rPr>
          <w:sz w:val="20"/>
          <w:szCs w:val="20"/>
          <w:color w:val="auto"/>
        </w:rPr>
      </w:pPr>
      <w:r>
        <w:rPr>
          <w:rFonts w:ascii="Times New Roman" w:cs="Times New Roman" w:eastAsia="Times New Roman" w:hAnsi="Times New Roman"/>
          <w:sz w:val="18"/>
          <w:szCs w:val="18"/>
          <w:color w:val="auto"/>
        </w:rPr>
        <w:t>On July 31, 2006, the Company completed the spin-offs of Realogy and Wyndham in tax-free distributions of one share each of Realogy and Wyndham common stock for every four and five shares, respectively, of then outstanding Cendant common stock held on July 21, 2006. Prior to the completion of the spin-offs, Avis Budget received special cash dividends of $2,225 million and $1,360 million from Realogy and Wyndham, respectively, and utilized such proceeds to fund a portion of the repayment of its outstanding debt, as discussed below. On August 23, 2006, the Company completed the sale of Travelport for proceeds of approximately $4.1 billion, net of closing adjustments, of which approximately $1.8 billion was used to repay indebtedness of Travelport. Pursuant to the Separation and Distribution Agreement (“Separation Agreement”) among the separating companies, during third quarter 2006, the Company distributed $1,423 million and $760 million of such proceeds from the sale of Travelport to Realogy and Wyndham, respectively.</w:t>
      </w:r>
    </w:p>
    <w:p>
      <w:pPr>
        <w:spacing w:after="0" w:line="141" w:lineRule="exact"/>
        <w:rPr>
          <w:sz w:val="20"/>
          <w:szCs w:val="20"/>
          <w:color w:val="auto"/>
        </w:rPr>
      </w:pPr>
    </w:p>
    <w:p>
      <w:pPr>
        <w:ind w:left="360" w:right="80"/>
        <w:spacing w:after="0" w:line="339" w:lineRule="auto"/>
        <w:rPr>
          <w:sz w:val="20"/>
          <w:szCs w:val="20"/>
          <w:color w:val="auto"/>
        </w:rPr>
      </w:pPr>
      <w:r>
        <w:rPr>
          <w:rFonts w:ascii="Times New Roman" w:cs="Times New Roman" w:eastAsia="Times New Roman" w:hAnsi="Times New Roman"/>
          <w:sz w:val="16"/>
          <w:szCs w:val="16"/>
          <w:color w:val="auto"/>
        </w:rPr>
        <w:t>During 2007, the Company recorded a net credit of $5 million in connection with the Cendant Separation. During 2006 and 2005, the Company incurred costs of $574 million and $15 million, respectively, in connection with executing the Cendant Separation. The 2007 net credit and 2006 costs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2007</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Early extinguishment of corporate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separation costs: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Severance and retention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Reversal of receivables from Realogy and Wyndham </w:t>
            </w:r>
            <w:r>
              <w:rPr>
                <w:rFonts w:ascii="Times New Roman" w:cs="Times New Roman" w:eastAsia="Times New Roman" w:hAnsi="Times New Roman"/>
                <w:sz w:val="22"/>
                <w:szCs w:val="22"/>
                <w:color w:val="auto"/>
                <w:vertAlign w:val="superscript"/>
              </w:rPr>
              <w:t>(a)</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 write-offs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Infrastructure implementation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540" w:type="dxa"/>
            <w:vAlign w:val="bottom"/>
            <w:gridSpan w:val="3"/>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FIN 48 indemnification </w:t>
            </w:r>
            <w:r>
              <w:rPr>
                <w:rFonts w:ascii="Times New Roman" w:cs="Times New Roman" w:eastAsia="Times New Roman" w:hAnsi="Times New Roman"/>
                <w:sz w:val="22"/>
                <w:szCs w:val="22"/>
                <w:color w:val="auto"/>
                <w:vertAlign w:val="superscript"/>
              </w:rPr>
              <w:t>(b)</w:t>
            </w:r>
          </w:p>
        </w:tc>
        <w:tc>
          <w:tcPr>
            <w:tcW w:w="100" w:type="dxa"/>
            <w:vAlign w:val="bottom"/>
          </w:tcPr>
          <w:p>
            <w:pPr>
              <w:spacing w:after="0"/>
              <w:rPr>
                <w:sz w:val="18"/>
                <w:szCs w:val="18"/>
                <w:color w:val="auto"/>
              </w:rPr>
            </w:pPr>
          </w:p>
        </w:tc>
        <w:tc>
          <w:tcPr>
            <w:tcW w:w="88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88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00" w:right="180" w:hanging="454"/>
        <w:spacing w:after="0" w:line="232" w:lineRule="auto"/>
        <w:tabs>
          <w:tab w:leader="none" w:pos="80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the reversal of receivables from Realogy and Wyndham due to the favorable resolution of certain tax related contingencies, for which the Company is entitled to indemnification by Realogy and Wyndham. The benefit for income taxes includes a corresponding credit resulting from the favorable resolution of such matters.</w:t>
      </w:r>
    </w:p>
    <w:p>
      <w:pPr>
        <w:ind w:left="800" w:hanging="454"/>
        <w:spacing w:after="0"/>
        <w:tabs>
          <w:tab w:leader="none" w:pos="80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See Note 2—Summary of Significant Accounting Policies.</w:t>
      </w:r>
    </w:p>
    <w:p>
      <w:pPr>
        <w:spacing w:after="0" w:line="138" w:lineRule="exact"/>
        <w:rPr>
          <w:sz w:val="20"/>
          <w:szCs w:val="20"/>
          <w:color w:val="auto"/>
        </w:rPr>
      </w:pPr>
    </w:p>
    <w:p>
      <w:pPr>
        <w:ind w:left="360" w:right="260"/>
        <w:spacing w:after="0" w:line="339" w:lineRule="auto"/>
        <w:rPr>
          <w:sz w:val="20"/>
          <w:szCs w:val="20"/>
          <w:color w:val="auto"/>
        </w:rPr>
      </w:pPr>
      <w:r>
        <w:rPr>
          <w:rFonts w:ascii="Times New Roman" w:cs="Times New Roman" w:eastAsia="Times New Roman" w:hAnsi="Times New Roman"/>
          <w:sz w:val="16"/>
          <w:szCs w:val="16"/>
          <w:color w:val="auto"/>
        </w:rPr>
        <w:t>During 2006, the Company also incurred costs within discontinued operations of $239 million in connection with executing the Cendant Separation. Such costs are primarily related to the accelerated vesting of stock-based compensation awards, severance and retention and professional and consulting fees.</w:t>
      </w:r>
    </w:p>
    <w:p>
      <w:pPr>
        <w:spacing w:after="0" w:line="74" w:lineRule="exact"/>
        <w:rPr>
          <w:sz w:val="20"/>
          <w:szCs w:val="20"/>
          <w:color w:val="auto"/>
        </w:rPr>
      </w:pPr>
    </w:p>
    <w:p>
      <w:pPr>
        <w:ind w:left="360" w:right="60"/>
        <w:spacing w:after="0" w:line="258" w:lineRule="auto"/>
        <w:rPr>
          <w:sz w:val="20"/>
          <w:szCs w:val="20"/>
          <w:color w:val="auto"/>
        </w:rPr>
      </w:pPr>
      <w:r>
        <w:rPr>
          <w:rFonts w:ascii="Times New Roman" w:cs="Times New Roman" w:eastAsia="Times New Roman" w:hAnsi="Times New Roman"/>
          <w:sz w:val="18"/>
          <w:szCs w:val="18"/>
          <w:color w:val="auto"/>
        </w:rPr>
        <w:t>In addition, pursuant to the Separation Agreement, Realogy, Wyndham and Travelport have agreed to assume and retain all of the liabilities primarily related to each of their respective businesses and operations, including litigation primarily related to each of their businesses where the Company is a named party. Realogy and Wyndham have also agreed to assume certain contingent and other corporate liabilities of the Company or its subsidiaries incurred prior to the disposition of Travelport (see Note 18—Commitments and Contingencies).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20"/>
        <w:spacing w:after="0" w:line="258" w:lineRule="auto"/>
        <w:rPr>
          <w:sz w:val="20"/>
          <w:szCs w:val="20"/>
          <w:color w:val="auto"/>
        </w:rPr>
      </w:pPr>
      <w:r>
        <w:rPr>
          <w:rFonts w:ascii="Times New Roman" w:cs="Times New Roman" w:eastAsia="Times New Roman" w:hAnsi="Times New Roman"/>
          <w:sz w:val="18"/>
          <w:szCs w:val="18"/>
          <w:color w:val="auto"/>
        </w:rPr>
        <w:t>Prior to the spin-offs of Realogy and Wyndham, the Company entered into a Transition Services Agreement with Realogy, Wyndham and Travelport to provide for an orderly transition following the sale of Travelport and the spin-offs of Realogy and Wyndham. Under the Transition Services Agreement, the Company has provided Realogy, Wyndham and Travelport with various services, including services relating to payroll, accounts payable, telecommunications and information technology in exchange for fees based on the estimated cost of the services provided.</w:t>
      </w:r>
    </w:p>
    <w:p>
      <w:pPr>
        <w:spacing w:after="0" w:line="136" w:lineRule="exact"/>
        <w:rPr>
          <w:sz w:val="20"/>
          <w:szCs w:val="20"/>
          <w:color w:val="auto"/>
        </w:rPr>
      </w:pPr>
    </w:p>
    <w:p>
      <w:pPr>
        <w:ind w:left="360" w:right="500"/>
        <w:spacing w:after="0" w:line="275" w:lineRule="auto"/>
        <w:rPr>
          <w:sz w:val="20"/>
          <w:szCs w:val="20"/>
          <w:color w:val="auto"/>
        </w:rPr>
      </w:pPr>
      <w:r>
        <w:rPr>
          <w:rFonts w:ascii="Times New Roman" w:cs="Times New Roman" w:eastAsia="Times New Roman" w:hAnsi="Times New Roman"/>
          <w:sz w:val="18"/>
          <w:szCs w:val="18"/>
          <w:color w:val="auto"/>
        </w:rPr>
        <w:t>Also, in connection with its execution of the Cendant Separation, the Company repaid certain corporate and other debt and entered into new financing arrangements (see Note 16—Long-term Debt and Borrowing Arrangements).</w:t>
      </w:r>
    </w:p>
    <w:p>
      <w:pPr>
        <w:spacing w:after="0" w:line="120" w:lineRule="exact"/>
        <w:rPr>
          <w:sz w:val="20"/>
          <w:szCs w:val="20"/>
          <w:color w:val="auto"/>
        </w:rPr>
      </w:pPr>
    </w:p>
    <w:p>
      <w:pPr>
        <w:ind w:left="360" w:right="220"/>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on the accompanying Consolidated Statements of Operations include unallocated corporate expenses in 2005 and 2006 related to the Company’s discontinued operations. Accordingly, the expenses recorded by the Company in the Consolidated Statements of Operations may not be indicative of the actual expenses the Company will incur as a separate company.</w:t>
      </w:r>
    </w:p>
    <w:p>
      <w:pPr>
        <w:spacing w:after="0" w:line="130"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Vehicle Programs. </w:t>
      </w:r>
      <w:r>
        <w:rPr>
          <w:rFonts w:ascii="Times New Roman" w:cs="Times New Roman" w:eastAsia="Times New Roman" w:hAnsi="Times New Roman"/>
          <w:sz w:val="18"/>
          <w:szCs w:val="18"/>
          <w:color w:val="auto"/>
        </w:rPr>
        <w:t>The Company presents separately the financial data of its vehicle programs. These programs are distinct from the Company’s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since the assets are generally funded through the issuance of debt that is collateralized by such assets. Assets under vehicle programs are funded through borrowings under asset-backed funding or other similar arrangements.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39" w:lineRule="exact"/>
        <w:rPr>
          <w:sz w:val="20"/>
          <w:szCs w:val="20"/>
          <w:color w:val="auto"/>
        </w:rPr>
      </w:pPr>
    </w:p>
    <w:p>
      <w:pPr>
        <w:ind w:left="360"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Reverse Stock Split. </w:t>
      </w:r>
      <w:r>
        <w:rPr>
          <w:rFonts w:ascii="Times New Roman" w:cs="Times New Roman" w:eastAsia="Times New Roman" w:hAnsi="Times New Roman"/>
          <w:sz w:val="18"/>
          <w:szCs w:val="18"/>
          <w:color w:val="auto"/>
        </w:rPr>
        <w:t>In connection with the September 5, 2006 1-for-10 reverse stock split of the Company’s common stock, common stock share data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Consolidated Financial Statements and notes have been revised to reflect the reverse stock split, unless otherwise noted.</w:t>
      </w:r>
    </w:p>
    <w:p>
      <w:pPr>
        <w:spacing w:after="0" w:line="116" w:lineRule="exact"/>
        <w:rPr>
          <w:sz w:val="20"/>
          <w:szCs w:val="20"/>
          <w:color w:val="auto"/>
        </w:rPr>
      </w:pPr>
    </w:p>
    <w:p>
      <w:pPr>
        <w:ind w:left="360" w:right="60"/>
        <w:spacing w:after="0" w:line="255" w:lineRule="auto"/>
        <w:rPr>
          <w:sz w:val="20"/>
          <w:szCs w:val="20"/>
          <w:color w:val="auto"/>
        </w:rPr>
      </w:pPr>
      <w:r>
        <w:rPr>
          <w:rFonts w:ascii="Times New Roman" w:cs="Times New Roman" w:eastAsia="Times New Roman" w:hAnsi="Times New Roman"/>
          <w:sz w:val="18"/>
          <w:szCs w:val="18"/>
          <w:i w:val="1"/>
          <w:iCs w:val="1"/>
          <w:color w:val="auto"/>
        </w:rPr>
        <w:t>Changes in Accounting Estimate</w:t>
      </w:r>
      <w:r>
        <w:rPr>
          <w:rFonts w:ascii="Times New Roman" w:cs="Times New Roman" w:eastAsia="Times New Roman" w:hAnsi="Times New Roman"/>
          <w:sz w:val="18"/>
          <w:szCs w:val="18"/>
          <w:color w:val="auto"/>
        </w:rPr>
        <w:t>. During fourth quarter 2007, the Company revised the assumed service lives of its truck fleet, for model years 2004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later, to better reflect the projected hold periods of these vehicles. The Company believes that its decision to retain these trucks longer than previously anticipated will allow it to reduce cash outflow related to fleet costs. This change will also affect the value the Company realizes upon the disposition of trucks and will impact the amount and timing of its future fleet purchases. The change in estimate, effective as of October 1, 2007, was accounted for prospectively and resulted in a decrease in depreciation expense of approximately $5 million, and decreased net loss by approximately $3 million ($0.03 per diluted share), for the year ended December 31, 2007.</w:t>
      </w:r>
    </w:p>
    <w:p>
      <w:pPr>
        <w:spacing w:after="0" w:line="141" w:lineRule="exact"/>
        <w:rPr>
          <w:sz w:val="20"/>
          <w:szCs w:val="20"/>
          <w:color w:val="auto"/>
        </w:rPr>
      </w:pPr>
    </w:p>
    <w:p>
      <w:pPr>
        <w:ind w:left="360" w:right="220"/>
        <w:spacing w:after="0" w:line="256" w:lineRule="auto"/>
        <w:rPr>
          <w:sz w:val="20"/>
          <w:szCs w:val="20"/>
          <w:color w:val="auto"/>
        </w:rPr>
      </w:pPr>
      <w:r>
        <w:rPr>
          <w:rFonts w:ascii="Times New Roman" w:cs="Times New Roman" w:eastAsia="Times New Roman" w:hAnsi="Times New Roman"/>
          <w:sz w:val="18"/>
          <w:szCs w:val="18"/>
          <w:color w:val="auto"/>
        </w:rPr>
        <w:t>During fourth quarter 2007, the Company revised its estimates for recording depreciation expense related to certain vehicles covered by guaranteed repurchase agreements in light of longer projected hold periods. Once these vehicles are held longer than the Company’s average hold period, they will be depreciated at monthly rates consistent with their contractually guaranteed residual values. This change in estimate, effective as of October 1, 2007, was accounted for prospectively and resulted in a decrease in depreciation expense of approximately $10 million, and decreased net loss by approximately $6 million ($0.06 per diluted share), for the year ended December 31, 2007.</w:t>
      </w:r>
    </w:p>
    <w:p>
      <w:pPr>
        <w:spacing w:after="0" w:line="137" w:lineRule="exact"/>
        <w:rPr>
          <w:sz w:val="20"/>
          <w:szCs w:val="20"/>
          <w:color w:val="auto"/>
        </w:rPr>
      </w:pPr>
    </w:p>
    <w:p>
      <w:pPr>
        <w:jc w:val="both"/>
        <w:ind w:left="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Reclassification. </w:t>
      </w:r>
      <w:r>
        <w:rPr>
          <w:rFonts w:ascii="Times New Roman" w:cs="Times New Roman" w:eastAsia="Times New Roman" w:hAnsi="Times New Roman"/>
          <w:sz w:val="18"/>
          <w:szCs w:val="18"/>
          <w:color w:val="auto"/>
        </w:rPr>
        <w:t>Certain prior year amounts have been reclassified to conform with current year presentation. In 2007, the Company has presented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dispositions of businesses as cash provided by discontinued operations within the Consolidated Statements of Cash Flows. Proceeds for 2006 and 2005, were $4,046 million and $2,636 million, respectively.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PRINCIPLES</w:t>
      </w:r>
    </w:p>
    <w:p>
      <w:pPr>
        <w:spacing w:after="0" w:line="173" w:lineRule="exact"/>
        <w:rPr>
          <w:rFonts w:ascii="Times New Roman" w:cs="Times New Roman" w:eastAsia="Times New Roman" w:hAnsi="Times New Roman"/>
          <w:sz w:val="18"/>
          <w:szCs w:val="18"/>
          <w:b w:val="1"/>
          <w:bCs w:val="1"/>
          <w:color w:val="auto"/>
        </w:rPr>
      </w:pPr>
    </w:p>
    <w:p>
      <w:pPr>
        <w:ind w:left="360" w:right="1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of America (“GAAP”).</w:t>
      </w:r>
    </w:p>
    <w:p>
      <w:pPr>
        <w:spacing w:after="0" w:line="11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173" w:lineRule="exact"/>
        <w:rPr>
          <w:rFonts w:ascii="Times New Roman" w:cs="Times New Roman" w:eastAsia="Times New Roman" w:hAnsi="Times New Roman"/>
          <w:sz w:val="18"/>
          <w:szCs w:val="18"/>
          <w:b w:val="1"/>
          <w:bCs w:val="1"/>
          <w:color w:val="auto"/>
        </w:rPr>
      </w:pPr>
    </w:p>
    <w:p>
      <w:pPr>
        <w:ind w:left="3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Avis Budget and all entities in which the Company has a direct or indirect controlling financial interest and variable interest entities (“VIEs”) where the Company is determined to be the primary beneficiary. The Company is deemed to be the primary beneficiary if it bears a majority of the risk to the entities’ potential losses or stands to gain from a majority of the entities’ expected returns. Significant intercompany transactions have been eliminated in consolidation.</w:t>
      </w:r>
    </w:p>
    <w:p>
      <w:pPr>
        <w:spacing w:after="0" w:line="134"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AND ASSUMPTIONS</w:t>
      </w:r>
    </w:p>
    <w:p>
      <w:pPr>
        <w:spacing w:after="0" w:line="173" w:lineRule="exact"/>
        <w:rPr>
          <w:rFonts w:ascii="Times New Roman" w:cs="Times New Roman" w:eastAsia="Times New Roman" w:hAnsi="Times New Roman"/>
          <w:sz w:val="18"/>
          <w:szCs w:val="18"/>
          <w:b w:val="1"/>
          <w:bCs w:val="1"/>
          <w:color w:val="auto"/>
        </w:rPr>
      </w:pPr>
    </w:p>
    <w:p>
      <w:pPr>
        <w:ind w:left="3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use of estimates and assumptions as determined by management are required in the preparation of the Consolidated Financial Statements in conformity with GAAP. These estimates are based on management’s evaluation of historical trends and other information available when the Consolidated Financial Statements are prepared. Changes in estimates are recognized in accordance with the accounting rules for the estimate. Actual results could differ from those estimates.</w:t>
      </w:r>
    </w:p>
    <w:p>
      <w:pPr>
        <w:spacing w:after="0" w:line="134"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rFonts w:ascii="Times New Roman" w:cs="Times New Roman" w:eastAsia="Times New Roman" w:hAnsi="Times New Roman"/>
          <w:sz w:val="18"/>
          <w:szCs w:val="18"/>
          <w:b w:val="1"/>
          <w:bCs w:val="1"/>
          <w:color w:val="auto"/>
        </w:rPr>
      </w:pPr>
    </w:p>
    <w:p>
      <w:pPr>
        <w:ind w:left="3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derives revenue through the operation and franchising of the Avis and Budget rental systems, providing vehicle rentals and other services to business and leisure travelers and others. Other revenue includes rentals of GPS navigational units, sales of loss damage waivers and insurance products, and other items. Revenue is recognized when persuasive evidence of an arrangement exists, the services have been rendered to customers, the pricing is fixed or determinable and collection is reasonably assured.</w:t>
      </w:r>
    </w:p>
    <w:p>
      <w:pPr>
        <w:spacing w:after="0" w:line="136" w:lineRule="exact"/>
        <w:rPr>
          <w:rFonts w:ascii="Times New Roman" w:cs="Times New Roman" w:eastAsia="Times New Roman" w:hAnsi="Times New Roman"/>
          <w:sz w:val="18"/>
          <w:szCs w:val="18"/>
          <w:b w:val="1"/>
          <w:bCs w:val="1"/>
          <w:color w:val="auto"/>
        </w:rPr>
      </w:pPr>
    </w:p>
    <w:p>
      <w:pPr>
        <w:ind w:left="3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Vehicle rental and rental-related revenue is recognized over the period the vehicle is rented. Franchise revenue principally consists of royalties and is recorded as the franchisee revenue is earned (generally over the rental period of a vehicle). Revenue and expenses associated with gasoline, vehicle licensing and airport concessions are recorded on a gross basis within revenue and operating expenses.</w:t>
      </w:r>
    </w:p>
    <w:p>
      <w:pPr>
        <w:spacing w:after="0" w:line="130"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173" w:lineRule="exact"/>
        <w:rPr>
          <w:rFonts w:ascii="Times New Roman" w:cs="Times New Roman" w:eastAsia="Times New Roman" w:hAnsi="Times New Roman"/>
          <w:sz w:val="18"/>
          <w:szCs w:val="18"/>
          <w:b w:val="1"/>
          <w:bCs w:val="1"/>
          <w:color w:val="auto"/>
        </w:rPr>
      </w:pPr>
    </w:p>
    <w:p>
      <w:pPr>
        <w:ind w:left="3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foreign operations are translated at the rate of exchange in effect on the balance sheet date; income and expenses are translated at the weighted average rate of exchange prevailing during the year. The related translation adjustments are reflected in “Accumulated other comprehensive income” in the stockholders’ equity section of the Consolidated Balance Sheet. The accumulated foreign currency translation adjustment as of December 31, 2007 and December 31, 2006 was $117 million and $67 million, respectively. Foreign currency gains and losses resulting from transactions are included in earnings.</w:t>
      </w:r>
    </w:p>
    <w:p>
      <w:pPr>
        <w:spacing w:after="0" w:line="136"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considers highly liquid investments purchased with an original maturity of three months or less to be cash equivalents.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80"/>
          </w:cols>
          <w:pgMar w:left="240" w:top="455" w:right="2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3"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recorded at cost, net of accumulated depreciation and amortization. Depreciation (non-vehicle related) is computed utilizing the straight-line 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420"/>
          </w:cols>
          <w:pgMar w:left="240" w:top="455" w:right="2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fixtures &amp;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Capitalized internal use software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to 15 years</w:t>
      </w:r>
    </w:p>
    <w:p>
      <w:pPr>
        <w:spacing w:after="0" w:line="181" w:lineRule="exact"/>
        <w:rPr>
          <w:sz w:val="20"/>
          <w:szCs w:val="20"/>
          <w:color w:val="auto"/>
        </w:rPr>
      </w:pPr>
    </w:p>
    <w:p>
      <w:pPr>
        <w:sectPr>
          <w:pgSz w:w="11900" w:h="16838" w:orient="portrait"/>
          <w:cols w:equalWidth="0" w:num="2">
            <w:col w:w="6840" w:space="720"/>
            <w:col w:w="3860"/>
          </w:cols>
          <w:pgMar w:left="240" w:top="455" w:right="239" w:bottom="1440" w:gutter="0" w:footer="0" w:header="0"/>
          <w:type w:val="continuous"/>
        </w:sectPr>
      </w:pPr>
    </w:p>
    <w:p>
      <w:pPr>
        <w:ind w:left="360" w:right="100"/>
        <w:spacing w:after="0" w:line="258" w:lineRule="auto"/>
        <w:rPr>
          <w:sz w:val="20"/>
          <w:szCs w:val="20"/>
          <w:color w:val="auto"/>
        </w:rPr>
      </w:pPr>
      <w:r>
        <w:rPr>
          <w:rFonts w:ascii="Times New Roman" w:cs="Times New Roman" w:eastAsia="Times New Roman" w:hAnsi="Times New Roman"/>
          <w:sz w:val="18"/>
          <w:szCs w:val="18"/>
          <w:color w:val="auto"/>
        </w:rPr>
        <w:t>The Company capitalizes the costs of software developed for internal use in accordance with Statement of Position No. 98-1, “Accounting for the Costs of Computer Software Developed or Obtained for Internal Use.” The software developed or obtained for internal use is amortized on a straight-line basis when such software is substantially ready for use. The net carrying value of software developed or obtained for internal use was $60 million and $50 million as of December 31, 2007 and 2006, respectively.</w:t>
      </w:r>
    </w:p>
    <w:p>
      <w:pPr>
        <w:spacing w:after="0" w:line="136" w:lineRule="exact"/>
        <w:rPr>
          <w:sz w:val="20"/>
          <w:szCs w:val="20"/>
          <w:color w:val="auto"/>
        </w:rPr>
      </w:pPr>
    </w:p>
    <w:p>
      <w:pPr>
        <w:ind w:left="360" w:right="80"/>
        <w:spacing w:after="0" w:line="256" w:lineRule="auto"/>
        <w:rPr>
          <w:sz w:val="20"/>
          <w:szCs w:val="20"/>
          <w:color w:val="auto"/>
        </w:rPr>
      </w:pPr>
      <w:r>
        <w:rPr>
          <w:rFonts w:ascii="Times New Roman" w:cs="Times New Roman" w:eastAsia="Times New Roman" w:hAnsi="Times New Roman"/>
          <w:sz w:val="18"/>
          <w:szCs w:val="18"/>
          <w:color w:val="auto"/>
        </w:rPr>
        <w:t>On March 30, 2005, the FASB issued FASB Interpretation No. 47, “Accounting for Conditional Asset Retirement Obligations” (“FIN 47”), which clarifies that conditional asset retirement obligations (“AROs”), are within the scope of SFAS No. 143, “Accounting for Asset Retirement Obligations.” FIN 47 requires a company to recognize a liability for the fair value of conditional AROs if the fair value of the liability can be reasonably estimated. The Company adopted FIN 47 in 2005 and recorded a $14 million ($8 million after tax, or $0.08 per diluted share) non-cash charge to reflect the cumulative effect of accounting change relating to the Company’s AROs to remove assets at certain leased properties.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73" w:lineRule="exact"/>
        <w:rPr>
          <w:sz w:val="20"/>
          <w:szCs w:val="20"/>
          <w:color w:val="auto"/>
        </w:rPr>
      </w:pPr>
    </w:p>
    <w:p>
      <w:pPr>
        <w:ind w:left="360" w:right="160"/>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values assigned to the tangible assets acquired, the intangible assets that are required to be recognized and reported separately from goodwill and the liabilities assumed. The Company does not amortize goodwill, but tests it at least annually for recoverability. Other intangible assets, primarily trademarks, with indefinite lives are not amortized but are evaluated annually for impairment. Other intangible assets with finite lives are amortized over their remaining useful lives.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73" w:lineRule="exact"/>
        <w:rPr>
          <w:sz w:val="20"/>
          <w:szCs w:val="20"/>
          <w:color w:val="auto"/>
        </w:rPr>
      </w:pPr>
    </w:p>
    <w:p>
      <w:pPr>
        <w:ind w:left="360" w:right="100"/>
        <w:spacing w:after="0" w:line="254" w:lineRule="auto"/>
        <w:rPr>
          <w:sz w:val="20"/>
          <w:szCs w:val="20"/>
          <w:color w:val="auto"/>
        </w:rPr>
      </w:pPr>
      <w:r>
        <w:rPr>
          <w:rFonts w:ascii="Times New Roman" w:cs="Times New Roman" w:eastAsia="Times New Roman" w:hAnsi="Times New Roman"/>
          <w:sz w:val="18"/>
          <w:szCs w:val="18"/>
          <w:color w:val="auto"/>
        </w:rPr>
        <w:t>In connection with SFAS No. 142, “Goodwill and Other Intangible Assets” (“SFAS No. 142”), the Company is required to assess goodwill and other indefinite-lived intangible assets for impairment annually, or more frequently if circumstances indicate impairment may have occurred. The Company assesses goodwill for such impairment by comparing the carrying value of its reporting units to their fair values and reviewing the Company’s market capitalization as compared to stockholders’ equity. Each reportable segment represents a reporting unit. The Company determines the fair value of its reporting units utilizing discounted cash flows and incorporates assumptions that it believes marketplace participants would utilize. When available and as appropriate, comparative market multiples and other factors to corroborate the discounted cash flow results are used. Other indefinite-lived intangible assets are tested for impairment and written down to fair value, as required by SFAS No. 142. The Company performs its annual impairment testing in the fourth quarter of each year.</w:t>
      </w:r>
    </w:p>
    <w:p>
      <w:pPr>
        <w:spacing w:after="0" w:line="138" w:lineRule="exact"/>
        <w:rPr>
          <w:sz w:val="20"/>
          <w:szCs w:val="20"/>
          <w:color w:val="auto"/>
        </w:rPr>
      </w:pPr>
    </w:p>
    <w:p>
      <w:pPr>
        <w:ind w:left="360" w:right="240"/>
        <w:spacing w:after="0" w:line="262" w:lineRule="auto"/>
        <w:rPr>
          <w:sz w:val="20"/>
          <w:szCs w:val="20"/>
          <w:color w:val="auto"/>
        </w:rPr>
      </w:pPr>
      <w:r>
        <w:rPr>
          <w:rFonts w:ascii="Times New Roman" w:cs="Times New Roman" w:eastAsia="Times New Roman" w:hAnsi="Times New Roman"/>
          <w:sz w:val="18"/>
          <w:szCs w:val="18"/>
          <w:color w:val="auto"/>
        </w:rPr>
        <w:t>The Company also evaluates the recoverability of its other long-lived assets, including amortizable intangible assets, if circumstances indicate impairment may have occurred, pursuant to SFAS No. 144, “Accounting for the Impairment or Disposal of Long-Lived Assets” (“SFAS No. 144”). This analysis is performed by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5"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300"/>
        <w:spacing w:after="0" w:line="262" w:lineRule="auto"/>
        <w:rPr>
          <w:sz w:val="20"/>
          <w:szCs w:val="20"/>
          <w:color w:val="auto"/>
        </w:rPr>
      </w:pPr>
      <w:r>
        <w:rPr>
          <w:rFonts w:ascii="Times New Roman" w:cs="Times New Roman" w:eastAsia="Times New Roman" w:hAnsi="Times New Roman"/>
          <w:sz w:val="18"/>
          <w:szCs w:val="18"/>
          <w:color w:val="auto"/>
        </w:rPr>
        <w:t>comparing the respective carrying values of the assets to the current and expected future cash flows, on an undiscounted basis, to be generated from such assets. Property and equipment is evaluated separately within each segment. If such analysis indicates that the carrying value of these assets is not recoverable, the carrying value of such assets is reduced to fair value.</w:t>
      </w:r>
    </w:p>
    <w:p>
      <w:pPr>
        <w:spacing w:after="0" w:line="132"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During 2007, a $1,195 million ($1,073 million after tax) charge was recorded for the impairment of goodwill at each of the Company’s reporting units to reflect the decline in their fair value as evidenced by a decline in the market value of the Company’s common stock. Domestic Car Rental recorded $786 million of the goodwill impairment, International Car Rental recorded $268 million and Truck Rental recorded $141 million. There was no impairment under SFAS No. 142 on indefinite lived assets or under SFAS No. 144 on long-lived assets.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2006 and 2005, there was no impairment of goodwill or other intangible assets within the Company’s continuing operations.</w:t>
      </w:r>
    </w:p>
    <w:p>
      <w:pPr>
        <w:spacing w:after="0" w:line="171" w:lineRule="exact"/>
        <w:rPr>
          <w:sz w:val="20"/>
          <w:szCs w:val="20"/>
          <w:color w:val="auto"/>
        </w:rPr>
      </w:pPr>
    </w:p>
    <w:p>
      <w:pPr>
        <w:ind w:left="360" w:right="280"/>
        <w:spacing w:after="0" w:line="275" w:lineRule="auto"/>
        <w:rPr>
          <w:sz w:val="20"/>
          <w:szCs w:val="20"/>
          <w:color w:val="auto"/>
        </w:rPr>
      </w:pPr>
      <w:r>
        <w:rPr>
          <w:rFonts w:ascii="Times New Roman" w:cs="Times New Roman" w:eastAsia="Times New Roman" w:hAnsi="Times New Roman"/>
          <w:sz w:val="18"/>
          <w:szCs w:val="18"/>
          <w:color w:val="auto"/>
        </w:rPr>
        <w:t>During 2006, the Company recorded an impairment charge of approximately $1.3 billion within discontinued operations to reflect the difference between Travelport’s carrying value and its estimated fair value, less costs to dispose.</w:t>
      </w:r>
    </w:p>
    <w:p>
      <w:pPr>
        <w:spacing w:after="0" w:line="120" w:lineRule="exact"/>
        <w:rPr>
          <w:sz w:val="20"/>
          <w:szCs w:val="20"/>
          <w:color w:val="auto"/>
        </w:rPr>
      </w:pPr>
    </w:p>
    <w:p>
      <w:pPr>
        <w:ind w:left="360" w:right="140"/>
        <w:spacing w:after="0" w:line="256" w:lineRule="auto"/>
        <w:rPr>
          <w:sz w:val="20"/>
          <w:szCs w:val="20"/>
          <w:color w:val="auto"/>
        </w:rPr>
      </w:pPr>
      <w:r>
        <w:rPr>
          <w:rFonts w:ascii="Times New Roman" w:cs="Times New Roman" w:eastAsia="Times New Roman" w:hAnsi="Times New Roman"/>
          <w:sz w:val="18"/>
          <w:szCs w:val="18"/>
          <w:color w:val="auto"/>
        </w:rPr>
        <w:t>During 2005, the Company determined that the carrying values of goodwill and certain other indefinite-lived intangible assets assigned to Travelport’s consumer travel businesses within discontinued operations exceeded their estimated fair values. In connection with the impairment assessments performed, the Company recorded a pretax charge of $425 million within discontinued operations, of which $254 million reduced the value of goodwill and $171 million reduced the value of other intangible assets (including $120 million related to trademarks). This impairment resulted from a decline in future anticipated cash flows primarily generated by Travelport’s consumer travel businesses.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PROGRAM CASH</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Program cash primarily represents amounts specifically designated to purchase assets under vehicle programs and/or to repay the related debt.</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VEHICLES</w:t>
      </w:r>
    </w:p>
    <w:p>
      <w:pPr>
        <w:spacing w:after="0" w:line="173"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Vehicles are stated at cost, net of accumulated depreciation. The initial cost of the vehicles is net of incentives and allowances from manufacturers. The Company acquires many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 The Company records depreciation expense for any deficiency in the contractual guaranteed residual values due to excessive wear or damages. At December 31, 2007, the Company has cumulatively recorded $47 million for the projected difference between the contracted guaranteed residual value and the carrying value of such vehicles, which is reflected in the Consolidated Statement of Operations.</w:t>
      </w:r>
    </w:p>
    <w:p>
      <w:pPr>
        <w:spacing w:after="0" w:line="138" w:lineRule="exact"/>
        <w:rPr>
          <w:sz w:val="20"/>
          <w:szCs w:val="20"/>
          <w:color w:val="auto"/>
        </w:rPr>
      </w:pPr>
    </w:p>
    <w:p>
      <w:pPr>
        <w:ind w:left="360" w:right="440"/>
        <w:spacing w:after="0" w:line="275" w:lineRule="auto"/>
        <w:rPr>
          <w:sz w:val="20"/>
          <w:szCs w:val="20"/>
          <w:color w:val="auto"/>
        </w:rPr>
      </w:pPr>
      <w:r>
        <w:rPr>
          <w:rFonts w:ascii="Times New Roman" w:cs="Times New Roman" w:eastAsia="Times New Roman" w:hAnsi="Times New Roman"/>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w:t>
      </w:r>
    </w:p>
    <w:p>
      <w:pPr>
        <w:spacing w:after="0" w:line="120" w:lineRule="exact"/>
        <w:rPr>
          <w:sz w:val="20"/>
          <w:szCs w:val="20"/>
          <w:color w:val="auto"/>
        </w:rPr>
      </w:pPr>
    </w:p>
    <w:p>
      <w:pPr>
        <w:jc w:val="both"/>
        <w:ind w:left="360" w:right="80"/>
        <w:spacing w:after="0" w:line="262" w:lineRule="auto"/>
        <w:rPr>
          <w:sz w:val="20"/>
          <w:szCs w:val="20"/>
          <w:color w:val="auto"/>
        </w:rPr>
      </w:pPr>
      <w:r>
        <w:rPr>
          <w:rFonts w:ascii="Times New Roman" w:cs="Times New Roman" w:eastAsia="Times New Roman" w:hAnsi="Times New Roman"/>
          <w:sz w:val="18"/>
          <w:szCs w:val="18"/>
          <w:color w:val="auto"/>
        </w:rPr>
        <w:t>For 2007, 2006 and 2005, rental vehicles were depreciated at rates ranging from 5% to 48% per annum. Upon disposal of the vehicles, depreciation expense is adjusted for any difference between the net sales proceeds and the remaining book value. Vehicle-related interest amounts are net of interest income of $5 million, $6 million and $4 million for 2007, 2006 and 2005,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500"/>
        <w:spacing w:after="0" w:line="275" w:lineRule="auto"/>
        <w:rPr>
          <w:sz w:val="20"/>
          <w:szCs w:val="20"/>
          <w:color w:val="auto"/>
        </w:rPr>
      </w:pPr>
      <w:r>
        <w:rPr>
          <w:rFonts w:ascii="Times New Roman" w:cs="Times New Roman" w:eastAsia="Times New Roman" w:hAnsi="Times New Roman"/>
          <w:sz w:val="18"/>
          <w:szCs w:val="18"/>
          <w:color w:val="auto"/>
        </w:rPr>
        <w:t>During the fourth quarter of 2007, the Company revised the assumed service lives of its truck fleet, for model years 2004 and later, to better reflect the projected hold periods of these vehicles (see Note 1—Basis of Presentation).</w:t>
      </w:r>
    </w:p>
    <w:p>
      <w:pPr>
        <w:spacing w:after="0" w:line="120" w:lineRule="exact"/>
        <w:rPr>
          <w:sz w:val="20"/>
          <w:szCs w:val="20"/>
          <w:color w:val="auto"/>
        </w:rPr>
      </w:pPr>
    </w:p>
    <w:p>
      <w:pPr>
        <w:ind w:left="360" w:right="460"/>
        <w:spacing w:after="0" w:line="275" w:lineRule="auto"/>
        <w:rPr>
          <w:sz w:val="20"/>
          <w:szCs w:val="20"/>
          <w:color w:val="auto"/>
        </w:rPr>
      </w:pPr>
      <w:r>
        <w:rPr>
          <w:rFonts w:ascii="Times New Roman" w:cs="Times New Roman" w:eastAsia="Times New Roman" w:hAnsi="Times New Roman"/>
          <w:sz w:val="18"/>
          <w:szCs w:val="18"/>
          <w:color w:val="auto"/>
        </w:rPr>
        <w:t>During the fourth quarter 2007, the Company revised its estimates for recording depreciation expense related to certain vehicles covered by guaranteed repurchase agreements (see Note 1—Basis of Presentation).</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73"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Advertising costs are expensed in the period incurred. Advertising expenses, recorded within selling, general and administrative expense on our Consolidated Statements of Operations, include radio, television, “yellow pages” and other advertising, travel partner points programs, internet advertising and other promotions and were approximately $106 million, $107 million and $100 million in 2007, 2006 and 2005, respectively.</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73" w:lineRule="exact"/>
        <w:rPr>
          <w:sz w:val="20"/>
          <w:szCs w:val="20"/>
          <w:color w:val="auto"/>
        </w:rPr>
      </w:pPr>
    </w:p>
    <w:p>
      <w:pPr>
        <w:ind w:left="360" w:right="2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9"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The Company records net deferred tax assets to the extent it believe these assets will more likely than not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37" w:lineRule="exact"/>
        <w:rPr>
          <w:sz w:val="20"/>
          <w:szCs w:val="20"/>
          <w:color w:val="auto"/>
        </w:rPr>
      </w:pPr>
    </w:p>
    <w:p>
      <w:pPr>
        <w:ind w:left="360" w:right="80"/>
        <w:spacing w:after="0" w:line="255" w:lineRule="auto"/>
        <w:rPr>
          <w:sz w:val="20"/>
          <w:szCs w:val="20"/>
          <w:color w:val="auto"/>
        </w:rPr>
      </w:pPr>
      <w:r>
        <w:rPr>
          <w:rFonts w:ascii="Times New Roman" w:cs="Times New Roman" w:eastAsia="Times New Roman" w:hAnsi="Times New Roman"/>
          <w:sz w:val="18"/>
          <w:szCs w:val="18"/>
          <w:color w:val="auto"/>
        </w:rPr>
        <w:t>In June 2006, the FASB issued FASB Interpretation No. 48, “</w:t>
      </w:r>
      <w:r>
        <w:rPr>
          <w:rFonts w:ascii="Times New Roman" w:cs="Times New Roman" w:eastAsia="Times New Roman" w:hAnsi="Times New Roman"/>
          <w:sz w:val="18"/>
          <w:szCs w:val="18"/>
          <w:i w:val="1"/>
          <w:iCs w:val="1"/>
          <w:color w:val="auto"/>
        </w:rPr>
        <w:t>Accounting for Uncertainty in Income Taxes—an interpretation of FASB Statement No. 109</w:t>
      </w:r>
      <w:r>
        <w:rPr>
          <w:rFonts w:ascii="Times New Roman" w:cs="Times New Roman" w:eastAsia="Times New Roman" w:hAnsi="Times New Roman"/>
          <w:sz w:val="18"/>
          <w:szCs w:val="18"/>
          <w:color w:val="auto"/>
        </w:rPr>
        <w:t>,” (“FIN 48”), which clarifies the accounting for uncertainty in income taxes recognized in the financial statements in accordance with SFAS No. 109, “Accounting for Income Taxes”. FIN 48 provides that a tax benefit from an uncertain tax position may be recognized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FIN 48 and in subsequent periods. This interpretation also provides guidance on measurement, derecognition, classification, interest and penalties, accounting in interim periods, disclosure and transition. FIN 48 is effective for fiscal years beginning after December 15, 2006.</w:t>
      </w:r>
    </w:p>
    <w:p>
      <w:pPr>
        <w:spacing w:after="0" w:line="137" w:lineRule="exact"/>
        <w:rPr>
          <w:sz w:val="20"/>
          <w:szCs w:val="20"/>
          <w:color w:val="auto"/>
        </w:rPr>
      </w:pPr>
    </w:p>
    <w:p>
      <w:pPr>
        <w:ind w:left="360" w:right="40"/>
        <w:spacing w:after="0" w:line="262" w:lineRule="auto"/>
        <w:rPr>
          <w:sz w:val="20"/>
          <w:szCs w:val="20"/>
          <w:color w:val="auto"/>
        </w:rPr>
      </w:pPr>
      <w:r>
        <w:rPr>
          <w:rFonts w:ascii="Times New Roman" w:cs="Times New Roman" w:eastAsia="Times New Roman" w:hAnsi="Times New Roman"/>
          <w:sz w:val="18"/>
          <w:szCs w:val="18"/>
          <w:color w:val="auto"/>
        </w:rPr>
        <w:t>The Company adopted the provisions of FIN 48 on January 1, 2007. As a result of the implementation of FIN 48, the Company recognized approximately an $18 million increase in the liability for unrecognized tax benefits, which was accounted for as a reduction to the January 1, 2007, balance of retained earnings.</w:t>
      </w:r>
    </w:p>
    <w:p>
      <w:pPr>
        <w:spacing w:after="0" w:line="132" w:lineRule="exact"/>
        <w:rPr>
          <w:sz w:val="20"/>
          <w:szCs w:val="20"/>
          <w:color w:val="auto"/>
        </w:rPr>
      </w:pPr>
    </w:p>
    <w:p>
      <w:pPr>
        <w:ind w:left="360" w:right="260"/>
        <w:spacing w:after="0" w:line="256" w:lineRule="auto"/>
        <w:rPr>
          <w:sz w:val="20"/>
          <w:szCs w:val="20"/>
          <w:color w:val="auto"/>
        </w:rPr>
      </w:pPr>
      <w:r>
        <w:rPr>
          <w:rFonts w:ascii="Times New Roman" w:cs="Times New Roman" w:eastAsia="Times New Roman" w:hAnsi="Times New Roman"/>
          <w:sz w:val="18"/>
          <w:szCs w:val="18"/>
          <w:color w:val="auto"/>
        </w:rPr>
        <w:t>In June 2006, the FASB’s Emerging Issues Task Force (“EITF”) issued EITF Issue No. 06-3, “How Taxes Collected from Customers and Remitted to Governmental Authorities Should Be Presented in the Income Statement (That Is, Gross versus Net Presentation)” (“EITF No. 06-3”). EITF No. 06-3 reached a consensus that the presentation on a gross or a net basis of any tax assessed by a governmental authority that is both imposed on and concurrent with a specific revenue-producing transaction between a seller and a customer is an accounting policy decision that should be disclosed. The Company reports revenues net of these taxes in its Consolidated Statements of Operations.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73" w:lineRule="exact"/>
        <w:rPr>
          <w:sz w:val="20"/>
          <w:szCs w:val="20"/>
          <w:color w:val="auto"/>
        </w:rPr>
      </w:pPr>
    </w:p>
    <w:p>
      <w:pPr>
        <w:ind w:left="360" w:right="600"/>
        <w:spacing w:after="0" w:line="339" w:lineRule="auto"/>
        <w:rPr>
          <w:sz w:val="20"/>
          <w:szCs w:val="20"/>
          <w:color w:val="auto"/>
        </w:rPr>
      </w:pPr>
      <w:r>
        <w:rPr>
          <w:rFonts w:ascii="Times New Roman" w:cs="Times New Roman" w:eastAsia="Times New Roman" w:hAnsi="Times New Roman"/>
          <w:sz w:val="16"/>
          <w:szCs w:val="16"/>
          <w:color w:val="auto"/>
        </w:rPr>
        <w:t>Derivative instruments are used as part of the Company’s overall strategy to manage exposure to market risks associated with fluctuations in foreign currency exchange rates, interest rates and gasoline costs. As a matter of policy, derivatives are not used for trading or speculative purposes.</w:t>
      </w:r>
    </w:p>
    <w:p>
      <w:pPr>
        <w:spacing w:after="0" w:line="74"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(principally vehicle interest, net). The effective portion of changes in fair value of derivatives designated as cash flow hedging instruments is recorded as a component of other comprehensive income. The ineffective portion is recognized currently in earnings within the same line item as the hedged item, including vehicle interest, net or interest related to corporate debt, net, based upon the nature of the hedged item. Amounts included in other comprehensive income are reclassified into earnings in the same period during which the hedged item affects earnings.</w:t>
      </w:r>
    </w:p>
    <w:p>
      <w:pPr>
        <w:spacing w:after="0" w:line="139" w:lineRule="exact"/>
        <w:rPr>
          <w:sz w:val="20"/>
          <w:szCs w:val="20"/>
          <w:color w:val="auto"/>
        </w:rPr>
      </w:pPr>
    </w:p>
    <w:p>
      <w:pPr>
        <w:ind w:left="360" w:right="340"/>
        <w:spacing w:after="0" w:line="275" w:lineRule="auto"/>
        <w:rPr>
          <w:sz w:val="20"/>
          <w:szCs w:val="20"/>
          <w:color w:val="auto"/>
        </w:rPr>
      </w:pPr>
      <w:r>
        <w:rPr>
          <w:rFonts w:ascii="Times New Roman" w:cs="Times New Roman" w:eastAsia="Times New Roman" w:hAnsi="Times New Roman"/>
          <w:sz w:val="18"/>
          <w:szCs w:val="18"/>
          <w:color w:val="auto"/>
        </w:rPr>
        <w:t>During 2006, the Company utilized certain derivatives designated as fair value hedges. Changes in the fair value of such instruments were recognized in earnings as a component of interest related to corporate debt, net. The Company did not utilize fair value hedges during 2007.</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73" w:lineRule="exact"/>
        <w:rPr>
          <w:sz w:val="20"/>
          <w:szCs w:val="20"/>
          <w:color w:val="auto"/>
        </w:rPr>
      </w:pPr>
    </w:p>
    <w:p>
      <w:pPr>
        <w:ind w:left="360" w:right="40"/>
        <w:spacing w:after="0" w:line="296" w:lineRule="auto"/>
        <w:rPr>
          <w:sz w:val="20"/>
          <w:szCs w:val="20"/>
          <w:color w:val="auto"/>
        </w:rPr>
      </w:pPr>
      <w:r>
        <w:rPr>
          <w:rFonts w:ascii="Times New Roman" w:cs="Times New Roman" w:eastAsia="Times New Roman" w:hAnsi="Times New Roman"/>
          <w:sz w:val="16"/>
          <w:szCs w:val="16"/>
          <w:color w:val="auto"/>
        </w:rPr>
        <w:t>The Company determines the appropriate classification of its investments in debt and equity securities at the time of purchase and reevaluates such determination at each balance sheet date. The Company’s non-marketable preferred stock investments are accounted for at cost plus accretion. Common stock investments in affiliates over which the Company has the ability to exercise significant influence but not a controlling interest are carried on the equity method of accounting. Available-for-sale securities are carried at current fair value with unrealized gains or losses reported net of taxes as a separate component of stockholders’ equity. Trading securities are recorded at fair value with realized and unrealized gains and losses reported currently in earnings.</w:t>
      </w:r>
    </w:p>
    <w:p>
      <w:pPr>
        <w:spacing w:after="0" w:line="108" w:lineRule="exact"/>
        <w:rPr>
          <w:sz w:val="20"/>
          <w:szCs w:val="20"/>
          <w:color w:val="auto"/>
        </w:rPr>
      </w:pPr>
    </w:p>
    <w:p>
      <w:pPr>
        <w:ind w:left="360" w:right="180"/>
        <w:spacing w:after="0" w:line="262" w:lineRule="auto"/>
        <w:rPr>
          <w:sz w:val="20"/>
          <w:szCs w:val="20"/>
          <w:color w:val="auto"/>
        </w:rPr>
      </w:pPr>
      <w:r>
        <w:rPr>
          <w:rFonts w:ascii="Times New Roman" w:cs="Times New Roman" w:eastAsia="Times New Roman" w:hAnsi="Times New Roman"/>
          <w:sz w:val="18"/>
          <w:szCs w:val="18"/>
          <w:color w:val="auto"/>
        </w:rPr>
        <w:t>Aggregate realized gains and losses on investments and preferred dividend income are recorded within other revenues on the Consolidated Statements of Operations. There were no net realized gains or losses in continuing operations in 2007. Gains amounted to $11 million and $21 million in 2006 and 2005, respectively. Gains and losses on securities sold are based on the specific identification method.</w:t>
      </w:r>
    </w:p>
    <w:p>
      <w:pPr>
        <w:spacing w:after="0" w:line="130" w:lineRule="exact"/>
        <w:rPr>
          <w:sz w:val="20"/>
          <w:szCs w:val="20"/>
          <w:color w:val="auto"/>
        </w:rPr>
      </w:pPr>
    </w:p>
    <w:p>
      <w:pPr>
        <w:ind w:left="36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Affinion Group Holdings, Inc. </w:t>
      </w:r>
      <w:r>
        <w:rPr>
          <w:rFonts w:ascii="Times New Roman" w:cs="Times New Roman" w:eastAsia="Times New Roman" w:hAnsi="Times New Roman"/>
          <w:sz w:val="18"/>
          <w:szCs w:val="18"/>
          <w:color w:val="auto"/>
        </w:rPr>
        <w:t>The Company’s former investment in Affinion Group Holdings, Inc. (“Affinion”) was received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2005 sale of its former Marketing Services division, along with cash proceeds approximating $1.7 billion. This investment represented preferred stock with a carrying value of $95 million, including accrued dividends (face value of $125 million) maturing in October 2017, and warrants with a carrying value of $3 million that were exercisable into 7.5% of the common equity of Affinion upon the earlier of four years or the achievement of specified investment hurdles.</w:t>
      </w:r>
    </w:p>
    <w:p>
      <w:pPr>
        <w:spacing w:after="0" w:line="136" w:lineRule="exact"/>
        <w:rPr>
          <w:sz w:val="20"/>
          <w:szCs w:val="20"/>
          <w:color w:val="auto"/>
        </w:rPr>
      </w:pPr>
    </w:p>
    <w:p>
      <w:pPr>
        <w:ind w:left="360"/>
        <w:spacing w:after="0" w:line="296" w:lineRule="auto"/>
        <w:rPr>
          <w:sz w:val="20"/>
          <w:szCs w:val="20"/>
          <w:color w:val="auto"/>
        </w:rPr>
      </w:pPr>
      <w:r>
        <w:rPr>
          <w:rFonts w:ascii="Times New Roman" w:cs="Times New Roman" w:eastAsia="Times New Roman" w:hAnsi="Times New Roman"/>
          <w:sz w:val="16"/>
          <w:szCs w:val="16"/>
          <w:color w:val="auto"/>
        </w:rPr>
        <w:t>Pursuant to the Separation Agreement, the Company was obligated to distribute all proceeds received on the sale of its investments in Affinion to Realogy and Wyndham. Accordingly, following the spin-offs of Realogy and Wyndham on July 31, 2006, the Company began to recognize a charge on its Consolidated Statement of Operations equal to the dividend and accretion income on the preferred stock of Affinion. From January 1, 2006 to July 31, 2006, the Company recorded $6 million of dividend and accretion income related to its preferred stock investment in Affinion. During 2007, the Company sold the majority of its preferred stock investment in Affinion and distributed the proceeds and the remaining investment to Realogy and Wyndham.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455" w:right="2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left="360" w:right="560"/>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Homestore, Inc. </w:t>
      </w:r>
      <w:r>
        <w:rPr>
          <w:rFonts w:ascii="Times New Roman" w:cs="Times New Roman" w:eastAsia="Times New Roman" w:hAnsi="Times New Roman"/>
          <w:sz w:val="16"/>
          <w:szCs w:val="16"/>
          <w:color w:val="auto"/>
        </w:rPr>
        <w:t>The Company’s investment in Homestore, Inc. (“Homestore”) was received in connection with the February 2001 sale of its former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move.com and ancillary businesses. During 2005, the Company sold 7.3 million shares of Homestore and recognized gains of $18 million within net revenues on its Consolidated Statements of Operations. As of December 31, 2005, the Company had sold all of its shares of Homestore stock.</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SELF-INSURANCE RESERVES</w:t>
      </w:r>
    </w:p>
    <w:p>
      <w:pPr>
        <w:spacing w:after="0" w:line="173"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The Consolidated Balance Sheets include approximately $361 million and $376 million of liabilities with respect to self-insured public liability and property damage as of December 31, 2007 and 2006, respectively. Such liabilities relate to additional liability insurance, personal effects protection insurance, public liability, property damage and personal accident insurance claims for which the Company is self-insured. These obligations represent an estimate for both reported claims not yet paid and claims incurred but not yet reported. The Company estimates the required reserve for such claims on an undiscounted basis utilizing an actuarial method that is based upon various assumptions which include, but are not limited to, the Company’s historical loss experience and projected loss development factors. The required liability is also subject to adjustment in the future based upon the changes in claims experience, including changes in the number of incidents and changes in the ultimate cost per incident. These amounts are included within accounts payable and other current liabilities and other non-current liabilities.</w:t>
      </w:r>
    </w:p>
    <w:p>
      <w:pPr>
        <w:spacing w:after="0" w:line="138" w:lineRule="exact"/>
        <w:rPr>
          <w:sz w:val="20"/>
          <w:szCs w:val="20"/>
          <w:color w:val="auto"/>
        </w:rPr>
      </w:pPr>
    </w:p>
    <w:p>
      <w:pPr>
        <w:ind w:left="360" w:right="40"/>
        <w:spacing w:after="0" w:line="258" w:lineRule="auto"/>
        <w:rPr>
          <w:sz w:val="20"/>
          <w:szCs w:val="20"/>
          <w:color w:val="auto"/>
        </w:rPr>
      </w:pPr>
      <w:r>
        <w:rPr>
          <w:rFonts w:ascii="Times New Roman" w:cs="Times New Roman" w:eastAsia="Times New Roman" w:hAnsi="Times New Roman"/>
          <w:sz w:val="18"/>
          <w:szCs w:val="18"/>
          <w:color w:val="auto"/>
        </w:rPr>
        <w:t>The Consolidated Balance Sheets also includes liabilities of approximately $76 million and $105 million as of December 31, 2007 and 2006, respectively. These liabilities relate to health and welfare, workers’ compensation and other benefits the Company provides to its employees. The Company estimates the liability required for such benefits based on actual claims outstanding and the estimated cost of claims incurred as of the balance sheet date. These amounts are included within accounts payable and other current liabilities.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73" w:lineRule="exact"/>
        <w:rPr>
          <w:sz w:val="20"/>
          <w:szCs w:val="20"/>
          <w:color w:val="auto"/>
        </w:rPr>
      </w:pPr>
    </w:p>
    <w:p>
      <w:pPr>
        <w:ind w:left="360" w:right="20"/>
        <w:spacing w:after="0" w:line="254" w:lineRule="auto"/>
        <w:rPr>
          <w:sz w:val="20"/>
          <w:szCs w:val="20"/>
          <w:color w:val="auto"/>
        </w:rPr>
      </w:pPr>
      <w:r>
        <w:rPr>
          <w:rFonts w:ascii="Times New Roman" w:cs="Times New Roman" w:eastAsia="Times New Roman" w:hAnsi="Times New Roman"/>
          <w:sz w:val="18"/>
          <w:szCs w:val="18"/>
          <w:color w:val="auto"/>
        </w:rPr>
        <w:t>In December 2004, the FASB issued SFAS No. 123R, “Share-Based Payment” (“SFAS No. 123R”), which eliminates the alternative to measure stock-based compensation awards using the intrinsic value approach permitted by APB Opinion No. 25 and by SFAS No. 123, “Accounting for Stock-Based Compensation”. The Company adopted SFAS No. 123R on January 1, 2006, as required, under the modified prospective application method. Since the Company recorded stock-based compensation expense for all outstanding employee stock awards prior to the adoption of SFAS No. 123R, the adoption of such standard did not have a significant impact on the Company’s results of operations. However, during 2006, the Company recorded an after tax credit of $1 million as a cumulative effect of an accounting change, which represents the Company’s estimate of total future forfeitures of stock-based awards outstanding as of January 1, 2006 (see Note 20—Stock-Based Compensation).</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60"/>
          </w:cols>
          <w:pgMar w:left="240" w:top="455" w:right="2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 DURING 2007</w:t>
      </w:r>
    </w:p>
    <w:p>
      <w:pPr>
        <w:spacing w:after="0" w:line="171"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Accounting for Uncertainty in Income Taxes. </w:t>
      </w:r>
      <w:r>
        <w:rPr>
          <w:rFonts w:ascii="Times New Roman" w:cs="Times New Roman" w:eastAsia="Times New Roman" w:hAnsi="Times New Roman"/>
          <w:sz w:val="18"/>
          <w:szCs w:val="18"/>
          <w:color w:val="auto"/>
        </w:rPr>
        <w:t>In June 2006, the FASB issued FIN 48, which clarifies the accounting for uncertainty in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the financial statements in accordance with FAS 109. FIN 48 provides that a tax benefit from an uncertain tax position may be recognized when it is more likely than not that the position will be sustained upon examination, including resolutions of any related appeals or litigation processes, based on technical merits. Income tax positions must meet a more-likely-than-not recognition threshold at the effective date to be recognized upon the adoption of FIN 48 and in subsequent periods. This interpretation also provides guidance on measurement, derecognition, classification, interest and penalties, accounting in interim periods, disclosure and transition. FIN 48 is effective for fiscal years beginning after December 15, 2006.</w:t>
      </w:r>
    </w:p>
    <w:p>
      <w:pPr>
        <w:spacing w:after="0" w:line="141" w:lineRule="exact"/>
        <w:rPr>
          <w:sz w:val="20"/>
          <w:szCs w:val="20"/>
          <w:color w:val="auto"/>
        </w:rPr>
      </w:pPr>
    </w:p>
    <w:p>
      <w:pPr>
        <w:ind w:left="360" w:right="40"/>
        <w:spacing w:after="0" w:line="254" w:lineRule="auto"/>
        <w:rPr>
          <w:sz w:val="20"/>
          <w:szCs w:val="20"/>
          <w:color w:val="auto"/>
        </w:rPr>
      </w:pPr>
      <w:r>
        <w:rPr>
          <w:rFonts w:ascii="Times New Roman" w:cs="Times New Roman" w:eastAsia="Times New Roman" w:hAnsi="Times New Roman"/>
          <w:sz w:val="18"/>
          <w:szCs w:val="18"/>
          <w:color w:val="auto"/>
        </w:rPr>
        <w:t>The Company adopted the provisions of FIN 48 on January 1, 2007. As a result of the implementation of FIN 48, the Company recognized approximately an $18 million increase in the liability for unrecognized tax benefits, which was accounted for as a reduction to the January 1, 2007, balance of retained earnings. The Company is entitled to indemnification from Realogy and Wyndham for additional tax related liabilities of $14 million recognized as a result of the adoption of FIN 48. The Company recorded a $14 million credit, within the separation costs, net line item on the accompanying Consolidated Statement of Operations for first quarter 2007, reflecting the recognition of receivables from Realogy and Wyndham for such tax-related matters. At December 31, 2007, certain income tax payable balances have been classified as long term liabilities and certain receivables from Realogy and Wyndham have been classified as non-current assets (see Note 15—Other Non-Current Liabilities).</w:t>
      </w:r>
    </w:p>
    <w:p>
      <w:pPr>
        <w:spacing w:after="0" w:line="141" w:lineRule="exact"/>
        <w:rPr>
          <w:sz w:val="20"/>
          <w:szCs w:val="20"/>
          <w:color w:val="auto"/>
        </w:rPr>
      </w:pPr>
    </w:p>
    <w:p>
      <w:pPr>
        <w:ind w:left="360" w:right="20"/>
        <w:spacing w:after="0" w:line="262" w:lineRule="auto"/>
        <w:rPr>
          <w:sz w:val="20"/>
          <w:szCs w:val="20"/>
          <w:color w:val="auto"/>
        </w:rPr>
      </w:pPr>
      <w:r>
        <w:rPr>
          <w:rFonts w:ascii="Times New Roman" w:cs="Times New Roman" w:eastAsia="Times New Roman" w:hAnsi="Times New Roman"/>
          <w:sz w:val="18"/>
          <w:szCs w:val="18"/>
          <w:color w:val="auto"/>
        </w:rPr>
        <w:t>Including the impact of the adoption of FIN 48 discussed above, the Company’s unrecognized tax benefits totaled $559 million and were reclassified to long-term income taxes payable as of January 1, 2007. If recognized, substantially all would affect the annual effective income tax rate. The Company’s unrecognized tax benefits were offset by tax loss carryforwards and tax credits in the amount of $15 million and $104 million, respectively.</w:t>
      </w:r>
    </w:p>
    <w:p>
      <w:pPr>
        <w:spacing w:after="0" w:line="132" w:lineRule="exact"/>
        <w:rPr>
          <w:sz w:val="20"/>
          <w:szCs w:val="20"/>
          <w:color w:val="auto"/>
        </w:rPr>
      </w:pPr>
    </w:p>
    <w:p>
      <w:pPr>
        <w:ind w:left="360" w:right="200"/>
        <w:spacing w:after="0" w:line="275" w:lineRule="auto"/>
        <w:rPr>
          <w:sz w:val="20"/>
          <w:szCs w:val="20"/>
          <w:color w:val="auto"/>
        </w:rPr>
      </w:pPr>
      <w:r>
        <w:rPr>
          <w:rFonts w:ascii="Times New Roman" w:cs="Times New Roman" w:eastAsia="Times New Roman" w:hAnsi="Times New Roman"/>
          <w:sz w:val="18"/>
          <w:szCs w:val="18"/>
          <w:color w:val="auto"/>
        </w:rPr>
        <w:t>As of December 31, 2007, the unrecognized tax benefits in long-term income taxes payable were $440 million. The Company does not anticipate that total unrecognized tax benefits will significantly change due to the settlement of audits or the expiration of statute of limitations within twelve months.</w:t>
      </w:r>
    </w:p>
    <w:p>
      <w:pPr>
        <w:spacing w:after="0" w:line="120" w:lineRule="exact"/>
        <w:rPr>
          <w:sz w:val="20"/>
          <w:szCs w:val="20"/>
          <w:color w:val="auto"/>
        </w:rPr>
      </w:pPr>
    </w:p>
    <w:p>
      <w:pPr>
        <w:ind w:left="360" w:right="20"/>
        <w:spacing w:after="0" w:line="254" w:lineRule="auto"/>
        <w:rPr>
          <w:sz w:val="20"/>
          <w:szCs w:val="20"/>
          <w:color w:val="auto"/>
        </w:rPr>
      </w:pPr>
      <w:r>
        <w:rPr>
          <w:rFonts w:ascii="Times New Roman" w:cs="Times New Roman" w:eastAsia="Times New Roman" w:hAnsi="Times New Roman"/>
          <w:sz w:val="18"/>
          <w:szCs w:val="18"/>
          <w:color w:val="auto"/>
        </w:rPr>
        <w:t>Including the impact of the adoption of FIN 48 discussed above, the Company’s accrual for the potential interest associated with uncertain tax positions was $26 million as of January 1, 2007. During the twelve months ended December 31, 2007, the Company recorded additional liabilities of $23 million for the accrual of interest, which had minimal impact on the Company’s results of operations as the Company is substantially entitled to indemnification for such liabilities and recognized corresponding receivables from Realogy and Wyndham. The Company recognizes potential interest and the corresponding indemnifications from Realogy and Wyndham, related to unrecognized tax benefits within interest expense related to corporate debt, net on the accompanying Consolidated Statements of Operations. Penalties incurred during the twelve months ended December 31, 2007, were not significant and were recognized as a component of income taxes.</w:t>
      </w:r>
    </w:p>
    <w:p>
      <w:pPr>
        <w:spacing w:after="0" w:line="141" w:lineRule="exact"/>
        <w:rPr>
          <w:sz w:val="20"/>
          <w:szCs w:val="20"/>
          <w:color w:val="auto"/>
        </w:rPr>
      </w:pPr>
    </w:p>
    <w:p>
      <w:pPr>
        <w:ind w:left="360" w:right="20"/>
        <w:spacing w:after="0" w:line="258" w:lineRule="auto"/>
        <w:rPr>
          <w:sz w:val="20"/>
          <w:szCs w:val="20"/>
          <w:color w:val="auto"/>
        </w:rPr>
      </w:pPr>
      <w:r>
        <w:rPr>
          <w:rFonts w:ascii="Times New Roman" w:cs="Times New Roman" w:eastAsia="Times New Roman" w:hAnsi="Times New Roman"/>
          <w:sz w:val="18"/>
          <w:szCs w:val="18"/>
          <w:color w:val="auto"/>
        </w:rPr>
        <w:t>In May 2007, the FASB issued FASB Staff Position FIN 48-1, “Definition of Settlement in FASB Interpretation No. 48” (“FSP FIN 48-1”). FSP FIN 48-1 provides guidance on how an enterprise should determine whether a tax position is effectively settled for the purpose of recognizing previously unrecognized tax benefits. The Company retroactively adopted the provisions of FSP FIN 48-1 effective January 1, 2007 and has determined that it had no impact on its Consolidated Financial Statements.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5" w:lineRule="exact"/>
        <w:rPr>
          <w:sz w:val="20"/>
          <w:szCs w:val="20"/>
          <w:color w:val="auto"/>
        </w:rPr>
      </w:pPr>
    </w:p>
    <w:p>
      <w:pPr>
        <w:jc w:val="both"/>
        <w:ind w:left="360" w:right="160"/>
        <w:spacing w:after="0" w:line="310" w:lineRule="auto"/>
        <w:rPr>
          <w:sz w:val="20"/>
          <w:szCs w:val="20"/>
          <w:color w:val="auto"/>
        </w:rPr>
      </w:pPr>
      <w:r>
        <w:rPr>
          <w:rFonts w:ascii="Times New Roman" w:cs="Times New Roman" w:eastAsia="Times New Roman" w:hAnsi="Times New Roman"/>
          <w:sz w:val="16"/>
          <w:szCs w:val="16"/>
          <w:color w:val="auto"/>
        </w:rPr>
        <w:t>In September 2006, the FASB issued SFAS No. 157, “Fair Value Measurements” (“SFAS No. 157”), which defines fair value, establishes a framework for measuring fair value and expands disclosure about fair value measurements. SFAS No. 157 is effective for fiscal years beginning after November 15, 2007. The Company adopted SFAS No. 157 on January 1, 2008, as required, and it had no impact on its financial statements at the time of adoption.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20"/>
        <w:spacing w:after="0" w:line="254" w:lineRule="auto"/>
        <w:rPr>
          <w:sz w:val="20"/>
          <w:szCs w:val="20"/>
          <w:color w:val="auto"/>
        </w:rPr>
      </w:pPr>
      <w:r>
        <w:rPr>
          <w:rFonts w:ascii="Times New Roman" w:cs="Times New Roman" w:eastAsia="Times New Roman" w:hAnsi="Times New Roman"/>
          <w:sz w:val="18"/>
          <w:szCs w:val="18"/>
          <w:color w:val="auto"/>
        </w:rPr>
        <w:t>In February 2008, the FASB issued FASB Staff Position FAS 157-1, “Application of SFAS No. 157 to SFAS No. 13 and Its Related Interpretative Accounting Pronouncements that Address Leasing Transactions” (“FSP FAS 157-1”) and FASB Staff Position FAS 157-2, “Effective Date of SFAS No. 157” (“FSP FAS 157-2”). FSP FAS 157-1 excludes SFAS No. 13 and its related interpretive accounting pronouncements that address leasing transactions, with the exception of fair value measurements of assets and liabilities recorded as a result of a lease transaction but measured pursuant to other pronouncements within the scope of SFAS No. 157. FSP FAS 157-2 delays the effective date of SFAS No. 157 for all nonfinancial assets and nonfinancial liabilities, except those that are recognized or disclosed at fair value in the financial statements on a recurring basis (at least annually). FSP FAS 157-1 and FSP FAS 157-2 became effective for the Company upon adoption of SFAS No. 157 on January 1, 2008.</w:t>
      </w:r>
    </w:p>
    <w:p>
      <w:pPr>
        <w:spacing w:after="0" w:line="141" w:lineRule="exact"/>
        <w:rPr>
          <w:sz w:val="20"/>
          <w:szCs w:val="20"/>
          <w:color w:val="auto"/>
        </w:rPr>
      </w:pPr>
    </w:p>
    <w:p>
      <w:pPr>
        <w:ind w:left="360" w:right="20"/>
        <w:spacing w:after="0" w:line="254" w:lineRule="auto"/>
        <w:rPr>
          <w:sz w:val="20"/>
          <w:szCs w:val="20"/>
          <w:color w:val="auto"/>
        </w:rPr>
      </w:pPr>
      <w:r>
        <w:rPr>
          <w:rFonts w:ascii="Times New Roman" w:cs="Times New Roman" w:eastAsia="Times New Roman" w:hAnsi="Times New Roman"/>
          <w:sz w:val="18"/>
          <w:szCs w:val="18"/>
          <w:color w:val="auto"/>
        </w:rPr>
        <w:t>In February 2007, the FASB issued SFAS No. 159, “The Fair Value Option for Financial Assets and Financial Liabilities—Including an amendment of FASB Statement No. 115,” (“SFAS No. 159”). SFAS No. 159 permits a company to irrevocably elect fair value as the initial and subsequent measurement attribute for certain financial assets and financial liabilities on a contract-by-contract basis, with changes in fair value recognized in earnings. The election to use the fair value option is available when an entity first recognizes a financial asset or a financial liability or upon entering into a firm commitment. Additionally, SFAS No. 159 allows for a one-time election for existing positions upon adoption, with the transition adjustment recorded to beginning retained earnings. The Company adopted SFAS No. 159 on January 1, 2008, as required, and elected not to apply the option to measure any of its financial assets or liabilities at the time of adoption.</w:t>
      </w:r>
    </w:p>
    <w:p>
      <w:pPr>
        <w:spacing w:after="0" w:line="141" w:lineRule="exact"/>
        <w:rPr>
          <w:sz w:val="20"/>
          <w:szCs w:val="20"/>
          <w:color w:val="auto"/>
        </w:rPr>
      </w:pPr>
    </w:p>
    <w:p>
      <w:pPr>
        <w:ind w:left="360" w:right="20"/>
        <w:spacing w:after="0" w:line="252" w:lineRule="auto"/>
        <w:rPr>
          <w:sz w:val="20"/>
          <w:szCs w:val="20"/>
          <w:color w:val="auto"/>
        </w:rPr>
      </w:pPr>
      <w:r>
        <w:rPr>
          <w:rFonts w:ascii="Times New Roman" w:cs="Times New Roman" w:eastAsia="Times New Roman" w:hAnsi="Times New Roman"/>
          <w:sz w:val="18"/>
          <w:szCs w:val="18"/>
          <w:color w:val="auto"/>
        </w:rPr>
        <w:t>In December 2007, the FASB issued SFAS No. 141 (revised 2007), “Business Combinations” (“SFAS No. 141(R)”). SFAS No. 141(R) seeks to improve the relevance, representational faithfulness, and comparability of the information that a reporting entity provides in its financial reports about a business combination and its effects. SFAS No. 141(R) requires an acquirer to recognize the assets acquired, the liabilities assumed, and any noncontrolling interest in the acquiree at the acquisition date, measured at their fair values as of that date, with limited exceptions. This Statement also requires the acquirer in a business combination achieved in stages to recognize the identifiable assets and liabilities, as well as the noncontrolling interest in the acquiree, at the full amounts of their fair values. SFAS No. 141(R) requires an acquirer to recognize adjustments made during the measurement period to the acquired assets and liabilities as if they had occurred on the acquisition date and revise prior period financial statements in subsequent filings for changes. In addition, SFAS No. 141(R) requires that all acquisition related costs be expensed as incurred, rather than capitalized as part of the purchase price and those restructuring costs that an acquirer expected but was not obligated to incur to be recognized separately from the business combination. This Statement applies prospectively to business combinations for which the acquisition date is on or after the beginning of the first annual reporting period beginning on or after December 15, 2008. The Company will adopt SFAS No. 141(R) on January 1, 2009, as required, and is currently evaluating the impact of such adoption on its financial statements.</w:t>
      </w:r>
    </w:p>
    <w:p>
      <w:pPr>
        <w:spacing w:after="0" w:line="147" w:lineRule="exact"/>
        <w:rPr>
          <w:sz w:val="20"/>
          <w:szCs w:val="20"/>
          <w:color w:val="auto"/>
        </w:rPr>
      </w:pPr>
    </w:p>
    <w:p>
      <w:pPr>
        <w:ind w:left="360"/>
        <w:spacing w:after="0" w:line="289" w:lineRule="auto"/>
        <w:rPr>
          <w:sz w:val="20"/>
          <w:szCs w:val="20"/>
          <w:color w:val="auto"/>
        </w:rPr>
      </w:pPr>
      <w:r>
        <w:rPr>
          <w:rFonts w:ascii="Times New Roman" w:cs="Times New Roman" w:eastAsia="Times New Roman" w:hAnsi="Times New Roman"/>
          <w:sz w:val="16"/>
          <w:szCs w:val="16"/>
          <w:color w:val="auto"/>
        </w:rPr>
        <w:t>In December 2007, the FASB issued SFAS No. 160, “Noncontrolling Interests in Consolidated Financial Statements—an amendment of ARB No. 51” (“SFAS No. 160”). SFAS No. 160 amends Accounting Research Bulletin (“ARB”) No. 51 to establish accounting and reporting standards for the noncontrolling (minority) interest in a subsidiary and for the deconsolidation of a subsidiary. It clarifies that a noncontrolling interest in a subsidiary is an ownership interest in the consolidated entity that should be reported as equity in the Consolidated Financial Statements. SFAS No. 160 also requires consolidated net income to be reported at amounts that include the amounts attributable to both the parent and the noncontrolling interest on the face of the consolidated statement of income. Under SFAS No. 160, the accounting for changes in a parent’s ownership interest in a subsidiary that do not result in deconsolidation must be accounted for as equity transactions for the difference between the parent’s carrying value and the cash exchanged in the transaction. In addition, SFAS No. 160 also requires that a parent recognize a gain or loss in net income when a subsidiary is deconsolidated (except in the case of a spin-off), and requires expanded disclosures in the Consolidated Financial Statements that clearly identify and distinguish between the interests of the parent’s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40"/>
        <w:spacing w:after="0" w:line="262" w:lineRule="auto"/>
        <w:rPr>
          <w:sz w:val="20"/>
          <w:szCs w:val="20"/>
          <w:color w:val="auto"/>
        </w:rPr>
      </w:pPr>
      <w:r>
        <w:rPr>
          <w:rFonts w:ascii="Times New Roman" w:cs="Times New Roman" w:eastAsia="Times New Roman" w:hAnsi="Times New Roman"/>
          <w:sz w:val="18"/>
          <w:szCs w:val="18"/>
          <w:color w:val="auto"/>
        </w:rPr>
        <w:t>ownership interest and the interests of the noncontrolling owners of a subsidiary. This Statement is effective for fiscal years, and interim periods within those fiscal years, beginning on or after December 15, 2008. The Company will adopt SFAS No. 160 on January 1, 2009, as required, and is currently evaluating the impact of such adoption on its financial statements.</w:t>
      </w:r>
    </w:p>
    <w:p>
      <w:pPr>
        <w:spacing w:after="0" w:line="171"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71" w:lineRule="exact"/>
        <w:rPr>
          <w:rFonts w:ascii="Times New Roman" w:cs="Times New Roman" w:eastAsia="Times New Roman" w:hAnsi="Times New Roman"/>
          <w:sz w:val="18"/>
          <w:szCs w:val="18"/>
          <w:b w:val="1"/>
          <w:bCs w:val="1"/>
          <w:color w:val="auto"/>
        </w:rPr>
      </w:pPr>
    </w:p>
    <w:p>
      <w:pPr>
        <w:ind w:left="360"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Travelport. </w:t>
      </w:r>
      <w:r>
        <w:rPr>
          <w:rFonts w:ascii="Times New Roman" w:cs="Times New Roman" w:eastAsia="Times New Roman" w:hAnsi="Times New Roman"/>
          <w:sz w:val="18"/>
          <w:szCs w:val="18"/>
          <w:color w:val="auto"/>
        </w:rPr>
        <w:t>On August 23, 2006, the Company completed the sale of Travelport, which comprised the Company’s former travel distribution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for proceeds of approximately $4.1 billion, net of closing adjustments. The loss incurred on disposal of Travelport included a $1.3 billion impairment charge reflecting the difference between Travelport’s carrying value and its estimated fair value and a tax charge related to asset basis differences resulting from the 2001 acquisition of a Travelport subsidiary.</w:t>
      </w:r>
    </w:p>
    <w:p>
      <w:pPr>
        <w:spacing w:after="0" w:line="132" w:lineRule="exact"/>
        <w:rPr>
          <w:rFonts w:ascii="Times New Roman" w:cs="Times New Roman" w:eastAsia="Times New Roman" w:hAnsi="Times New Roman"/>
          <w:sz w:val="18"/>
          <w:szCs w:val="18"/>
          <w:b w:val="1"/>
          <w:bCs w:val="1"/>
          <w:color w:val="auto"/>
        </w:rPr>
      </w:pPr>
    </w:p>
    <w:p>
      <w:pPr>
        <w:ind w:left="360" w:right="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Realogy and Wyndham. </w:t>
      </w:r>
      <w:r>
        <w:rPr>
          <w:rFonts w:ascii="Times New Roman" w:cs="Times New Roman" w:eastAsia="Times New Roman" w:hAnsi="Times New Roman"/>
          <w:sz w:val="18"/>
          <w:szCs w:val="18"/>
          <w:color w:val="auto"/>
        </w:rPr>
        <w:t>On July 31, 2006, the Company completed the spin-offs of Realogy and Wyndham in tax-free distributions of one share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Realogy and Wyndham common stock for every four and five shares, respectively, of Cendant common stock held on July 21, 2006. Direct costs incurred in connection with the spin-offs of Realogy and Wyndham are included within gain (loss) on disposal of discontinued operations, net of tax on the accompanying Consolidated Statements of Operations.</w:t>
      </w:r>
    </w:p>
    <w:p>
      <w:pPr>
        <w:spacing w:after="0" w:line="132" w:lineRule="exact"/>
        <w:rPr>
          <w:rFonts w:ascii="Times New Roman" w:cs="Times New Roman" w:eastAsia="Times New Roman" w:hAnsi="Times New Roman"/>
          <w:sz w:val="18"/>
          <w:szCs w:val="18"/>
          <w:b w:val="1"/>
          <w:bCs w:val="1"/>
          <w:color w:val="auto"/>
        </w:rPr>
      </w:pPr>
    </w:p>
    <w:p>
      <w:pPr>
        <w:ind w:left="3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Marketing Services Division. </w:t>
      </w:r>
      <w:r>
        <w:rPr>
          <w:rFonts w:ascii="Times New Roman" w:cs="Times New Roman" w:eastAsia="Times New Roman" w:hAnsi="Times New Roman"/>
          <w:sz w:val="18"/>
          <w:szCs w:val="18"/>
          <w:color w:val="auto"/>
        </w:rPr>
        <w:t>On October 17, 2005, the Company completed the sale of its Marketing Services division for approximately $1.8 billion.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consisted of approximately $1.7 billion of cash, net of closing adjustments, plus $125 million face value of newly issued preferred stock of Affinion and warrants to purchase up to 7.5% of the common equity of Affinion (see Note 2—Summary of Significant Accounting Policies). The Company distributed the proceeds from the sale of Affinion preferred stock and warrants and transferred its residual shares of Affinion preferred stock and warrants to Realogy and Wyndham pursuant to the Separation Agreement.</w:t>
      </w:r>
    </w:p>
    <w:p>
      <w:pPr>
        <w:spacing w:after="0" w:line="134" w:lineRule="exact"/>
        <w:rPr>
          <w:rFonts w:ascii="Times New Roman" w:cs="Times New Roman" w:eastAsia="Times New Roman" w:hAnsi="Times New Roman"/>
          <w:sz w:val="18"/>
          <w:szCs w:val="18"/>
          <w:b w:val="1"/>
          <w:bCs w:val="1"/>
          <w:color w:val="auto"/>
        </w:rPr>
      </w:pPr>
    </w:p>
    <w:p>
      <w:pPr>
        <w:ind w:left="360"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Wright Express. </w:t>
      </w:r>
      <w:r>
        <w:rPr>
          <w:rFonts w:ascii="Times New Roman" w:cs="Times New Roman" w:eastAsia="Times New Roman" w:hAnsi="Times New Roman"/>
          <w:sz w:val="18"/>
          <w:szCs w:val="18"/>
          <w:color w:val="auto"/>
        </w:rPr>
        <w:t>On February 22, 2005, the Company completed the initial public offering of Wright Express for $964 million of cash. Additionally,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tax receivable agreement with Wright Express pursuant to which Wright Express is obligated to make payments to the Company over a 15 year term. The Company is obligated to distribute all such payments received from Wright Express to Realogy and Wyndham following the Cendant Separation. Excluding amounts remitted to Realogy and Wyndham, the Company received $9 million during 2006 and $15 million during 2005 in connection with this tax receivable agreement. Such amounts are recorded within gain (loss) on disposal of discontinued operations, net of tax on the accompanying Consolidated Statements of Operations.</w:t>
      </w:r>
    </w:p>
    <w:p>
      <w:pPr>
        <w:spacing w:after="0" w:line="139" w:lineRule="exact"/>
        <w:rPr>
          <w:rFonts w:ascii="Times New Roman" w:cs="Times New Roman" w:eastAsia="Times New Roman" w:hAnsi="Times New Roman"/>
          <w:sz w:val="18"/>
          <w:szCs w:val="18"/>
          <w:b w:val="1"/>
          <w:bCs w:val="1"/>
          <w:color w:val="auto"/>
        </w:rPr>
      </w:pPr>
    </w:p>
    <w:p>
      <w:pPr>
        <w:ind w:left="360" w:right="2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PHH. </w:t>
      </w:r>
      <w:r>
        <w:rPr>
          <w:rFonts w:ascii="Times New Roman" w:cs="Times New Roman" w:eastAsia="Times New Roman" w:hAnsi="Times New Roman"/>
          <w:sz w:val="18"/>
          <w:szCs w:val="18"/>
          <w:color w:val="auto"/>
        </w:rPr>
        <w:t>On January 31, 2005, the Company completed the spin-off of PHH, which includes its former mortgage, fleet leasing and appraisal businesses.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spin-off, the Company recorded a non-cash impairment charge of $281 million and transaction costs of $4 million during first quarter 2005. There were no tax benefits recorded in connection with these charges, as such charges are not tax deductible.</w:t>
      </w:r>
    </w:p>
    <w:p>
      <w:pPr>
        <w:spacing w:after="0" w:line="129"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Summarized statement of income data for discontinued operations are as follows:</w:t>
      </w:r>
    </w:p>
    <w:p>
      <w:pPr>
        <w:spacing w:after="0" w:line="16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Year Ended December 31, 2007</w:t>
      </w:r>
    </w:p>
    <w:p>
      <w:pPr>
        <w:spacing w:after="0" w:line="175" w:lineRule="exact"/>
        <w:rPr>
          <w:rFonts w:ascii="Times New Roman" w:cs="Times New Roman" w:eastAsia="Times New Roman" w:hAnsi="Times New Roman"/>
          <w:sz w:val="18"/>
          <w:szCs w:val="18"/>
          <w:b w:val="1"/>
          <w:bCs w:val="1"/>
          <w:color w:val="auto"/>
        </w:rPr>
      </w:pPr>
    </w:p>
    <w:p>
      <w:pPr>
        <w:ind w:left="3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 million loss from discontinued operations, net of tax for the year ended December 31, 2007 represents a tax charge due to an increase in non-deductible expenses offset by a benefit in state taxes on discontinued operations. The $33 million gain on disposal of discontinued operations, net of tax for the year ended December 31, 2007, primarily represents a tax benefit realized as a result of certain elections made in connection with the Travelport disposition on the income tax returns filed during 2007.</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2006</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7"/>
              </w:rPr>
              <w:t>Marketing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Wright</w:t>
            </w:r>
          </w:p>
        </w:tc>
        <w:tc>
          <w:tcPr>
            <w:tcW w:w="80" w:type="dxa"/>
            <w:vAlign w:val="bottom"/>
          </w:tcPr>
          <w:p>
            <w:pPr>
              <w:spacing w:after="0"/>
              <w:rPr>
                <w:sz w:val="18"/>
                <w:szCs w:val="18"/>
                <w:color w:val="auto"/>
              </w:rPr>
            </w:pPr>
          </w:p>
        </w:tc>
        <w:tc>
          <w:tcPr>
            <w:tcW w:w="182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1100"/>
              <w:spacing w:after="0" w:line="232" w:lineRule="exact"/>
              <w:rPr>
                <w:sz w:val="20"/>
                <w:szCs w:val="20"/>
                <w:color w:val="auto"/>
              </w:rPr>
            </w:pPr>
            <w:r>
              <w:rPr>
                <w:rFonts w:ascii="Times New Roman" w:cs="Times New Roman" w:eastAsia="Times New Roman" w:hAnsi="Times New Roman"/>
                <w:sz w:val="18"/>
                <w:szCs w:val="18"/>
                <w:b w:val="1"/>
                <w:bCs w:val="1"/>
                <w:color w:val="auto"/>
                <w:w w:val="91"/>
              </w:rPr>
              <w:t xml:space="preserve">Express </w:t>
            </w:r>
            <w:r>
              <w:rPr>
                <w:rFonts w:ascii="Times New Roman" w:cs="Times New Roman" w:eastAsia="Times New Roman" w:hAnsi="Times New Roman"/>
                <w:sz w:val="22"/>
                <w:szCs w:val="22"/>
                <w:b w:val="1"/>
                <w:bCs w:val="1"/>
                <w:color w:val="auto"/>
                <w:w w:val="91"/>
                <w:vertAlign w:val="superscript"/>
              </w:rPr>
              <w:t>(a)</w:t>
            </w:r>
          </w:p>
        </w:tc>
        <w:tc>
          <w:tcPr>
            <w:tcW w:w="80" w:type="dxa"/>
            <w:vAlign w:val="bottom"/>
          </w:tcPr>
          <w:p>
            <w:pPr>
              <w:spacing w:after="0"/>
              <w:rPr>
                <w:sz w:val="20"/>
                <w:szCs w:val="20"/>
                <w:color w:val="auto"/>
              </w:rPr>
            </w:pPr>
          </w:p>
        </w:tc>
        <w:tc>
          <w:tcPr>
            <w:tcW w:w="1820" w:type="dxa"/>
            <w:vAlign w:val="bottom"/>
            <w:gridSpan w:val="2"/>
          </w:tcPr>
          <w:p>
            <w:pPr>
              <w:jc w:val="center"/>
              <w:ind w:right="1000"/>
              <w:spacing w:after="0" w:line="232" w:lineRule="exact"/>
              <w:rPr>
                <w:sz w:val="20"/>
                <w:szCs w:val="20"/>
                <w:color w:val="auto"/>
              </w:rPr>
            </w:pPr>
            <w:r>
              <w:rPr>
                <w:rFonts w:ascii="Times New Roman" w:cs="Times New Roman" w:eastAsia="Times New Roman" w:hAnsi="Times New Roman"/>
                <w:sz w:val="18"/>
                <w:szCs w:val="18"/>
                <w:b w:val="1"/>
                <w:bCs w:val="1"/>
                <w:color w:val="auto"/>
                <w:w w:val="91"/>
              </w:rPr>
              <w:t xml:space="preserve">Division </w:t>
            </w:r>
            <w:r>
              <w:rPr>
                <w:rFonts w:ascii="Times New Roman" w:cs="Times New Roman" w:eastAsia="Times New Roman" w:hAnsi="Times New Roman"/>
                <w:sz w:val="22"/>
                <w:szCs w:val="22"/>
                <w:b w:val="1"/>
                <w:bCs w:val="1"/>
                <w:color w:val="auto"/>
                <w:w w:val="91"/>
                <w:vertAlign w:val="superscript"/>
              </w:rPr>
              <w:t>(b)</w:t>
            </w:r>
          </w:p>
        </w:tc>
        <w:tc>
          <w:tcPr>
            <w:tcW w:w="840" w:type="dxa"/>
            <w:vAlign w:val="bottom"/>
            <w:gridSpan w:val="3"/>
          </w:tcPr>
          <w:p>
            <w:pPr>
              <w:spacing w:after="0" w:line="232" w:lineRule="exact"/>
              <w:rPr>
                <w:sz w:val="20"/>
                <w:szCs w:val="20"/>
                <w:color w:val="auto"/>
              </w:rPr>
            </w:pPr>
            <w:r>
              <w:rPr>
                <w:rFonts w:ascii="Times New Roman" w:cs="Times New Roman" w:eastAsia="Times New Roman" w:hAnsi="Times New Roman"/>
                <w:sz w:val="18"/>
                <w:szCs w:val="18"/>
                <w:b w:val="1"/>
                <w:bCs w:val="1"/>
                <w:color w:val="auto"/>
                <w:w w:val="99"/>
              </w:rPr>
              <w:t xml:space="preserve">Realogy </w:t>
            </w:r>
            <w:r>
              <w:rPr>
                <w:rFonts w:ascii="Times New Roman" w:cs="Times New Roman" w:eastAsia="Times New Roman" w:hAnsi="Times New Roman"/>
                <w:sz w:val="22"/>
                <w:szCs w:val="22"/>
                <w:b w:val="1"/>
                <w:bCs w:val="1"/>
                <w:color w:val="auto"/>
                <w:w w:val="99"/>
                <w:vertAlign w:val="superscript"/>
              </w:rPr>
              <w:t>(c)</w:t>
            </w:r>
          </w:p>
        </w:tc>
        <w:tc>
          <w:tcPr>
            <w:tcW w:w="0" w:type="dxa"/>
            <w:vAlign w:val="bottom"/>
          </w:tcPr>
          <w:p>
            <w:pPr>
              <w:spacing w:after="0"/>
              <w:rPr>
                <w:sz w:val="1"/>
                <w:szCs w:val="1"/>
                <w:color w:val="auto"/>
              </w:rPr>
            </w:pPr>
          </w:p>
        </w:tc>
      </w:tr>
      <w:tr>
        <w:trPr>
          <w:trHeight w:val="210"/>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3"/>
            <w:vMerge w:val="continue"/>
          </w:tcPr>
          <w:p>
            <w:pPr>
              <w:spacing w:after="0"/>
              <w:rPr>
                <w:sz w:val="17"/>
                <w:szCs w:val="17"/>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7"/>
                <w:szCs w:val="17"/>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3"/>
            <w:vMerge w:val="continue"/>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w:t>
            </w:r>
          </w:p>
        </w:tc>
        <w:tc>
          <w:tcPr>
            <w:tcW w:w="920" w:type="dxa"/>
            <w:vAlign w:val="bottom"/>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Wyndham </w:t>
            </w:r>
            <w:r>
              <w:rPr>
                <w:rFonts w:ascii="Times New Roman" w:cs="Times New Roman" w:eastAsia="Times New Roman" w:hAnsi="Times New Roman"/>
                <w:sz w:val="22"/>
                <w:szCs w:val="22"/>
                <w:b w:val="1"/>
                <w:bCs w:val="1"/>
                <w:color w:val="auto"/>
                <w:vertAlign w:val="superscript"/>
              </w:rPr>
              <w:t>(c)(d)</w:t>
            </w: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Travelport </w:t>
            </w:r>
            <w:r>
              <w:rPr>
                <w:rFonts w:ascii="Times New Roman" w:cs="Times New Roman" w:eastAsia="Times New Roman" w:hAnsi="Times New Roman"/>
                <w:sz w:val="22"/>
                <w:szCs w:val="22"/>
                <w:b w:val="1"/>
                <w:bCs w:val="1"/>
                <w:color w:val="auto"/>
                <w:vertAlign w:val="superscript"/>
              </w:rPr>
              <w:t>(c)</w:t>
            </w:r>
          </w:p>
        </w:tc>
        <w:tc>
          <w:tcPr>
            <w:tcW w:w="140" w:type="dxa"/>
            <w:vAlign w:val="bottom"/>
          </w:tcPr>
          <w:p>
            <w:pPr>
              <w:spacing w:after="0"/>
              <w:rPr>
                <w:sz w:val="24"/>
                <w:szCs w:val="24"/>
                <w:color w:val="auto"/>
              </w:rPr>
            </w:pPr>
          </w:p>
        </w:tc>
        <w:tc>
          <w:tcPr>
            <w:tcW w:w="7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3"/>
            <w:vMerge w:val="continue"/>
          </w:tcPr>
          <w:p>
            <w:pPr>
              <w:spacing w:after="0"/>
              <w:rPr>
                <w:sz w:val="17"/>
                <w:szCs w:val="17"/>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170</w:t>
            </w:r>
          </w:p>
        </w:tc>
        <w:tc>
          <w:tcPr>
            <w:tcW w:w="920" w:type="dxa"/>
            <w:vAlign w:val="bottom"/>
          </w:tcPr>
          <w:p>
            <w:pPr>
              <w:spacing w:after="0"/>
              <w:rPr>
                <w:sz w:val="17"/>
                <w:szCs w:val="17"/>
                <w:color w:val="auto"/>
              </w:rPr>
            </w:pPr>
          </w:p>
        </w:tc>
        <w:tc>
          <w:tcPr>
            <w:tcW w:w="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992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3"/>
            <w:vMerge w:val="continue"/>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(83)</w:t>
            </w:r>
          </w:p>
        </w:tc>
        <w:tc>
          <w:tcPr>
            <w:tcW w:w="940" w:type="dxa"/>
            <w:vAlign w:val="bottom"/>
            <w:gridSpan w:val="2"/>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(1,464)</w:t>
            </w:r>
          </w:p>
        </w:tc>
        <w:tc>
          <w:tcPr>
            <w:tcW w:w="920" w:type="dxa"/>
            <w:vAlign w:val="bottom"/>
          </w:tcPr>
          <w:p>
            <w:pPr>
              <w:spacing w:after="0"/>
              <w:rPr>
                <w:sz w:val="17"/>
                <w:szCs w:val="17"/>
                <w:color w:val="auto"/>
              </w:rPr>
            </w:pPr>
          </w:p>
        </w:tc>
        <w:tc>
          <w:tcPr>
            <w:tcW w:w="1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19"/>
                <w:szCs w:val="19"/>
                <w:color w:val="auto"/>
              </w:rPr>
            </w:pPr>
          </w:p>
        </w:tc>
        <w:tc>
          <w:tcPr>
            <w:tcW w:w="18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454"/>
        <w:spacing w:after="0"/>
        <w:tabs>
          <w:tab w:leader="none" w:pos="80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Gain on disposal includes payments received from Wright Express in connection with the tax receivable agreement discussed above.</w:t>
      </w:r>
    </w:p>
    <w:p>
      <w:pPr>
        <w:ind w:left="800" w:right="60" w:hanging="454"/>
        <w:spacing w:after="0" w:line="219" w:lineRule="auto"/>
        <w:tabs>
          <w:tab w:leader="none" w:pos="80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payments in connection with a guarantee obligation made to the Company’s former Marketing Services division and a tax charge primarily related to state taxes prior to the date of disposition.</w:t>
      </w:r>
    </w:p>
    <w:p>
      <w:pPr>
        <w:ind w:left="800" w:hanging="454"/>
        <w:spacing w:after="0" w:line="203" w:lineRule="auto"/>
        <w:tabs>
          <w:tab w:leader="none" w:pos="80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Results are through the date of disposition.</w:t>
      </w:r>
    </w:p>
    <w:p>
      <w:pPr>
        <w:ind w:left="800" w:right="540" w:hanging="454"/>
        <w:spacing w:after="0" w:line="238" w:lineRule="auto"/>
        <w:tabs>
          <w:tab w:leader="none" w:pos="80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provision for income taxes reflects a $158 million charge associated with separating the vacation ownership business from the Company in connection with the spin-off of Wyndham.</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Marketing</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w w:val="99"/>
              </w:rPr>
              <w:t>Wright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4"/>
          </w:tcPr>
          <w:p>
            <w:pPr>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Express </w:t>
            </w:r>
            <w:r>
              <w:rPr>
                <w:rFonts w:ascii="Times New Roman" w:cs="Times New Roman" w:eastAsia="Times New Roman" w:hAnsi="Times New Roman"/>
                <w:sz w:val="22"/>
                <w:szCs w:val="22"/>
                <w:b w:val="1"/>
                <w:bCs w:val="1"/>
                <w:color w:val="auto"/>
                <w:vertAlign w:val="superscript"/>
              </w:rPr>
              <w:t>(a)(b)</w:t>
            </w:r>
          </w:p>
        </w:tc>
        <w:tc>
          <w:tcPr>
            <w:tcW w:w="20" w:type="dxa"/>
            <w:vAlign w:val="bottom"/>
          </w:tcPr>
          <w:p>
            <w:pPr>
              <w:spacing w:after="0"/>
              <w:rPr>
                <w:sz w:val="20"/>
                <w:szCs w:val="20"/>
                <w:color w:val="auto"/>
              </w:rPr>
            </w:pPr>
          </w:p>
        </w:tc>
        <w:tc>
          <w:tcPr>
            <w:tcW w:w="1200" w:type="dxa"/>
            <w:vAlign w:val="bottom"/>
            <w:gridSpan w:val="3"/>
          </w:tcPr>
          <w:p>
            <w:pPr>
              <w:ind w:left="40"/>
              <w:spacing w:after="0" w:line="232" w:lineRule="exact"/>
              <w:rPr>
                <w:sz w:val="20"/>
                <w:szCs w:val="20"/>
                <w:color w:val="auto"/>
              </w:rPr>
            </w:pPr>
            <w:r>
              <w:rPr>
                <w:rFonts w:ascii="Times New Roman" w:cs="Times New Roman" w:eastAsia="Times New Roman" w:hAnsi="Times New Roman"/>
                <w:sz w:val="26"/>
                <w:szCs w:val="26"/>
                <w:b w:val="1"/>
                <w:bCs w:val="1"/>
                <w:color w:val="auto"/>
                <w:vertAlign w:val="subscript"/>
              </w:rPr>
              <w:t>PHH</w:t>
            </w:r>
            <w:r>
              <w:rPr>
                <w:rFonts w:ascii="Times New Roman" w:cs="Times New Roman" w:eastAsia="Times New Roman" w:hAnsi="Times New Roman"/>
                <w:sz w:val="10"/>
                <w:szCs w:val="10"/>
                <w:b w:val="1"/>
                <w:bCs w:val="1"/>
                <w:color w:val="auto"/>
              </w:rPr>
              <w:t xml:space="preserve"> (a)(c)</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500"/>
              <w:spacing w:after="0" w:line="232" w:lineRule="exact"/>
              <w:rPr>
                <w:sz w:val="20"/>
                <w:szCs w:val="20"/>
                <w:color w:val="auto"/>
              </w:rPr>
            </w:pPr>
            <w:r>
              <w:rPr>
                <w:rFonts w:ascii="Times New Roman" w:cs="Times New Roman" w:eastAsia="Times New Roman" w:hAnsi="Times New Roman"/>
                <w:sz w:val="18"/>
                <w:szCs w:val="18"/>
                <w:b w:val="1"/>
                <w:bCs w:val="1"/>
                <w:color w:val="auto"/>
                <w:w w:val="94"/>
              </w:rPr>
              <w:t xml:space="preserve">Division </w:t>
            </w:r>
            <w:r>
              <w:rPr>
                <w:rFonts w:ascii="Times New Roman" w:cs="Times New Roman" w:eastAsia="Times New Roman" w:hAnsi="Times New Roman"/>
                <w:sz w:val="22"/>
                <w:szCs w:val="22"/>
                <w:b w:val="1"/>
                <w:bCs w:val="1"/>
                <w:color w:val="auto"/>
                <w:w w:val="94"/>
                <w:vertAlign w:val="superscript"/>
              </w:rPr>
              <w:t>(a)</w:t>
            </w:r>
          </w:p>
        </w:tc>
        <w:tc>
          <w:tcPr>
            <w:tcW w:w="38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Realogy</w:t>
            </w:r>
          </w:p>
        </w:tc>
        <w:tc>
          <w:tcPr>
            <w:tcW w:w="0" w:type="dxa"/>
            <w:vAlign w:val="bottom"/>
          </w:tcPr>
          <w:p>
            <w:pPr>
              <w:spacing w:after="0"/>
              <w:rPr>
                <w:sz w:val="1"/>
                <w:szCs w:val="1"/>
                <w:color w:val="auto"/>
              </w:rPr>
            </w:pPr>
          </w:p>
        </w:tc>
      </w:tr>
      <w:tr>
        <w:trPr>
          <w:trHeight w:val="21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880"/>
              <w:spacing w:after="0" w:line="195"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7"/>
                <w:szCs w:val="17"/>
                <w:color w:val="auto"/>
              </w:rPr>
            </w:pPr>
          </w:p>
        </w:tc>
        <w:tc>
          <w:tcPr>
            <w:tcW w:w="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40" w:type="dxa"/>
            <w:vAlign w:val="bottom"/>
            <w:tcBorders>
              <w:top w:val="single" w:sz="8" w:color="auto"/>
            </w:tcBorders>
            <w:gridSpan w:val="2"/>
          </w:tcPr>
          <w:p>
            <w:pPr>
              <w:spacing w:after="0" w:line="20" w:lineRule="exact"/>
              <w:rPr>
                <w:sz w:val="1"/>
                <w:szCs w:val="1"/>
                <w:color w:val="auto"/>
              </w:rPr>
            </w:pPr>
          </w:p>
        </w:tc>
        <w:tc>
          <w:tcPr>
            <w:tcW w:w="780" w:type="dxa"/>
            <w:vAlign w:val="bottom"/>
            <w:tcBorders>
              <w:top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(285)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1,146</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Wyndham</w:t>
            </w:r>
          </w:p>
        </w:tc>
        <w:tc>
          <w:tcPr>
            <w:tcW w:w="38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Travelport </w:t>
            </w:r>
            <w:r>
              <w:rPr>
                <w:rFonts w:ascii="Times New Roman" w:cs="Times New Roman" w:eastAsia="Times New Roman" w:hAnsi="Times New Roman"/>
                <w:sz w:val="22"/>
                <w:szCs w:val="22"/>
                <w:b w:val="1"/>
                <w:bCs w:val="1"/>
                <w:color w:val="auto"/>
                <w:vertAlign w:val="superscript"/>
              </w:rPr>
              <w:t>(d)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7"/>
              </w:rPr>
              <w:t>Total</w:t>
            </w:r>
          </w:p>
        </w:tc>
        <w:tc>
          <w:tcPr>
            <w:tcW w:w="0" w:type="dxa"/>
            <w:vAlign w:val="bottom"/>
          </w:tcPr>
          <w:p>
            <w:pPr>
              <w:spacing w:after="0"/>
              <w:rPr>
                <w:sz w:val="1"/>
                <w:szCs w:val="1"/>
                <w:color w:val="auto"/>
              </w:rPr>
            </w:pPr>
          </w:p>
        </w:tc>
      </w:tr>
      <w:tr>
        <w:trPr>
          <w:trHeight w:val="210"/>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643</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4"/>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5"/>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454"/>
        <w:spacing w:after="0"/>
        <w:tabs>
          <w:tab w:leader="none" w:pos="80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Results are through the date of disposition.</w:t>
      </w:r>
    </w:p>
    <w:p>
      <w:pPr>
        <w:ind w:left="800" w:hanging="454"/>
        <w:spacing w:after="0" w:line="203" w:lineRule="auto"/>
        <w:tabs>
          <w:tab w:leader="none" w:pos="80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Gain on disposal includes payments received from Wright Express in connection with the tax receivable agreement discussed above.</w:t>
      </w:r>
    </w:p>
    <w:p>
      <w:pPr>
        <w:ind w:left="800" w:right="200" w:hanging="454"/>
        <w:spacing w:after="0" w:line="219" w:lineRule="auto"/>
        <w:tabs>
          <w:tab w:leader="none" w:pos="80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provision for income taxes reflects a $24 million charge associated with separating the appraisal business from the Company in connection with the PHH spin-off.</w:t>
      </w:r>
    </w:p>
    <w:p>
      <w:pPr>
        <w:ind w:left="800" w:hanging="454"/>
        <w:spacing w:after="0"/>
        <w:tabs>
          <w:tab w:leader="none" w:pos="80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Results include a pretax impairment charge of $425 million. (See Note 2—Summary of Significant Accounting Policies.)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(451)</w:t>
            </w: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58"/>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58"/>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line="235" w:lineRule="exact"/>
              <w:rPr>
                <w:sz w:val="20"/>
                <w:szCs w:val="20"/>
                <w:color w:val="auto"/>
              </w:rPr>
            </w:pPr>
            <w:r>
              <w:rPr>
                <w:rFonts w:ascii="Times New Roman" w:cs="Times New Roman" w:eastAsia="Times New Roman" w:hAnsi="Times New Roman"/>
                <w:sz w:val="18"/>
                <w:szCs w:val="18"/>
                <w:color w:val="auto"/>
              </w:rPr>
              <w:t xml:space="preserve">Basic and diluted weighted average shares outstanding </w:t>
            </w:r>
            <w:r>
              <w:rPr>
                <w:rFonts w:ascii="Times New Roman" w:cs="Times New Roman" w:eastAsia="Times New Roman" w:hAnsi="Times New Roman"/>
                <w:sz w:val="22"/>
                <w:szCs w:val="22"/>
                <w:color w:val="auto"/>
                <w:vertAlign w:val="superscript"/>
              </w:rPr>
              <w:t>(a)</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60" w:type="dxa"/>
            <w:vAlign w:val="bottom"/>
            <w:gridSpan w:val="3"/>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100.6</w:t>
            </w:r>
          </w:p>
        </w:tc>
        <w:tc>
          <w:tcPr>
            <w:tcW w:w="8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58"/>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58"/>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58"/>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5"/>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00" w:right="200" w:hanging="454"/>
        <w:spacing w:after="0" w:line="259" w:lineRule="auto"/>
        <w:tabs>
          <w:tab w:leader="none" w:pos="80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Because the Company incurred a loss from continuing operations in 2007, 2006 and 2005, outstanding stock options, restricted stock units and stock warrants are anti-dilutive. Accordingly, basic and diluted weighted average shares outstanding are equal for such periods.</w:t>
      </w:r>
    </w:p>
    <w:p>
      <w:pPr>
        <w:spacing w:after="0" w:line="120" w:lineRule="exact"/>
        <w:rPr>
          <w:sz w:val="20"/>
          <w:szCs w:val="20"/>
          <w:color w:val="auto"/>
        </w:rPr>
      </w:pPr>
    </w:p>
    <w:p>
      <w:pPr>
        <w:ind w:left="360" w:right="10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outstanding common stock equivalents that were anti-dilutive and therefore excluded from the computation of diluted EPS: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74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92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 w:type="dxa"/>
            <w:vAlign w:val="bottom"/>
          </w:tcPr>
          <w:p>
            <w:pPr>
              <w:spacing w:after="0"/>
              <w:rPr>
                <w:sz w:val="18"/>
                <w:szCs w:val="18"/>
                <w:color w:val="auto"/>
              </w:rPr>
            </w:pPr>
          </w:p>
        </w:tc>
      </w:tr>
      <w:tr>
        <w:trPr>
          <w:trHeight w:val="195"/>
        </w:trPr>
        <w:tc>
          <w:tcPr>
            <w:tcW w:w="7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Options </w:t>
            </w:r>
            <w:r>
              <w:rPr>
                <w:rFonts w:ascii="Times New Roman" w:cs="Times New Roman" w:eastAsia="Times New Roman" w:hAnsi="Times New Roman"/>
                <w:sz w:val="22"/>
                <w:szCs w:val="22"/>
                <w:color w:val="auto"/>
                <w:vertAlign w:val="superscript"/>
              </w:rPr>
              <w:t>(a)</w:t>
            </w: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6.0</w:t>
            </w:r>
          </w:p>
        </w:tc>
        <w:tc>
          <w:tcPr>
            <w:tcW w:w="90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11.0</w:t>
            </w:r>
          </w:p>
        </w:tc>
        <w:tc>
          <w:tcPr>
            <w:tcW w:w="92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6"/>
                <w:szCs w:val="16"/>
                <w:color w:val="auto"/>
              </w:rPr>
            </w:pPr>
          </w:p>
        </w:tc>
      </w:tr>
      <w:tr>
        <w:trPr>
          <w:trHeight w:val="30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2"/>
                <w:szCs w:val="22"/>
                <w:color w:val="auto"/>
                <w:vertAlign w:val="superscript"/>
              </w:rPr>
              <w:t>(b)</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5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45720</wp:posOffset>
            </wp:positionV>
            <wp:extent cx="643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75" w:lineRule="exact"/>
        <w:rPr>
          <w:sz w:val="20"/>
          <w:szCs w:val="20"/>
          <w:color w:val="auto"/>
        </w:rPr>
      </w:pPr>
    </w:p>
    <w:p>
      <w:pPr>
        <w:ind w:left="800" w:hanging="454"/>
        <w:spacing w:after="0"/>
        <w:tabs>
          <w:tab w:leader="none" w:pos="800" w:val="left"/>
        </w:tabs>
        <w:numPr>
          <w:ilvl w:val="1"/>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all outstanding stock options for 2007, 2006 and 2005.</w:t>
      </w:r>
    </w:p>
    <w:p>
      <w:pPr>
        <w:ind w:left="800" w:hanging="454"/>
        <w:spacing w:after="0"/>
        <w:tabs>
          <w:tab w:leader="none" w:pos="800" w:val="left"/>
        </w:tabs>
        <w:numPr>
          <w:ilvl w:val="1"/>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all outstanding warrants for 2007, 2006 and 2005, for which the weighted average exercise price is $21.31.</w:t>
      </w:r>
    </w:p>
    <w:p>
      <w:pPr>
        <w:spacing w:after="0" w:line="176" w:lineRule="exact"/>
        <w:rPr>
          <w:rFonts w:ascii="Times New Roman" w:cs="Times New Roman" w:eastAsia="Times New Roman" w:hAnsi="Times New Roman"/>
          <w:sz w:val="11"/>
          <w:szCs w:val="11"/>
          <w:color w:val="auto"/>
        </w:rPr>
      </w:pPr>
    </w:p>
    <w:p>
      <w:pPr>
        <w:ind w:left="360" w:right="9360" w:hanging="352"/>
        <w:spacing w:after="0" w:line="494" w:lineRule="auto"/>
        <w:tabs>
          <w:tab w:leader="none" w:pos="355"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Restructuring Charges </w:t>
      </w:r>
      <w:r>
        <w:rPr>
          <w:rFonts w:ascii="Times New Roman" w:cs="Times New Roman" w:eastAsia="Times New Roman" w:hAnsi="Times New Roman"/>
          <w:sz w:val="16"/>
          <w:szCs w:val="16"/>
          <w:b w:val="1"/>
          <w:bCs w:val="1"/>
          <w:i w:val="1"/>
          <w:iCs w:val="1"/>
          <w:color w:val="auto"/>
        </w:rPr>
        <w:t>2006 Restructuring</w:t>
      </w:r>
    </w:p>
    <w:p>
      <w:pPr>
        <w:ind w:left="360" w:right="20"/>
        <w:spacing w:after="0" w:line="29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fourth quarter 2006, the Company committed to various strategic initiatives targeted principally at reducing costs, enhancing organizational efficiency and consolidating and rationalizing existing processes and facilities within its Budget Truck Rental and Domestic Car Rental operations. The more significant areas of cost reduction included the closure of the Budget Truck Rental headquarters and other facilities and reductions in staff. The Company recorded $8 million of restructuring charges in connection with these initiatives, of which $6 million and $2 million was incurred within the Company’s Truck Rental and Domestic Car Operations, respectively. As of December 31, 2007, there are no liabilities relating to the 2006 restructuring charges.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2005 Restructuring</w:t>
      </w:r>
    </w:p>
    <w:p>
      <w:pPr>
        <w:spacing w:after="0" w:line="175"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In 2005, the Company recorded $26 million of restructuring charges as a result of activities undertaken following the PHH spin-off and the initial public offering of Wright Express. The restructuring activities were targeted principally at reducing costs, enhancing organizational efficiency and consolidating and rationalizing existing processes and facilities. The more significant areas of cost reduction included the closure of a call center and field locations of the Company’s Truck Rental business and reductions in staff within the Company’s corporate functions. The initial charge recorded in the Company’s Corporate and Other, Truck Rental and Domestic Car Rental segments amounted to $19 million, $5 million and $2 million, respectively. During fourth quarter 2006, the Company recorded a $2 million charge representing a revision to its original estimate of costs to exit a lease in connection with the closure of a truck rental facility in first quarter 2005. As of December 31, 2007, there is a remaining liability of $2 million, primarily relating to obligations under terminated leases.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initial recognition of the restructuring charges and the corresponding utilization from inception are summarized by category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Personnel</w:t>
            </w:r>
          </w:p>
        </w:tc>
        <w:tc>
          <w:tcPr>
            <w:tcW w:w="3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3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7"/>
              </w:rPr>
              <w:t>Total</w:t>
            </w:r>
          </w:p>
        </w:tc>
      </w:tr>
      <w:tr>
        <w:trPr>
          <w:trHeight w:val="197"/>
        </w:trPr>
        <w:tc>
          <w:tcPr>
            <w:tcW w:w="3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2005</w:t>
            </w:r>
          </w:p>
        </w:tc>
        <w:tc>
          <w:tcPr>
            <w:tcW w:w="5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8"/>
                <w:szCs w:val="18"/>
                <w:color w:val="auto"/>
              </w:rPr>
              <w:t>Restructuring initial charge</w:t>
            </w: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7"/>
                <w:szCs w:val="17"/>
                <w:color w:val="auto"/>
              </w:rPr>
            </w:pPr>
          </w:p>
        </w:tc>
      </w:tr>
      <w:tr>
        <w:trPr>
          <w:trHeight w:val="216"/>
        </w:trPr>
        <w:tc>
          <w:tcPr>
            <w:tcW w:w="61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Cash payment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160" w:type="dxa"/>
            <w:vAlign w:val="bottom"/>
            <w:gridSpan w:val="4"/>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reductions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2"/>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as of December 31, 2005</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r>
      <w:tr>
        <w:trPr>
          <w:trHeight w:val="31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2005</w:t>
            </w: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2006</w:t>
            </w:r>
          </w:p>
        </w:tc>
        <w:tc>
          <w:tcPr>
            <w:tcW w:w="57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initial charge </w:t>
            </w:r>
            <w:r>
              <w:rPr>
                <w:rFonts w:ascii="Times New Roman" w:cs="Times New Roman" w:eastAsia="Times New Roman" w:hAnsi="Times New Roman"/>
                <w:sz w:val="22"/>
                <w:szCs w:val="22"/>
                <w:color w:val="auto"/>
                <w:vertAlign w:val="superscript"/>
              </w:rPr>
              <w:t>(b)</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2005</w:t>
            </w: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2006</w:t>
            </w: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as of December 31, 2006</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31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2005</w:t>
            </w: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2006</w:t>
            </w: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as of December 31, 2007</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121" w:lineRule="exact"/>
        <w:rPr>
          <w:sz w:val="20"/>
          <w:szCs w:val="20"/>
          <w:color w:val="auto"/>
        </w:rPr>
      </w:pPr>
    </w:p>
    <w:p>
      <w:pPr>
        <w:ind w:left="800" w:right="520" w:hanging="454"/>
        <w:spacing w:after="0" w:line="230" w:lineRule="auto"/>
        <w:tabs>
          <w:tab w:leader="none" w:pos="80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Other reductions to charges recorded for personnel-related costs represents the accelerated vesting of restricted stock units previously granted to individuals who were terminated and write-offs of leasehold improvements in connection with lease terminations.</w:t>
      </w:r>
    </w:p>
    <w:p>
      <w:pPr>
        <w:spacing w:after="0" w:line="1" w:lineRule="exact"/>
        <w:rPr>
          <w:rFonts w:ascii="Times New Roman" w:cs="Times New Roman" w:eastAsia="Times New Roman" w:hAnsi="Times New Roman"/>
          <w:sz w:val="11"/>
          <w:szCs w:val="11"/>
          <w:color w:val="auto"/>
        </w:rPr>
      </w:pPr>
    </w:p>
    <w:p>
      <w:pPr>
        <w:ind w:left="800" w:right="40" w:hanging="454"/>
        <w:spacing w:after="0" w:line="236" w:lineRule="auto"/>
        <w:tabs>
          <w:tab w:leader="none" w:pos="80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initial charge primarily represents severance benefits resulting from reductions in staff and costs incurred in connection with facility closures and lease obligations resulting from the closure of the Truck Rental headquarters, consolidation of Truck Rental operations and the closure of other facilities within the Company’s Domestic Car Rental operations. Prior to December 31, 2006, the Company formally communicated the termination of employment to approximately 180 employees, representing a wide range of employee groups. As of December 31, 2007, the Company had terminated substantially all of these employees.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segment restructuring charges are recorded as follows: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4"/>
        </w:trPr>
        <w:tc>
          <w:tcPr>
            <w:tcW w:w="3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Truck</w:t>
            </w:r>
          </w:p>
        </w:tc>
        <w:tc>
          <w:tcPr>
            <w:tcW w:w="3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4"/>
              </w:rPr>
              <w:t>Rental</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7"/>
              </w:rPr>
              <w:t>Total</w:t>
            </w:r>
          </w:p>
        </w:tc>
      </w:tr>
      <w:tr>
        <w:trPr>
          <w:trHeight w:val="197"/>
        </w:trPr>
        <w:tc>
          <w:tcPr>
            <w:tcW w:w="3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9"/>
              </w:rPr>
              <w:t>2005</w:t>
            </w:r>
          </w:p>
        </w:tc>
        <w:tc>
          <w:tcPr>
            <w:tcW w:w="62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Restructuring initial charge</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7"/>
                <w:szCs w:val="17"/>
                <w:color w:val="auto"/>
              </w:rPr>
            </w:pPr>
          </w:p>
        </w:tc>
        <w:tc>
          <w:tcPr>
            <w:tcW w:w="3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7"/>
                <w:szCs w:val="17"/>
                <w:color w:val="auto"/>
              </w:rPr>
            </w:pPr>
          </w:p>
        </w:tc>
      </w:tr>
      <w:tr>
        <w:trPr>
          <w:trHeight w:val="228"/>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payment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2005</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r>
      <w:tr>
        <w:trPr>
          <w:trHeight w:val="31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2005</w:t>
            </w: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2006</w:t>
            </w: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initial charge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2005</w:t>
            </w: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2006</w:t>
            </w: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2006</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31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2005</w:t>
            </w: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2006</w:t>
            </w: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cash payment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2007</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Franchising Activities</w:t>
      </w:r>
    </w:p>
    <w:p>
      <w:pPr>
        <w:spacing w:after="0" w:line="173" w:lineRule="exact"/>
        <w:rPr>
          <w:rFonts w:ascii="Times New Roman" w:cs="Times New Roman" w:eastAsia="Times New Roman" w:hAnsi="Times New Roman"/>
          <w:sz w:val="18"/>
          <w:szCs w:val="18"/>
          <w:b w:val="1"/>
          <w:bCs w:val="1"/>
          <w:color w:val="auto"/>
        </w:rPr>
      </w:pPr>
    </w:p>
    <w:p>
      <w:pPr>
        <w:ind w:left="360" w:right="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Franchising revenues, which are recorded within other revenues on the accompanying Consolidated Statements of Operations, amounted to $36 million, $37 million and $39 million during 2007, 2006 and 2005, respectively.</w:t>
      </w:r>
    </w:p>
    <w:p>
      <w:pPr>
        <w:spacing w:after="0" w:line="119" w:lineRule="exact"/>
        <w:rPr>
          <w:rFonts w:ascii="Times New Roman" w:cs="Times New Roman" w:eastAsia="Times New Roman" w:hAnsi="Times New Roman"/>
          <w:sz w:val="18"/>
          <w:szCs w:val="18"/>
          <w:b w:val="1"/>
          <w:bCs w:val="1"/>
          <w:color w:val="auto"/>
        </w:rPr>
      </w:pPr>
    </w:p>
    <w:p>
      <w:pPr>
        <w:ind w:left="360" w:right="4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Company-owned and franchised outlets in operation (excluding independent commissioned dealer locations for the Budget truck rental business and Avis and Budget locations operated by or through Avis Europe Holdings, Limited, an independent third party)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Company-owned</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2006</w:t>
            </w:r>
          </w:p>
        </w:tc>
        <w:tc>
          <w:tcPr>
            <w:tcW w:w="5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0" w:type="dxa"/>
            <w:vAlign w:val="bottom"/>
          </w:tcPr>
          <w:p>
            <w:pPr>
              <w:spacing w:after="0"/>
              <w:rPr>
                <w:sz w:val="1"/>
                <w:szCs w:val="1"/>
                <w:color w:val="auto"/>
              </w:rPr>
            </w:pPr>
          </w:p>
        </w:tc>
      </w:tr>
      <w:tr>
        <w:trPr>
          <w:trHeight w:val="195"/>
        </w:trPr>
        <w:tc>
          <w:tcPr>
            <w:tcW w:w="8200" w:type="dxa"/>
            <w:vAlign w:val="bottom"/>
            <w:vMerge w:val="continue"/>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Avis brand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1,335</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1,268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8"/>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Budget brand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951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312"/>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Franchised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Avis brand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847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8"/>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Budget brand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60" w:right="60"/>
        <w:spacing w:after="0" w:line="275" w:lineRule="auto"/>
        <w:rPr>
          <w:sz w:val="20"/>
          <w:szCs w:val="20"/>
          <w:color w:val="auto"/>
        </w:rPr>
      </w:pPr>
      <w:r>
        <w:rPr>
          <w:rFonts w:ascii="Times New Roman" w:cs="Times New Roman" w:eastAsia="Times New Roman" w:hAnsi="Times New Roman"/>
          <w:sz w:val="18"/>
          <w:szCs w:val="18"/>
          <w:color w:val="auto"/>
        </w:rPr>
        <w:t>In connection with ongoing fees the Company receives from its franchisees pursuant to the franchise agreements, the Company is required to provide certain services, such as training, marketing and the operation of reservation systems.</w:t>
      </w:r>
    </w:p>
    <w:p>
      <w:pPr>
        <w:spacing w:after="0" w:line="158"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3" w:lineRule="exact"/>
        <w:rPr>
          <w:rFonts w:ascii="Times New Roman" w:cs="Times New Roman" w:eastAsia="Times New Roman" w:hAnsi="Times New Roman"/>
          <w:sz w:val="18"/>
          <w:szCs w:val="18"/>
          <w:b w:val="1"/>
          <w:bCs w:val="1"/>
          <w:color w:val="auto"/>
        </w:rPr>
      </w:pPr>
    </w:p>
    <w:p>
      <w:pPr>
        <w:ind w:left="3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acquired and liabilities assumed in business combinations were recorded on the Company’s Consolidated Balance Sheets as of the respective acquisition dates based upon their estimated fair values at such dates. The results of operations of businesses acquired by the Company have been included in the Company’s Consolidated Statements of Operations since their respective dates of acquisition. The excess of the purchase price over the estimated fair values of the underlying assets acquired and liabilities assumed was allocated to goodwill. In certain circumstances, the allocations of the excess purchase price are based upon preliminary estimates and assumptions. Accordingly, the allocations may be subject to revision when the Company receives final information, including appraisals and other analyses. Any revisions to the fair values will be recorded by the Company as further adjustments to the purchase price allocations.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80"/>
        <w:spacing w:after="0" w:line="255" w:lineRule="auto"/>
        <w:rPr>
          <w:sz w:val="20"/>
          <w:szCs w:val="20"/>
          <w:color w:val="auto"/>
        </w:rPr>
      </w:pPr>
      <w:r>
        <w:rPr>
          <w:rFonts w:ascii="Times New Roman" w:cs="Times New Roman" w:eastAsia="Times New Roman" w:hAnsi="Times New Roman"/>
          <w:sz w:val="18"/>
          <w:szCs w:val="18"/>
          <w:color w:val="auto"/>
        </w:rPr>
        <w:t>During 2007, the Company acquired 13 vehicle rental franchisees for $10 million in cash, resulting in trademark intangible assets of $11 million. During 2006, the Company acquired 19 vehicle rental franchisees for $20 million in cash, resulting in trademark intangible assets of $17 million. During 2005, the Company acquired 23 vehicle rental franchisees for $206 million in cash, resulting in trademark intangible assets of $88 million and goodwill of $6 million, none of which is expected to be deductible for tax purposes. These acquisitions, which for 2007 and 2006 relate primarily to the Company’s Domestic Car Rental segment and for 2005 relate primarily to the Company’s International Car Rental segment, were not significant individually or in the aggregate to the Company’s results of operations, financial position or cash flows.</w:t>
      </w:r>
    </w:p>
    <w:p>
      <w:pPr>
        <w:spacing w:after="0" w:line="139"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8"/>
          <w:szCs w:val="18"/>
          <w:color w:val="auto"/>
        </w:rPr>
        <w:t>The Company acquired approximately 48% of the equity in Carey Holdings, Inc., the parent of Carey International, Inc., on October 23, 2007 (see Note 13— Equity Investment).</w:t>
      </w:r>
    </w:p>
    <w:p>
      <w:pPr>
        <w:spacing w:after="0" w:line="158"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consisted of: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2007</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2006</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2"/>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32"/>
              <w:spacing w:after="0" w:line="195" w:lineRule="exact"/>
              <w:rPr>
                <w:sz w:val="20"/>
                <w:szCs w:val="20"/>
                <w:color w:val="auto"/>
              </w:rPr>
            </w:pPr>
            <w:r>
              <w:rPr>
                <w:rFonts w:ascii="Times New Roman" w:cs="Times New Roman" w:eastAsia="Times New Roman" w:hAnsi="Times New Roman"/>
                <w:sz w:val="18"/>
                <w:szCs w:val="18"/>
                <w:b w:val="1"/>
                <w:bCs w:val="1"/>
                <w:color w:val="auto"/>
              </w:rPr>
              <w:t>Net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180"/>
              <w:spacing w:after="0" w:line="19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32"/>
              <w:spacing w:after="0" w:line="195"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56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Carrying</w:t>
            </w:r>
          </w:p>
        </w:tc>
        <w:tc>
          <w:tcPr>
            <w:tcW w:w="56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5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1"/>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Amortized Intangible Assets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60" w:type="dxa"/>
            <w:vAlign w:val="bottom"/>
          </w:tcPr>
          <w:p>
            <w:pPr>
              <w:spacing w:after="0"/>
              <w:rPr>
                <w:sz w:val="20"/>
                <w:szCs w:val="20"/>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5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96"/>
        </w:trPr>
        <w:tc>
          <w:tcPr>
            <w:tcW w:w="3740" w:type="dxa"/>
            <w:vAlign w:val="bottom"/>
            <w:gridSpan w:val="3"/>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Franchise agreements </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Customer lists </w:t>
            </w:r>
            <w:r>
              <w:rPr>
                <w:rFonts w:ascii="Times New Roman" w:cs="Times New Roman" w:eastAsia="Times New Roman" w:hAnsi="Times New Roman"/>
                <w:sz w:val="22"/>
                <w:szCs w:val="22"/>
                <w:color w:val="auto"/>
                <w:vertAlign w:val="superscript"/>
              </w:rPr>
              <w:t>(b)</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(c)</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Unamortized Intangible Assets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Trademarks </w:t>
            </w:r>
            <w:r>
              <w:rPr>
                <w:rFonts w:ascii="Times New Roman" w:cs="Times New Roman" w:eastAsia="Times New Roman" w:hAnsi="Times New Roman"/>
                <w:sz w:val="22"/>
                <w:szCs w:val="22"/>
                <w:color w:val="auto"/>
                <w:vertAlign w:val="superscript"/>
              </w:rPr>
              <w:t>(d)</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40" w:type="dxa"/>
            <w:vAlign w:val="bottom"/>
            <w:gridSpan w:val="3"/>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454"/>
        <w:spacing w:after="0"/>
        <w:tabs>
          <w:tab w:leader="none" w:pos="8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amortized over a period ranging from 25 to 40 years.</w:t>
      </w:r>
    </w:p>
    <w:p>
      <w:pPr>
        <w:ind w:left="800" w:hanging="454"/>
        <w:spacing w:after="0" w:line="203" w:lineRule="auto"/>
        <w:tabs>
          <w:tab w:leader="none" w:pos="8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amortized over 20 years.</w:t>
      </w:r>
    </w:p>
    <w:p>
      <w:pPr>
        <w:ind w:left="800" w:hanging="454"/>
        <w:spacing w:after="0" w:line="203" w:lineRule="auto"/>
        <w:tabs>
          <w:tab w:leader="none" w:pos="8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Primarily amortized over 27 years.</w:t>
      </w:r>
    </w:p>
    <w:p>
      <w:pPr>
        <w:ind w:left="800" w:right="220" w:hanging="454"/>
        <w:spacing w:after="0" w:line="238" w:lineRule="auto"/>
        <w:tabs>
          <w:tab w:leader="none" w:pos="80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Comprised of various tradenames (including the Avis and Budget tradenames) that the Company has acquired and which distinguish the Company’s consumer services. These tradenames are expected to generate future cash flows for an indefinite period of time.</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2007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 Goodwill</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Balance at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Acquired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Balance at</w:t>
            </w: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January 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during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w w:val="97"/>
              </w:rPr>
              <w:t>Goodwill</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2"/>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32"/>
              <w:spacing w:after="0" w:line="232" w:lineRule="exact"/>
              <w:rPr>
                <w:sz w:val="20"/>
                <w:szCs w:val="20"/>
                <w:color w:val="auto"/>
              </w:rPr>
            </w:pPr>
            <w:r>
              <w:rPr>
                <w:rFonts w:ascii="Times New Roman" w:cs="Times New Roman" w:eastAsia="Times New Roman" w:hAnsi="Times New Roman"/>
                <w:sz w:val="18"/>
                <w:szCs w:val="18"/>
                <w:b w:val="1"/>
                <w:bCs w:val="1"/>
                <w:color w:val="auto"/>
                <w:w w:val="90"/>
              </w:rPr>
              <w:t xml:space="preserve">2007 </w:t>
            </w:r>
            <w:r>
              <w:rPr>
                <w:rFonts w:ascii="Times New Roman" w:cs="Times New Roman" w:eastAsia="Times New Roman" w:hAnsi="Times New Roman"/>
                <w:sz w:val="22"/>
                <w:szCs w:val="22"/>
                <w:b w:val="1"/>
                <w:bCs w:val="1"/>
                <w:color w:val="auto"/>
                <w:w w:val="90"/>
                <w:vertAlign w:val="superscript"/>
              </w:rPr>
              <w:t>(a)</w:t>
            </w:r>
          </w:p>
        </w:tc>
        <w:tc>
          <w:tcPr>
            <w:tcW w:w="78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00" w:type="dxa"/>
            <w:vAlign w:val="bottom"/>
          </w:tcPr>
          <w:p>
            <w:pPr>
              <w:spacing w:after="0"/>
              <w:rPr>
                <w:sz w:val="20"/>
                <w:szCs w:val="20"/>
                <w:color w:val="auto"/>
              </w:rPr>
            </w:pP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20"/>
                <w:szCs w:val="20"/>
                <w:color w:val="auto"/>
              </w:rPr>
            </w:pPr>
          </w:p>
        </w:tc>
      </w:tr>
      <w:tr>
        <w:trPr>
          <w:trHeight w:val="195"/>
        </w:trPr>
        <w:tc>
          <w:tcPr>
            <w:tcW w:w="52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Domestic Car Rental</w:t>
            </w:r>
          </w:p>
        </w:tc>
        <w:tc>
          <w:tcPr>
            <w:tcW w:w="1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1,355</w:t>
            </w:r>
          </w:p>
        </w:tc>
        <w:tc>
          <w:tcPr>
            <w:tcW w:w="7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(786)</w:t>
            </w:r>
          </w:p>
        </w:tc>
        <w:tc>
          <w:tcPr>
            <w:tcW w:w="86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16"/>
                <w:szCs w:val="16"/>
                <w:color w:val="auto"/>
              </w:rPr>
            </w:pP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 Car Rental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r>
      <w:tr>
        <w:trPr>
          <w:trHeight w:val="22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Truck Rental</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21" w:lineRule="exact"/>
        <w:rPr>
          <w:sz w:val="20"/>
          <w:szCs w:val="20"/>
          <w:color w:val="auto"/>
        </w:rPr>
      </w:pPr>
    </w:p>
    <w:p>
      <w:pPr>
        <w:ind w:left="800" w:hanging="454"/>
        <w:spacing w:after="0"/>
        <w:tabs>
          <w:tab w:leader="none" w:pos="80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adjustment in goodwill was primarily due to fluctuations in foreign currency.</w:t>
      </w:r>
    </w:p>
    <w:p>
      <w:pPr>
        <w:spacing w:after="0" w:line="158" w:lineRule="exact"/>
        <w:rPr>
          <w:sz w:val="20"/>
          <w:szCs w:val="20"/>
          <w:color w:val="auto"/>
        </w:rPr>
      </w:pPr>
    </w:p>
    <w:p>
      <w:pPr>
        <w:ind w:left="360" w:right="120"/>
        <w:spacing w:after="0" w:line="275" w:lineRule="auto"/>
        <w:rPr>
          <w:sz w:val="20"/>
          <w:szCs w:val="20"/>
          <w:color w:val="auto"/>
        </w:rPr>
      </w:pPr>
      <w:r>
        <w:rPr>
          <w:rFonts w:ascii="Times New Roman" w:cs="Times New Roman" w:eastAsia="Times New Roman" w:hAnsi="Times New Roman"/>
          <w:sz w:val="18"/>
          <w:szCs w:val="18"/>
          <w:color w:val="auto"/>
        </w:rPr>
        <w:t>During the Company’s annual assessment of goodwill and other indefinite-lived assets for impairment, it was determined that impairment had occurred (see Note 2—Summary of Significant Accounting Policies).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 relating to all intangible assets was as follows: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72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72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 w:type="dxa"/>
            <w:vAlign w:val="bottom"/>
          </w:tcPr>
          <w:p>
            <w:pPr>
              <w:spacing w:after="0"/>
              <w:rPr>
                <w:sz w:val="18"/>
                <w:szCs w:val="18"/>
                <w:color w:val="auto"/>
              </w:rPr>
            </w:pPr>
          </w:p>
        </w:tc>
      </w:tr>
      <w:tr>
        <w:trPr>
          <w:trHeight w:val="195"/>
        </w:trPr>
        <w:tc>
          <w:tcPr>
            <w:tcW w:w="7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Franchise agreements</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6"/>
                <w:szCs w:val="16"/>
                <w:color w:val="auto"/>
              </w:rPr>
            </w:pPr>
          </w:p>
        </w:tc>
      </w:tr>
      <w:tr>
        <w:trPr>
          <w:trHeight w:val="228"/>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120"/>
        <w:spacing w:after="0" w:line="275" w:lineRule="auto"/>
        <w:rPr>
          <w:sz w:val="20"/>
          <w:szCs w:val="20"/>
          <w:color w:val="auto"/>
        </w:rPr>
      </w:pPr>
      <w:r>
        <w:rPr>
          <w:rFonts w:ascii="Times New Roman" w:cs="Times New Roman" w:eastAsia="Times New Roman" w:hAnsi="Times New Roman"/>
          <w:sz w:val="18"/>
          <w:szCs w:val="18"/>
          <w:color w:val="auto"/>
        </w:rPr>
        <w:t>Based on the Company’s amortizable intangible assets at December 31, 2007, the Company expects related amortization expense to approximate $3 million for each of the five succeeding fiscal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Vehicle Rental Activities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components of vehicles, net within assets under vehicle programs are as follows: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Rental vehicles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7,947</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7,738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6,925</w:t>
            </w: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Vehicles held for sale</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Vehicles, net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7,474</w:t>
            </w:r>
          </w:p>
        </w:tc>
        <w:tc>
          <w:tcPr>
            <w:tcW w:w="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 components of vehicle depreciation and lease charges, net are summarized below:</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1,565</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1,362</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Lease charges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sales of vehicles, net</w:t>
            </w: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20"/>
        <w:spacing w:after="0" w:line="310" w:lineRule="auto"/>
        <w:rPr>
          <w:sz w:val="20"/>
          <w:szCs w:val="20"/>
          <w:color w:val="auto"/>
        </w:rPr>
      </w:pPr>
      <w:r>
        <w:rPr>
          <w:rFonts w:ascii="Times New Roman" w:cs="Times New Roman" w:eastAsia="Times New Roman" w:hAnsi="Times New Roman"/>
          <w:sz w:val="16"/>
          <w:szCs w:val="16"/>
          <w:color w:val="auto"/>
        </w:rPr>
        <w:t>During 2007, and 2006, vehicle interest, net on the accompanying Consolidated Statements of Operations excludes $141 million and $101 million, respectively, of interest expense related to the fixed and floating rate borrowings of the Company’s Avis Budget Car Rental, LLC (“Avis Budget Car Rental”) subsidiary. Such interest is recorded within interest expense related to corporate debt, net on the accompanying Consolidated Statements of Operations.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income tax provision (benefit) consists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0" w:type="dxa"/>
            <w:vAlign w:val="bottom"/>
          </w:tcPr>
          <w:p>
            <w:pPr>
              <w:spacing w:after="0"/>
              <w:rPr>
                <w:sz w:val="18"/>
                <w:szCs w:val="18"/>
                <w:color w:val="auto"/>
              </w:rPr>
            </w:pPr>
          </w:p>
        </w:tc>
        <w:tc>
          <w:tcPr>
            <w:tcW w:w="70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818"/>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81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8"/>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960" w:type="dxa"/>
            <w:vAlign w:val="bottom"/>
            <w:gridSpan w:val="2"/>
          </w:tcPr>
          <w:p>
            <w:pPr>
              <w:jc w:val="right"/>
              <w:ind w:right="8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Pretax income (loss) for domestic and foreign operations consists of the following:</w:t>
            </w: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Domestic</w:t>
            </w:r>
          </w:p>
        </w:tc>
        <w:tc>
          <w:tcPr>
            <w:tcW w:w="700" w:type="dxa"/>
            <w:vAlign w:val="bottom"/>
            <w:gridSpan w:val="2"/>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(756)</w:t>
            </w:r>
          </w:p>
        </w:tc>
        <w:tc>
          <w:tcPr>
            <w:tcW w:w="9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Pretax loss</w:t>
            </w:r>
          </w:p>
        </w:tc>
        <w:tc>
          <w:tcPr>
            <w:tcW w:w="70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F-28</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and non-current deferred income tax assets and liabilities are comprised of the following: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Current deferred income tax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80" w:type="dxa"/>
            <w:vAlign w:val="bottom"/>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22"/>
                <w:szCs w:val="22"/>
                <w:color w:val="auto"/>
                <w:vertAlign w:val="superscript"/>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deferred income tax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Current deferred income tax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deferred income tax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net deferred income tax asset</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Non-current deferred income tax assets: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tax loss carryforwards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Tax credit carryforward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Unrealized hedge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Valuation allowance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income tax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Non-current deferred income tax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income tax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net deferred income tax asset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00" w:right="500" w:hanging="454"/>
        <w:spacing w:after="0" w:line="247" w:lineRule="auto"/>
        <w:tabs>
          <w:tab w:leader="none" w:pos="800"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valuation allowance of $137 million at December 31, 2007, primarily relates to tax loss carryforwards, foreign tax credits and certain state deferred tax assets of $100 million, $32 million and $5 million, respectively. The valuation allowance will be reduced when and if the Company determines that the related deferred income tax assets are more likely than not to be realized.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income tax assets and liabilities related to the vehicle programs are comprised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48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18"/>
                <w:szCs w:val="18"/>
                <w:color w:val="auto"/>
              </w:rPr>
            </w:pPr>
          </w:p>
        </w:tc>
      </w:tr>
      <w:tr>
        <w:trPr>
          <w:trHeight w:val="195"/>
        </w:trPr>
        <w:tc>
          <w:tcPr>
            <w:tcW w:w="48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Deferred income tax assets:</w:t>
            </w:r>
          </w:p>
        </w:tc>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hedge loss</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1,205</w:t>
            </w: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8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tcPr>
          <w:p>
            <w:pPr>
              <w:spacing w:after="0"/>
              <w:rPr>
                <w:sz w:val="19"/>
                <w:szCs w:val="19"/>
                <w:color w:val="auto"/>
              </w:rPr>
            </w:pPr>
          </w:p>
        </w:tc>
      </w:tr>
      <w:tr>
        <w:trPr>
          <w:trHeight w:val="22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liabilities under vehicle programs</w:t>
            </w:r>
          </w:p>
        </w:tc>
        <w:tc>
          <w:tcPr>
            <w:tcW w:w="4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4820" w:type="dxa"/>
            <w:vAlign w:val="bottom"/>
          </w:tcPr>
          <w:p>
            <w:pPr>
              <w:spacing w:after="0"/>
              <w:rPr>
                <w:sz w:val="24"/>
                <w:szCs w:val="24"/>
                <w:color w:val="auto"/>
              </w:rPr>
            </w:pPr>
          </w:p>
        </w:tc>
        <w:tc>
          <w:tcPr>
            <w:tcW w:w="4680" w:type="dxa"/>
            <w:vAlign w:val="bottom"/>
            <w:gridSpan w:val="2"/>
          </w:tcPr>
          <w:p>
            <w:pPr>
              <w:jc w:val="right"/>
              <w:ind w:right="3532"/>
              <w:spacing w:after="0"/>
              <w:rPr>
                <w:sz w:val="20"/>
                <w:szCs w:val="20"/>
                <w:color w:val="auto"/>
              </w:rPr>
            </w:pPr>
            <w:r>
              <w:rPr>
                <w:rFonts w:ascii="Times New Roman" w:cs="Times New Roman" w:eastAsia="Times New Roman" w:hAnsi="Times New Roman"/>
                <w:sz w:val="18"/>
                <w:szCs w:val="18"/>
                <w:color w:val="auto"/>
              </w:rPr>
              <w:t>F-29</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60"/>
        <w:spacing w:after="0" w:line="256" w:lineRule="auto"/>
        <w:rPr>
          <w:sz w:val="20"/>
          <w:szCs w:val="20"/>
          <w:color w:val="auto"/>
        </w:rPr>
      </w:pPr>
      <w:r>
        <w:rPr>
          <w:rFonts w:ascii="Times New Roman" w:cs="Times New Roman" w:eastAsia="Times New Roman" w:hAnsi="Times New Roman"/>
          <w:sz w:val="18"/>
          <w:szCs w:val="18"/>
          <w:color w:val="auto"/>
        </w:rPr>
        <w:t>As of December 31, 2007, the Company had federal net operating loss carryforwards of approximately $173 million (net of valuation allowances), most of which expire in 2027. No provision has been made for U.S. federal deferred income taxes on approximately $327 million of accumulated and undistributed earnings of foreign subsidiaries at December 31, 2007, since it is the present intention of management to reinvest the undistributed earnings indefinitely in those foreign operations. The determination of the amount of unrecognized U.S. federal deferred income tax liability for unremitted earnings is not practicable.</w:t>
      </w:r>
    </w:p>
    <w:p>
      <w:pPr>
        <w:spacing w:after="0" w:line="139" w:lineRule="exact"/>
        <w:rPr>
          <w:sz w:val="20"/>
          <w:szCs w:val="20"/>
          <w:color w:val="auto"/>
        </w:rPr>
      </w:pPr>
    </w:p>
    <w:p>
      <w:pPr>
        <w:ind w:left="360" w:right="100"/>
        <w:spacing w:after="0" w:line="296" w:lineRule="auto"/>
        <w:rPr>
          <w:sz w:val="20"/>
          <w:szCs w:val="20"/>
          <w:color w:val="auto"/>
        </w:rPr>
      </w:pPr>
      <w:r>
        <w:rPr>
          <w:rFonts w:ascii="Times New Roman" w:cs="Times New Roman" w:eastAsia="Times New Roman" w:hAnsi="Times New Roman"/>
          <w:sz w:val="16"/>
          <w:szCs w:val="16"/>
          <w:color w:val="auto"/>
        </w:rPr>
        <w:t>In December 2004, the FASB issued FASB Staff Position No. FAS 109-2, “Accounting and Disclosure Guidance for the Foreign Earnings Repatriation Provision within the American Jobs Creation Act of 2004”. The American Jobs Creation Act of 2004, which became effective October 22, 2004, provides a one-time dividends received deduction on the repatriation of certain foreign earnings to a U.S. taxpayer, provided certain criteria are met. The Company has applied the provisions of this act to qualifying earnings repatriations through December 31, 2005. In December 2005, the Company repatriated $350 million of unremitted earnings, resulting in income tax expense of approximately $28 million, which is reflected within discontinued operations.</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reconciliation between the U.S. federal income tax statutory rate and the Company’s effective income tax rate for continuing operations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360" w:type="dxa"/>
            <w:vAlign w:val="bottom"/>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Federal statutory rate</w:t>
            </w:r>
          </w:p>
        </w:tc>
        <w:tc>
          <w:tcPr>
            <w:tcW w:w="1040" w:type="dxa"/>
            <w:vAlign w:val="bottom"/>
            <w:gridSpan w:val="3"/>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560" w:type="dxa"/>
            <w:vAlign w:val="bottom"/>
          </w:tcPr>
          <w:p>
            <w:pPr>
              <w:spacing w:after="0"/>
              <w:rPr>
                <w:sz w:val="16"/>
                <w:szCs w:val="16"/>
                <w:color w:val="auto"/>
              </w:rPr>
            </w:pPr>
          </w:p>
        </w:tc>
        <w:tc>
          <w:tcPr>
            <w:tcW w:w="1360" w:type="dxa"/>
            <w:vAlign w:val="bottom"/>
            <w:gridSpan w:val="2"/>
          </w:tcPr>
          <w:p>
            <w:pPr>
              <w:jc w:val="right"/>
              <w:ind w:right="500"/>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to the effective rate: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on foreign operations at rates different than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statutory U.S. federal rates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Taxes on repatriated foreign income, net of tax credits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Resolution of prior years’ examination issues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6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for the year:</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3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 at January 1, 2007</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for prior years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 for tax positions for prior years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8"/>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2007</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320"/>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numerous foreign jurisdictions. Significant judgment is required in determining the Company’s worldwide provision for income taxes and recording the related assets and liabilities. In the ordinary course of business, there are many transactions and calculations where the ultimate tax determination is uncertain. The Company is regularly under audit by tax authorities. Accruals for tax contingencies are provided for in accordance with the requirements of FIN 48.</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60"/>
        <w:spacing w:after="0" w:line="258" w:lineRule="auto"/>
        <w:rPr>
          <w:sz w:val="20"/>
          <w:szCs w:val="20"/>
          <w:color w:val="auto"/>
        </w:rPr>
      </w:pPr>
      <w:r>
        <w:rPr>
          <w:rFonts w:ascii="Times New Roman" w:cs="Times New Roman" w:eastAsia="Times New Roman" w:hAnsi="Times New Roman"/>
          <w:sz w:val="18"/>
          <w:szCs w:val="18"/>
          <w:color w:val="auto"/>
        </w:rPr>
        <w:t>Pursuant to the Tax Sharing Agreement and the Separation Agreement, the Company is entitled to indemnification for non-Avis Budget Car Rental tax contingencies. The company believes that its accruals for tax liabilities, including the indemnified liabilities outlined in the Tax Sharing Agreement and the Separation Agreement, are adequate for all remaining open years, based on its assessment of many factors, including past experience and interpretations of tax law applied to the facts of each matter.</w:t>
      </w:r>
    </w:p>
    <w:p>
      <w:pPr>
        <w:spacing w:after="0" w:line="136" w:lineRule="exact"/>
        <w:rPr>
          <w:sz w:val="20"/>
          <w:szCs w:val="20"/>
          <w:color w:val="auto"/>
        </w:rPr>
      </w:pPr>
    </w:p>
    <w:p>
      <w:pPr>
        <w:ind w:left="360" w:right="20"/>
        <w:spacing w:after="0" w:line="253" w:lineRule="auto"/>
        <w:rPr>
          <w:sz w:val="20"/>
          <w:szCs w:val="20"/>
          <w:color w:val="auto"/>
        </w:rPr>
      </w:pPr>
      <w:r>
        <w:rPr>
          <w:rFonts w:ascii="Times New Roman" w:cs="Times New Roman" w:eastAsia="Times New Roman" w:hAnsi="Times New Roman"/>
          <w:sz w:val="18"/>
          <w:szCs w:val="18"/>
          <w:color w:val="auto"/>
        </w:rPr>
        <w:t>The Company and the Internal Revenue Service (“IRS”) have settled the IRS examination for the Company’s taxable years 1998 through 2002. The Company was adequately reserved for this audit cycle and has reflected the results of that examination in the accompanying Consolidated Financial Statements. The IRS has begun to examine the Company’s taxable years 2003 through 2006. Although the Company believes there is appropriate support for the positions taken on its tax returns, the Company has recorded $440 million, net of federal tax benefit, for liabilities representing the best estimates of the probable loss on certain positions. The Company believes that the accruals for tax liabilities are adequate for all open years, based on assessment of many factors including past experience and interpretations of tax law applied to the facts of each matter. Although the Company believes the recorded assets and liabilities are reasonable, tax regulations are subject to interpretation and tax litigation is inherently uncertain; therefore, the Company’s assessments can involve both a series of complex judgments about future events and rely heavily on estimates and assumptions. While the Company believes that the estimates and assumptions supporting the assessments are reasonable, the final determination of tax audits and any other related litigation could be materially different than that which is reflected in historical income tax provisions and recorded assets and liabilities.</w:t>
      </w:r>
    </w:p>
    <w:p>
      <w:pPr>
        <w:spacing w:after="0" w:line="141" w:lineRule="exact"/>
        <w:rPr>
          <w:sz w:val="20"/>
          <w:szCs w:val="20"/>
          <w:color w:val="auto"/>
        </w:rPr>
      </w:pPr>
    </w:p>
    <w:p>
      <w:pPr>
        <w:ind w:left="360" w:right="200"/>
        <w:spacing w:after="0" w:line="262" w:lineRule="auto"/>
        <w:rPr>
          <w:sz w:val="20"/>
          <w:szCs w:val="20"/>
          <w:color w:val="auto"/>
        </w:rPr>
      </w:pPr>
      <w:r>
        <w:rPr>
          <w:rFonts w:ascii="Times New Roman" w:cs="Times New Roman" w:eastAsia="Times New Roman" w:hAnsi="Times New Roman"/>
          <w:sz w:val="18"/>
          <w:szCs w:val="18"/>
          <w:color w:val="auto"/>
        </w:rPr>
        <w:t>The potential results of an audit or litigation related to these matters include a range of outcomes, which may involve material amounts. However, as discussed above, the Company is entitled to indemnification for most pre-separation matters by Realogy and Wyndham and therefore does not expect such resolution to have a significant impact on its earnings, financial position or cash flows.</w:t>
      </w:r>
    </w:p>
    <w:p>
      <w:pPr>
        <w:spacing w:after="0" w:line="171"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consisted of: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18"/>
                <w:szCs w:val="18"/>
                <w:color w:val="auto"/>
              </w:rPr>
            </w:pPr>
          </w:p>
        </w:tc>
      </w:tr>
      <w:tr>
        <w:trPr>
          <w:trHeight w:val="195"/>
        </w:trPr>
        <w:tc>
          <w:tcPr>
            <w:tcW w:w="9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Receivables from Realogy </w:t>
            </w:r>
            <w:r>
              <w:rPr>
                <w:rFonts w:ascii="Times New Roman" w:cs="Times New Roman" w:eastAsia="Times New Roman" w:hAnsi="Times New Roman"/>
                <w:sz w:val="22"/>
                <w:szCs w:val="22"/>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16"/>
                <w:szCs w:val="16"/>
                <w:color w:val="auto"/>
              </w:rPr>
            </w:pPr>
          </w:p>
        </w:tc>
      </w:tr>
      <w:tr>
        <w:trPr>
          <w:trHeight w:val="216"/>
        </w:trPr>
        <w:tc>
          <w:tcPr>
            <w:tcW w:w="926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Receivables from Wyndham </w:t>
            </w:r>
            <w:r>
              <w:rPr>
                <w:rFonts w:ascii="Times New Roman" w:cs="Times New Roman" w:eastAsia="Times New Roman" w:hAnsi="Times New Roman"/>
                <w:sz w:val="22"/>
                <w:szCs w:val="22"/>
                <w:color w:val="auto"/>
                <w:vertAlign w:val="superscript"/>
              </w:rPr>
              <w:t>(a)</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21" w:lineRule="exact"/>
        <w:rPr>
          <w:sz w:val="20"/>
          <w:szCs w:val="20"/>
          <w:color w:val="auto"/>
        </w:rPr>
      </w:pPr>
    </w:p>
    <w:p>
      <w:pPr>
        <w:ind w:left="800" w:right="180" w:hanging="454"/>
        <w:spacing w:after="0" w:line="239" w:lineRule="auto"/>
        <w:tabs>
          <w:tab w:leader="none" w:pos="80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amounts due for certain contingent and other corporate liabilities assumed by Realogy and Wyndham in connection with the Cendant Separation and transition services performed under a Transition Services Agreement which was entered into at the time of the Cendant Separation. These amounts are due from Realogy and Wyndham on demand upon the Company’s settlement of the related liability. At December 31, 2007, there are corresponding liabilities recorded within accounts payable and other current liabilities. In connection with the Company’s adoption of FIN 48, receivables from Realogy and Wyndham related to income taxes were classified as non-current assets. At December 31, 2007, receivables related to tax items included in non-current assets were $620 million.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Property and Equipment,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 consisted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0"/>
        </w:trPr>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8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40" w:type="dxa"/>
            <w:vAlign w:val="bottom"/>
          </w:tcPr>
          <w:p>
            <w:pPr>
              <w:spacing w:after="0"/>
              <w:rPr>
                <w:sz w:val="18"/>
                <w:szCs w:val="18"/>
                <w:color w:val="auto"/>
              </w:rPr>
            </w:pPr>
          </w:p>
        </w:tc>
      </w:tr>
      <w:tr>
        <w:trPr>
          <w:trHeight w:val="195"/>
        </w:trPr>
        <w:tc>
          <w:tcPr>
            <w:tcW w:w="874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Land</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6"/>
                <w:szCs w:val="16"/>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 w:type="dxa"/>
            <w:vAlign w:val="bottom"/>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software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Buses and support vehicles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r>
      <w:tr>
        <w:trPr>
          <w:trHeight w:val="229"/>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Projects in process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r>
      <w:tr>
        <w:trPr>
          <w:trHeight w:val="210"/>
        </w:trPr>
        <w:tc>
          <w:tcPr>
            <w:tcW w:w="8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tcPr>
          <w:p>
            <w:pPr>
              <w:spacing w:after="0"/>
              <w:rPr>
                <w:sz w:val="18"/>
                <w:szCs w:val="18"/>
                <w:color w:val="auto"/>
              </w:rPr>
            </w:pPr>
          </w:p>
        </w:tc>
      </w:tr>
      <w:tr>
        <w:trPr>
          <w:trHeight w:val="229"/>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4"/>
        </w:trPr>
        <w:tc>
          <w:tcPr>
            <w:tcW w:w="8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280"/>
        <w:spacing w:after="0" w:line="339" w:lineRule="auto"/>
        <w:rPr>
          <w:sz w:val="20"/>
          <w:szCs w:val="20"/>
          <w:color w:val="auto"/>
        </w:rPr>
      </w:pPr>
      <w:r>
        <w:rPr>
          <w:rFonts w:ascii="Times New Roman" w:cs="Times New Roman" w:eastAsia="Times New Roman" w:hAnsi="Times New Roman"/>
          <w:sz w:val="16"/>
          <w:szCs w:val="16"/>
          <w:color w:val="auto"/>
        </w:rPr>
        <w:t>Depreciation and amortization expense relating to property and equipment during 2007, 2006 and 2005 was $81 million, $102 million and $112 million, respectively (including $21 million, $36 million and $36 million, respectively, of amortization expense relating to capitalized computer software).</w:t>
      </w:r>
    </w:p>
    <w:p>
      <w:pPr>
        <w:spacing w:after="0" w:line="113"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w:t>
      </w:r>
    </w:p>
    <w:p>
      <w:pPr>
        <w:spacing w:after="0" w:line="173" w:lineRule="exact"/>
        <w:rPr>
          <w:rFonts w:ascii="Times New Roman" w:cs="Times New Roman" w:eastAsia="Times New Roman" w:hAnsi="Times New Roman"/>
          <w:sz w:val="18"/>
          <w:szCs w:val="18"/>
          <w:b w:val="1"/>
          <w:bCs w:val="1"/>
          <w:color w:val="auto"/>
        </w:rPr>
      </w:pPr>
    </w:p>
    <w:p>
      <w:pPr>
        <w:ind w:left="360" w:right="4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2007, the Company’s equity-method investee and the Company’s approximate ownership interest, based on outstanding shares, is as follows:</w:t>
      </w:r>
    </w:p>
    <w:tbl>
      <w:tblPr>
        <w:tblLayout w:type="fixed"/>
        <w:tblInd w:w="36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120" w:type="dxa"/>
            <w:vAlign w:val="bottom"/>
            <w:gridSpan w:val="3"/>
          </w:tcPr>
          <w:p>
            <w:pPr>
              <w:ind w:left="4140"/>
              <w:spacing w:after="0" w:line="203"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12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1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Carey Holdings, Inc.</w:t>
            </w:r>
          </w:p>
        </w:tc>
        <w:tc>
          <w:tcPr>
            <w:tcW w:w="414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60"/>
        <w:spacing w:after="0" w:line="255" w:lineRule="auto"/>
        <w:rPr>
          <w:sz w:val="20"/>
          <w:szCs w:val="20"/>
          <w:color w:val="auto"/>
        </w:rPr>
      </w:pPr>
      <w:r>
        <w:rPr>
          <w:rFonts w:ascii="Times New Roman" w:cs="Times New Roman" w:eastAsia="Times New Roman" w:hAnsi="Times New Roman"/>
          <w:sz w:val="18"/>
          <w:szCs w:val="18"/>
          <w:color w:val="auto"/>
        </w:rPr>
        <w:t>The Company acquired its investment in Carey Holdings, Inc. (“Carey”) on October 23, 2007 for approximately $60 million in cash. Carey’s subsidiary, Carey International, Inc., is a worldwide provider of chauffeured ground transportation services, operating in approximately 550 cities and 60 countries through a network of franchisees and alliance partners. The Company’s investment in Carey is recorded within other non-current assets on the Consolidated Balance Sheet and the Company’s share of Carey’s operating results is reported within operating expenses on the Consolidated Statements of Operations. At December 31, 2007, the Company’s investment totaled $60 million including $2 million of deferred acquisition costs and a $2 million net loss, representing the Company’s share of Carey’s October 23, 2007 to December 31, 2007 operating results.</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240" w:top="455" w:right="31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Accounts Payable and Other Current 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8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0"/>
        </w:trPr>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1"/>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r>
      <w:tr>
        <w:trPr>
          <w:trHeight w:val="195"/>
        </w:trPr>
        <w:tc>
          <w:tcPr>
            <w:tcW w:w="8960" w:type="dxa"/>
            <w:vAlign w:val="bottom"/>
            <w:gridSpan w:val="3"/>
          </w:tcPr>
          <w:p>
            <w:pPr>
              <w:ind w:left="360"/>
              <w:spacing w:after="0" w:line="195" w:lineRule="exact"/>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210</w:t>
            </w:r>
          </w:p>
        </w:tc>
        <w:tc>
          <w:tcPr>
            <w:tcW w:w="7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223</w:t>
            </w:r>
          </w:p>
        </w:tc>
      </w:tr>
      <w:tr>
        <w:trPr>
          <w:trHeight w:val="216"/>
        </w:trPr>
        <w:tc>
          <w:tcPr>
            <w:tcW w:w="8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Accrued payroll and 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8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Disposition related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Public liability and property damage insurance liabilities-current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960" w:type="dxa"/>
            <w:vAlign w:val="bottom"/>
            <w:gridSpan w:val="3"/>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Income taxes payable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8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4"/>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bl>
    <w:p>
      <w:pPr>
        <w:spacing w:after="0" w:line="121" w:lineRule="exact"/>
        <w:rPr>
          <w:sz w:val="20"/>
          <w:szCs w:val="20"/>
          <w:color w:val="auto"/>
        </w:rPr>
      </w:pPr>
    </w:p>
    <w:p>
      <w:pPr>
        <w:ind w:left="800" w:right="140" w:hanging="454"/>
        <w:spacing w:after="0" w:line="259" w:lineRule="auto"/>
        <w:tabs>
          <w:tab w:leader="none" w:pos="800" w:val="left"/>
        </w:tabs>
        <w:numPr>
          <w:ilvl w:val="1"/>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Income taxes payable have been classified as long-term liabilities as of January 1, 2007, in connection with the adoption of FIN 48. At December 31, 2007, the non-current liability related to long-term income taxes payable was $440 million.</w:t>
      </w:r>
    </w:p>
    <w:p>
      <w:pPr>
        <w:spacing w:after="0" w:line="158"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Liabilities</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liabilities consisted of: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8"/>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1"/>
        </w:trPr>
        <w:tc>
          <w:tcPr>
            <w:tcW w:w="4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8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Long-term income taxes payable</w:t>
            </w:r>
          </w:p>
        </w:tc>
        <w:tc>
          <w:tcPr>
            <w:tcW w:w="2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440</w:t>
            </w:r>
          </w:p>
        </w:tc>
        <w:tc>
          <w:tcPr>
            <w:tcW w:w="80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liability and property damage insurance liability</w:t>
            </w: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related liabilities</w:t>
            </w: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 tax contingencies</w:t>
            </w: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reserve</w:t>
            </w: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liability</w:t>
            </w: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Long-term Debt and Borrowing Arrangements</w:t>
            </w: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Avis Budget Car Rental corporate debt:</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Maturity</w:t>
            </w:r>
          </w:p>
        </w:tc>
        <w:tc>
          <w:tcPr>
            <w:tcW w:w="8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4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Floating rate term loan </w:t>
            </w:r>
            <w:r>
              <w:rPr>
                <w:rFonts w:ascii="Times New Roman" w:cs="Times New Roman" w:eastAsia="Times New Roman" w:hAnsi="Times New Roman"/>
                <w:sz w:val="22"/>
                <w:szCs w:val="22"/>
                <w:color w:val="auto"/>
                <w:vertAlign w:val="superscript"/>
              </w:rPr>
              <w:t>(a)</w:t>
            </w:r>
          </w:p>
        </w:tc>
        <w:tc>
          <w:tcPr>
            <w:tcW w:w="2060" w:type="dxa"/>
            <w:vAlign w:val="bottom"/>
          </w:tcPr>
          <w:p>
            <w:pPr>
              <w:spacing w:after="0"/>
              <w:rPr>
                <w:sz w:val="17"/>
                <w:szCs w:val="17"/>
                <w:color w:val="auto"/>
              </w:rPr>
            </w:pPr>
          </w:p>
        </w:tc>
        <w:tc>
          <w:tcPr>
            <w:tcW w:w="78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6"/>
              </w:rPr>
              <w:t>April 2012</w:t>
            </w:r>
          </w:p>
        </w:tc>
        <w:tc>
          <w:tcPr>
            <w:tcW w:w="820" w:type="dxa"/>
            <w:vAlign w:val="bottom"/>
          </w:tcPr>
          <w:p>
            <w:pPr>
              <w:spacing w:after="0"/>
              <w:rPr>
                <w:sz w:val="17"/>
                <w:szCs w:val="17"/>
                <w:color w:val="auto"/>
              </w:rPr>
            </w:pPr>
          </w:p>
        </w:tc>
        <w:tc>
          <w:tcPr>
            <w:tcW w:w="4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838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notes</w:t>
            </w:r>
          </w:p>
        </w:tc>
        <w:tc>
          <w:tcPr>
            <w:tcW w:w="20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2014</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notes</w:t>
            </w:r>
          </w:p>
        </w:tc>
        <w:tc>
          <w:tcPr>
            <w:tcW w:w="20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2014</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48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notes</w:t>
            </w:r>
          </w:p>
        </w:tc>
        <w:tc>
          <w:tcPr>
            <w:tcW w:w="20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2016</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1,797</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1,787</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F-33</w:t>
            </w:r>
          </w:p>
        </w:tc>
        <w:tc>
          <w:tcPr>
            <w:tcW w:w="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28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302895</wp:posOffset>
            </wp:positionV>
            <wp:extent cx="643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800" w:hanging="454"/>
        <w:spacing w:after="0" w:line="247" w:lineRule="auto"/>
        <w:tabs>
          <w:tab w:leader="none" w:pos="80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floating rate term loan and our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AVIS BUDGET CAR RENTAL CORPORATE DEBT</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Floating Rate Term Loan</w:t>
      </w:r>
    </w:p>
    <w:p>
      <w:pPr>
        <w:spacing w:after="0" w:line="175" w:lineRule="exact"/>
        <w:rPr>
          <w:sz w:val="20"/>
          <w:szCs w:val="20"/>
          <w:color w:val="auto"/>
        </w:rPr>
      </w:pPr>
    </w:p>
    <w:p>
      <w:pPr>
        <w:ind w:left="360" w:right="20"/>
        <w:spacing w:after="0" w:line="258" w:lineRule="auto"/>
        <w:rPr>
          <w:sz w:val="20"/>
          <w:szCs w:val="20"/>
          <w:color w:val="auto"/>
        </w:rPr>
      </w:pPr>
      <w:r>
        <w:rPr>
          <w:rFonts w:ascii="Times New Roman" w:cs="Times New Roman" w:eastAsia="Times New Roman" w:hAnsi="Times New Roman"/>
          <w:sz w:val="18"/>
          <w:szCs w:val="18"/>
          <w:color w:val="auto"/>
        </w:rPr>
        <w:t>The Company’s floating rate term loan was entered into in April 2006, has a six year term and bears interest at three month LIBOR plus 125 basis points, for a rate of 6.0% at December 31, 2007. Quarterly installment payments, of approximately $2 million, are required for the first five and three quarter years with the remaining amount repayable in full at the end of the term. During 2007 and 2006, the Company repaid $42 million and $37 million, respectively, of outstanding principal under the Floating Rate Term Loan.</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Floating Rate Senior Notes</w:t>
      </w:r>
    </w:p>
    <w:p>
      <w:pPr>
        <w:spacing w:after="0" w:line="175" w:lineRule="exact"/>
        <w:rPr>
          <w:sz w:val="20"/>
          <w:szCs w:val="20"/>
          <w:color w:val="auto"/>
        </w:rPr>
      </w:pPr>
    </w:p>
    <w:p>
      <w:pPr>
        <w:ind w:left="360" w:right="180"/>
        <w:spacing w:after="0" w:line="296" w:lineRule="auto"/>
        <w:rPr>
          <w:sz w:val="20"/>
          <w:szCs w:val="20"/>
          <w:color w:val="auto"/>
        </w:rPr>
      </w:pPr>
      <w:r>
        <w:rPr>
          <w:rFonts w:ascii="Times New Roman" w:cs="Times New Roman" w:eastAsia="Times New Roman" w:hAnsi="Times New Roman"/>
          <w:sz w:val="16"/>
          <w:szCs w:val="16"/>
          <w:color w:val="auto"/>
        </w:rPr>
        <w:t>The Company’s Floating Rate Senior Notes were issued in April 2006 at 100% of their face value for aggregate proceeds of $250 million. The interest rate on these notes is equal to three month LIBOR plus 250 basis points, for a rate of 7.20% at December 31, 2007. The Company has the right to redeem these notes in whole or in part at any time prior to May 15, 2008 at the applicable make-whole redemption price and, in whole or in part, at any time on or after May 15, 2008,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7 </w:t>
      </w:r>
      <w:r>
        <w:rPr>
          <w:rFonts w:ascii="Times New Roman" w:cs="Times New Roman" w:eastAsia="Times New Roman" w:hAnsi="Times New Roman"/>
          <w:sz w:val="22"/>
          <w:szCs w:val="22"/>
          <w:b w:val="1"/>
          <w:bCs w:val="1"/>
          <w:i w:val="1"/>
          <w:iCs w:val="1"/>
          <w:color w:val="auto"/>
          <w:vertAlign w:val="superscript"/>
        </w:rPr>
        <w:t>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8</w:t>
      </w:r>
      <w:r>
        <w:rPr>
          <w:rFonts w:ascii="Times New Roman" w:cs="Times New Roman" w:eastAsia="Times New Roman" w:hAnsi="Times New Roman"/>
          <w:sz w:val="18"/>
          <w:szCs w:val="18"/>
          <w:b w:val="1"/>
          <w:bCs w:val="1"/>
          <w:i w:val="1"/>
          <w:iCs w:val="1"/>
          <w:color w:val="auto"/>
        </w:rPr>
        <w:t xml:space="preserve">% and 7 </w:t>
      </w:r>
      <w:r>
        <w:rPr>
          <w:rFonts w:ascii="Times New Roman" w:cs="Times New Roman" w:eastAsia="Times New Roman" w:hAnsi="Times New Roman"/>
          <w:sz w:val="22"/>
          <w:szCs w:val="22"/>
          <w:b w:val="1"/>
          <w:bCs w:val="1"/>
          <w:i w:val="1"/>
          <w:iCs w:val="1"/>
          <w:color w:val="auto"/>
          <w:vertAlign w:val="superscript"/>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4</w:t>
      </w:r>
      <w:r>
        <w:rPr>
          <w:rFonts w:ascii="Times New Roman" w:cs="Times New Roman" w:eastAsia="Times New Roman" w:hAnsi="Times New Roman"/>
          <w:sz w:val="18"/>
          <w:szCs w:val="18"/>
          <w:b w:val="1"/>
          <w:bCs w:val="1"/>
          <w:i w:val="1"/>
          <w:iCs w:val="1"/>
          <w:color w:val="auto"/>
        </w:rPr>
        <w:t>% Senior Notes</w:t>
      </w:r>
    </w:p>
    <w:p>
      <w:pPr>
        <w:spacing w:after="0" w:line="197" w:lineRule="exact"/>
        <w:rPr>
          <w:sz w:val="20"/>
          <w:szCs w:val="20"/>
          <w:color w:val="auto"/>
        </w:rPr>
      </w:pPr>
    </w:p>
    <w:p>
      <w:pPr>
        <w:ind w:left="360" w:right="60"/>
        <w:spacing w:after="0" w:line="232" w:lineRule="auto"/>
        <w:rPr>
          <w:sz w:val="20"/>
          <w:szCs w:val="20"/>
          <w:color w:val="auto"/>
        </w:rPr>
      </w:pPr>
      <w:r>
        <w:rPr>
          <w:rFonts w:ascii="Times New Roman" w:cs="Times New Roman" w:eastAsia="Times New Roman" w:hAnsi="Times New Roman"/>
          <w:sz w:val="18"/>
          <w:szCs w:val="18"/>
          <w:color w:val="auto"/>
        </w:rPr>
        <w:t xml:space="preserve">The Company’s 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and 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xml:space="preserve">% Senior Notes were issued in April 2006 at 100% of their face value for aggregate proceeds of $750 million. The Company has the right to redeem the 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and 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Notes in whole or in part at any time prior to May 15, 2010 and May 15, 2011, respectively, at the applicable make-whole redemption price and, in whole or in part, at any time on or after May 15, 2010 and May 15, 2011, respectively, at the applicable scheduled redemption price, plus in each case, accrued and unpaid interest through the redemption date. These notes are senior unsecured obligations and rank equally in right of payment with all the Company’s existing and future senior indebtedness.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CORPORATE GUARANTEE</w:t>
      </w:r>
    </w:p>
    <w:p>
      <w:pPr>
        <w:spacing w:after="0" w:line="173" w:lineRule="exact"/>
        <w:rPr>
          <w:sz w:val="20"/>
          <w:szCs w:val="20"/>
          <w:color w:val="auto"/>
        </w:rPr>
      </w:pPr>
    </w:p>
    <w:p>
      <w:pPr>
        <w:ind w:left="360" w:right="300"/>
        <w:spacing w:after="0" w:line="281" w:lineRule="auto"/>
        <w:rPr>
          <w:sz w:val="20"/>
          <w:szCs w:val="20"/>
          <w:color w:val="auto"/>
        </w:rPr>
      </w:pPr>
      <w:r>
        <w:rPr>
          <w:rFonts w:ascii="Times New Roman" w:cs="Times New Roman" w:eastAsia="Times New Roman" w:hAnsi="Times New Roman"/>
          <w:sz w:val="16"/>
          <w:szCs w:val="16"/>
          <w:color w:val="auto"/>
        </w:rPr>
        <w:t>On February 9, 2007, the Company agreed to guarantee (the “Guarantee”) the payment of principal, premium, if any, and interest on the $1.0 billion aggregate principal amount of senior notes issued by Avis Budget Car Rental in April 2006 (the “Notes”). The Notes consist of Avis Budget Car Rental’s</w:t>
      </w:r>
    </w:p>
    <w:p>
      <w:pPr>
        <w:spacing w:after="0" w:line="1" w:lineRule="exact"/>
        <w:rPr>
          <w:sz w:val="20"/>
          <w:szCs w:val="20"/>
          <w:color w:val="auto"/>
        </w:rPr>
      </w:pPr>
    </w:p>
    <w:p>
      <w:pPr>
        <w:ind w:left="360"/>
        <w:spacing w:after="0" w:line="233"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Senior Notes due 2014, 7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Senior Notes due 2016 and Floating Rate Senior Notes due 2014. The Company executed a Supplemental Indenture, dated February 9, 2007, to provide the Guarantee in accordance with the terms and limitations of the Notes and the indenture governing the Notes. In consideration for providing the Guarantee, the Company received $14 million, before fees and expenses, from certain institutional investors. The $14 million consideration has been deferred and is being amortized over the life of the debt.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DEBT MATURITIES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0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provides contractual maturities of the Company’s corporate debt at December 31, 2007: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10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7"/>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2008</w:t>
            </w:r>
          </w:p>
        </w:tc>
        <w:tc>
          <w:tcPr>
            <w:tcW w:w="9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2009</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2012</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10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COMMITTED CREDIT FACILITIES AND AVAILABLE FUNDING ARRANGEMENTS</w:t>
      </w:r>
    </w:p>
    <w:p>
      <w:pPr>
        <w:spacing w:after="0" w:line="173" w:lineRule="exact"/>
        <w:rPr>
          <w:sz w:val="20"/>
          <w:szCs w:val="20"/>
          <w:color w:val="auto"/>
        </w:rPr>
      </w:pPr>
    </w:p>
    <w:p>
      <w:pPr>
        <w:ind w:left="360" w:right="60"/>
        <w:spacing w:after="0" w:line="275" w:lineRule="auto"/>
        <w:rPr>
          <w:sz w:val="20"/>
          <w:szCs w:val="20"/>
          <w:color w:val="auto"/>
        </w:rPr>
      </w:pPr>
      <w:r>
        <w:rPr>
          <w:rFonts w:ascii="Times New Roman" w:cs="Times New Roman" w:eastAsia="Times New Roman" w:hAnsi="Times New Roman"/>
          <w:sz w:val="18"/>
          <w:szCs w:val="18"/>
          <w:color w:val="auto"/>
        </w:rPr>
        <w:t>At December 31, 2007, the committed credit facilities available to the Company and/or its subsidiaries at the corporate or Avis Budget Car Rental level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5"/>
              </w:rPr>
              <w:t>Outstanding</w:t>
            </w:r>
          </w:p>
        </w:tc>
        <w:tc>
          <w:tcPr>
            <w:tcW w:w="1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Letters of</w:t>
            </w:r>
          </w:p>
        </w:tc>
        <w:tc>
          <w:tcPr>
            <w:tcW w:w="8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Available</w:t>
            </w:r>
          </w:p>
        </w:tc>
      </w:tr>
      <w:tr>
        <w:trPr>
          <w:trHeight w:val="230"/>
        </w:trPr>
        <w:tc>
          <w:tcPr>
            <w:tcW w:w="5620" w:type="dxa"/>
            <w:vAlign w:val="bottom"/>
          </w:tcPr>
          <w:p>
            <w:pPr>
              <w:spacing w:after="0"/>
              <w:rPr>
                <w:sz w:val="20"/>
                <w:szCs w:val="20"/>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92"/>
              </w:rPr>
              <w:t>Capacity</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Credit Issued</w:t>
            </w:r>
          </w:p>
        </w:tc>
        <w:tc>
          <w:tcPr>
            <w:tcW w:w="8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Capacity</w:t>
            </w:r>
          </w:p>
        </w:tc>
      </w:tr>
      <w:tr>
        <w:trPr>
          <w:trHeight w:val="197"/>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$1.5 billion revolving credit facility </w:t>
            </w:r>
            <w:r>
              <w:rPr>
                <w:rFonts w:ascii="Times New Roman" w:cs="Times New Roman" w:eastAsia="Times New Roman" w:hAnsi="Times New Roman"/>
                <w:sz w:val="22"/>
                <w:szCs w:val="22"/>
                <w:color w:val="auto"/>
                <w:vertAlign w:val="superscript"/>
              </w:rPr>
              <w:t>(a)</w:t>
            </w:r>
          </w:p>
        </w:tc>
        <w:tc>
          <w:tcPr>
            <w:tcW w:w="6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1,500</w:t>
            </w:r>
          </w:p>
        </w:tc>
        <w:tc>
          <w:tcPr>
            <w:tcW w:w="840" w:type="dxa"/>
            <w:vAlign w:val="bottom"/>
          </w:tcPr>
          <w:p>
            <w:pPr>
              <w:spacing w:after="0"/>
              <w:rPr>
                <w:sz w:val="17"/>
                <w:szCs w:val="17"/>
                <w:color w:val="auto"/>
              </w:rPr>
            </w:pPr>
          </w:p>
        </w:tc>
        <w:tc>
          <w:tcPr>
            <w:tcW w:w="4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338</w:t>
            </w:r>
          </w:p>
        </w:tc>
        <w:tc>
          <w:tcPr>
            <w:tcW w:w="820" w:type="dxa"/>
            <w:vAlign w:val="bottom"/>
          </w:tcPr>
          <w:p>
            <w:pPr>
              <w:spacing w:after="0"/>
              <w:rPr>
                <w:sz w:val="17"/>
                <w:szCs w:val="17"/>
                <w:color w:val="auto"/>
              </w:rPr>
            </w:pPr>
          </w:p>
        </w:tc>
        <w:tc>
          <w:tcPr>
            <w:tcW w:w="7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1,162</w:t>
            </w:r>
          </w:p>
        </w:tc>
        <w:tc>
          <w:tcPr>
            <w:tcW w:w="20" w:type="dxa"/>
            <w:vAlign w:val="bottom"/>
          </w:tcPr>
          <w:p>
            <w:pPr>
              <w:spacing w:after="0"/>
              <w:rPr>
                <w:sz w:val="17"/>
                <w:szCs w:val="17"/>
                <w:color w:val="auto"/>
              </w:rPr>
            </w:pPr>
          </w:p>
        </w:tc>
      </w:tr>
      <w:tr>
        <w:trPr>
          <w:trHeight w:val="3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Letter of credit facility </w:t>
            </w:r>
            <w:r>
              <w:rPr>
                <w:rFonts w:ascii="Times New Roman" w:cs="Times New Roman" w:eastAsia="Times New Roman" w:hAnsi="Times New Roman"/>
                <w:sz w:val="22"/>
                <w:szCs w:val="22"/>
                <w:color w:val="auto"/>
                <w:vertAlign w:val="superscript"/>
              </w:rPr>
              <w:t>(b)</w:t>
            </w: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303</w:t>
            </w:r>
          </w:p>
        </w:tc>
        <w:tc>
          <w:tcPr>
            <w:tcW w:w="480" w:type="dxa"/>
            <w:vAlign w:val="bottom"/>
          </w:tcPr>
          <w:p>
            <w:pPr>
              <w:spacing w:after="0"/>
              <w:rPr>
                <w:sz w:val="24"/>
                <w:szCs w:val="24"/>
                <w:color w:val="auto"/>
              </w:rPr>
            </w:pPr>
          </w:p>
        </w:tc>
        <w:tc>
          <w:tcPr>
            <w:tcW w:w="12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45720</wp:posOffset>
            </wp:positionV>
            <wp:extent cx="643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6" w:lineRule="exact"/>
        <w:rPr>
          <w:sz w:val="20"/>
          <w:szCs w:val="20"/>
          <w:color w:val="auto"/>
        </w:rPr>
      </w:pPr>
    </w:p>
    <w:p>
      <w:pPr>
        <w:ind w:left="800" w:right="20" w:hanging="454"/>
        <w:spacing w:after="0" w:line="232" w:lineRule="auto"/>
        <w:tabs>
          <w:tab w:leader="none" w:pos="80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This secured revolving credit facility was entered into by Avis Budget Car Rental in April 2006, has a five year term and currently bears interest at one month LIBOR plus 125 basis points. The floating rate term loan and the revolving credit facility are secured by pledges of all of the capital stock of all of the Company’s direct or indirect domestic subsidiaries and up to 66% of the capital stock of each direct foreign subsidiary, subject to certain exceptions, and liens on substantially all of the Company’s intellectual property.</w:t>
      </w:r>
    </w:p>
    <w:p>
      <w:pPr>
        <w:spacing w:after="0" w:line="2" w:lineRule="exact"/>
        <w:rPr>
          <w:rFonts w:ascii="Times New Roman" w:cs="Times New Roman" w:eastAsia="Times New Roman" w:hAnsi="Times New Roman"/>
          <w:sz w:val="11"/>
          <w:szCs w:val="11"/>
          <w:color w:val="auto"/>
        </w:rPr>
      </w:pPr>
    </w:p>
    <w:p>
      <w:pPr>
        <w:ind w:left="800" w:hanging="454"/>
        <w:spacing w:after="0"/>
        <w:tabs>
          <w:tab w:leader="none" w:pos="80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Final maturity date is July 2010.</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73" w:lineRule="exact"/>
        <w:rPr>
          <w:sz w:val="20"/>
          <w:szCs w:val="20"/>
          <w:color w:val="auto"/>
        </w:rPr>
      </w:pPr>
    </w:p>
    <w:p>
      <w:pPr>
        <w:ind w:left="360" w:right="80"/>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restrictive covenants, including restrictions on dividends paid to the Company by certain of its subsidiaries, the incurrence of indebtedness by the Company and certain of its subsidiaries, mergers, liquidations, and sale and leaseback transactions. The credit facility also requires the maintenance of certain financial ratios. As of December 31, 2007, the Company is not aware of any instances of non-compliance with such financial or restrictive covenants.</w:t>
      </w:r>
    </w:p>
    <w:p>
      <w:pPr>
        <w:spacing w:after="0" w:line="175"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Under Vehicle Programs and Borrowing Arrangements</w:t>
      </w:r>
    </w:p>
    <w:p>
      <w:pPr>
        <w:spacing w:after="0" w:line="173" w:lineRule="exact"/>
        <w:rPr>
          <w:rFonts w:ascii="Times New Roman" w:cs="Times New Roman" w:eastAsia="Times New Roman" w:hAnsi="Times New Roman"/>
          <w:sz w:val="18"/>
          <w:szCs w:val="18"/>
          <w:b w:val="1"/>
          <w:bCs w:val="1"/>
          <w:color w:val="auto"/>
        </w:rPr>
      </w:pPr>
    </w:p>
    <w:p>
      <w:pPr>
        <w:ind w:left="360" w:right="5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 under vehicle programs (including related party debt due to Avis Budget Rental Car Funding AESOP, LLC (“Avis Budget Rental Car Funding”)) consisted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4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02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0"/>
        </w:trPr>
        <w:tc>
          <w:tcPr>
            <w:tcW w:w="44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0"/>
                <w:szCs w:val="20"/>
                <w:color w:val="auto"/>
              </w:rPr>
            </w:pPr>
          </w:p>
        </w:tc>
      </w:tr>
      <w:tr>
        <w:trPr>
          <w:trHeight w:val="197"/>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Debt due to Avis Budget Rental Car Funding </w:t>
            </w:r>
            <w:r>
              <w:rPr>
                <w:rFonts w:ascii="Times New Roman" w:cs="Times New Roman" w:eastAsia="Times New Roman" w:hAnsi="Times New Roman"/>
                <w:sz w:val="22"/>
                <w:szCs w:val="22"/>
                <w:color w:val="auto"/>
                <w:vertAlign w:val="superscript"/>
              </w:rPr>
              <w:t>(a)</w:t>
            </w:r>
          </w:p>
        </w:tc>
        <w:tc>
          <w:tcPr>
            <w:tcW w:w="392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4,646</w:t>
            </w:r>
          </w:p>
        </w:tc>
        <w:tc>
          <w:tcPr>
            <w:tcW w:w="1020" w:type="dxa"/>
            <w:vAlign w:val="bottom"/>
          </w:tcPr>
          <w:p>
            <w:pPr>
              <w:spacing w:after="0"/>
              <w:rPr>
                <w:sz w:val="17"/>
                <w:szCs w:val="17"/>
                <w:color w:val="auto"/>
              </w:rPr>
            </w:pPr>
          </w:p>
        </w:tc>
        <w:tc>
          <w:tcPr>
            <w:tcW w:w="2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4,511</w:t>
            </w:r>
          </w:p>
        </w:tc>
        <w:tc>
          <w:tcPr>
            <w:tcW w:w="20" w:type="dxa"/>
            <w:vAlign w:val="bottom"/>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4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Budget Truck Funding program </w:t>
            </w:r>
            <w:r>
              <w:rPr>
                <w:rFonts w:ascii="Times New Roman" w:cs="Times New Roman" w:eastAsia="Times New Roman" w:hAnsi="Times New Roman"/>
                <w:sz w:val="22"/>
                <w:szCs w:val="22"/>
                <w:color w:val="auto"/>
                <w:vertAlign w:val="superscript"/>
              </w:rPr>
              <w:t>(b)</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leases</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44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(c)</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44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4440" w:type="dxa"/>
            <w:vAlign w:val="bottom"/>
          </w:tcPr>
          <w:p>
            <w:pPr>
              <w:spacing w:after="0"/>
              <w:rPr>
                <w:sz w:val="24"/>
                <w:szCs w:val="24"/>
                <w:color w:val="auto"/>
              </w:rPr>
            </w:pPr>
          </w:p>
        </w:tc>
        <w:tc>
          <w:tcPr>
            <w:tcW w:w="41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F-35</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302895</wp:posOffset>
            </wp:positionV>
            <wp:extent cx="643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800" w:right="180" w:hanging="454"/>
        <w:spacing w:after="0" w:line="230" w:lineRule="auto"/>
        <w:tabs>
          <w:tab w:leader="none" w:pos="80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change in the balance at December 31, 2007 principally reflects the issuance of vehicle-backed floating rate notes during the first six months of 2007 to support the acquisition of rental vehicles within the Company’s Domestic Car Rental operations.</w:t>
      </w:r>
    </w:p>
    <w:p>
      <w:pPr>
        <w:spacing w:after="0" w:line="1" w:lineRule="exact"/>
        <w:rPr>
          <w:rFonts w:ascii="Times New Roman" w:cs="Times New Roman" w:eastAsia="Times New Roman" w:hAnsi="Times New Roman"/>
          <w:sz w:val="11"/>
          <w:szCs w:val="11"/>
          <w:color w:val="auto"/>
        </w:rPr>
      </w:pPr>
    </w:p>
    <w:p>
      <w:pPr>
        <w:ind w:left="800" w:right="160" w:hanging="454"/>
        <w:spacing w:after="0" w:line="219" w:lineRule="auto"/>
        <w:tabs>
          <w:tab w:leader="none" w:pos="80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change in the balance at December 31, 2007 primarily reflects incremental borrowings during the year ended December 31, 2007 to support the acquisition of rental vehicles within the Budget Truck rental fleet.</w:t>
      </w:r>
    </w:p>
    <w:p>
      <w:pPr>
        <w:ind w:left="800" w:right="200" w:hanging="454"/>
        <w:spacing w:after="0" w:line="238" w:lineRule="auto"/>
        <w:tabs>
          <w:tab w:leader="none" w:pos="80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change in the balance at December 31, 2007 primarily reflects incremental borrowings to support the acquisition of vehicles in its International Car Rental operations and new fleet loans to support the acquisition of certain vehicles for Domestic Car Rental operations.</w:t>
      </w:r>
    </w:p>
    <w:p>
      <w:pPr>
        <w:spacing w:after="0" w:line="135" w:lineRule="exact"/>
        <w:rPr>
          <w:sz w:val="20"/>
          <w:szCs w:val="20"/>
          <w:color w:val="auto"/>
        </w:rPr>
      </w:pPr>
    </w:p>
    <w:p>
      <w:pPr>
        <w:ind w:left="360"/>
        <w:spacing w:after="0" w:line="253" w:lineRule="auto"/>
        <w:rPr>
          <w:sz w:val="20"/>
          <w:szCs w:val="20"/>
          <w:color w:val="auto"/>
        </w:rPr>
      </w:pPr>
      <w:r>
        <w:rPr>
          <w:rFonts w:ascii="Times New Roman" w:cs="Times New Roman" w:eastAsia="Times New Roman" w:hAnsi="Times New Roman"/>
          <w:sz w:val="18"/>
          <w:szCs w:val="18"/>
          <w:i w:val="1"/>
          <w:iCs w:val="1"/>
          <w:color w:val="auto"/>
        </w:rPr>
        <w:t>Avis Budget Rental Car Funding (AESOP), LLC</w:t>
      </w:r>
      <w:r>
        <w:rPr>
          <w:rFonts w:ascii="Times New Roman" w:cs="Times New Roman" w:eastAsia="Times New Roman" w:hAnsi="Times New Roman"/>
          <w:sz w:val="18"/>
          <w:szCs w:val="18"/>
          <w:color w:val="auto"/>
        </w:rPr>
        <w:t>. Avis Budget Rental Car Funding, an unconsolidated bankruptcy remote qualifying special purpose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issues private placement notes that at issuance are typically “AAA” rated generally with principal and interest payments guaranteed by independent insurance companies. Avis Budget Rental Car Funding then uses the proceeds from such issuances to make loans to a wholly-owned subsidiary of the Company, AESOP Leasing LP (“AESOP Leasing”) on a continuing basis. By issuing debt through the AESOP program, Avis Budget pays a lower rate of interest than if the Company had issued debt directly to third parties. AESOP Leasing is then required to use these proceeds to acquire or finance the acquisition of vehicles used in the Company’s rental car operations. As a result, AESOP Leasing’s obligation to Avis Budget Rental Car Funding is reflected as related party debt on the Company’s Consolidated Balance Sheets as of December 31, 2007 and 2006. The Company also recorded an asset within assets under vehicle programs on its Consolidated Balance Sheets at December 31, 2007 and 2006, which represented the equity issued to the Company by Avis Budget Rental Car Funding. The vehicles purchased by AESOP Leasing remain on the Company’s Consolidated Balance Sheet as AESOP Leasing is consolidated by the Company. Such vehicles and related assets, which approximate $6.7 billion and the majority of which are subject to manufacturer repurchase and guaranteed depreciation agreements, collateralize the debt issued by Avis Budget Rental Car Funding and are not available to pay the obligations of the Company.</w:t>
      </w:r>
    </w:p>
    <w:p>
      <w:pPr>
        <w:spacing w:after="0" w:line="139" w:lineRule="exact"/>
        <w:rPr>
          <w:sz w:val="20"/>
          <w:szCs w:val="20"/>
          <w:color w:val="auto"/>
        </w:rPr>
      </w:pPr>
    </w:p>
    <w:p>
      <w:pPr>
        <w:ind w:left="360" w:right="60"/>
        <w:spacing w:after="0" w:line="256" w:lineRule="auto"/>
        <w:rPr>
          <w:sz w:val="20"/>
          <w:szCs w:val="20"/>
          <w:color w:val="auto"/>
        </w:rPr>
      </w:pPr>
      <w:r>
        <w:rPr>
          <w:rFonts w:ascii="Times New Roman" w:cs="Times New Roman" w:eastAsia="Times New Roman" w:hAnsi="Times New Roman"/>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 results of operations and cash flows are not reflected within the Company’s Consolidated Financial Statements. Borrowings under the Avis Budget Rental Car Funding program primarily represent floating rate term notes with a weighted average interest rate of 5% for both 2007 and 2006 and 4% for 2005.</w:t>
      </w:r>
    </w:p>
    <w:p>
      <w:pPr>
        <w:spacing w:after="0" w:line="137" w:lineRule="exact"/>
        <w:rPr>
          <w:sz w:val="20"/>
          <w:szCs w:val="20"/>
          <w:color w:val="auto"/>
        </w:rPr>
      </w:pPr>
    </w:p>
    <w:p>
      <w:pPr>
        <w:ind w:left="360" w:right="80"/>
        <w:spacing w:after="0" w:line="255" w:lineRule="auto"/>
        <w:rPr>
          <w:sz w:val="20"/>
          <w:szCs w:val="20"/>
          <w:color w:val="auto"/>
        </w:rPr>
      </w:pPr>
      <w:r>
        <w:rPr>
          <w:rFonts w:ascii="Times New Roman" w:cs="Times New Roman" w:eastAsia="Times New Roman" w:hAnsi="Times New Roman"/>
          <w:sz w:val="18"/>
          <w:szCs w:val="18"/>
          <w:i w:val="1"/>
          <w:iCs w:val="1"/>
          <w:color w:val="auto"/>
        </w:rPr>
        <w:t>Truck financing</w:t>
      </w:r>
      <w:r>
        <w:rPr>
          <w:rFonts w:ascii="Times New Roman" w:cs="Times New Roman" w:eastAsia="Times New Roman" w:hAnsi="Times New Roman"/>
          <w:sz w:val="18"/>
          <w:szCs w:val="18"/>
          <w:color w:val="auto"/>
        </w:rPr>
        <w:t>. The Budget Truck Funding program consists of debt facilities established by the Company to finance the acquisition of the Budget Truck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 fleet. The borrowings under the Budget Truck Funding program are collateralized by $296 million of corresponding assets and are floating rate term loans with a weighted average interest rate of 5% in 2007 and 2006. The Company has also obtained a portion of its truck rental fleet under capital lease arrangements for which there are corresponding gross assets of $361 million and $381 million with accumulated amortization of $154 million and $129 million classified within vehicles, net on the Company’s Consolidated Balance Sheets as of December 31, 2007 and 2006, respectively. Interest paid as part of capital lease obligations was $10 million and $20 million during 2007 and 2006, respectively.</w:t>
      </w:r>
    </w:p>
    <w:p>
      <w:pPr>
        <w:spacing w:after="0" w:line="139" w:lineRule="exact"/>
        <w:rPr>
          <w:sz w:val="20"/>
          <w:szCs w:val="20"/>
          <w:color w:val="auto"/>
        </w:rPr>
      </w:pPr>
    </w:p>
    <w:p>
      <w:pPr>
        <w:ind w:left="360"/>
        <w:spacing w:after="0" w:line="257"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Borrowings under the Company’s other vehicle rental programs primarily represent amounts issued under financing facilities that provide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to support the acquisition of vehicles used in the Company’s international vehicle rental operations and new fleet loans to support the acquisition of certain vehicles for Domestic Car Rental operations. The debt issued is collateralized by $1.1 billion of vehicles and related assets and primarily represents floating rate bank loans and a commercial paper conduit facility for which the weighted average interest rate was 6%, 5% and 4% for 2007, 2006 and 2005, respectively.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60"/>
          </w:cols>
          <w:pgMar w:left="240" w:top="455" w:right="2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440"/>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contractual maturities of the Company’s debt under vehicle programs (including related party debt due to Avis Budget Rental Car Funding) at December 31,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Vehicle-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Backed</w:t>
            </w:r>
          </w:p>
        </w:tc>
        <w:tc>
          <w:tcPr>
            <w:tcW w:w="5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56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7"/>
        </w:trPr>
        <w:tc>
          <w:tcPr>
            <w:tcW w:w="8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1,562</w:t>
            </w:r>
          </w:p>
        </w:tc>
        <w:tc>
          <w:tcPr>
            <w:tcW w:w="560" w:type="dxa"/>
            <w:vAlign w:val="bottom"/>
          </w:tcPr>
          <w:p>
            <w:pPr>
              <w:spacing w:after="0"/>
              <w:rPr>
                <w:sz w:val="17"/>
                <w:szCs w:val="17"/>
                <w:color w:val="auto"/>
              </w:rPr>
            </w:pPr>
          </w:p>
        </w:tc>
        <w:tc>
          <w:tcPr>
            <w:tcW w:w="2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$1,726</w:t>
            </w:r>
          </w:p>
        </w:tc>
        <w:tc>
          <w:tcPr>
            <w:tcW w:w="20" w:type="dxa"/>
            <w:vAlign w:val="bottom"/>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224"/>
        </w:trPr>
        <w:tc>
          <w:tcPr>
            <w:tcW w:w="8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5,596</w:t>
            </w:r>
          </w:p>
        </w:tc>
        <w:tc>
          <w:tcPr>
            <w:tcW w:w="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COMMITTED CREDIT FACILITIES AND AVAILABLE FUNDING ARRANGEMENTS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of December 31, 2007, available funding under the Company’s vehicle programs (including related party debt due to Avis Budget Rental Car Funding)</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consisted of: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spacing w:after="0"/>
              <w:rPr>
                <w:sz w:val="18"/>
                <w:szCs w:val="18"/>
                <w:color w:val="auto"/>
              </w:rPr>
            </w:pP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5"/>
              </w:rPr>
              <w:t>Outstanding</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Available</w:t>
            </w:r>
          </w:p>
        </w:tc>
      </w:tr>
      <w:tr>
        <w:trPr>
          <w:trHeight w:val="232"/>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gridSpan w:val="2"/>
          </w:tcPr>
          <w:p>
            <w:pPr>
              <w:spacing w:after="0" w:line="232" w:lineRule="exact"/>
              <w:rPr>
                <w:sz w:val="20"/>
                <w:szCs w:val="20"/>
                <w:color w:val="auto"/>
              </w:rPr>
            </w:pPr>
            <w:r>
              <w:rPr>
                <w:rFonts w:ascii="Times New Roman" w:cs="Times New Roman" w:eastAsia="Times New Roman" w:hAnsi="Times New Roman"/>
                <w:sz w:val="18"/>
                <w:szCs w:val="18"/>
                <w:b w:val="1"/>
                <w:bCs w:val="1"/>
                <w:color w:val="auto"/>
                <w:w w:val="92"/>
              </w:rPr>
              <w:t xml:space="preserve">Capacity </w:t>
            </w:r>
            <w:r>
              <w:rPr>
                <w:rFonts w:ascii="Times New Roman" w:cs="Times New Roman" w:eastAsia="Times New Roman" w:hAnsi="Times New Roman"/>
                <w:sz w:val="22"/>
                <w:szCs w:val="22"/>
                <w:b w:val="1"/>
                <w:bCs w:val="1"/>
                <w:color w:val="auto"/>
                <w:w w:val="92"/>
                <w:vertAlign w:val="superscript"/>
              </w:rPr>
              <w:t>(a)</w:t>
            </w:r>
          </w:p>
        </w:tc>
        <w:tc>
          <w:tcPr>
            <w:tcW w:w="800" w:type="dxa"/>
            <w:vAlign w:val="bottom"/>
          </w:tcPr>
          <w:p>
            <w:pPr>
              <w:spacing w:after="0"/>
              <w:rPr>
                <w:sz w:val="20"/>
                <w:szCs w:val="20"/>
                <w:color w:val="auto"/>
              </w:rPr>
            </w:pPr>
          </w:p>
        </w:tc>
        <w:tc>
          <w:tcPr>
            <w:tcW w:w="176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Capacity</w:t>
            </w:r>
          </w:p>
        </w:tc>
      </w:tr>
      <w:tr>
        <w:trPr>
          <w:trHeight w:val="195"/>
        </w:trPr>
        <w:tc>
          <w:tcPr>
            <w:tcW w:w="656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Debt due to Avis Budget Rental Car Funding</w:t>
            </w:r>
          </w:p>
        </w:tc>
        <w:tc>
          <w:tcPr>
            <w:tcW w:w="74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6,621</w:t>
            </w:r>
          </w:p>
        </w:tc>
        <w:tc>
          <w:tcPr>
            <w:tcW w:w="800" w:type="dxa"/>
            <w:vAlign w:val="bottom"/>
          </w:tcPr>
          <w:p>
            <w:pPr>
              <w:spacing w:after="0"/>
              <w:rPr>
                <w:sz w:val="16"/>
                <w:szCs w:val="16"/>
                <w:color w:val="auto"/>
              </w:rPr>
            </w:pPr>
          </w:p>
        </w:tc>
        <w:tc>
          <w:tcPr>
            <w:tcW w:w="3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4,646</w:t>
            </w:r>
          </w:p>
        </w:tc>
        <w:tc>
          <w:tcPr>
            <w:tcW w:w="82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1,975</w:t>
            </w:r>
          </w:p>
        </w:tc>
        <w:tc>
          <w:tcPr>
            <w:tcW w:w="20" w:type="dxa"/>
            <w:vAlign w:val="bottom"/>
          </w:tcPr>
          <w:p>
            <w:pPr>
              <w:spacing w:after="0"/>
              <w:rPr>
                <w:sz w:val="16"/>
                <w:szCs w:val="16"/>
                <w:color w:val="auto"/>
              </w:rPr>
            </w:pPr>
          </w:p>
        </w:tc>
      </w:tr>
      <w:tr>
        <w:trPr>
          <w:trHeight w:val="216"/>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Budget Truck financing:</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Budget Truck Funding program</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65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Capital leases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r>
      <w:tr>
        <w:trPr>
          <w:trHeight w:val="224"/>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8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3"/>
        </w:trPr>
        <w:tc>
          <w:tcPr>
            <w:tcW w:w="64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(a)</w:t>
            </w:r>
          </w:p>
        </w:tc>
        <w:tc>
          <w:tcPr>
            <w:tcW w:w="5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Capacity is subject to maintaining sufficient assets to collateralize debt.</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65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DEBT COVENANTS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50" w:lineRule="exact"/>
        <w:rPr>
          <w:sz w:val="20"/>
          <w:szCs w:val="20"/>
          <w:color w:val="auto"/>
        </w:rPr>
      </w:pPr>
    </w:p>
    <w:p>
      <w:pPr>
        <w:ind w:left="360" w:right="320"/>
        <w:spacing w:after="0" w:line="258" w:lineRule="auto"/>
        <w:rPr>
          <w:sz w:val="20"/>
          <w:szCs w:val="20"/>
          <w:color w:val="auto"/>
        </w:rPr>
      </w:pPr>
      <w:r>
        <w:rPr>
          <w:rFonts w:ascii="Times New Roman" w:cs="Times New Roman" w:eastAsia="Times New Roman" w:hAnsi="Times New Roman"/>
          <w:sz w:val="18"/>
          <w:szCs w:val="18"/>
          <w:color w:val="auto"/>
        </w:rPr>
        <w:t>Debt agreements under the Company’s vehicle-backed funding programs contain restrictive covenants, including restrictions on dividends paid to the Company by certain of its subsidiaries and indebtedness of material subsidiaries, mergers, liens, liquidations and sale and leaseback transactions and also require the maintenance of certain financial ratios. As of December 31, 2007 the Company is not aware of any instances of non-compliance with such financial or restrictive covenants.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9"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 Commitments</w:t>
      </w:r>
    </w:p>
    <w:p>
      <w:pPr>
        <w:spacing w:after="0" w:line="94" w:lineRule="exact"/>
        <w:rPr>
          <w:rFonts w:ascii="Times New Roman" w:cs="Times New Roman" w:eastAsia="Times New Roman" w:hAnsi="Times New Roman"/>
          <w:sz w:val="18"/>
          <w:szCs w:val="18"/>
          <w:b w:val="1"/>
          <w:bCs w:val="1"/>
          <w:color w:val="auto"/>
        </w:rPr>
      </w:pPr>
    </w:p>
    <w:p>
      <w:pPr>
        <w:ind w:left="36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making rental payments under noncancelable operating leases covering various facilities and equipment. Many of the Company’s operating leases for facilities contain renewal options. These renewal options vary, but the majority include clauses for the renewal rental at various length terms and prevailing market rate rents, subject to a market review. Future minimum lease payments required under noncancelable operating leases as of December 31, 2007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7"/>
        </w:trPr>
        <w:tc>
          <w:tcPr>
            <w:tcW w:w="20" w:type="dxa"/>
            <w:vAlign w:val="bottom"/>
          </w:tcPr>
          <w:p>
            <w:pPr>
              <w:spacing w:after="0"/>
              <w:rPr>
                <w:sz w:val="17"/>
                <w:szCs w:val="17"/>
                <w:color w:val="auto"/>
              </w:rPr>
            </w:pPr>
          </w:p>
        </w:tc>
        <w:tc>
          <w:tcPr>
            <w:tcW w:w="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2008</w:t>
            </w:r>
          </w:p>
        </w:tc>
        <w:tc>
          <w:tcPr>
            <w:tcW w:w="9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7"/>
                <w:szCs w:val="17"/>
                <w:color w:val="auto"/>
              </w:rPr>
            </w:pP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2009</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2011</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2012</w:t>
            </w:r>
          </w:p>
        </w:tc>
        <w:tc>
          <w:tcPr>
            <w:tcW w:w="9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Thereafter</w:t>
            </w:r>
          </w:p>
        </w:tc>
        <w:tc>
          <w:tcPr>
            <w:tcW w:w="9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w:t>
            </w:r>
          </w:p>
        </w:tc>
      </w:tr>
      <w:tr>
        <w:trPr>
          <w:trHeight w:val="224"/>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200"/>
        <w:spacing w:after="0" w:line="301" w:lineRule="auto"/>
        <w:rPr>
          <w:sz w:val="20"/>
          <w:szCs w:val="20"/>
          <w:color w:val="auto"/>
        </w:rPr>
      </w:pPr>
      <w:r>
        <w:rPr>
          <w:rFonts w:ascii="Times New Roman" w:cs="Times New Roman" w:eastAsia="Times New Roman" w:hAnsi="Times New Roman"/>
          <w:sz w:val="16"/>
          <w:szCs w:val="16"/>
          <w:color w:val="auto"/>
        </w:rPr>
        <w:t>The future minimum lease payments in the above table have been reduced by minimum future sublease rental inflows of $44 million. The Company maintains concession agreements with various airport authorities that allow the Company to conduct its car rental operations onsite. In general, concession fees for airport locations are based on a percentage of total commissionable revenue (as determined by each airport authority), subject to minimum annual guaranteed amounts. These concession fees are included in the Company’s total rent expense and for the years ended December 31 amounted to:</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34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60" w:type="dxa"/>
            <w:vAlign w:val="bottom"/>
          </w:tcPr>
          <w:p>
            <w:pPr>
              <w:spacing w:after="0"/>
              <w:rPr>
                <w:sz w:val="20"/>
                <w:szCs w:val="20"/>
                <w:color w:val="auto"/>
              </w:rPr>
            </w:pPr>
          </w:p>
        </w:tc>
      </w:tr>
      <w:tr>
        <w:trPr>
          <w:trHeight w:val="197"/>
        </w:trPr>
        <w:tc>
          <w:tcPr>
            <w:tcW w:w="90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Rent</w:t>
            </w: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47</w:t>
            </w:r>
          </w:p>
        </w:tc>
        <w:tc>
          <w:tcPr>
            <w:tcW w:w="600" w:type="dxa"/>
            <w:vAlign w:val="bottom"/>
          </w:tcPr>
          <w:p>
            <w:pPr>
              <w:spacing w:after="0"/>
              <w:rPr>
                <w:sz w:val="17"/>
                <w:szCs w:val="17"/>
                <w:color w:val="auto"/>
              </w:rPr>
            </w:pPr>
          </w:p>
        </w:tc>
        <w:tc>
          <w:tcPr>
            <w:tcW w:w="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7"/>
                <w:szCs w:val="17"/>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Concession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Minimum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409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322</w:t>
            </w:r>
          </w:p>
        </w:tc>
        <w:tc>
          <w:tcPr>
            <w:tcW w:w="60" w:type="dxa"/>
            <w:vAlign w:val="bottom"/>
          </w:tcPr>
          <w:p>
            <w:pPr>
              <w:spacing w:after="0"/>
              <w:rPr>
                <w:sz w:val="18"/>
                <w:szCs w:val="18"/>
                <w:color w:val="auto"/>
              </w:rPr>
            </w:pPr>
          </w:p>
        </w:tc>
      </w:tr>
      <w:tr>
        <w:trPr>
          <w:trHeight w:val="22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Contingent fees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60" w:type="dxa"/>
            <w:vAlign w:val="bottom"/>
          </w:tcPr>
          <w:p>
            <w:pPr>
              <w:spacing w:after="0"/>
              <w:rPr>
                <w:sz w:val="19"/>
                <w:szCs w:val="19"/>
                <w:color w:val="auto"/>
              </w:rPr>
            </w:pPr>
          </w:p>
        </w:tc>
      </w:tr>
      <w:tr>
        <w:trPr>
          <w:trHeight w:val="210"/>
        </w:trPr>
        <w:tc>
          <w:tcPr>
            <w:tcW w:w="9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495</w:t>
            </w:r>
          </w:p>
        </w:tc>
        <w:tc>
          <w:tcPr>
            <w:tcW w:w="60" w:type="dxa"/>
            <w:vAlign w:val="bottom"/>
          </w:tcPr>
          <w:p>
            <w:pPr>
              <w:spacing w:after="0"/>
              <w:rPr>
                <w:sz w:val="18"/>
                <w:szCs w:val="18"/>
                <w:color w:val="auto"/>
              </w:rPr>
            </w:pPr>
          </w:p>
        </w:tc>
      </w:tr>
      <w:tr>
        <w:trPr>
          <w:trHeight w:val="228"/>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Less: sublease rental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587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561</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491</w:t>
            </w:r>
          </w:p>
        </w:tc>
        <w:tc>
          <w:tcPr>
            <w:tcW w:w="6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140"/>
        <w:spacing w:after="0" w:line="275" w:lineRule="auto"/>
        <w:rPr>
          <w:sz w:val="20"/>
          <w:szCs w:val="20"/>
          <w:color w:val="auto"/>
        </w:rPr>
      </w:pPr>
      <w:r>
        <w:rPr>
          <w:rFonts w:ascii="Times New Roman" w:cs="Times New Roman" w:eastAsia="Times New Roman" w:hAnsi="Times New Roman"/>
          <w:sz w:val="18"/>
          <w:szCs w:val="18"/>
          <w:color w:val="auto"/>
        </w:rPr>
        <w:t>Commitments under capital leases, other than those within the Company’s vehicle rental program, for which the future minimum lease payments have been reflected in Note 17—Debt Under Vehicle Programs and Borrowing Arrangements, are not significant.</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Commitments to Purchase Vehicles</w:t>
      </w:r>
    </w:p>
    <w:p>
      <w:pPr>
        <w:spacing w:after="0" w:line="94" w:lineRule="exact"/>
        <w:rPr>
          <w:sz w:val="20"/>
          <w:szCs w:val="20"/>
          <w:color w:val="auto"/>
        </w:rPr>
      </w:pPr>
    </w:p>
    <w:p>
      <w:pPr>
        <w:ind w:left="360" w:right="120"/>
        <w:spacing w:after="0" w:line="256" w:lineRule="auto"/>
        <w:rPr>
          <w:sz w:val="20"/>
          <w:szCs w:val="20"/>
          <w:color w:val="auto"/>
        </w:rPr>
      </w:pPr>
      <w:r>
        <w:rPr>
          <w:rFonts w:ascii="Times New Roman" w:cs="Times New Roman" w:eastAsia="Times New Roman" w:hAnsi="Times New Roman"/>
          <w:sz w:val="18"/>
          <w:szCs w:val="18"/>
          <w:color w:val="auto"/>
        </w:rPr>
        <w:t>The Company maintains agreements with vehicle manufacturers which require the Company to purchase approximately $4.9 billion of vehicles from these manufacturers over the next year. The majority of these commitments are subject to the vehicle manufacturers’ satisfying their obligations under the repurchase and guaranteed depreciation agreements. The Company’s featured suppliers for the Avis and Budget brands are General Motors Corporation and Ford Motor Company, respectively. The purchase of such vehicles is financed through the issuance of debt under vehicle programs in addition to cash received upon the sale of vehicles primarily under repurchase and guaranteed depreciation programs.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Purchase Commitments</w:t>
      </w:r>
    </w:p>
    <w:p>
      <w:pPr>
        <w:spacing w:after="0" w:line="175" w:lineRule="exact"/>
        <w:rPr>
          <w:sz w:val="20"/>
          <w:szCs w:val="20"/>
          <w:color w:val="auto"/>
        </w:rPr>
      </w:pPr>
    </w:p>
    <w:p>
      <w:pPr>
        <w:ind w:left="360" w:right="80"/>
        <w:spacing w:after="0" w:line="262" w:lineRule="auto"/>
        <w:rPr>
          <w:sz w:val="20"/>
          <w:szCs w:val="20"/>
          <w:color w:val="auto"/>
        </w:rPr>
      </w:pPr>
      <w:r>
        <w:rPr>
          <w:rFonts w:ascii="Times New Roman" w:cs="Times New Roman" w:eastAsia="Times New Roman" w:hAnsi="Times New Roman"/>
          <w:sz w:val="18"/>
          <w:szCs w:val="18"/>
          <w:color w:val="auto"/>
        </w:rPr>
        <w:t>In the normal course of business, the Company makes various commitments to purchase goods or services from specific suppliers, including those related to capital expenditures. None of the purchase commitments made by the Company as of December 31, 2007 (aggregating approximately $29 million) was individually significant. These purchase obligations extend through 2008.</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left="360" w:right="20"/>
        <w:spacing w:after="0" w:line="290" w:lineRule="auto"/>
        <w:rPr>
          <w:sz w:val="20"/>
          <w:szCs w:val="20"/>
          <w:color w:val="auto"/>
        </w:rPr>
      </w:pPr>
      <w:r>
        <w:rPr>
          <w:rFonts w:ascii="Times New Roman" w:cs="Times New Roman" w:eastAsia="Times New Roman" w:hAnsi="Times New Roman"/>
          <w:sz w:val="16"/>
          <w:szCs w:val="16"/>
          <w:color w:val="auto"/>
        </w:rPr>
        <w:t>The Internal Revenue Service (“IRS”) is examining the Company’s taxable years 2003 through 2006. Although the Company believes there is appropriate support for the positions taken on its tax returns, the Company has recorded liabilities for uncertain tax positions for all years which the statute of limitations has not expired. The Company has $440 million accrued for tax liabilities and believes these accruals to be adequate for all open years, based on assessment of many factors including past experience and interpretations of tax law applied to the facts of each matter. Although the Company believes the recorded assets and liabilities are reasonable, tax regulations are subject to interpretation and tax litigation is inherently uncertain; therefore, the Company’s assessments can involve both a series of complex judgments about future events and rely heavily on estimates and assumptions. While the Company believes that the estimates and assumptions supporting the assessments are reasonable, the final determination of tax audits and any other related litigation could be materially different than that which is reflected in historical income tax provisions and recorded assets and liabilities.</w:t>
      </w:r>
    </w:p>
    <w:p>
      <w:pPr>
        <w:spacing w:after="0" w:line="112"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The potential results of an audit or litigation related to these matters include a range of outcomes, which may involve material amounts. However, the Company is entitled to indemnification for most pre-separation tax matters by Realogy and Wyndham and therefore does not expect such resolution to have a significant impact on its earnings, financial position or cash flows.</w:t>
      </w:r>
    </w:p>
    <w:p>
      <w:pPr>
        <w:spacing w:after="0" w:line="132" w:lineRule="exact"/>
        <w:rPr>
          <w:sz w:val="20"/>
          <w:szCs w:val="20"/>
          <w:color w:val="auto"/>
        </w:rPr>
      </w:pPr>
    </w:p>
    <w:p>
      <w:pPr>
        <w:ind w:left="360" w:right="80"/>
        <w:spacing w:after="0" w:line="254" w:lineRule="auto"/>
        <w:rPr>
          <w:sz w:val="20"/>
          <w:szCs w:val="20"/>
          <w:color w:val="auto"/>
        </w:rPr>
      </w:pPr>
      <w:r>
        <w:rPr>
          <w:rFonts w:ascii="Times New Roman" w:cs="Times New Roman" w:eastAsia="Times New Roman" w:hAnsi="Times New Roman"/>
          <w:sz w:val="18"/>
          <w:szCs w:val="18"/>
          <w:color w:val="auto"/>
        </w:rPr>
        <w:t>The Company is involved in litigation asserting claims associated with accounting irregularities discovered in 1998 at former CUC business units outside of the principal common stockholder class action litigation (such class action, the “Securities Action”). Regarding one such litigation matter, during 2007, the relevant court granted summary judgment to the plaintiffs on their breach of contract claims and the Company has an accrued liability of approximately $99 million. The Company does not believe that it is feasible to predict or determine the final outcome or resolution of such unresolved proceedings. Pursuant to the Separation Agreement, Realogy and Wyndham have assumed all liabilities related to this litigation, as described below, and therefore a corresponding receivable has been established for such amount. Changes in liabilities related to such legal matters for which the Company is entitled to indemnification, and corresponding changes in the Company’s indemnification assets, are shown net within the separation costs, net line on the Consolidated Statements of Operations.</w:t>
      </w:r>
    </w:p>
    <w:p>
      <w:pPr>
        <w:spacing w:after="0" w:line="138" w:lineRule="exact"/>
        <w:rPr>
          <w:sz w:val="20"/>
          <w:szCs w:val="20"/>
          <w:color w:val="auto"/>
        </w:rPr>
      </w:pPr>
    </w:p>
    <w:p>
      <w:pPr>
        <w:ind w:left="36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spin-offs of Realogy and Wyndham, the Company entered into the Separation Agreement, pursuant to which Realogy assumed 62.5% and Wyndham assumed 37.5% of certain contingent and other corporate liabilities of the Company or its subsidiaries, which are not primarily related to any of the respective businesses of Realogy, Wyndham, Travelport and/or the Company’s vehicle rental operations, in each case incurred or allegedly incurred on or prior to the separation of Travelport from the Company (“Assumed Liabilities”). Realogy is entitled to receive 62.5% and Wyndham is entitled to receive 37.5% of the proceeds (or, in certain cases, a portion thereof) from certain contingent corporate assets of the Company, which are not primarily related to any of the respective businesses of Realogy, Wyndham, Travelport and/or the Company’s vehicle rental operations, arising or accrued on or prior to the separation of Travelport from the Company (“Assumed Assets”). Additionally, if Realogy or Wyndham were to default on its payment of costs or expenses to the Company related to any Assumed Liability, the Company would be responsible for 50% of the defaulting party’s obligation. In such event, the Company would be allowed to use the defaulting party’s share of the proceeds of any Assumed Assets as a right of offset. Realogy and Wyndham have also agreed to guarantee each other’s as well as the Company’s obligation under each entity’s deferred compensation plans for amounts deferred in respect of 2005 and earlier years.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40"/>
        <w:spacing w:after="0" w:line="256" w:lineRule="auto"/>
        <w:rPr>
          <w:sz w:val="20"/>
          <w:szCs w:val="20"/>
          <w:color w:val="auto"/>
        </w:rPr>
      </w:pPr>
      <w:r>
        <w:rPr>
          <w:rFonts w:ascii="Times New Roman" w:cs="Times New Roman" w:eastAsia="Times New Roman" w:hAnsi="Times New Roman"/>
          <w:sz w:val="18"/>
          <w:szCs w:val="18"/>
          <w:color w:val="auto"/>
        </w:rPr>
        <w:t>The Company does not believe that the impact of any unresolved proceedings constituting an Assumed Liability related to the CUC accounting irregularities should result in a material liability to the Company in relation to its consolidated financial position or liquidity, as Realogy and Wyndham each have agreed to assume responsibility for these liabilities as well as other liabilities related to the Company’s litigation that are not related to its vehicle rental operations. Such litigation assumed by Realogy and Wyndham includes litigation which was retained by the Company in connection with the sale of its former Marketing Services division.</w:t>
      </w:r>
    </w:p>
    <w:p>
      <w:pPr>
        <w:spacing w:after="0" w:line="139" w:lineRule="exact"/>
        <w:rPr>
          <w:sz w:val="20"/>
          <w:szCs w:val="20"/>
          <w:color w:val="auto"/>
        </w:rPr>
      </w:pPr>
    </w:p>
    <w:p>
      <w:pPr>
        <w:ind w:left="360" w:right="80"/>
        <w:spacing w:after="0" w:line="255" w:lineRule="auto"/>
        <w:rPr>
          <w:sz w:val="20"/>
          <w:szCs w:val="20"/>
          <w:color w:val="auto"/>
        </w:rPr>
      </w:pPr>
      <w:r>
        <w:rPr>
          <w:rFonts w:ascii="Times New Roman" w:cs="Times New Roman" w:eastAsia="Times New Roman" w:hAnsi="Times New Roman"/>
          <w:sz w:val="18"/>
          <w:szCs w:val="18"/>
          <w:color w:val="auto"/>
        </w:rPr>
        <w:t>On April 10, 2007, Realogy was acquired by an affiliate of Apollo Management VI, L.P. and no longer is listed as an independent public company. The acquisition does not affect Realogy’s obligation to satisfy 62.5% of the contingent and other corporate liabilities of the Company or its subsidiaries pursuant to the terms of the Separation Agreement. As a result of the acquisition, Realogy has greater debt obligations and its ability to satisfy its portion of the contingent and other corporate liabilities may be adversely impacted. In accordance with the terms of the Separation Agreement, Realogy posted a letter of credit in April 2007 for the benefit of the Company to cover its estimated share of the Assumed Liabilities discussed above, subject to adjustment, although there can be no assurance that such letter of credit will be sufficient to cover Realogy’s actual obligations if and when they arise.</w:t>
      </w:r>
    </w:p>
    <w:p>
      <w:pPr>
        <w:spacing w:after="0" w:line="139" w:lineRule="exact"/>
        <w:rPr>
          <w:sz w:val="20"/>
          <w:szCs w:val="20"/>
          <w:color w:val="auto"/>
        </w:rPr>
      </w:pPr>
    </w:p>
    <w:p>
      <w:pPr>
        <w:ind w:left="360" w:right="260"/>
        <w:spacing w:after="0" w:line="258" w:lineRule="auto"/>
        <w:rPr>
          <w:sz w:val="20"/>
          <w:szCs w:val="20"/>
          <w:color w:val="auto"/>
        </w:rPr>
      </w:pPr>
      <w:r>
        <w:rPr>
          <w:rFonts w:ascii="Times New Roman" w:cs="Times New Roman" w:eastAsia="Times New Roman" w:hAnsi="Times New Roman"/>
          <w:sz w:val="18"/>
          <w:szCs w:val="18"/>
          <w:color w:val="auto"/>
        </w:rPr>
        <w:t>On December 21, 2007, the Company and certain other parties entered into a settlement agreement with Ernst &amp; Young to settle all claims between the parties arising out of the Securities Action. Pursuant to the terms of the settlement, Ernst &amp; Young has agreed to pay into escrow an aggregate of $298.5 million to settle all claims arising from the Securities Action. Pursuant to the Separation Agreement, the Company will not receive the proceeds from this settlement agreement.</w:t>
      </w:r>
    </w:p>
    <w:p>
      <w:pPr>
        <w:spacing w:after="0" w:line="136"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In addition to the matters discussed above, the Company is also involved in claims and legal proceedings related to its vehicle rental operations, including contract disputes, business practices, intellectual property, environmental issues and other commercial, employment and tax matters, including patent claims, wage and hour claims and breach of contract claims by licensees. The Company believes that it has adequately accrued for such matters as appropriate or, for matters not requiring accrual, believes that they will not have a material adverse impact on its results of operations, financial position or cash flows based on information currently available. However, litigation is inherently unpredictable and, although the Company believes that its accruals are adequate and/or that it has valid defenses in these matters, unfavorable resolutions could occur, which could adversely impact the Company’s results of operations or cash flows in a particular reporting period.</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left="360" w:right="20"/>
        <w:spacing w:after="0" w:line="258" w:lineRule="auto"/>
        <w:rPr>
          <w:sz w:val="20"/>
          <w:szCs w:val="20"/>
          <w:color w:val="auto"/>
        </w:rPr>
      </w:pPr>
      <w:r>
        <w:rPr>
          <w:rFonts w:ascii="Times New Roman" w:cs="Times New Roman" w:eastAsia="Times New Roman" w:hAnsi="Times New Roman"/>
          <w:sz w:val="18"/>
          <w:szCs w:val="18"/>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 are primarily related to the removal of underground gas storage tanks at its rental facilities. Liabilities for asset retirement obligations were $20 million and $15 million at December 31, 2007 and 2006, respectively.</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Standard Guarantees/Indemnifications</w:t>
      </w:r>
    </w:p>
    <w:p>
      <w:pPr>
        <w:spacing w:after="0" w:line="175" w:lineRule="exact"/>
        <w:rPr>
          <w:sz w:val="20"/>
          <w:szCs w:val="20"/>
          <w:color w:val="auto"/>
        </w:rPr>
      </w:pPr>
    </w:p>
    <w:p>
      <w:pPr>
        <w:ind w:left="360"/>
        <w:spacing w:after="0" w:line="285"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numerous agreements that contain standard guarantees and indemnities whereby the Company indemnifies another party for breaches of representations and warranties. In addition, many of these parties are also indemnified against any third party claim resulting from the transaction that is contemplated in the underlying agreement. Such guarantees or indemnifications are granted under various agreements, including those governing (i) purchases, sales or outsourcing of assets or businesses, (ii) leases of real estate, (iii) licensing of trademarks, (iv) access to credit facilities and use of derivatives and (v) issuances of debt or equity securities. The guarantees or indemnifications issued are for the benefit of the</w:t>
      </w:r>
    </w:p>
    <w:p>
      <w:pPr>
        <w:ind w:left="5540" w:right="4980" w:hanging="5190"/>
        <w:spacing w:after="0" w:line="433" w:lineRule="auto"/>
        <w:tabs>
          <w:tab w:leader="none" w:pos="5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in sale agreements and sellers in purchase agreements, (ii) landlords in lease F-40</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80"/>
        <w:spacing w:after="0" w:line="254" w:lineRule="auto"/>
        <w:rPr>
          <w:sz w:val="20"/>
          <w:szCs w:val="20"/>
          <w:color w:val="auto"/>
        </w:rPr>
      </w:pPr>
      <w:r>
        <w:rPr>
          <w:rFonts w:ascii="Times New Roman" w:cs="Times New Roman" w:eastAsia="Times New Roman" w:hAnsi="Times New Roman"/>
          <w:sz w:val="18"/>
          <w:szCs w:val="18"/>
          <w:color w:val="auto"/>
        </w:rPr>
        <w:t>contracts, (iii) franchisees in licensing agreements, (iv) financial institutions in credit facility arrangements and derivative contracts and (v) underwriters in debt or equity security issuances. While some of these guarantees extend only for the duration of the underlying agreement, many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of landlords against third party claims for the use of real estate property leased by the Company, the Company maintains insurance coverage that mitigates any potential payments to be made.</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Guarantees</w:t>
      </w:r>
    </w:p>
    <w:p>
      <w:pPr>
        <w:spacing w:after="0" w:line="175" w:lineRule="exact"/>
        <w:rPr>
          <w:sz w:val="20"/>
          <w:szCs w:val="20"/>
          <w:color w:val="auto"/>
        </w:rPr>
      </w:pPr>
    </w:p>
    <w:p>
      <w:pPr>
        <w:ind w:left="360" w:right="40"/>
        <w:spacing w:after="0" w:line="255" w:lineRule="auto"/>
        <w:rPr>
          <w:sz w:val="20"/>
          <w:szCs w:val="20"/>
          <w:color w:val="auto"/>
        </w:rPr>
      </w:pPr>
      <w:r>
        <w:rPr>
          <w:rFonts w:ascii="Times New Roman" w:cs="Times New Roman" w:eastAsia="Times New Roman" w:hAnsi="Times New Roman"/>
          <w:sz w:val="18"/>
          <w:szCs w:val="18"/>
          <w:color w:val="auto"/>
        </w:rPr>
        <w:t>The Company has provided certain guarantees to subsidiaries of Realogy, Wyndham and Travelport which, as previously discussed, were disposed during third quarter 2006. These guarantees relate primarily to various real estate and product operating leases. The maximum potential amount of future payments that the Company may be required to make under the guarantees relating to the various real estate and product operating leases is estimated to be approximately $367 million. At December 31, 2007, the liability recorded by the Company in connection with these guarantees was approximately $6 million. To the extent that the Company would be required to perform under any of these guarantees, the Company is entitled to indemnification by Realogy, Wyndham and Travelport.</w:t>
      </w:r>
    </w:p>
    <w:p>
      <w:pPr>
        <w:spacing w:after="0" w:line="139" w:lineRule="exact"/>
        <w:rPr>
          <w:sz w:val="20"/>
          <w:szCs w:val="20"/>
          <w:color w:val="auto"/>
        </w:rPr>
      </w:pPr>
    </w:p>
    <w:p>
      <w:pPr>
        <w:ind w:left="360" w:right="80"/>
        <w:spacing w:after="0" w:line="256" w:lineRule="auto"/>
        <w:rPr>
          <w:sz w:val="20"/>
          <w:szCs w:val="20"/>
          <w:color w:val="auto"/>
        </w:rPr>
      </w:pPr>
      <w:r>
        <w:rPr>
          <w:rFonts w:ascii="Times New Roman" w:cs="Times New Roman" w:eastAsia="Times New Roman" w:hAnsi="Times New Roman"/>
          <w:sz w:val="18"/>
          <w:szCs w:val="18"/>
          <w:color w:val="auto"/>
        </w:rPr>
        <w:t>The Company has provided certain guarantees to subsidiaries of PHH, which, as previously discussed, was spun-off during first quarter 2005. These guarantees relate primarily to various real estate and product operating leases. The maximum potential amount of future payments that the Company may be required to make under the guarantees relating to the various real estate and product operating leases is estimated to be approximately $19 million. At December 31, 2007, the liability recorded by the Company in connection with these guarantees was $1 million. To the extent that the Company would be required to perform under any of these guarantees, PHH has agreed to indemnify the Company.</w:t>
      </w:r>
    </w:p>
    <w:p>
      <w:pPr>
        <w:spacing w:after="0" w:line="139" w:lineRule="exact"/>
        <w:rPr>
          <w:sz w:val="20"/>
          <w:szCs w:val="20"/>
          <w:color w:val="auto"/>
        </w:rPr>
      </w:pPr>
    </w:p>
    <w:p>
      <w:pPr>
        <w:ind w:left="360"/>
        <w:spacing w:after="0" w:line="288" w:lineRule="auto"/>
        <w:rPr>
          <w:sz w:val="20"/>
          <w:szCs w:val="20"/>
          <w:color w:val="auto"/>
        </w:rPr>
      </w:pPr>
      <w:r>
        <w:rPr>
          <w:rFonts w:ascii="Times New Roman" w:cs="Times New Roman" w:eastAsia="Times New Roman" w:hAnsi="Times New Roman"/>
          <w:sz w:val="16"/>
          <w:szCs w:val="16"/>
          <w:color w:val="auto"/>
        </w:rPr>
        <w:t>In connection with the Company’s disposition of its Marketing Services division (“MSD”), the Company agreed to provide certain indemnifications related to, among other things, litigation matters related to various suits brought against MSD by individual consumers and state regulatory authorities seeking monetary and/or injunctive relief regarding the marketing of certain membership programs and inquiries from state regulatory authorities related to such programs. Such indemnification entitles the purchaser to reimbursement for a portion of the actual losses suffered by it in regards to such matters. In addition, pursuant to a number of post-closing commercial arrangements entered into between certain of the Company’s subsidiaries and MSD, the Company also agreed to provide a minimum number of call transfers to certain MSD subsidiaries, as well as retaining pre-existing guarantee obligations for certain real estate operating lease obligations on behalf of certain MSD subsidiaries. The Company established a liability for the estimated fair value of these guarantees in the amount of approximately $100 million on the sale date, which reduced the gain on the transaction recorded within discontinued operations. The residual liability of December 31, 2007 was $68 million. The maximum potential amount of future payments to be made under these guarantees is approximately $315 million excluding one litigation matter for which there is no limitation to the maximum potential amount of future payments.</w:t>
      </w:r>
    </w:p>
    <w:p>
      <w:pPr>
        <w:spacing w:after="0" w:line="115" w:lineRule="exact"/>
        <w:rPr>
          <w:sz w:val="20"/>
          <w:szCs w:val="20"/>
          <w:color w:val="auto"/>
        </w:rPr>
      </w:pPr>
    </w:p>
    <w:p>
      <w:pPr>
        <w:jc w:val="center"/>
        <w:ind w:right="80"/>
        <w:spacing w:after="0" w:line="447" w:lineRule="auto"/>
        <w:rPr>
          <w:sz w:val="20"/>
          <w:szCs w:val="20"/>
          <w:color w:val="auto"/>
        </w:rPr>
      </w:pPr>
      <w:r>
        <w:rPr>
          <w:rFonts w:ascii="Times New Roman" w:cs="Times New Roman" w:eastAsia="Times New Roman" w:hAnsi="Times New Roman"/>
          <w:sz w:val="18"/>
          <w:szCs w:val="18"/>
          <w:color w:val="auto"/>
        </w:rPr>
        <w:t>Realogy and Wyndham have agreed to assume responsibility for the Company’s liabilities relating to PHH and the former Marketing Services division. F-41</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right="9260" w:hanging="352"/>
        <w:spacing w:after="0" w:line="494" w:lineRule="auto"/>
        <w:tabs>
          <w:tab w:leader="none" w:pos="355"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w:t>
      </w:r>
      <w:r>
        <w:rPr>
          <w:rFonts w:ascii="Times New Roman" w:cs="Times New Roman" w:eastAsia="Times New Roman" w:hAnsi="Times New Roman"/>
          <w:sz w:val="16"/>
          <w:szCs w:val="16"/>
          <w:b w:val="1"/>
          <w:bCs w:val="1"/>
          <w:i w:val="1"/>
          <w:iCs w:val="1"/>
          <w:color w:val="auto"/>
        </w:rPr>
        <w:t>Cash Dividend Payments</w:t>
      </w:r>
    </w:p>
    <w:p>
      <w:pPr>
        <w:ind w:left="360" w:right="2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2007, the Company did not pay cash dividends. During 2006 and 2005, the Company paid cash dividends of $113 million ($1.10 per share in first quarter) and $423 million ($0.90 per share in first and second quarters and $1.10 per share in third and fourth quarters), respectively. Such per share dividend amounts have been adjusted for the 1-for-10 reverse stock split of the Company’s common stock, which became effective September 5, 2006.</w:t>
      </w:r>
    </w:p>
    <w:p>
      <w:pPr>
        <w:spacing w:after="0" w:line="128"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rFonts w:ascii="Times New Roman" w:cs="Times New Roman" w:eastAsia="Times New Roman" w:hAnsi="Times New Roman"/>
          <w:sz w:val="16"/>
          <w:szCs w:val="16"/>
          <w:b w:val="1"/>
          <w:bCs w:val="1"/>
          <w:color w:val="auto"/>
        </w:rPr>
      </w:pPr>
    </w:p>
    <w:p>
      <w:pPr>
        <w:ind w:left="360" w:right="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During 2007, the Company did not repurchase any shares of its common stock. In 2006, the Company used $221 million of available cash and $22 million of proceeds primarily received in connection with option exercises to repurchase $243 million of common stock. During 2005, the Company used approximately $1.1 billion of available cash and $289 million of proceeds primarily received in connection with option exercises to repurchase approximately $1.3 billion of common stock.</w:t>
      </w:r>
    </w:p>
    <w:p>
      <w:pPr>
        <w:spacing w:after="0" w:line="136" w:lineRule="exact"/>
        <w:rPr>
          <w:rFonts w:ascii="Times New Roman" w:cs="Times New Roman" w:eastAsia="Times New Roman" w:hAnsi="Times New Roman"/>
          <w:sz w:val="16"/>
          <w:szCs w:val="16"/>
          <w:b w:val="1"/>
          <w:bCs w:val="1"/>
          <w:color w:val="auto"/>
        </w:rPr>
      </w:pPr>
    </w:p>
    <w:p>
      <w:pPr>
        <w:ind w:left="360" w:right="340"/>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On January 23, 2008, the Company’s Board of Directors authorized the repurchase of up to $50 million of the Company’s common stock (see Note 26— Subsequent Events). The Company may repurchase shares from time to time and the timing and amount of repurchase transactions, if any, will be determined by the Company’s management based on its evaluation of market conditions, share price, legal requirements and other factors.</w:t>
      </w:r>
    </w:p>
    <w:p>
      <w:pPr>
        <w:spacing w:after="0" w:line="128"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75" w:lineRule="exact"/>
        <w:rPr>
          <w:rFonts w:ascii="Times New Roman" w:cs="Times New Roman" w:eastAsia="Times New Roman" w:hAnsi="Times New Roman"/>
          <w:sz w:val="16"/>
          <w:szCs w:val="16"/>
          <w:b w:val="1"/>
          <w:bCs w:val="1"/>
          <w:color w:val="auto"/>
        </w:rPr>
      </w:pP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after-tax components of accumulated other comprehensive income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18"/>
                <w:szCs w:val="18"/>
                <w:color w:val="auto"/>
              </w:rPr>
            </w:pPr>
          </w:p>
        </w:tc>
        <w:tc>
          <w:tcPr>
            <w:tcW w:w="15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6"/>
              </w:rPr>
              <w:t>(Losses)</w:t>
            </w:r>
          </w:p>
        </w:tc>
        <w:tc>
          <w:tcPr>
            <w:tcW w:w="16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(Losses) on</w:t>
            </w: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00" w:type="dxa"/>
            <w:vAlign w:val="bottom"/>
          </w:tcPr>
          <w:p>
            <w:pPr>
              <w:spacing w:after="0"/>
              <w:rPr>
                <w:sz w:val="18"/>
                <w:szCs w:val="18"/>
                <w:color w:val="auto"/>
              </w:rPr>
            </w:pPr>
          </w:p>
        </w:tc>
        <w:tc>
          <w:tcPr>
            <w:tcW w:w="15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on Cash</w:t>
            </w:r>
          </w:p>
        </w:tc>
        <w:tc>
          <w:tcPr>
            <w:tcW w:w="16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Available-</w:t>
            </w:r>
          </w:p>
        </w:tc>
        <w:tc>
          <w:tcPr>
            <w:tcW w:w="12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Pension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Other</w:t>
            </w:r>
          </w:p>
        </w:tc>
      </w:tr>
      <w:tr>
        <w:trPr>
          <w:trHeight w:val="216"/>
        </w:trPr>
        <w:tc>
          <w:tcPr>
            <w:tcW w:w="35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00" w:type="dxa"/>
            <w:vAlign w:val="bottom"/>
          </w:tcPr>
          <w:p>
            <w:pPr>
              <w:spacing w:after="0"/>
              <w:rPr>
                <w:sz w:val="18"/>
                <w:szCs w:val="18"/>
                <w:color w:val="auto"/>
              </w:rPr>
            </w:pPr>
          </w:p>
        </w:tc>
        <w:tc>
          <w:tcPr>
            <w:tcW w:w="15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Flow</w:t>
            </w:r>
          </w:p>
        </w:tc>
        <w:tc>
          <w:tcPr>
            <w:tcW w:w="100" w:type="dxa"/>
            <w:vAlign w:val="bottom"/>
          </w:tcPr>
          <w:p>
            <w:pPr>
              <w:spacing w:after="0"/>
              <w:rPr>
                <w:sz w:val="18"/>
                <w:szCs w:val="18"/>
                <w:color w:val="auto"/>
              </w:rPr>
            </w:pPr>
          </w:p>
        </w:tc>
        <w:tc>
          <w:tcPr>
            <w:tcW w:w="15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5"/>
              </w:rPr>
              <w:t>for-Sale</w:t>
            </w:r>
          </w:p>
        </w:tc>
        <w:tc>
          <w:tcPr>
            <w:tcW w:w="12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Liability</w:t>
            </w:r>
          </w:p>
        </w:tc>
        <w:tc>
          <w:tcPr>
            <w:tcW w:w="3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Comprehensive</w:t>
            </w:r>
          </w:p>
        </w:tc>
      </w:tr>
      <w:tr>
        <w:trPr>
          <w:trHeight w:val="230"/>
        </w:trPr>
        <w:tc>
          <w:tcPr>
            <w:tcW w:w="35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0"/>
                <w:szCs w:val="20"/>
                <w:color w:val="auto"/>
              </w:rPr>
            </w:pPr>
          </w:p>
        </w:tc>
        <w:tc>
          <w:tcPr>
            <w:tcW w:w="15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6"/>
              </w:rPr>
              <w:t>Hedges</w:t>
            </w: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380" w:type="dxa"/>
            <w:vAlign w:val="bottom"/>
          </w:tcPr>
          <w:p>
            <w:pPr>
              <w:spacing w:after="0"/>
              <w:rPr>
                <w:sz w:val="20"/>
                <w:szCs w:val="20"/>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r>
      <w:tr>
        <w:trPr>
          <w:trHeight w:val="197"/>
        </w:trPr>
        <w:tc>
          <w:tcPr>
            <w:tcW w:w="3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Balance, January 1, 2005</w:t>
            </w:r>
          </w:p>
        </w:tc>
        <w:tc>
          <w:tcPr>
            <w:tcW w:w="10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308</w:t>
            </w:r>
          </w:p>
        </w:tc>
        <w:tc>
          <w:tcPr>
            <w:tcW w:w="7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20</w:t>
            </w:r>
          </w:p>
        </w:tc>
        <w:tc>
          <w:tcPr>
            <w:tcW w:w="8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16</w:t>
            </w:r>
          </w:p>
        </w:tc>
        <w:tc>
          <w:tcPr>
            <w:tcW w:w="780" w:type="dxa"/>
            <w:vAlign w:val="bottom"/>
          </w:tcPr>
          <w:p>
            <w:pPr>
              <w:spacing w:after="0"/>
              <w:rPr>
                <w:sz w:val="17"/>
                <w:szCs w:val="17"/>
                <w:color w:val="auto"/>
              </w:rPr>
            </w:pPr>
          </w:p>
        </w:tc>
        <w:tc>
          <w:tcPr>
            <w:tcW w:w="1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(70)</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Effect of PHH spin-off</w:t>
            </w:r>
          </w:p>
        </w:tc>
        <w:tc>
          <w:tcPr>
            <w:tcW w:w="1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0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dispositions</w:t>
            </w:r>
          </w:p>
        </w:tc>
        <w:tc>
          <w:tcPr>
            <w:tcW w:w="1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9"/>
                <w:szCs w:val="19"/>
                <w:color w:val="auto"/>
              </w:rPr>
            </w:pPr>
          </w:p>
        </w:tc>
      </w:tr>
      <w:tr>
        <w:trPr>
          <w:trHeight w:val="21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2006</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8"/>
                <w:szCs w:val="18"/>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2007</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220"/>
        <w:spacing w:after="0" w:line="256" w:lineRule="auto"/>
        <w:rPr>
          <w:sz w:val="20"/>
          <w:szCs w:val="20"/>
          <w:color w:val="auto"/>
        </w:rPr>
      </w:pPr>
      <w:r>
        <w:rPr>
          <w:rFonts w:ascii="Times New Roman" w:cs="Times New Roman" w:eastAsia="Times New Roman" w:hAnsi="Times New Roman"/>
          <w:sz w:val="18"/>
          <w:szCs w:val="18"/>
          <w:color w:val="auto"/>
        </w:rPr>
        <w:t>During 2007, the Company recorded unrealized losses on cash flow hedges of $152 million ($93 million, net of tax), in accumulated other comprehensive income which primarily related to the derivatives used to manage the interest-rate risk associated with the Company’s vehicle-backed debt and the Company’s floating rate debt (see Note 22—Financial Instruments for more information). Such amount in 2007 includes $131 million of unrealized losses ($80 million, net of tax) on cash flow hedges related to the Company’s vehicle-backed debt and is offset by a corresponding decrease in the Company’s Investment in AESOP on the Consolidated Balance Sheet.</w:t>
      </w:r>
    </w:p>
    <w:p>
      <w:pPr>
        <w:spacing w:after="0" w:line="139" w:lineRule="exact"/>
        <w:rPr>
          <w:sz w:val="20"/>
          <w:szCs w:val="20"/>
          <w:color w:val="auto"/>
        </w:rPr>
      </w:pPr>
    </w:p>
    <w:p>
      <w:pPr>
        <w:ind w:left="360" w:right="200"/>
        <w:spacing w:after="0" w:line="275" w:lineRule="auto"/>
        <w:rPr>
          <w:sz w:val="20"/>
          <w:szCs w:val="20"/>
          <w:color w:val="auto"/>
        </w:rPr>
      </w:pPr>
      <w:r>
        <w:rPr>
          <w:rFonts w:ascii="Times New Roman" w:cs="Times New Roman" w:eastAsia="Times New Roman" w:hAnsi="Times New Roman"/>
          <w:sz w:val="18"/>
          <w:szCs w:val="18"/>
          <w:color w:val="auto"/>
        </w:rPr>
        <w:t>All components of accumulated other comprehensive income are net of tax except currency translation adjustments, which exclude income taxes related to indefinite investments in foreign subsidiaries.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3" w:lineRule="exact"/>
        <w:rPr>
          <w:rFonts w:ascii="Times New Roman" w:cs="Times New Roman" w:eastAsia="Times New Roman" w:hAnsi="Times New Roman"/>
          <w:sz w:val="18"/>
          <w:szCs w:val="18"/>
          <w:b w:val="1"/>
          <w:bCs w:val="1"/>
          <w:color w:val="auto"/>
        </w:rPr>
      </w:pPr>
    </w:p>
    <w:p>
      <w:pPr>
        <w:ind w:left="3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Company may grant stock options, stock appreciation rights (“SARs”), restricted shares and restricted stock units (“RSUs”) to its employees, including directors and officers of the Company and its affiliates. Beginning in 2003, the Company changed the method by which it provides stock-based compensation to its employees by significantly reducing the number of stock options granted and instead, issuing RSUs as a form of compensation. Additionally, in 2006, the Company issued stock-settled stock appreciation rights to certain executives. As of December 31, 2007 the Company’s active stock plan consists of the 2007 Equity and Incentive Plan, under which the Company is authorized to grant up to 8 million shares of its common stock and approximately 8 million shares were available for future grants. The Company may settle employee stock option exercises with treasury shares. The Company issues shares related to vested RSUs from treasury shares. The Company applies the direct method and tax law ordering approach to calculate the tax effects of stock-based compensation. In jurisdictions with net operating loss carryforwards, tax deductions for 2007 exercises of stock-based awards did not generate a cash benefit. Approximately $31 million of tax benefits will be recorded in additional paid-in capital when realized in these jurisdictions.</w:t>
      </w:r>
    </w:p>
    <w:p>
      <w:pPr>
        <w:spacing w:after="0" w:line="108"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rFonts w:ascii="Times New Roman" w:cs="Times New Roman" w:eastAsia="Times New Roman" w:hAnsi="Times New Roman"/>
          <w:sz w:val="18"/>
          <w:szCs w:val="18"/>
          <w:b w:val="1"/>
          <w:bCs w:val="1"/>
          <w:color w:val="auto"/>
        </w:rPr>
      </w:pPr>
    </w:p>
    <w:p>
      <w:pPr>
        <w:jc w:val="both"/>
        <w:ind w:left="360" w:right="2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spin-offs of Realogy and Wyndham, all previously outstanding and unvested stock options vested and converted into stock options of Avis Budget, Realogy and Wyndham. Although no stock options were granted during 2007 and 2006, the Company may grant stock options that vest based on performance and/or time vesting criteria.</w:t>
      </w:r>
    </w:p>
    <w:p>
      <w:pPr>
        <w:spacing w:after="0" w:line="132"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activity of the Company’s common stock option plans consisted of (in thousands of shares):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7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7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6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42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42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2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2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32"/>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00" w:type="dxa"/>
            <w:vAlign w:val="bottom"/>
          </w:tcPr>
          <w:p>
            <w:pPr>
              <w:spacing w:after="0"/>
              <w:rPr>
                <w:sz w:val="20"/>
                <w:szCs w:val="20"/>
                <w:color w:val="auto"/>
              </w:rPr>
            </w:pPr>
          </w:p>
        </w:tc>
        <w:tc>
          <w:tcPr>
            <w:tcW w:w="720" w:type="dxa"/>
            <w:vAlign w:val="bottom"/>
          </w:tcPr>
          <w:p>
            <w:pPr>
              <w:jc w:val="center"/>
              <w:spacing w:after="0" w:line="232" w:lineRule="exact"/>
              <w:rPr>
                <w:sz w:val="20"/>
                <w:szCs w:val="20"/>
                <w:color w:val="auto"/>
              </w:rPr>
            </w:pPr>
            <w:r>
              <w:rPr>
                <w:rFonts w:ascii="Times New Roman" w:cs="Times New Roman" w:eastAsia="Times New Roman" w:hAnsi="Times New Roman"/>
                <w:sz w:val="18"/>
                <w:szCs w:val="18"/>
                <w:b w:val="1"/>
                <w:bCs w:val="1"/>
                <w:color w:val="auto"/>
                <w:w w:val="92"/>
              </w:rPr>
              <w:t xml:space="preserve">Price </w:t>
            </w:r>
            <w:r>
              <w:rPr>
                <w:rFonts w:ascii="Times New Roman" w:cs="Times New Roman" w:eastAsia="Times New Roman" w:hAnsi="Times New Roman"/>
                <w:sz w:val="22"/>
                <w:szCs w:val="22"/>
                <w:b w:val="1"/>
                <w:bCs w:val="1"/>
                <w:color w:val="auto"/>
                <w:w w:val="92"/>
                <w:vertAlign w:val="superscript"/>
              </w:rPr>
              <w:t>(e)</w:t>
            </w:r>
          </w:p>
        </w:tc>
        <w:tc>
          <w:tcPr>
            <w:tcW w:w="420" w:type="dxa"/>
            <w:vAlign w:val="bottom"/>
          </w:tcPr>
          <w:p>
            <w:pPr>
              <w:spacing w:after="0"/>
              <w:rPr>
                <w:sz w:val="20"/>
                <w:szCs w:val="20"/>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00" w:type="dxa"/>
            <w:vAlign w:val="bottom"/>
          </w:tcPr>
          <w:p>
            <w:pPr>
              <w:spacing w:after="0"/>
              <w:rPr>
                <w:sz w:val="20"/>
                <w:szCs w:val="20"/>
                <w:color w:val="auto"/>
              </w:rPr>
            </w:pPr>
          </w:p>
        </w:tc>
        <w:tc>
          <w:tcPr>
            <w:tcW w:w="720" w:type="dxa"/>
            <w:vAlign w:val="bottom"/>
          </w:tcPr>
          <w:p>
            <w:pPr>
              <w:jc w:val="center"/>
              <w:spacing w:after="0" w:line="232" w:lineRule="exact"/>
              <w:rPr>
                <w:sz w:val="20"/>
                <w:szCs w:val="20"/>
                <w:color w:val="auto"/>
              </w:rPr>
            </w:pPr>
            <w:r>
              <w:rPr>
                <w:rFonts w:ascii="Times New Roman" w:cs="Times New Roman" w:eastAsia="Times New Roman" w:hAnsi="Times New Roman"/>
                <w:sz w:val="18"/>
                <w:szCs w:val="18"/>
                <w:b w:val="1"/>
                <w:bCs w:val="1"/>
                <w:color w:val="auto"/>
                <w:w w:val="92"/>
              </w:rPr>
              <w:t xml:space="preserve">Price </w:t>
            </w:r>
            <w:r>
              <w:rPr>
                <w:rFonts w:ascii="Times New Roman" w:cs="Times New Roman" w:eastAsia="Times New Roman" w:hAnsi="Times New Roman"/>
                <w:sz w:val="22"/>
                <w:szCs w:val="22"/>
                <w:b w:val="1"/>
                <w:bCs w:val="1"/>
                <w:color w:val="auto"/>
                <w:w w:val="92"/>
                <w:vertAlign w:val="superscript"/>
              </w:rPr>
              <w:t>(e)</w:t>
            </w:r>
          </w:p>
        </w:tc>
        <w:tc>
          <w:tcPr>
            <w:tcW w:w="420" w:type="dxa"/>
            <w:vAlign w:val="bottom"/>
          </w:tcPr>
          <w:p>
            <w:pPr>
              <w:spacing w:after="0"/>
              <w:rPr>
                <w:sz w:val="20"/>
                <w:szCs w:val="20"/>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00" w:type="dxa"/>
            <w:vAlign w:val="bottom"/>
          </w:tcPr>
          <w:p>
            <w:pPr>
              <w:spacing w:after="0"/>
              <w:rPr>
                <w:sz w:val="20"/>
                <w:szCs w:val="20"/>
                <w:color w:val="auto"/>
              </w:rPr>
            </w:pPr>
          </w:p>
        </w:tc>
        <w:tc>
          <w:tcPr>
            <w:tcW w:w="780" w:type="dxa"/>
            <w:vAlign w:val="bottom"/>
            <w:gridSpan w:val="2"/>
          </w:tcPr>
          <w:p>
            <w:pPr>
              <w:jc w:val="center"/>
              <w:ind w:right="60"/>
              <w:spacing w:after="0" w:line="232" w:lineRule="exact"/>
              <w:rPr>
                <w:sz w:val="20"/>
                <w:szCs w:val="20"/>
                <w:color w:val="auto"/>
              </w:rPr>
            </w:pPr>
            <w:r>
              <w:rPr>
                <w:rFonts w:ascii="Times New Roman" w:cs="Times New Roman" w:eastAsia="Times New Roman" w:hAnsi="Times New Roman"/>
                <w:sz w:val="18"/>
                <w:szCs w:val="18"/>
                <w:b w:val="1"/>
                <w:bCs w:val="1"/>
                <w:color w:val="auto"/>
                <w:w w:val="92"/>
              </w:rPr>
              <w:t xml:space="preserve">Price </w:t>
            </w:r>
            <w:r>
              <w:rPr>
                <w:rFonts w:ascii="Times New Roman" w:cs="Times New Roman" w:eastAsia="Times New Roman" w:hAnsi="Times New Roman"/>
                <w:sz w:val="22"/>
                <w:szCs w:val="22"/>
                <w:b w:val="1"/>
                <w:bCs w:val="1"/>
                <w:color w:val="auto"/>
                <w:w w:val="92"/>
                <w:vertAlign w:val="superscript"/>
              </w:rPr>
              <w:t>(e)</w:t>
            </w:r>
          </w:p>
        </w:tc>
      </w:tr>
      <w:tr>
        <w:trPr>
          <w:trHeight w:val="195"/>
        </w:trPr>
        <w:tc>
          <w:tcPr>
            <w:tcW w:w="50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11,037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27.22</w:t>
            </w:r>
          </w:p>
        </w:tc>
        <w:tc>
          <w:tcPr>
            <w:tcW w:w="42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12,890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27.12</w:t>
            </w:r>
          </w:p>
        </w:tc>
        <w:tc>
          <w:tcPr>
            <w:tcW w:w="42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15,071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26.73</w:t>
            </w:r>
          </w:p>
        </w:tc>
        <w:tc>
          <w:tcPr>
            <w:tcW w:w="60" w:type="dxa"/>
            <w:vAlign w:val="bottom"/>
          </w:tcPr>
          <w:p>
            <w:pPr>
              <w:spacing w:after="0"/>
              <w:rPr>
                <w:sz w:val="16"/>
                <w:szCs w:val="16"/>
                <w:color w:val="auto"/>
              </w:rPr>
            </w:pPr>
          </w:p>
        </w:tc>
      </w:tr>
      <w:tr>
        <w:trPr>
          <w:trHeight w:val="216"/>
        </w:trPr>
        <w:tc>
          <w:tcPr>
            <w:tcW w:w="5000" w:type="dxa"/>
            <w:vAlign w:val="bottom"/>
            <w:gridSpan w:val="3"/>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Granted at fair market value </w:t>
            </w:r>
            <w:r>
              <w:rPr>
                <w:rFonts w:ascii="Times New Roman" w:cs="Times New Roman" w:eastAsia="Times New Roman" w:hAnsi="Times New Roman"/>
                <w:sz w:val="22"/>
                <w:szCs w:val="22"/>
                <w:color w:val="auto"/>
                <w:vertAlign w:val="superscript"/>
              </w:rPr>
              <w:t>(a)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60" w:type="dxa"/>
            <w:vAlign w:val="bottom"/>
          </w:tcPr>
          <w:p>
            <w:pPr>
              <w:spacing w:after="0"/>
              <w:rPr>
                <w:sz w:val="18"/>
                <w:szCs w:val="18"/>
                <w:color w:val="auto"/>
              </w:rPr>
            </w:pPr>
          </w:p>
        </w:tc>
      </w:tr>
      <w:tr>
        <w:trPr>
          <w:trHeight w:val="216"/>
        </w:trPr>
        <w:tc>
          <w:tcPr>
            <w:tcW w:w="5000" w:type="dxa"/>
            <w:vAlign w:val="bottom"/>
            <w:gridSpan w:val="3"/>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Granted in connection with PHH spin-off </w:t>
            </w:r>
            <w:r>
              <w:rPr>
                <w:rFonts w:ascii="Times New Roman" w:cs="Times New Roman" w:eastAsia="Times New Roman" w:hAnsi="Times New Roman"/>
                <w:sz w:val="22"/>
                <w:szCs w:val="22"/>
                <w:color w:val="auto"/>
                <w:vertAlign w:val="superscript"/>
              </w:rPr>
              <w:t>(b)</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gridSpan w:val="3"/>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2"/>
                <w:szCs w:val="22"/>
                <w:color w:val="auto"/>
                <w:vertAlign w:val="superscript"/>
              </w:rPr>
              <w:t>(c)</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60" w:type="dxa"/>
            <w:vAlign w:val="bottom"/>
          </w:tcPr>
          <w:p>
            <w:pPr>
              <w:spacing w:after="0"/>
              <w:rPr>
                <w:sz w:val="18"/>
                <w:szCs w:val="18"/>
                <w:color w:val="auto"/>
              </w:rPr>
            </w:pPr>
          </w:p>
        </w:tc>
      </w:tr>
      <w:tr>
        <w:trPr>
          <w:trHeight w:val="228"/>
        </w:trPr>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60" w:type="dxa"/>
            <w:vAlign w:val="bottom"/>
          </w:tcPr>
          <w:p>
            <w:pPr>
              <w:spacing w:after="0"/>
              <w:rPr>
                <w:sz w:val="19"/>
                <w:szCs w:val="19"/>
                <w:color w:val="auto"/>
              </w:rPr>
            </w:pPr>
          </w:p>
        </w:tc>
      </w:tr>
      <w:tr>
        <w:trPr>
          <w:trHeight w:val="225"/>
        </w:trPr>
        <w:tc>
          <w:tcPr>
            <w:tcW w:w="5000" w:type="dxa"/>
            <w:vAlign w:val="bottom"/>
            <w:gridSpan w:val="3"/>
          </w:tcPr>
          <w:p>
            <w:pPr>
              <w:spacing w:after="0" w:line="225" w:lineRule="exact"/>
              <w:rPr>
                <w:sz w:val="20"/>
                <w:szCs w:val="20"/>
                <w:color w:val="auto"/>
              </w:rPr>
            </w:pPr>
            <w:r>
              <w:rPr>
                <w:rFonts w:ascii="Times New Roman" w:cs="Times New Roman" w:eastAsia="Times New Roman" w:hAnsi="Times New Roman"/>
                <w:sz w:val="18"/>
                <w:szCs w:val="18"/>
                <w:color w:val="auto"/>
              </w:rPr>
              <w:t xml:space="preserve">Balance at end of year </w:t>
            </w:r>
            <w:r>
              <w:rPr>
                <w:rFonts w:ascii="Times New Roman" w:cs="Times New Roman" w:eastAsia="Times New Roman" w:hAnsi="Times New Roman"/>
                <w:sz w:val="22"/>
                <w:szCs w:val="22"/>
                <w:color w:val="auto"/>
                <w:vertAlign w:val="superscript"/>
              </w:rPr>
              <w:t>(d)</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5,963</w:t>
            </w:r>
          </w:p>
        </w:tc>
        <w:tc>
          <w:tcPr>
            <w:tcW w:w="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6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109"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(a)</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(b)</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(c)</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(d)</w:t>
      </w: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1"/>
          <w:szCs w:val="11"/>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203" w:lineRule="auto"/>
        <w:rPr>
          <w:sz w:val="20"/>
          <w:szCs w:val="20"/>
          <w:color w:val="auto"/>
        </w:rPr>
      </w:pPr>
      <w:r>
        <w:rPr>
          <w:rFonts w:ascii="Times New Roman" w:cs="Times New Roman" w:eastAsia="Times New Roman" w:hAnsi="Times New Roman"/>
          <w:sz w:val="18"/>
          <w:szCs w:val="18"/>
          <w:color w:val="auto"/>
        </w:rPr>
        <w:t>Reflects the maximum number of options assuming achievement of all performance and time vesting criteria.</w:t>
      </w:r>
    </w:p>
    <w:p>
      <w:pPr>
        <w:spacing w:after="0" w:line="204" w:lineRule="auto"/>
        <w:rPr>
          <w:sz w:val="20"/>
          <w:szCs w:val="20"/>
          <w:color w:val="auto"/>
        </w:rPr>
      </w:pPr>
      <w:r>
        <w:rPr>
          <w:rFonts w:ascii="Times New Roman" w:cs="Times New Roman" w:eastAsia="Times New Roman" w:hAnsi="Times New Roman"/>
          <w:sz w:val="18"/>
          <w:szCs w:val="18"/>
          <w:color w:val="auto"/>
        </w:rPr>
        <w:t>As a result of the spin-off of PHH, the Company granted incremental options and reduced the exercise price of each stock option.</w:t>
      </w:r>
    </w:p>
    <w:p>
      <w:pPr>
        <w:spacing w:after="0" w:line="203" w:lineRule="auto"/>
        <w:rPr>
          <w:sz w:val="20"/>
          <w:szCs w:val="20"/>
          <w:color w:val="auto"/>
        </w:rPr>
      </w:pPr>
      <w:r>
        <w:rPr>
          <w:rFonts w:ascii="Times New Roman" w:cs="Times New Roman" w:eastAsia="Times New Roman" w:hAnsi="Times New Roman"/>
          <w:sz w:val="18"/>
          <w:szCs w:val="18"/>
          <w:color w:val="auto"/>
        </w:rPr>
        <w:t>Stock options exercised during 2007, 2006 and 2005 had intrinsic value of $20 million, $23 million and $223 million, respectively.</w:t>
      </w:r>
    </w:p>
    <w:p>
      <w:pPr>
        <w:spacing w:after="0" w:line="1"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As of December 31, 2007, the Company’s outstanding “in-the-money” stock options had aggregate intrinsic value of less than $0.1 million. Aggregate unrecognized compensation expense related to outstanding stock options was zero as of December 31, 2007.</w:t>
      </w:r>
    </w:p>
    <w:p>
      <w:pPr>
        <w:ind w:right="240"/>
        <w:spacing w:after="0" w:line="238" w:lineRule="auto"/>
        <w:rPr>
          <w:sz w:val="20"/>
          <w:szCs w:val="20"/>
          <w:color w:val="auto"/>
        </w:rPr>
      </w:pPr>
      <w:r>
        <w:rPr>
          <w:rFonts w:ascii="Times New Roman" w:cs="Times New Roman" w:eastAsia="Times New Roman" w:hAnsi="Times New Roman"/>
          <w:sz w:val="18"/>
          <w:szCs w:val="18"/>
          <w:color w:val="auto"/>
        </w:rPr>
        <w:t>As a result of the spin-offs of Realogy and Wyndham on July 31, 2006, the exercise price of each option was adjusted downward by a proportionate value. Such amounts were then revised to reflect the 1-for-10 reverse stock split, which became effective on September 5, 2006.</w:t>
      </w:r>
    </w:p>
    <w:p>
      <w:pPr>
        <w:spacing w:after="0" w:line="12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2">
            <w:col w:w="480" w:space="320"/>
            <w:col w:w="10620"/>
          </w:cols>
          <w:pgMar w:left="240" w:top="455" w:right="2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420"/>
        <w:spacing w:after="0" w:line="275" w:lineRule="auto"/>
        <w:rPr>
          <w:sz w:val="20"/>
          <w:szCs w:val="20"/>
          <w:color w:val="auto"/>
        </w:rPr>
      </w:pPr>
      <w:r>
        <w:rPr>
          <w:rFonts w:ascii="Times New Roman" w:cs="Times New Roman" w:eastAsia="Times New Roman" w:hAnsi="Times New Roman"/>
          <w:sz w:val="18"/>
          <w:szCs w:val="18"/>
          <w:color w:val="auto"/>
        </w:rPr>
        <w:t>The table below summarizes information regarding the Company’s outstanding and exercisable stock options as of December 31, 2007 (in thousands of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Outstanding and Exercisable Options</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20" w:type="dxa"/>
            <w:vAlign w:val="bottom"/>
            <w:gridSpan w:val="2"/>
          </w:tcPr>
          <w:p>
            <w:pPr>
              <w:jc w:val="center"/>
              <w:ind w:right="860"/>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0" w:type="dxa"/>
            <w:vAlign w:val="bottom"/>
          </w:tcPr>
          <w:p>
            <w:pPr>
              <w:spacing w:after="0"/>
              <w:rPr>
                <w:sz w:val="1"/>
                <w:szCs w:val="1"/>
                <w:color w:val="auto"/>
              </w:rPr>
            </w:pPr>
          </w:p>
        </w:tc>
      </w:tr>
      <w:tr>
        <w:trPr>
          <w:trHeight w:val="216"/>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860" w:type="dxa"/>
            <w:vAlign w:val="bottom"/>
          </w:tcPr>
          <w:p>
            <w:pPr>
              <w:spacing w:after="0"/>
              <w:rPr>
                <w:sz w:val="18"/>
                <w:szCs w:val="18"/>
                <w:color w:val="auto"/>
              </w:rPr>
            </w:pPr>
          </w:p>
        </w:tc>
        <w:tc>
          <w:tcPr>
            <w:tcW w:w="20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03"/>
        </w:trPr>
        <w:tc>
          <w:tcPr>
            <w:tcW w:w="6860" w:type="dxa"/>
            <w:vAlign w:val="bottom"/>
            <w:gridSpan w:val="2"/>
            <w:vMerge w:val="continue"/>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tcPr>
          <w:p>
            <w:pPr>
              <w:spacing w:after="0"/>
              <w:rPr>
                <w:sz w:val="17"/>
                <w:szCs w:val="17"/>
                <w:color w:val="auto"/>
              </w:rPr>
            </w:pPr>
          </w:p>
        </w:tc>
        <w:tc>
          <w:tcPr>
            <w:tcW w:w="2020" w:type="dxa"/>
            <w:vAlign w:val="bottom"/>
            <w:gridSpan w:val="2"/>
          </w:tcPr>
          <w:p>
            <w:pPr>
              <w:jc w:val="center"/>
              <w:ind w:right="8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80" w:type="dxa"/>
            <w:vAlign w:val="bottom"/>
          </w:tcPr>
          <w:p>
            <w:pPr>
              <w:spacing w:after="0"/>
              <w:rPr>
                <w:sz w:val="17"/>
                <w:szCs w:val="17"/>
                <w:color w:val="auto"/>
              </w:rPr>
            </w:pPr>
          </w:p>
        </w:tc>
        <w:tc>
          <w:tcPr>
            <w:tcW w:w="8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0" w:type="dxa"/>
            <w:vAlign w:val="bottom"/>
          </w:tcPr>
          <w:p>
            <w:pPr>
              <w:spacing w:after="0"/>
              <w:rPr>
                <w:sz w:val="1"/>
                <w:szCs w:val="1"/>
                <w:color w:val="auto"/>
              </w:rPr>
            </w:pPr>
          </w:p>
        </w:tc>
      </w:tr>
      <w:tr>
        <w:trPr>
          <w:trHeight w:val="25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60" w:type="dxa"/>
            <w:vAlign w:val="bottom"/>
          </w:tcPr>
          <w:p>
            <w:pPr>
              <w:spacing w:after="0"/>
              <w:rPr>
                <w:sz w:val="21"/>
                <w:szCs w:val="21"/>
                <w:color w:val="auto"/>
              </w:rPr>
            </w:pPr>
          </w:p>
        </w:tc>
        <w:tc>
          <w:tcPr>
            <w:tcW w:w="20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80" w:type="dxa"/>
            <w:vAlign w:val="bottom"/>
          </w:tcPr>
          <w:p>
            <w:pPr>
              <w:spacing w:after="0"/>
              <w:rPr>
                <w:sz w:val="21"/>
                <w:szCs w:val="21"/>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93"/>
              </w:rPr>
              <w:t>Less than $20.00</w:t>
            </w:r>
          </w:p>
        </w:tc>
        <w:tc>
          <w:tcPr>
            <w:tcW w:w="5700" w:type="dxa"/>
            <w:vAlign w:val="bottom"/>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1,438</w:t>
            </w:r>
          </w:p>
        </w:tc>
        <w:tc>
          <w:tcPr>
            <w:tcW w:w="860" w:type="dxa"/>
            <w:vAlign w:val="bottom"/>
          </w:tcPr>
          <w:p>
            <w:pPr>
              <w:spacing w:after="0"/>
              <w:rPr>
                <w:sz w:val="16"/>
                <w:szCs w:val="16"/>
                <w:color w:val="auto"/>
              </w:rPr>
            </w:pPr>
          </w:p>
        </w:tc>
        <w:tc>
          <w:tcPr>
            <w:tcW w:w="11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8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 to $25.00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$25.01 to $30.00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8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$30.01 to $35.00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8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$35.01 and above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88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360" w:right="80"/>
        <w:spacing w:after="0" w:line="262" w:lineRule="auto"/>
        <w:rPr>
          <w:sz w:val="20"/>
          <w:szCs w:val="20"/>
          <w:color w:val="auto"/>
        </w:rPr>
      </w:pPr>
      <w:r>
        <w:rPr>
          <w:rFonts w:ascii="Times New Roman" w:cs="Times New Roman" w:eastAsia="Times New Roman" w:hAnsi="Times New Roman"/>
          <w:sz w:val="18"/>
          <w:szCs w:val="18"/>
          <w:color w:val="auto"/>
        </w:rPr>
        <w:t>The weighted-average grant-date fair value of common stock options granted during 2005 was $5.89. The fair values of these stock options estimated on the dates of grant using the Black-Scholes option-pricing model with the following weighted average assumptions: dividend yield—1.7%; expected volatility— 30.0%; risk-free interest rate—3.8%; and expected holding period—5.5 years.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60" w:right="140"/>
        <w:spacing w:after="0" w:line="255" w:lineRule="auto"/>
        <w:rPr>
          <w:sz w:val="20"/>
          <w:szCs w:val="20"/>
          <w:color w:val="auto"/>
        </w:rPr>
      </w:pPr>
      <w:r>
        <w:rPr>
          <w:rFonts w:ascii="Times New Roman" w:cs="Times New Roman" w:eastAsia="Times New Roman" w:hAnsi="Times New Roman"/>
          <w:sz w:val="18"/>
          <w:szCs w:val="18"/>
          <w:color w:val="auto"/>
        </w:rPr>
        <w:t>RSUs currently granted by the Company entitle the employee to receive one share of Avis Budget common stock upon vesting, which occurs ratably over a four-year period for the majority of currently outstanding RSUs. The Company also employs performance and time vesting criteria for RSU grants made to certain of the Company’s executives. The predetermined performance criteria determine the number of RSUs that will ultimately vest and are based on growth in earnings before taxes and certain other metrics over varying periods of three to four years. The number of performance-based RSUs that will ultimately vest may range from 0% to 100% of the target award. The annual activity related to the Company’s RSU plan consisted of (in thousands of shares):</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7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194"/>
        </w:trPr>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gridSpan w:val="2"/>
          </w:tcPr>
          <w:p>
            <w:pPr>
              <w:jc w:val="center"/>
              <w:ind w:left="372"/>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3"/>
          </w:tcPr>
          <w:p>
            <w:pPr>
              <w:jc w:val="center"/>
              <w:ind w:left="372"/>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16"/>
        </w:trPr>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0"/>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of RSUs</w:t>
            </w:r>
          </w:p>
        </w:tc>
        <w:tc>
          <w:tcPr>
            <w:tcW w:w="48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4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of RSUs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8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of RSUs</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7"/>
        </w:trPr>
        <w:tc>
          <w:tcPr>
            <w:tcW w:w="380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500" w:type="dxa"/>
            <w:vAlign w:val="bottom"/>
          </w:tcPr>
          <w:p>
            <w:pPr>
              <w:spacing w:after="0"/>
              <w:rPr>
                <w:sz w:val="17"/>
                <w:szCs w:val="17"/>
                <w:color w:val="auto"/>
              </w:rPr>
            </w:pPr>
          </w:p>
        </w:tc>
        <w:tc>
          <w:tcPr>
            <w:tcW w:w="6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1,774</w:t>
            </w:r>
          </w:p>
        </w:tc>
        <w:tc>
          <w:tcPr>
            <w:tcW w:w="480" w:type="dxa"/>
            <w:vAlign w:val="bottom"/>
          </w:tcPr>
          <w:p>
            <w:pPr>
              <w:spacing w:after="0"/>
              <w:rPr>
                <w:sz w:val="17"/>
                <w:szCs w:val="17"/>
                <w:color w:val="auto"/>
              </w:rPr>
            </w:pPr>
          </w:p>
        </w:tc>
        <w:tc>
          <w:tcPr>
            <w:tcW w:w="7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   24.33</w:t>
            </w:r>
          </w:p>
        </w:tc>
        <w:tc>
          <w:tcPr>
            <w:tcW w:w="460" w:type="dxa"/>
            <w:vAlign w:val="bottom"/>
          </w:tcPr>
          <w:p>
            <w:pPr>
              <w:spacing w:after="0"/>
              <w:rPr>
                <w:sz w:val="17"/>
                <w:szCs w:val="17"/>
                <w:color w:val="auto"/>
              </w:rPr>
            </w:pPr>
          </w:p>
        </w:tc>
        <w:tc>
          <w:tcPr>
            <w:tcW w:w="6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2,299</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6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1,618</w:t>
            </w: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37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Granted at fair market value </w:t>
            </w:r>
            <w:r>
              <w:rPr>
                <w:rFonts w:ascii="Times New Roman" w:cs="Times New Roman" w:eastAsia="Times New Roman" w:hAnsi="Times New Roman"/>
                <w:sz w:val="22"/>
                <w:szCs w:val="22"/>
                <w:color w:val="auto"/>
                <w:vertAlign w:val="superscript"/>
              </w:rPr>
              <w:t>(a)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37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Granted in connection with PHH spin-off </w:t>
            </w:r>
            <w:r>
              <w:rPr>
                <w:rFonts w:ascii="Times New Roman" w:cs="Times New Roman" w:eastAsia="Times New Roman" w:hAnsi="Times New Roman"/>
                <w:sz w:val="22"/>
                <w:szCs w:val="22"/>
                <w:color w:val="auto"/>
                <w:vertAlign w:val="superscript"/>
              </w:rPr>
              <w:t>(b)</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 w:type="dxa"/>
            <w:vAlign w:val="bottom"/>
          </w:tcPr>
          <w:p>
            <w:pPr>
              <w:spacing w:after="0"/>
              <w:rPr>
                <w:sz w:val="18"/>
                <w:szCs w:val="18"/>
                <w:color w:val="auto"/>
              </w:rPr>
            </w:pPr>
          </w:p>
        </w:tc>
        <w:tc>
          <w:tcPr>
            <w:tcW w:w="37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2"/>
                <w:szCs w:val="22"/>
                <w:color w:val="auto"/>
                <w:vertAlign w:val="superscript"/>
              </w:rPr>
              <w:t>(c)</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 w:type="dxa"/>
            <w:vAlign w:val="bottom"/>
          </w:tcPr>
          <w:p>
            <w:pPr>
              <w:spacing w:after="0"/>
              <w:rPr>
                <w:sz w:val="20"/>
                <w:szCs w:val="20"/>
                <w:color w:val="auto"/>
              </w:rPr>
            </w:pPr>
          </w:p>
        </w:tc>
        <w:tc>
          <w:tcPr>
            <w:tcW w:w="37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22"/>
                <w:szCs w:val="22"/>
                <w:color w:val="auto"/>
                <w:vertAlign w:val="superscript"/>
              </w:rPr>
              <w:t>(c)</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0" w:type="dxa"/>
            <w:vAlign w:val="bottom"/>
            <w:gridSpan w:val="3"/>
          </w:tcPr>
          <w:p>
            <w:pPr>
              <w:spacing w:after="0" w:line="223" w:lineRule="exact"/>
              <w:rPr>
                <w:sz w:val="20"/>
                <w:szCs w:val="20"/>
                <w:color w:val="auto"/>
              </w:rPr>
            </w:pPr>
            <w:r>
              <w:rPr>
                <w:rFonts w:ascii="Times New Roman" w:cs="Times New Roman" w:eastAsia="Times New Roman" w:hAnsi="Times New Roman"/>
                <w:sz w:val="18"/>
                <w:szCs w:val="18"/>
                <w:color w:val="auto"/>
              </w:rPr>
              <w:t xml:space="preserve">Balance at end of year </w:t>
            </w:r>
            <w:r>
              <w:rPr>
                <w:rFonts w:ascii="Times New Roman" w:cs="Times New Roman" w:eastAsia="Times New Roman" w:hAnsi="Times New Roman"/>
                <w:sz w:val="22"/>
                <w:szCs w:val="22"/>
                <w:color w:val="auto"/>
                <w:vertAlign w:val="superscript"/>
              </w:rPr>
              <w:t>(d)</w:t>
            </w: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43"/>
        </w:trPr>
        <w:tc>
          <w:tcPr>
            <w:tcW w:w="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bl>
    <w:p>
      <w:pPr>
        <w:spacing w:after="0" w:line="121" w:lineRule="exact"/>
        <w:rPr>
          <w:sz w:val="20"/>
          <w:szCs w:val="20"/>
          <w:color w:val="auto"/>
        </w:rPr>
      </w:pPr>
    </w:p>
    <w:p>
      <w:pPr>
        <w:ind w:left="800" w:hanging="454"/>
        <w:spacing w:after="0"/>
        <w:tabs>
          <w:tab w:leader="none" w:pos="800"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Weighted average grant date prices for 2005 and for RSU activity prior to the Cendant Separation are not meaningful due to the impact of the Cendant</w:t>
      </w:r>
    </w:p>
    <w:p>
      <w:pPr>
        <w:spacing w:after="0" w:line="183" w:lineRule="exact"/>
        <w:rPr>
          <w:sz w:val="20"/>
          <w:szCs w:val="20"/>
          <w:color w:val="auto"/>
        </w:rPr>
      </w:pPr>
    </w:p>
    <w:p>
      <w:pPr>
        <w:ind w:left="800" w:hanging="454"/>
        <w:spacing w:after="0"/>
        <w:tabs>
          <w:tab w:leader="none" w:pos="8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Reflects the maximum number of RSUs assuming achievement of all performance and time vesting criteria.</w:t>
      </w:r>
    </w:p>
    <w:p>
      <w:pPr>
        <w:ind w:left="800" w:right="140" w:hanging="454"/>
        <w:spacing w:after="0" w:line="237" w:lineRule="auto"/>
        <w:tabs>
          <w:tab w:leader="none" w:pos="80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a result of the spin-off of PHH, the closing price of Cendant common stock was adjusted downward on January 31, 2005. In order to provide an equitable adjustment to holders of its RSUs, the Company granted incremental RSUs to achieve a balance of 1.0477 RSUs outstanding subsequent to the spin-off for each RSU outstanding prior to the spin-off.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7" w:lineRule="exact"/>
        <w:rPr>
          <w:sz w:val="20"/>
          <w:szCs w:val="20"/>
          <w:color w:val="auto"/>
        </w:rPr>
      </w:pPr>
    </w:p>
    <w:p>
      <w:pPr>
        <w:ind w:left="800" w:right="180" w:hanging="454"/>
        <w:spacing w:after="0" w:line="232" w:lineRule="auto"/>
        <w:tabs>
          <w:tab w:leader="none" w:pos="80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a result of the Cendant Separation, approximately 1.2 million RSUs were canceled during third quarter 2006. Also, as a result of the Cendant Separation, approximately 1.1 million RSUs vested and converted into shares of Avis Budget common stock, Realogy common stock and Wyndham common stock.</w:t>
      </w:r>
    </w:p>
    <w:p>
      <w:pPr>
        <w:ind w:left="800" w:right="120" w:hanging="454"/>
        <w:spacing w:after="0" w:line="238" w:lineRule="auto"/>
        <w:tabs>
          <w:tab w:leader="none" w:pos="80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of December 31, 2007, the Company’s outstanding RSUs had aggregate intrinsic value of $30 million and unrecognized compensation expense of $49 million, which will be recognized over the remaining vesting period of the respective award.</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75" w:lineRule="exact"/>
        <w:rPr>
          <w:sz w:val="20"/>
          <w:szCs w:val="20"/>
          <w:color w:val="auto"/>
        </w:rPr>
      </w:pPr>
    </w:p>
    <w:p>
      <w:pPr>
        <w:ind w:left="360" w:right="20"/>
        <w:spacing w:after="0" w:line="289" w:lineRule="auto"/>
        <w:rPr>
          <w:sz w:val="20"/>
          <w:szCs w:val="20"/>
          <w:color w:val="auto"/>
        </w:rPr>
      </w:pPr>
      <w:r>
        <w:rPr>
          <w:rFonts w:ascii="Times New Roman" w:cs="Times New Roman" w:eastAsia="Times New Roman" w:hAnsi="Times New Roman"/>
          <w:sz w:val="16"/>
          <w:szCs w:val="16"/>
          <w:color w:val="auto"/>
        </w:rPr>
        <w:t>SARs are settled in Company stock, have a seven-year term, and vest ratably over a four-year period or after three years with no graded vesting prior thereto. The Company’s policy is to grant SARs with exercise prices at then-current fair market value. At December 31, 2007, the Company had approximately</w:t>
      </w:r>
    </w:p>
    <w:p>
      <w:pPr>
        <w:spacing w:after="0" w:line="1" w:lineRule="exact"/>
        <w:rPr>
          <w:sz w:val="20"/>
          <w:szCs w:val="20"/>
          <w:color w:val="auto"/>
        </w:rPr>
      </w:pPr>
    </w:p>
    <w:p>
      <w:pPr>
        <w:ind w:left="360" w:right="800"/>
        <w:spacing w:after="0" w:line="261" w:lineRule="auto"/>
        <w:rPr>
          <w:sz w:val="20"/>
          <w:szCs w:val="20"/>
          <w:color w:val="auto"/>
        </w:rPr>
      </w:pPr>
      <w:r>
        <w:rPr>
          <w:rFonts w:ascii="Times New Roman" w:cs="Times New Roman" w:eastAsia="Times New Roman" w:hAnsi="Times New Roman"/>
          <w:sz w:val="18"/>
          <w:szCs w:val="18"/>
          <w:color w:val="auto"/>
        </w:rPr>
        <w:t>0.5 million SARs outstanding with a weighted average exercise price of $24.40, a weighted average contractual life of six years and unrecognized compensation expense of $3 million.</w:t>
      </w:r>
    </w:p>
    <w:p>
      <w:pPr>
        <w:spacing w:after="0" w:line="132" w:lineRule="exact"/>
        <w:rPr>
          <w:sz w:val="20"/>
          <w:szCs w:val="20"/>
          <w:color w:val="auto"/>
        </w:rPr>
      </w:pPr>
    </w:p>
    <w:p>
      <w:pPr>
        <w:ind w:left="360" w:right="80"/>
        <w:spacing w:after="0" w:line="262" w:lineRule="auto"/>
        <w:rPr>
          <w:sz w:val="20"/>
          <w:szCs w:val="20"/>
          <w:color w:val="auto"/>
        </w:rPr>
      </w:pPr>
      <w:r>
        <w:rPr>
          <w:rFonts w:ascii="Times New Roman" w:cs="Times New Roman" w:eastAsia="Times New Roman" w:hAnsi="Times New Roman"/>
          <w:sz w:val="18"/>
          <w:szCs w:val="18"/>
          <w:color w:val="auto"/>
        </w:rPr>
        <w:t>The weighted average grant-date fair value of SARs granted during 2006 was $9.05. The fair value of these SARs is estimated on the date of grant using the Black-Scholes option-pricing model with the following weighted average assumptions: dividend yield—0%; expected volatility—32.9%; risk-free interest rate—4.9%; and expected holding period—4.9 years.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left="360" w:right="60"/>
        <w:spacing w:after="0" w:line="256" w:lineRule="auto"/>
        <w:rPr>
          <w:sz w:val="20"/>
          <w:szCs w:val="20"/>
          <w:color w:val="auto"/>
        </w:rPr>
      </w:pPr>
      <w:r>
        <w:rPr>
          <w:rFonts w:ascii="Times New Roman" w:cs="Times New Roman" w:eastAsia="Times New Roman" w:hAnsi="Times New Roman"/>
          <w:sz w:val="18"/>
          <w:szCs w:val="18"/>
          <w:color w:val="auto"/>
        </w:rPr>
        <w:t>The Company is authorized to sell shares of its Avis Budget common stock to eligible employees under its non-compensatory employee stock purchase plan (“ESPP”). Under the terms of the ESPP, employees may authorize the company to withhold up to 10% of their compensation from each paycheck for the purchase of Avis Budget common stock. For amounts withheld in 2007, the purchase price of the stock was calculated as 95% of the fair market value of Avis Budget common stock as of last business day each month. During 2007, the Company sold approximately 19,000 shares under the ESPP. As of December 31, 2007, approximately 358,000 shares were available for issuance under the ESPP.</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75" w:lineRule="exact"/>
        <w:rPr>
          <w:sz w:val="20"/>
          <w:szCs w:val="20"/>
          <w:color w:val="auto"/>
        </w:rPr>
      </w:pPr>
    </w:p>
    <w:p>
      <w:pPr>
        <w:ind w:left="360" w:right="260"/>
        <w:spacing w:after="0" w:line="255" w:lineRule="auto"/>
        <w:rPr>
          <w:sz w:val="20"/>
          <w:szCs w:val="20"/>
          <w:color w:val="auto"/>
        </w:rPr>
      </w:pPr>
      <w:r>
        <w:rPr>
          <w:rFonts w:ascii="Times New Roman" w:cs="Times New Roman" w:eastAsia="Times New Roman" w:hAnsi="Times New Roman"/>
          <w:sz w:val="18"/>
          <w:szCs w:val="18"/>
          <w:color w:val="auto"/>
        </w:rPr>
        <w:t>The Company records compensation expense for all outstanding employee stock awards (see Note 2—Summary of Significant Accounting Policies). The Company’s policy is to record compensation expense related to the issuance of stock options and SARs to its employees on a straight-line basis over the vesting period of the award and based on the estimated number of stock options or SARs the Company believes it will ultimately provide. The Company records amortization expense of the deferred compensation related to RSUs on a straight-line basis over the remaining vesting periods of the respective RSUs and based on the estimated performance goals the Company believes it will ultimately achieve. Currently, all stock-based compensation expense associated with time and performance based awards is predicated on achievement of established performance targets.</w:t>
      </w:r>
    </w:p>
    <w:p>
      <w:pPr>
        <w:spacing w:after="0" w:line="139"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6"/>
          <w:szCs w:val="16"/>
          <w:color w:val="auto"/>
        </w:rPr>
        <w:t>The Company recorded pretax stock-based compensation expense of $17 million, $93 million and $25 million ($10 million, $57 million and $15 million, after tax) during 2007, 2006 and 2005, respectively, related to employee stock awards that were granted or modified by the Company. The expense recorded in 2006 includes a pretax charge of $79 million primarily related to the accelerated vesting of previously outstanding RSUs and equitable adjustments related to previously outstanding stock options, as a result of the Cendant Separation. The expense recorded in 2005 includes $5 million related to the accelerated vesting of RSUs of individuals terminated in connection with the Company’s 2005 restructuring initiatives (see Note 5—Restructuring Charges). Such pretax stock-based compensation expense is recorded within selling, general and administrative expenses on the accompanying Consolidated Statements of Operations except amounts incurred in connection with the 2006 accelerated vesting of RSUs and stock options related to the Cendant Separation (which are recorded within the separation costs line item) and the 2005 restructuring-related charge (which is recorded in the restructuring charges line item).</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100"/>
        <w:spacing w:after="0" w:line="258" w:lineRule="auto"/>
        <w:rPr>
          <w:sz w:val="20"/>
          <w:szCs w:val="20"/>
          <w:color w:val="auto"/>
        </w:rPr>
      </w:pPr>
      <w:r>
        <w:rPr>
          <w:rFonts w:ascii="Times New Roman" w:cs="Times New Roman" w:eastAsia="Times New Roman" w:hAnsi="Times New Roman"/>
          <w:sz w:val="18"/>
          <w:szCs w:val="18"/>
          <w:color w:val="auto"/>
        </w:rPr>
        <w:t>The Company also recorded pretax stock-based compensation expense of $134 million and $54 million ($83 million and $33 million, after tax) during 2006 and 2005, respectively, within discontinued operations. The expense recorded in 2006 includes a pretax charge of $104 million, primarily related to the accelerated vesting of previously outstanding RSUs and equitable adjustments related to previously outstanding stock options as a result of the Cendant Separation.</w:t>
      </w:r>
    </w:p>
    <w:p>
      <w:pPr>
        <w:spacing w:after="0" w:line="175"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69"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Defined Contribution Savings Plans</w:t>
      </w:r>
    </w:p>
    <w:p>
      <w:pPr>
        <w:spacing w:after="0" w:line="175" w:lineRule="exact"/>
        <w:rPr>
          <w:rFonts w:ascii="Times New Roman" w:cs="Times New Roman" w:eastAsia="Times New Roman" w:hAnsi="Times New Roman"/>
          <w:sz w:val="18"/>
          <w:szCs w:val="18"/>
          <w:b w:val="1"/>
          <w:bCs w:val="1"/>
          <w:color w:val="auto"/>
        </w:rPr>
      </w:pPr>
    </w:p>
    <w:p>
      <w:pPr>
        <w:ind w:left="3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sponsors several defined contribution savings plans that provide certain eligible employees of the Company an opportunity to accumulate funds for retirement. The Company matches the contributions of participating employees on the basis specified by the plans. The Company’s contributions to these plans was $14 million, $23 million and $20 million during 2007, 2006 and 2005, respectively.</w:t>
      </w:r>
    </w:p>
    <w:p>
      <w:pPr>
        <w:spacing w:after="0" w:line="128"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rFonts w:ascii="Times New Roman" w:cs="Times New Roman" w:eastAsia="Times New Roman" w:hAnsi="Times New Roman"/>
          <w:sz w:val="18"/>
          <w:szCs w:val="18"/>
          <w:b w:val="1"/>
          <w:bCs w:val="1"/>
          <w:color w:val="auto"/>
        </w:rPr>
      </w:pPr>
    </w:p>
    <w:p>
      <w:pPr>
        <w:ind w:left="3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sponsors domestic non-contributory defined benefit pension plans covering certain eligible employees and contributory defined benefit pension plans in certain foreign subsidiaries with participation in the plans at the employees’ option. Under both the domestic and foreign plans, benefits are based on an employee’s years of credited service and a percentage of final average compensation. However, the majority of such plans are frozen and no longer accruing benefits.</w:t>
      </w:r>
    </w:p>
    <w:p>
      <w:pPr>
        <w:spacing w:after="0" w:line="136" w:lineRule="exact"/>
        <w:rPr>
          <w:rFonts w:ascii="Times New Roman" w:cs="Times New Roman" w:eastAsia="Times New Roman" w:hAnsi="Times New Roman"/>
          <w:sz w:val="18"/>
          <w:szCs w:val="18"/>
          <w:b w:val="1"/>
          <w:bCs w:val="1"/>
          <w:color w:val="auto"/>
        </w:rPr>
      </w:pPr>
    </w:p>
    <w:p>
      <w:pPr>
        <w:ind w:left="36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SFAS No. 158 as of December 31, 2006. SFAS 158 requires the recognition of the funded status of our defined benefit pension plan on the Consolidated Balance Sheets and the recognition as a component of accumulated other comprehensive loss, net of tax, the gains or losses and prior service costs or credits and that arise during the period but are not recognized as components of net periodic benefit cost. Additional minimum pension liabilities and related intangible assets are also derecognized upon adoption of the new standard. As a result of the adoption of the provisions of SFAS No. 158, the Company recorded a pretax charge in 2006 of $6 million ($4 million, after tax) within stockholders’ equity and a $6 million reduction in pension assets.</w:t>
      </w:r>
    </w:p>
    <w:p>
      <w:pPr>
        <w:spacing w:after="0" w:line="139"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net periodic pension cost and the assumptions related to the cost consisted of the following in millions of dollars: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39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For the Year Ended December 31,</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1"/>
        </w:trPr>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2007</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40" w:type="dxa"/>
            <w:vAlign w:val="bottom"/>
          </w:tcPr>
          <w:p>
            <w:pPr>
              <w:spacing w:after="0"/>
              <w:rPr>
                <w:sz w:val="18"/>
                <w:szCs w:val="18"/>
                <w:color w:val="auto"/>
              </w:rPr>
            </w:pPr>
          </w:p>
        </w:tc>
      </w:tr>
      <w:tr>
        <w:trPr>
          <w:trHeight w:val="195"/>
        </w:trPr>
        <w:tc>
          <w:tcPr>
            <w:tcW w:w="3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Service cost</w:t>
            </w:r>
          </w:p>
        </w:tc>
        <w:tc>
          <w:tcPr>
            <w:tcW w:w="2300" w:type="dxa"/>
            <w:vAlign w:val="bottom"/>
          </w:tcPr>
          <w:p>
            <w:pPr>
              <w:spacing w:after="0"/>
              <w:rPr>
                <w:sz w:val="16"/>
                <w:szCs w:val="16"/>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6"/>
                <w:szCs w:val="16"/>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amounts</w:t>
            </w:r>
          </w:p>
        </w:tc>
        <w:tc>
          <w:tcPr>
            <w:tcW w:w="2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r>
      <w:tr>
        <w:trPr>
          <w:trHeight w:val="225"/>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300" w:type="dxa"/>
            <w:vAlign w:val="bottom"/>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2500" w:type="dxa"/>
            <w:vAlign w:val="bottom"/>
            <w:gridSpan w:val="2"/>
          </w:tcPr>
          <w:p>
            <w:pPr>
              <w:jc w:val="right"/>
              <w:ind w:right="858"/>
              <w:spacing w:after="0"/>
              <w:rPr>
                <w:sz w:val="20"/>
                <w:szCs w:val="20"/>
                <w:color w:val="auto"/>
              </w:rPr>
            </w:pPr>
            <w:r>
              <w:rPr>
                <w:rFonts w:ascii="Times New Roman" w:cs="Times New Roman" w:eastAsia="Times New Roman" w:hAnsi="Times New Roman"/>
                <w:sz w:val="18"/>
                <w:szCs w:val="18"/>
                <w:color w:val="auto"/>
              </w:rPr>
              <w:t>F-46</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spacing w:after="0" w:line="275" w:lineRule="auto"/>
        <w:rPr>
          <w:sz w:val="20"/>
          <w:szCs w:val="20"/>
          <w:color w:val="auto"/>
        </w:rPr>
      </w:pPr>
      <w:r>
        <w:rPr>
          <w:rFonts w:ascii="Times New Roman" w:cs="Times New Roman" w:eastAsia="Times New Roman" w:hAnsi="Times New Roman"/>
          <w:sz w:val="18"/>
          <w:szCs w:val="18"/>
          <w:color w:val="auto"/>
        </w:rPr>
        <w:t>The Company uses a measurement date of December 31 for its pension plans. The funded status of the pension plans as of December 31, 2007 and 2006 was as follows: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2007</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20" w:type="dxa"/>
            <w:vAlign w:val="bottom"/>
            <w:tcBorders>
              <w:top w:val="single" w:sz="8" w:color="auto"/>
            </w:tcBorders>
            <w:gridSpan w:val="2"/>
          </w:tcPr>
          <w:p>
            <w:pPr>
              <w:spacing w:after="0" w:line="197" w:lineRule="exact"/>
              <w:rPr>
                <w:sz w:val="20"/>
                <w:szCs w:val="20"/>
                <w:color w:val="auto"/>
              </w:rPr>
            </w:pPr>
            <w:r>
              <w:rPr>
                <w:rFonts w:ascii="Times New Roman" w:cs="Times New Roman" w:eastAsia="Times New Roman" w:hAnsi="Times New Roman"/>
                <w:sz w:val="18"/>
                <w:szCs w:val="18"/>
                <w:color w:val="auto"/>
                <w:w w:val="92"/>
              </w:rPr>
              <w:t>Benefit obligation at end of prior</w:t>
            </w:r>
          </w:p>
        </w:tc>
        <w:tc>
          <w:tcPr>
            <w:tcW w:w="682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year</w:t>
            </w: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$193</w:t>
            </w:r>
          </w:p>
        </w:tc>
        <w:tc>
          <w:tcPr>
            <w:tcW w:w="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gridSpan w:val="4"/>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$176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(gain)/loss</w:t>
            </w:r>
          </w:p>
        </w:tc>
        <w:tc>
          <w:tcPr>
            <w:tcW w:w="12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benefits paid</w:t>
            </w:r>
          </w:p>
        </w:tc>
        <w:tc>
          <w:tcPr>
            <w:tcW w:w="12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 at end of current year</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189</w:t>
            </w:r>
          </w:p>
        </w:tc>
        <w:tc>
          <w:tcPr>
            <w:tcW w:w="20" w:type="dxa"/>
            <w:vAlign w:val="bottom"/>
            <w:tcBorders>
              <w:top w:val="single" w:sz="8" w:color="auto"/>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6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6"/>
              </w:rPr>
              <w:t>Change in Plan Assets</w:t>
            </w:r>
          </w:p>
        </w:tc>
        <w:tc>
          <w:tcPr>
            <w:tcW w:w="73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assets at end of prior year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$156</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benefits paid</w:t>
            </w:r>
          </w:p>
        </w:tc>
        <w:tc>
          <w:tcPr>
            <w:tcW w:w="12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assets at end of current year</w:t>
            </w: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167</w:t>
            </w:r>
          </w:p>
        </w:tc>
        <w:tc>
          <w:tcPr>
            <w:tcW w:w="20" w:type="dxa"/>
            <w:vAlign w:val="bottom"/>
            <w:tcBorders>
              <w:top w:val="single" w:sz="8" w:color="auto"/>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12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w w:val="91"/>
              </w:rPr>
              <w:t>$ (22)</w:t>
            </w:r>
          </w:p>
        </w:tc>
        <w:tc>
          <w:tcPr>
            <w:tcW w:w="4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(37)</w:t>
            </w: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amounts recognized in the consolidated balance sheets:</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0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w w:val="91"/>
              </w:rPr>
              <w:t>$ (22)</w:t>
            </w:r>
          </w:p>
        </w:tc>
        <w:tc>
          <w:tcPr>
            <w:tcW w:w="4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(37)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The estimated amount that will be amortized from accumulated other comprehensive income into net periodic pension cost in 2008 is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0" w:type="dxa"/>
            <w:vAlign w:val="bottom"/>
          </w:tcPr>
          <w:p>
            <w:pPr>
              <w:spacing w:after="0"/>
              <w:rPr>
                <w:sz w:val="1"/>
                <w:szCs w:val="1"/>
                <w:color w:val="auto"/>
              </w:rPr>
            </w:pPr>
          </w:p>
        </w:tc>
      </w:tr>
      <w:tr>
        <w:trPr>
          <w:trHeight w:val="197"/>
        </w:trPr>
        <w:tc>
          <w:tcPr>
            <w:tcW w:w="904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Net actuarial loss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00" w:type="dxa"/>
            <w:vAlign w:val="bottom"/>
            <w:tcBorders>
              <w:top w:val="single" w:sz="8" w:color="auto"/>
            </w:tcBorders>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Transition (asset) obligation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right="100"/>
        <w:spacing w:after="0" w:line="275" w:lineRule="auto"/>
        <w:rPr>
          <w:sz w:val="20"/>
          <w:szCs w:val="20"/>
          <w:color w:val="auto"/>
        </w:rPr>
      </w:pPr>
      <w:r>
        <w:rPr>
          <w:rFonts w:ascii="Times New Roman" w:cs="Times New Roman" w:eastAsia="Times New Roman" w:hAnsi="Times New Roman"/>
          <w:sz w:val="18"/>
          <w:szCs w:val="18"/>
          <w:color w:val="auto"/>
        </w:rPr>
        <w:t>The following assumptions, calculated on a weighted-average basis, were used to determine pension obligations and pension costs for the principal plans in which the Company’s employees participated:</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2"/>
        </w:trPr>
        <w:tc>
          <w:tcPr>
            <w:tcW w:w="5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2007</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2006</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140" w:type="dxa"/>
            <w:vAlign w:val="bottom"/>
          </w:tcPr>
          <w:p>
            <w:pPr>
              <w:spacing w:after="0"/>
              <w:rPr>
                <w:sz w:val="18"/>
                <w:szCs w:val="18"/>
                <w:color w:val="auto"/>
              </w:rPr>
            </w:pPr>
          </w:p>
        </w:tc>
      </w:tr>
      <w:tr>
        <w:trPr>
          <w:trHeight w:val="195"/>
        </w:trPr>
        <w:tc>
          <w:tcPr>
            <w:tcW w:w="51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Discount rate:</w:t>
            </w:r>
          </w:p>
        </w:tc>
        <w:tc>
          <w:tcPr>
            <w:tcW w:w="24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9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5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Benefit obligation</w:t>
            </w:r>
          </w:p>
        </w:tc>
        <w:tc>
          <w:tcPr>
            <w:tcW w:w="3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9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Long-term rate of return on plan assets</w:t>
            </w:r>
          </w:p>
        </w:tc>
        <w:tc>
          <w:tcPr>
            <w:tcW w:w="3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8.25%</w:t>
            </w:r>
          </w:p>
        </w:tc>
        <w:tc>
          <w:tcPr>
            <w:tcW w:w="19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8.25%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r>
    </w:tbl>
    <w:p>
      <w:pPr>
        <w:spacing w:after="0" w:line="150" w:lineRule="exact"/>
        <w:rPr>
          <w:sz w:val="20"/>
          <w:szCs w:val="20"/>
          <w:color w:val="auto"/>
        </w:rPr>
      </w:pPr>
    </w:p>
    <w:p>
      <w:pPr>
        <w:ind w:left="360" w:right="20"/>
        <w:spacing w:after="0" w:line="262" w:lineRule="auto"/>
        <w:rPr>
          <w:sz w:val="20"/>
          <w:szCs w:val="20"/>
          <w:color w:val="auto"/>
        </w:rPr>
      </w:pPr>
      <w:r>
        <w:rPr>
          <w:rFonts w:ascii="Times New Roman" w:cs="Times New Roman" w:eastAsia="Times New Roman" w:hAnsi="Times New Roman"/>
          <w:sz w:val="18"/>
          <w:szCs w:val="18"/>
          <w:color w:val="auto"/>
        </w:rPr>
        <w:t>To select a discount rate for its defined benefit pension plans, the Company uses a modeling process that involves matching the expected cash outflows of such plan, to a yield curve constructed from a portfolio of AA rated fixed-income debt instruments. The Company uses the average yield of this hypothetical portfolio as a discount rate benchmark.</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380"/>
          </w:cols>
          <w:pgMar w:left="240" w:top="455" w:right="2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200"/>
        <w:spacing w:after="0" w:line="262" w:lineRule="auto"/>
        <w:rPr>
          <w:sz w:val="20"/>
          <w:szCs w:val="20"/>
          <w:color w:val="auto"/>
        </w:rPr>
      </w:pPr>
      <w:r>
        <w:rPr>
          <w:rFonts w:ascii="Times New Roman" w:cs="Times New Roman" w:eastAsia="Times New Roman" w:hAnsi="Times New Roman"/>
          <w:sz w:val="18"/>
          <w:szCs w:val="18"/>
          <w:color w:val="auto"/>
        </w:rPr>
        <w:t>The Company’s expected rate of return on plan assets of 8.25% is a long term rate based on historic plan asset returns over varying long term periods combined with current market conditions and broad asset mix considerations. The expected rate of return is a long term assumption and generally does not change annually.</w:t>
      </w:r>
    </w:p>
    <w:p>
      <w:pPr>
        <w:spacing w:after="0" w:line="132" w:lineRule="exact"/>
        <w:rPr>
          <w:sz w:val="20"/>
          <w:szCs w:val="20"/>
          <w:color w:val="auto"/>
        </w:rPr>
      </w:pPr>
    </w:p>
    <w:p>
      <w:pPr>
        <w:ind w:left="360" w:right="240"/>
        <w:spacing w:after="0" w:line="275" w:lineRule="auto"/>
        <w:rPr>
          <w:sz w:val="20"/>
          <w:szCs w:val="20"/>
          <w:color w:val="auto"/>
        </w:rPr>
      </w:pPr>
      <w:r>
        <w:rPr>
          <w:rFonts w:ascii="Times New Roman" w:cs="Times New Roman" w:eastAsia="Times New Roman" w:hAnsi="Times New Roman"/>
          <w:sz w:val="18"/>
          <w:szCs w:val="18"/>
          <w:color w:val="auto"/>
        </w:rPr>
        <w:t>As of December 31, 2007, substantially all of the Company’s defined benefit pension plans had a projected benefit obligation in excess of the fair value of plan assets. The Company expects to contribute approximately $6 million to these plans in 2008.</w:t>
      </w:r>
    </w:p>
    <w:p>
      <w:pPr>
        <w:spacing w:after="0" w:line="120" w:lineRule="exact"/>
        <w:rPr>
          <w:sz w:val="20"/>
          <w:szCs w:val="20"/>
          <w:color w:val="auto"/>
        </w:rPr>
      </w:pPr>
    </w:p>
    <w:p>
      <w:pPr>
        <w:ind w:left="360" w:right="60"/>
        <w:spacing w:after="0" w:line="310" w:lineRule="auto"/>
        <w:rPr>
          <w:sz w:val="20"/>
          <w:szCs w:val="20"/>
          <w:color w:val="auto"/>
        </w:rPr>
      </w:pPr>
      <w:r>
        <w:rPr>
          <w:rFonts w:ascii="Times New Roman" w:cs="Times New Roman" w:eastAsia="Times New Roman" w:hAnsi="Times New Roman"/>
          <w:sz w:val="16"/>
          <w:szCs w:val="16"/>
          <w:color w:val="auto"/>
        </w:rPr>
        <w:t>The Company’s pension plan assets were $167 million and $156 million as of December 31, 2007 and 2006, respectively. Plan assets are managed by independent investment advisors with the objective of maximizing returns with a prudent level of risk. Plan assets consist mainly of equity and fixed income securities of U.S. and foreign issuers and our weighted average asset allocation for the Company’s pension plan as of December 31, 2007 was as follows:</w:t>
      </w:r>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Asset Category</w:t>
            </w:r>
          </w:p>
        </w:tc>
        <w:tc>
          <w:tcPr>
            <w:tcW w:w="9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0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Equity</w:t>
            </w:r>
          </w:p>
        </w:tc>
        <w:tc>
          <w:tcPr>
            <w:tcW w:w="9080" w:type="dxa"/>
            <w:vAlign w:val="bottom"/>
            <w:vMerge w:val="continue"/>
          </w:tcPr>
          <w:p>
            <w:pPr>
              <w:spacing w:after="0"/>
              <w:rPr>
                <w:sz w:val="17"/>
                <w:szCs w:val="17"/>
                <w:color w:val="auto"/>
              </w:rPr>
            </w:pPr>
          </w:p>
        </w:tc>
        <w:tc>
          <w:tcPr>
            <w:tcW w:w="5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60" w:right="200"/>
        <w:spacing w:after="0" w:line="275" w:lineRule="auto"/>
        <w:rPr>
          <w:sz w:val="20"/>
          <w:szCs w:val="20"/>
          <w:color w:val="auto"/>
        </w:rPr>
      </w:pPr>
      <w:r>
        <w:rPr>
          <w:rFonts w:ascii="Times New Roman" w:cs="Times New Roman" w:eastAsia="Times New Roman" w:hAnsi="Times New Roman"/>
          <w:sz w:val="18"/>
          <w:szCs w:val="18"/>
          <w:color w:val="auto"/>
        </w:rPr>
        <w:t>The Company estimates that future benefit payments from plan assets will be $9 million, $10 million, $9 million, $10 million, $10 million and $62 million for 2008, 2009, 2010, 2011, 2012 and 2013 to 2017, respectively.</w:t>
      </w:r>
    </w:p>
    <w:p>
      <w:pPr>
        <w:spacing w:after="0" w:line="158" w:lineRule="exact"/>
        <w:rPr>
          <w:sz w:val="20"/>
          <w:szCs w:val="20"/>
          <w:color w:val="auto"/>
        </w:rPr>
      </w:pPr>
    </w:p>
    <w:p>
      <w:pPr>
        <w:ind w:left="360" w:right="9420" w:hanging="352"/>
        <w:spacing w:after="0" w:line="494" w:lineRule="auto"/>
        <w:tabs>
          <w:tab w:leader="none" w:pos="355"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 Risk Management</w:t>
      </w:r>
    </w:p>
    <w:p>
      <w:pPr>
        <w:ind w:left="3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Following is a description of the Company’s risk management policies.</w:t>
      </w:r>
    </w:p>
    <w:p>
      <w:pPr>
        <w:spacing w:after="0" w:line="169" w:lineRule="exact"/>
        <w:rPr>
          <w:rFonts w:ascii="Times New Roman" w:cs="Times New Roman" w:eastAsia="Times New Roman" w:hAnsi="Times New Roman"/>
          <w:sz w:val="16"/>
          <w:szCs w:val="16"/>
          <w:b w:val="1"/>
          <w:bCs w:val="1"/>
          <w:color w:val="auto"/>
        </w:rPr>
      </w:pPr>
    </w:p>
    <w:p>
      <w:pPr>
        <w:ind w:left="360" w:right="4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The Company uses foreign exchange forward contracts to manage its exposure to changes in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its foreign currency denominated receivables and forecasted royalties, forecasted earnings of foreign subsidiaries and forecasted foreign currency denominated acquisitions. The Company primarily hedges its foreign currency exposure to the British pound, Canadian dollar, Australian dollar and New Zealand dollar. The majority of forward contracts do not qualify for hedge accounting treatment under SFAS No. 133, “Accounting for Derivative Instruments and Hedging Activities” (“SFAS No. 133”). The fluctuations in the value of these forward contracts do, however, largely offset the impact of changes in the value of the underlying risk they economically hedge. Forward contracts used to hedge forecasted third party receipts and disbursements up to 12 months are designated and do qualify as cash flow hedges. The amount of gains or losses reclassified from other comprehensive income to earnings resulting from ineffectiveness or from excluding a component of the forward contracts’ gain or loss from the effectiveness calculation for cash flow hedges during 2007, 2006 and 2005 was not material, nor is the amount of gains or losses the Company expects to reclassify from other comprehensive income to earnings over the next 12 months.</w:t>
      </w:r>
    </w:p>
    <w:p>
      <w:pPr>
        <w:spacing w:after="0" w:line="140" w:lineRule="exact"/>
        <w:rPr>
          <w:rFonts w:ascii="Times New Roman" w:cs="Times New Roman" w:eastAsia="Times New Roman" w:hAnsi="Times New Roman"/>
          <w:sz w:val="16"/>
          <w:szCs w:val="16"/>
          <w:b w:val="1"/>
          <w:bCs w:val="1"/>
          <w:color w:val="auto"/>
        </w:rPr>
      </w:pPr>
    </w:p>
    <w:p>
      <w:pPr>
        <w:ind w:left="360"/>
        <w:spacing w:after="0" w:line="25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The Company uses various hedging strategies including interest rate swaps and interest rate caps to create an appropriate mix of fixed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floating rate assets and liabilities. In 2007, the Company recorded a net unrealized loss on all cash flow hedges of $93 million, net of tax, to other comprehensive income. The after-tax amount of gains or losses reclassified from accumulated other comprehensive income (loss) to earnings resulting from ineffectiveness for 2007, 2006 and 2005 was not material to the Company’s results of operations. The Company estimates that approximately $24 million of losses deferred in accumulated other comprehensive income will be recognized in earnings in 2008, which is expected to be offset in earnings by the impact of the underlying hedged items.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60" w:right="20"/>
        <w:spacing w:after="0" w:line="254" w:lineRule="auto"/>
        <w:rPr>
          <w:sz w:val="20"/>
          <w:szCs w:val="20"/>
          <w:color w:val="auto"/>
        </w:rPr>
      </w:pPr>
      <w:r>
        <w:rPr>
          <w:rFonts w:ascii="Times New Roman" w:cs="Times New Roman" w:eastAsia="Times New Roman" w:hAnsi="Times New Roman"/>
          <w:sz w:val="18"/>
          <w:szCs w:val="18"/>
          <w:color w:val="auto"/>
        </w:rPr>
        <w:t>During 2007, the Company used interest rate swaps, designated as cash flow hedges, to manage the risk related to its floating rate corporate debt. In connection with such cash flow hedges, the Company recorded net unrealized losses of $13 million, net of tax, to other comprehensive income. During 2006 and 2005, the Company’s hedging strategies related to its corporate debt included swaps and financial instruments with purchased option features designated as either fair value hedges or freestanding derivatives. The fair value hedges were perfectly effective resulting in no impact on the Company’s consolidated results of operations during 2006 and 2005, except to create the accrual of interest expense at variable rates. The freestanding derivatives resulted in a nominal impact in 2006 and $12 million of expenses in 2005. During 2006, the Company repaid all outstanding debt associated with terminated hedges and recognized the unamortized gains as a component of the early extinguishment of debt line item on the accompanying Consolidated Statements of Operations. During 2005, the Company recorded $32 million of such previously unamortized gains.</w:t>
      </w:r>
    </w:p>
    <w:p>
      <w:pPr>
        <w:spacing w:after="0" w:line="138" w:lineRule="exact"/>
        <w:rPr>
          <w:sz w:val="20"/>
          <w:szCs w:val="20"/>
          <w:color w:val="auto"/>
        </w:rPr>
      </w:pPr>
    </w:p>
    <w:p>
      <w:pPr>
        <w:ind w:left="360" w:right="280"/>
        <w:spacing w:after="0" w:line="256" w:lineRule="auto"/>
        <w:rPr>
          <w:sz w:val="20"/>
          <w:szCs w:val="20"/>
          <w:color w:val="auto"/>
        </w:rPr>
      </w:pPr>
      <w:r>
        <w:rPr>
          <w:rFonts w:ascii="Times New Roman" w:cs="Times New Roman" w:eastAsia="Times New Roman" w:hAnsi="Times New Roman"/>
          <w:sz w:val="18"/>
          <w:szCs w:val="18"/>
          <w:color w:val="auto"/>
        </w:rPr>
        <w:t>The Company uses derivatives to manage the risk associated with its floating rate vehicle-backed debt. These derivatives include freestanding derivatives and derivatives designated as cash flow hedges, which have maturities ranging from January 2008 to August 2012. In connection with such cash flow hedges, the Company recorded net unrealized gains (losses) of $(80) million, $(5) million and $39 million, net of tax, during 2007, 2006 and 2005, respectively, to other comprehensive income. The Company recorded a gain (loss) of $(8) million, $5 million and $1 million, respectively, related to freestanding derivatives during 2007, 2006 and 2005, respectively.</w:t>
      </w:r>
    </w:p>
    <w:p>
      <w:pPr>
        <w:spacing w:after="0" w:line="137"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Commodity Risk. </w:t>
      </w:r>
      <w:r>
        <w:rPr>
          <w:rFonts w:ascii="Times New Roman" w:cs="Times New Roman" w:eastAsia="Times New Roman" w:hAnsi="Times New Roman"/>
          <w:sz w:val="18"/>
          <w:szCs w:val="18"/>
          <w:color w:val="auto"/>
        </w:rPr>
        <w:t>The Company is also exposed to changes in commodity prices, which consist primarily of unleaded gasoline. In the first quarter of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fourth quarter 2006, the Company purchased derivative commodity instruments to manage the risk of changes in unleaded gasoline prices. These instruments were designated as freestanding derivatives. These derivatives resulted in a $10 million gain on the Company’s consolidated results of operations in 2007 and had a nominal impact on the Company’s consolidated results of operations in 2006.</w:t>
      </w:r>
    </w:p>
    <w:p>
      <w:pPr>
        <w:spacing w:after="0" w:line="133" w:lineRule="exact"/>
        <w:rPr>
          <w:sz w:val="20"/>
          <w:szCs w:val="20"/>
          <w:color w:val="auto"/>
        </w:rPr>
      </w:pPr>
    </w:p>
    <w:p>
      <w:pPr>
        <w:ind w:left="360" w:right="40"/>
        <w:spacing w:after="0" w:line="257" w:lineRule="auto"/>
        <w:rPr>
          <w:sz w:val="20"/>
          <w:szCs w:val="20"/>
          <w:color w:val="auto"/>
        </w:rPr>
      </w:pPr>
      <w:r>
        <w:rPr>
          <w:rFonts w:ascii="Times New Roman" w:cs="Times New Roman" w:eastAsia="Times New Roman" w:hAnsi="Times New Roman"/>
          <w:sz w:val="18"/>
          <w:szCs w:val="18"/>
          <w:i w:val="1"/>
          <w:iCs w:val="1"/>
          <w:color w:val="auto"/>
        </w:rPr>
        <w:t>Credit Risk and Exposure</w:t>
      </w:r>
      <w:r>
        <w:rPr>
          <w:rFonts w:ascii="Times New Roman" w:cs="Times New Roman" w:eastAsia="Times New Roman" w:hAnsi="Times New Roman"/>
          <w:sz w:val="18"/>
          <w:szCs w:val="18"/>
          <w:color w:val="auto"/>
        </w:rPr>
        <w:t>. The Company is exposed to counterparty credit risks in the event of nonperformance by counterparties to various agreements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36" w:lineRule="exact"/>
        <w:rPr>
          <w:sz w:val="20"/>
          <w:szCs w:val="20"/>
          <w:color w:val="auto"/>
        </w:rPr>
      </w:pPr>
    </w:p>
    <w:p>
      <w:pPr>
        <w:ind w:left="360" w:right="60"/>
        <w:spacing w:after="0" w:line="255" w:lineRule="auto"/>
        <w:rPr>
          <w:sz w:val="20"/>
          <w:szCs w:val="20"/>
          <w:color w:val="auto"/>
        </w:rPr>
      </w:pPr>
      <w:r>
        <w:rPr>
          <w:rFonts w:ascii="Times New Roman" w:cs="Times New Roman" w:eastAsia="Times New Roman" w:hAnsi="Times New Roman"/>
          <w:sz w:val="18"/>
          <w:szCs w:val="18"/>
          <w:color w:val="auto"/>
        </w:rPr>
        <w:t>There were no significant concentrations of credit risk with any individual counterparties or groups of counterparties at December 31, 2007 or 2006 other than (i) risks related to the Company’s repurchase and guaranteed depreciation agreements with General Motors Corporation and Ford Motor Company with respect to program cars that were sold and returned to the car manufacturers but for which the Company has not yet received payment (see Note 2— Summary of Significant Accounting Policies), (ii) receivables from Realogy and Wyndham related to certain contingent, income tax and other corporate liabilities assumed by Realogy and Wyndham in connection with the Cendant Separation and (iii) risks related to leases which have been assumed by Realogy, Wyndham or Travelport but of which the Company is a guarantor.</w:t>
      </w:r>
    </w:p>
    <w:p>
      <w:pPr>
        <w:spacing w:after="0" w:line="139" w:lineRule="exact"/>
        <w:rPr>
          <w:sz w:val="20"/>
          <w:szCs w:val="20"/>
          <w:color w:val="auto"/>
        </w:rPr>
      </w:pPr>
    </w:p>
    <w:p>
      <w:pPr>
        <w:ind w:left="360" w:right="320"/>
        <w:spacing w:after="0" w:line="275" w:lineRule="auto"/>
        <w:rPr>
          <w:sz w:val="20"/>
          <w:szCs w:val="20"/>
          <w:color w:val="auto"/>
        </w:rPr>
      </w:pPr>
      <w:r>
        <w:rPr>
          <w:rFonts w:ascii="Times New Roman" w:cs="Times New Roman" w:eastAsia="Times New Roman" w:hAnsi="Times New Roman"/>
          <w:sz w:val="18"/>
          <w:szCs w:val="18"/>
          <w:color w:val="auto"/>
        </w:rPr>
        <w:t>Concentrations of credit risk associated with trade receivables are considered minimal due to the Company’s diverse customer base. Bad debts have been minimal historically. The Company does not normally require collateral or other security to support credit sales.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73"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18"/>
          <w:szCs w:val="18"/>
          <w:color w:val="auto"/>
        </w:rPr>
        <w:t>The fair value of financial instruments is generally determined by reference to market values resulting from trading on a national securities exchange or in an over-the-counter market. In cases where quoted market prices are not available, fair value is based on estimates using present value or other valuation techniques, as appropriate.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amounts and estimated fair values of financial instruments at December 31 are as follows: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left="452"/>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left="472"/>
              <w:spacing w:after="0" w:line="195" w:lineRule="exact"/>
              <w:rPr>
                <w:sz w:val="20"/>
                <w:szCs w:val="20"/>
                <w:color w:val="auto"/>
              </w:rPr>
            </w:pPr>
            <w:r>
              <w:rPr>
                <w:rFonts w:ascii="Times New Roman" w:cs="Times New Roman" w:eastAsia="Times New Roman" w:hAnsi="Times New Roman"/>
                <w:sz w:val="18"/>
                <w:szCs w:val="18"/>
                <w:b w:val="1"/>
                <w:bCs w:val="1"/>
                <w:color w:val="auto"/>
                <w:w w:val="97"/>
              </w:rPr>
              <w:t>Estimated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4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1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1"/>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00"/>
              <w:spacing w:after="0" w:line="214" w:lineRule="exact"/>
              <w:rPr>
                <w:sz w:val="20"/>
                <w:szCs w:val="20"/>
                <w:color w:val="auto"/>
              </w:rPr>
            </w:pPr>
            <w:r>
              <w:rPr>
                <w:rFonts w:ascii="Times New Roman" w:cs="Times New Roman" w:eastAsia="Times New Roman" w:hAnsi="Times New Roman"/>
                <w:sz w:val="18"/>
                <w:szCs w:val="18"/>
                <w:color w:val="auto"/>
              </w:rPr>
              <w:t xml:space="preserve">Investments in Affinion </w:t>
            </w:r>
            <w:r>
              <w:rPr>
                <w:rFonts w:ascii="Times New Roman" w:cs="Times New Roman" w:eastAsia="Times New Roman" w:hAnsi="Times New Roman"/>
                <w:sz w:val="22"/>
                <w:szCs w:val="22"/>
                <w:color w:val="auto"/>
                <w:vertAlign w:val="superscript"/>
              </w:rPr>
              <w:t>(a)</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debt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under vehicle programs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Vehicle-backed debt due to Avis Budget Rental Car Funding</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Vehicle-backed debt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00"/>
              <w:spacing w:after="0" w:line="214" w:lineRule="exact"/>
              <w:rPr>
                <w:sz w:val="20"/>
                <w:szCs w:val="20"/>
                <w:color w:val="auto"/>
              </w:rPr>
            </w:pPr>
            <w:r>
              <w:rPr>
                <w:rFonts w:ascii="Times New Roman" w:cs="Times New Roman" w:eastAsia="Times New Roman" w:hAnsi="Times New Roman"/>
                <w:sz w:val="18"/>
                <w:szCs w:val="18"/>
                <w:color w:val="auto"/>
              </w:rPr>
              <w:t xml:space="preserve">Interest rate swaps and other derivatives </w:t>
            </w:r>
            <w:r>
              <w:rPr>
                <w:rFonts w:ascii="Times New Roman" w:cs="Times New Roman" w:eastAsia="Times New Roman" w:hAnsi="Times New Roman"/>
                <w:sz w:val="22"/>
                <w:szCs w:val="22"/>
                <w:color w:val="auto"/>
                <w:vertAlign w:val="superscript"/>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w:t>
            </w:r>
            <w:r>
              <w:rPr>
                <w:rFonts w:ascii="Times New Roman" w:cs="Times New Roman" w:eastAsia="Times New Roman" w:hAnsi="Times New Roman"/>
                <w:sz w:val="22"/>
                <w:szCs w:val="22"/>
                <w:b w:val="1"/>
                <w:bCs w:val="1"/>
                <w:color w:val="auto"/>
                <w:vertAlign w:val="superscript"/>
              </w:rPr>
              <w: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45720</wp:posOffset>
            </wp:positionV>
            <wp:extent cx="643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75" w:lineRule="exact"/>
        <w:rPr>
          <w:sz w:val="20"/>
          <w:szCs w:val="20"/>
          <w:color w:val="auto"/>
        </w:rPr>
      </w:pPr>
    </w:p>
    <w:p>
      <w:pPr>
        <w:ind w:left="800" w:hanging="454"/>
        <w:spacing w:after="0"/>
        <w:tabs>
          <w:tab w:leader="none" w:pos="80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Company’s investment in Affinion was sold in 2007.</w:t>
      </w:r>
    </w:p>
    <w:p>
      <w:pPr>
        <w:ind w:left="800" w:hanging="454"/>
        <w:spacing w:after="0"/>
        <w:tabs>
          <w:tab w:leader="none" w:pos="80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Derivative instruments in gain (loss) positions.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380"/>
          </w:cols>
          <w:pgMar w:left="240" w:top="455" w:right="2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3" w:lineRule="exact"/>
        <w:rPr>
          <w:rFonts w:ascii="Times New Roman" w:cs="Times New Roman" w:eastAsia="Times New Roman" w:hAnsi="Times New Roman"/>
          <w:sz w:val="18"/>
          <w:szCs w:val="18"/>
          <w:b w:val="1"/>
          <w:bCs w:val="1"/>
          <w:color w:val="auto"/>
        </w:rPr>
      </w:pPr>
    </w:p>
    <w:p>
      <w:pPr>
        <w:ind w:left="3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reportable segments presented below represent the Company’s operating segments for which separate financial information is available and is utilized on a regular basis by its chief operating decision maker to assess performance and to allocate resources. In identifying its reportable segments, the Company also considers the nature of services provided by its operating segments. Management evaluates the operating results of each of its reportable segments based upon revenue and “EBITDA,” which is defined as income from continuing operations before non-vehicle related depreciation and amortization, any goodwill impairment charge, non-vehicle interest and income taxes. The Company’s presentation of EBITDA may not be comparable to similarly-titled measures used by other companies.</w:t>
      </w:r>
    </w:p>
    <w:p>
      <w:pPr>
        <w:spacing w:after="0" w:line="13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 Ended December 31, 2007</w:t>
      </w: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5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58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2"/>
        </w:trPr>
        <w:tc>
          <w:tcPr>
            <w:tcW w:w="466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58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520" w:type="dxa"/>
            <w:vAlign w:val="bottom"/>
            <w:gridSpan w:val="3"/>
          </w:tcPr>
          <w:p>
            <w:pPr>
              <w:ind w:left="560"/>
              <w:spacing w:after="0" w:line="232" w:lineRule="exact"/>
              <w:rPr>
                <w:sz w:val="20"/>
                <w:szCs w:val="20"/>
                <w:color w:val="auto"/>
              </w:rPr>
            </w:pPr>
            <w:r>
              <w:rPr>
                <w:rFonts w:ascii="Times New Roman" w:cs="Times New Roman" w:eastAsia="Times New Roman" w:hAnsi="Times New Roman"/>
                <w:sz w:val="18"/>
                <w:szCs w:val="18"/>
                <w:b w:val="1"/>
                <w:bCs w:val="1"/>
                <w:color w:val="auto"/>
                <w:w w:val="93"/>
              </w:rPr>
              <w:t xml:space="preserve">and Other </w:t>
            </w:r>
            <w:r>
              <w:rPr>
                <w:rFonts w:ascii="Times New Roman" w:cs="Times New Roman" w:eastAsia="Times New Roman" w:hAnsi="Times New Roman"/>
                <w:sz w:val="22"/>
                <w:szCs w:val="22"/>
                <w:b w:val="1"/>
                <w:bCs w:val="1"/>
                <w:color w:val="auto"/>
                <w:w w:val="93"/>
                <w:vertAlign w:val="superscript"/>
              </w:rPr>
              <w:t>(c)</w:t>
            </w: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5"/>
        </w:trPr>
        <w:tc>
          <w:tcPr>
            <w:tcW w:w="4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2"/>
                <w:szCs w:val="22"/>
                <w:color w:val="auto"/>
                <w:vertAlign w:val="superscript"/>
              </w:rPr>
              <w:t>(a)</w:t>
            </w:r>
          </w:p>
        </w:tc>
        <w:tc>
          <w:tcPr>
            <w:tcW w:w="2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4,679</w:t>
            </w:r>
          </w:p>
        </w:tc>
        <w:tc>
          <w:tcPr>
            <w:tcW w:w="580" w:type="dxa"/>
            <w:vAlign w:val="bottom"/>
          </w:tcPr>
          <w:p>
            <w:pPr>
              <w:spacing w:after="0"/>
              <w:rPr>
                <w:sz w:val="16"/>
                <w:szCs w:val="16"/>
                <w:color w:val="auto"/>
              </w:rPr>
            </w:pPr>
          </w:p>
        </w:tc>
        <w:tc>
          <w:tcPr>
            <w:tcW w:w="3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873</w:t>
            </w:r>
          </w:p>
        </w:tc>
        <w:tc>
          <w:tcPr>
            <w:tcW w:w="56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416</w:t>
            </w: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$5,986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2007 a $1,195 million charge was recorded for the impairment of goodwill (see Note 2—Summary of Significant Accounting Policies).</w:t>
      </w:r>
    </w:p>
    <w:p>
      <w:pPr>
        <w:spacing w:after="0" w:line="169"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4"/>
        </w:trPr>
        <w:tc>
          <w:tcPr>
            <w:tcW w:w="458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Truck</w:t>
            </w:r>
          </w:p>
        </w:tc>
        <w:tc>
          <w:tcPr>
            <w:tcW w:w="54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45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820" w:type="dxa"/>
            <w:vAlign w:val="bottom"/>
            <w:gridSpan w:val="4"/>
          </w:tcPr>
          <w:p>
            <w:pPr>
              <w:ind w:left="54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and Other </w:t>
            </w:r>
            <w:r>
              <w:rPr>
                <w:rFonts w:ascii="Times New Roman" w:cs="Times New Roman" w:eastAsia="Times New Roman" w:hAnsi="Times New Roman"/>
                <w:sz w:val="22"/>
                <w:szCs w:val="22"/>
                <w:b w:val="1"/>
                <w:bCs w:val="1"/>
                <w:color w:val="auto"/>
                <w:vertAlign w:val="superscript"/>
              </w:rPr>
              <w:t>(c)</w:t>
            </w:r>
          </w:p>
        </w:tc>
        <w:tc>
          <w:tcPr>
            <w:tcW w:w="3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5"/>
        </w:trPr>
        <w:tc>
          <w:tcPr>
            <w:tcW w:w="4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2"/>
                <w:szCs w:val="22"/>
                <w:color w:val="auto"/>
                <w:vertAlign w:val="superscript"/>
              </w:rPr>
              <w:t>(a)</w:t>
            </w:r>
          </w:p>
        </w:tc>
        <w:tc>
          <w:tcPr>
            <w:tcW w:w="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4,395</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761</w:t>
            </w:r>
          </w:p>
        </w:tc>
        <w:tc>
          <w:tcPr>
            <w:tcW w:w="56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472</w:t>
            </w:r>
          </w:p>
        </w:tc>
        <w:tc>
          <w:tcPr>
            <w:tcW w:w="54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2"/>
              </w:rPr>
              <w:t>$5,689</w:t>
            </w:r>
          </w:p>
        </w:tc>
        <w:tc>
          <w:tcPr>
            <w:tcW w:w="40" w:type="dxa"/>
            <w:vAlign w:val="bottom"/>
          </w:tcPr>
          <w:p>
            <w:pPr>
              <w:spacing w:after="0"/>
              <w:rPr>
                <w:sz w:val="16"/>
                <w:szCs w:val="16"/>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4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40" w:type="dxa"/>
            <w:vAlign w:val="bottom"/>
          </w:tcPr>
          <w:p>
            <w:pPr>
              <w:spacing w:after="0"/>
              <w:rPr>
                <w:sz w:val="18"/>
                <w:szCs w:val="18"/>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r>
      <w:tr>
        <w:trPr>
          <w:trHeight w:val="365"/>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F-51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04"/>
        </w:trPr>
        <w:tc>
          <w:tcPr>
            <w:tcW w:w="46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International</w:t>
            </w: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580" w:type="dxa"/>
            <w:vAlign w:val="bottom"/>
          </w:tcPr>
          <w:p>
            <w:pPr>
              <w:spacing w:after="0"/>
              <w:rPr>
                <w:sz w:val="24"/>
                <w:szCs w:val="24"/>
                <w:color w:val="auto"/>
              </w:rPr>
            </w:pP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2"/>
        </w:trPr>
        <w:tc>
          <w:tcPr>
            <w:tcW w:w="46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Car Rental</w:t>
            </w:r>
          </w:p>
        </w:tc>
        <w:tc>
          <w:tcPr>
            <w:tcW w:w="56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Car Rental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860" w:type="dxa"/>
            <w:vAlign w:val="bottom"/>
            <w:gridSpan w:val="4"/>
          </w:tcPr>
          <w:p>
            <w:pPr>
              <w:ind w:left="580"/>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and Other </w:t>
            </w:r>
            <w:r>
              <w:rPr>
                <w:rFonts w:ascii="Times New Roman" w:cs="Times New Roman" w:eastAsia="Times New Roman" w:hAnsi="Times New Roman"/>
                <w:sz w:val="22"/>
                <w:szCs w:val="22"/>
                <w:b w:val="1"/>
                <w:bCs w:val="1"/>
                <w:color w:val="auto"/>
                <w:vertAlign w:val="superscript"/>
              </w:rPr>
              <w:t>(c)</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5"/>
        </w:trPr>
        <w:tc>
          <w:tcPr>
            <w:tcW w:w="4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xml:space="preserve">Net revenues </w:t>
            </w:r>
            <w:r>
              <w:rPr>
                <w:rFonts w:ascii="Times New Roman" w:cs="Times New Roman" w:eastAsia="Times New Roman" w:hAnsi="Times New Roman"/>
                <w:sz w:val="22"/>
                <w:szCs w:val="22"/>
                <w:color w:val="auto"/>
                <w:vertAlign w:val="superscript"/>
              </w:rPr>
              <w:t>(a)</w:t>
            </w:r>
          </w:p>
        </w:tc>
        <w:tc>
          <w:tcPr>
            <w:tcW w:w="2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4,109</w:t>
            </w: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661</w:t>
            </w:r>
          </w:p>
        </w:tc>
        <w:tc>
          <w:tcPr>
            <w:tcW w:w="54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546</w:t>
            </w:r>
          </w:p>
        </w:tc>
        <w:tc>
          <w:tcPr>
            <w:tcW w:w="58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$5,400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Vehicle interest, net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Non-vehicle depreciation and amortization</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exclusive of assets under vehicle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6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programs </w:t>
            </w:r>
            <w:r>
              <w:rPr>
                <w:rFonts w:ascii="Times New Roman" w:cs="Times New Roman" w:eastAsia="Times New Roman" w:hAnsi="Times New Roman"/>
                <w:sz w:val="22"/>
                <w:szCs w:val="22"/>
                <w:color w:val="auto"/>
                <w:vertAlign w:val="superscript"/>
              </w:rPr>
              <w:t>(b)</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(excluding vehicles)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95885</wp:posOffset>
            </wp:positionV>
            <wp:extent cx="643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3" w:lineRule="exact"/>
        <w:rPr>
          <w:sz w:val="20"/>
          <w:szCs w:val="20"/>
          <w:color w:val="auto"/>
        </w:rPr>
      </w:pPr>
    </w:p>
    <w:p>
      <w:pPr>
        <w:ind w:left="800" w:hanging="454"/>
        <w:spacing w:after="0"/>
        <w:tabs>
          <w:tab w:leader="none" w:pos="80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Inter-segment net revenues were not significant to the net revenues of any one segment.</w:t>
      </w:r>
    </w:p>
    <w:p>
      <w:pPr>
        <w:ind w:left="800" w:hanging="454"/>
        <w:spacing w:after="0" w:line="203" w:lineRule="auto"/>
        <w:tabs>
          <w:tab w:leader="none" w:pos="80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Excludes assets of discontinued operations.</w:t>
      </w:r>
    </w:p>
    <w:p>
      <w:pPr>
        <w:ind w:left="800" w:right="160" w:hanging="454"/>
        <w:spacing w:after="0" w:line="238" w:lineRule="auto"/>
        <w:tabs>
          <w:tab w:leader="none" w:pos="80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the results of operations of the Company’s non-strategic businesses, unallocated corporate overhead and the elimination of transactions between segments.</w:t>
      </w:r>
    </w:p>
    <w:p>
      <w:pPr>
        <w:spacing w:after="0" w:line="137"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Provided below is a reconciliation of EBITDA to loss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9"/>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2"/>
        </w:trPr>
        <w:tc>
          <w:tcPr>
            <w:tcW w:w="8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40" w:type="dxa"/>
            <w:vAlign w:val="bottom"/>
          </w:tcPr>
          <w:p>
            <w:pPr>
              <w:spacing w:after="0"/>
              <w:rPr>
                <w:sz w:val="18"/>
                <w:szCs w:val="18"/>
                <w:color w:val="auto"/>
              </w:rPr>
            </w:pPr>
          </w:p>
        </w:tc>
      </w:tr>
      <w:tr>
        <w:trPr>
          <w:trHeight w:val="195"/>
        </w:trPr>
        <w:tc>
          <w:tcPr>
            <w:tcW w:w="8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414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(23)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$226</w:t>
            </w:r>
          </w:p>
        </w:tc>
        <w:tc>
          <w:tcPr>
            <w:tcW w:w="40" w:type="dxa"/>
            <w:vAlign w:val="bottom"/>
          </w:tcPr>
          <w:p>
            <w:pPr>
              <w:spacing w:after="0"/>
              <w:rPr>
                <w:sz w:val="16"/>
                <w:szCs w:val="16"/>
                <w:color w:val="auto"/>
              </w:rPr>
            </w:pPr>
          </w:p>
        </w:tc>
      </w:tr>
      <w:tr>
        <w:trPr>
          <w:trHeight w:val="216"/>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Non-vehicle related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8"/>
        </w:trPr>
        <w:tc>
          <w:tcPr>
            <w:tcW w:w="8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5"/>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(677</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 (62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geographic segment information provided below is classified based on the geographic location of the Company’s subsidiaries.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United</w:t>
            </w:r>
          </w:p>
        </w:tc>
        <w:tc>
          <w:tcPr>
            <w:tcW w:w="5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States</w:t>
            </w:r>
          </w:p>
        </w:tc>
        <w:tc>
          <w:tcPr>
            <w:tcW w:w="124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4"/>
              </w:rPr>
              <w:t>Countries</w:t>
            </w: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$ 5,113</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0" w:type="dxa"/>
            <w:vAlign w:val="bottom"/>
          </w:tcPr>
          <w:p>
            <w:pPr>
              <w:spacing w:after="0"/>
              <w:rPr>
                <w:sz w:val="1"/>
                <w:szCs w:val="1"/>
                <w:color w:val="auto"/>
              </w:rPr>
            </w:pPr>
          </w:p>
        </w:tc>
      </w:tr>
      <w:tr>
        <w:trPr>
          <w:trHeight w:val="228"/>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312"/>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$ 4,928</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28"/>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312"/>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$ 4,739</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Segment assets exclusive of assets under vehicle programs*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16"/>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8"/>
        </w:trPr>
        <w:tc>
          <w:tcPr>
            <w:tcW w:w="4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4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Excludes assets of discontinued operations.</w:t>
            </w:r>
          </w:p>
        </w:tc>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80" w:type="dxa"/>
            <w:vAlign w:val="bottom"/>
            <w:gridSpan w:val="2"/>
          </w:tcPr>
          <w:p>
            <w:pPr>
              <w:jc w:val="right"/>
              <w:ind w:right="2872"/>
              <w:spacing w:after="0"/>
              <w:rPr>
                <w:sz w:val="20"/>
                <w:szCs w:val="20"/>
                <w:color w:val="auto"/>
              </w:rPr>
            </w:pPr>
            <w:r>
              <w:rPr>
                <w:rFonts w:ascii="Times New Roman" w:cs="Times New Roman" w:eastAsia="Times New Roman" w:hAnsi="Times New Roman"/>
                <w:sz w:val="18"/>
                <w:szCs w:val="18"/>
                <w:color w:val="auto"/>
              </w:rPr>
              <w:t>F-52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5" w:right="5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 and Non-Guarantor Consolidating Financial Statements</w:t>
      </w:r>
    </w:p>
    <w:p>
      <w:pPr>
        <w:spacing w:after="0" w:line="173" w:lineRule="exact"/>
        <w:rPr>
          <w:rFonts w:ascii="Times New Roman" w:cs="Times New Roman" w:eastAsia="Times New Roman" w:hAnsi="Times New Roman"/>
          <w:sz w:val="18"/>
          <w:szCs w:val="18"/>
          <w:b w:val="1"/>
          <w:bCs w:val="1"/>
          <w:color w:val="auto"/>
        </w:rPr>
      </w:pPr>
    </w:p>
    <w:p>
      <w:pPr>
        <w:ind w:left="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consolidating financial information presents Consolidating Condensed Statements of Operations for the years ended December 31, 2007, 2006 and 2005, Consolidating Condensed Balance Sheets as of December 31, 2007 and December 31, 2006 and Consolidating Condensed Statements of Cash Flows for the years ended December 31, 2007, 2006 and 2005 for: (i) Avis Budget Group, Inc. (the “Parent”); (ii) Avis Budget Car Rental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Notes issued by Avis Budget Car Rental. See Note 16—Long-term Debt and Borrowing Arrangements for additional description of these Notes. The Notes have separate investors than the equity investors of the Company and the Notes are guaranteed by certain subsidiaries.</w:t>
      </w:r>
    </w:p>
    <w:p>
      <w:pPr>
        <w:spacing w:after="0" w:line="143" w:lineRule="exact"/>
        <w:rPr>
          <w:rFonts w:ascii="Times New Roman" w:cs="Times New Roman" w:eastAsia="Times New Roman" w:hAnsi="Times New Roman"/>
          <w:sz w:val="18"/>
          <w:szCs w:val="18"/>
          <w:b w:val="1"/>
          <w:bCs w:val="1"/>
          <w:color w:val="auto"/>
        </w:rPr>
      </w:pPr>
    </w:p>
    <w:p>
      <w:pPr>
        <w:ind w:left="3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 The results of operations of discontinued operations are included in the non-guarantor subsidiaries column. Income from discontinued operations, net of tax within the Parent column includes the equity in earnings from discontinued operations and gain (loss) on disposal of discontinued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400"/>
          </w:cols>
          <w:pgMar w:left="240" w:top="455" w:right="2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Consolidating Condensed Statements of Operations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Non-</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50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6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7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60" w:type="dxa"/>
            <w:vAlign w:val="bottom"/>
          </w:tcPr>
          <w:p>
            <w:pPr>
              <w:spacing w:after="0"/>
              <w:rPr>
                <w:sz w:val="20"/>
                <w:szCs w:val="20"/>
                <w:color w:val="auto"/>
              </w:rPr>
            </w:pPr>
          </w:p>
        </w:tc>
        <w:tc>
          <w:tcPr>
            <w:tcW w:w="54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3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depreciation and lease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charges,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interest,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Non-vehicle related depreciation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corporate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Intercompany 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Separation costs,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6,978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and equity in earnings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w w:val="99"/>
              </w:rPr>
              <w:t>F-54</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5" w:right="5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4"/>
              </w:rPr>
              <w:t>Non-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18"/>
                <w:szCs w:val="18"/>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Guarantor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0"/>
                <w:szCs w:val="20"/>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Subsidiaries</w:t>
            </w: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20" w:type="dxa"/>
            <w:vAlign w:val="bottom"/>
          </w:tcPr>
          <w:p>
            <w:pPr>
              <w:spacing w:after="0"/>
              <w:rPr>
                <w:sz w:val="20"/>
                <w:szCs w:val="20"/>
                <w:color w:val="auto"/>
              </w:rPr>
            </w:pPr>
          </w:p>
        </w:tc>
        <w:tc>
          <w:tcPr>
            <w:tcW w:w="6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Pr>
          <w:p>
            <w:pPr>
              <w:spacing w:after="0"/>
              <w:rPr>
                <w:sz w:val="18"/>
                <w:szCs w:val="18"/>
                <w:color w:val="auto"/>
              </w:rPr>
            </w:pPr>
          </w:p>
        </w:tc>
        <w:tc>
          <w:tcPr>
            <w:tcW w:w="5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Other</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depreciation and lease charges,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interest,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Non-vehicle related depreciation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related to corporate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Intercompany interest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Separation costs,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equity in earnings of subsidiaries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net of tax</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5"/>
              </w:rPr>
              <w:t>(1,479)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cumulative effect of</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accounting changes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5"/>
              </w:rPr>
              <w:t>(1,930)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(1,994</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(1,994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F-55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5" w:right="5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Non-</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5"/>
              </w:rPr>
              <w:t>Subsidiaries</w:t>
            </w: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Vehicle rental</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Vehicle depreciation and lease charges,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Vehicle interest,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Non-vehicle related depreciation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 related to corporate debt,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Separation costs,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 and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in earnings of subsidiaries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8"/>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discontinued operations,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 tax</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cumulative effect of</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accounting changes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effect of accounting changes, net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1,618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F-56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5" w:right="5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Consolidating Condensed Balance Sheets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2007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4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 (payables)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2,354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from vehicle manufacturers and others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Avis Budget Rental Car Funding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(AESOP) LLC-related party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2,354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4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Avis Budget Rental Car Funding (AESOP)</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LLC-related party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1,465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2,354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12,474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F-57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5" w:right="5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4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8"/>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311"/>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Intercompany receivables (payables)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1,854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exclusive of assets under vehicle programs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3,694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0"/>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under vehicle programs: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Program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Vehicles,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 from vehicle manufacturersand others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Investment in Avis Budget Rental Car Funding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(AESOP) LLC-related party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3,694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13,271</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1,185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4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28"/>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311"/>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8"/>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1"/>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exclusive of liabilities under vehicle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programs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11"/>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under vehicle programs: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Due to Avis Budget Rental Car Funding (AESOP)</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LLC-related party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16"/>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29"/>
        </w:trPr>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3,694</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13,271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F-58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5" w:right="5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Consolidating Condensed Statements of Cash Flows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4"/>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p>
        </w:tc>
        <w:tc>
          <w:tcPr>
            <w:tcW w:w="9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7"/>
        </w:trPr>
        <w:tc>
          <w:tcPr>
            <w:tcW w:w="33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60" w:type="dxa"/>
            <w:vAlign w:val="bottom"/>
          </w:tcPr>
          <w:p>
            <w:pPr>
              <w:spacing w:after="0"/>
              <w:rPr>
                <w:sz w:val="19"/>
                <w:szCs w:val="19"/>
                <w:color w:val="auto"/>
              </w:rPr>
            </w:pPr>
          </w:p>
        </w:tc>
        <w:tc>
          <w:tcPr>
            <w:tcW w:w="5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0" w:type="dxa"/>
            <w:vAlign w:val="bottom"/>
          </w:tcPr>
          <w:p>
            <w:pPr>
              <w:spacing w:after="0"/>
              <w:rPr>
                <w:sz w:val="19"/>
                <w:szCs w:val="19"/>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acquisition-related payments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sale of investment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(paid to) Realogy and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Wyndham,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dispositions of businesses,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transaction-related payments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exclusive of vehicle programs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vehicles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(10,633)</w:t>
            </w: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received on disposition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40" w:type="dxa"/>
            <w:vAlign w:val="bottom"/>
          </w:tcPr>
          <w:p>
            <w:pPr>
              <w:spacing w:after="0"/>
              <w:rPr>
                <w:sz w:val="18"/>
                <w:szCs w:val="18"/>
                <w:color w:val="auto"/>
              </w:rPr>
            </w:pPr>
          </w:p>
        </w:tc>
      </w:tr>
      <w:tr>
        <w:trPr>
          <w:trHeight w:val="22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40" w:type="dxa"/>
            <w:vAlign w:val="bottom"/>
          </w:tcPr>
          <w:p>
            <w:pPr>
              <w:spacing w:after="0"/>
              <w:rPr>
                <w:sz w:val="19"/>
                <w:szCs w:val="19"/>
                <w:color w:val="auto"/>
              </w:rPr>
            </w:pPr>
          </w:p>
        </w:tc>
      </w:tr>
      <w:tr>
        <w:trPr>
          <w:trHeight w:val="20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 programs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(10,236)</w:t>
            </w: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9"/>
                <w:szCs w:val="19"/>
                <w:color w:val="auto"/>
              </w:rPr>
            </w:pPr>
          </w:p>
        </w:tc>
      </w:tr>
      <w:tr>
        <w:trPr>
          <w:trHeight w:val="20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20"/>
                <w:szCs w:val="20"/>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cash equivalents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9"/>
                <w:szCs w:val="19"/>
                <w:color w:val="auto"/>
              </w:rPr>
            </w:pPr>
          </w:p>
        </w:tc>
      </w:tr>
      <w:tr>
        <w:trPr>
          <w:trHeight w:val="22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F-59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240" w:top="455" w:right="59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2006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7"/>
        </w:trPr>
        <w:tc>
          <w:tcPr>
            <w:tcW w:w="32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(1,383)</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19"/>
                <w:szCs w:val="19"/>
                <w:color w:val="auto"/>
              </w:rPr>
            </w:pPr>
          </w:p>
        </w:tc>
        <w:tc>
          <w:tcPr>
            <w:tcW w:w="4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60" w:type="dxa"/>
            <w:vAlign w:val="bottom"/>
          </w:tcPr>
          <w:p>
            <w:pPr>
              <w:spacing w:after="0"/>
              <w:rPr>
                <w:sz w:val="19"/>
                <w:szCs w:val="19"/>
                <w:color w:val="auto"/>
              </w:rPr>
            </w:pPr>
          </w:p>
        </w:tc>
        <w:tc>
          <w:tcPr>
            <w:tcW w:w="5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acquisition-related payments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available-for-sale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vehicles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(11,348)</w:t>
            </w: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received on investment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(3,564)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 exclusive of vehicle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(3,264)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(13,310)</w:t>
            </w: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(3,264)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cash equivalents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discontinued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F-60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5" w:right="5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4"/>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Non-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4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Issuers</w:t>
            </w: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acquisition-related payments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on asset sales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available-for-sale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9"/>
                <w:szCs w:val="19"/>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investing activities exclusive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vehicle programs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program 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vehicles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(11,214)</w:t>
            </w: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received on investment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40" w:type="dxa"/>
            <w:vAlign w:val="bottom"/>
          </w:tcPr>
          <w:p>
            <w:pPr>
              <w:spacing w:after="0"/>
              <w:rPr>
                <w:sz w:val="18"/>
                <w:szCs w:val="18"/>
                <w:color w:val="auto"/>
              </w:rPr>
            </w:pPr>
          </w:p>
        </w:tc>
      </w:tr>
      <w:tr>
        <w:trPr>
          <w:trHeight w:val="229"/>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40" w:type="dxa"/>
            <w:vAlign w:val="bottom"/>
          </w:tcPr>
          <w:p>
            <w:pPr>
              <w:spacing w:after="0"/>
              <w:rPr>
                <w:sz w:val="19"/>
                <w:szCs w:val="19"/>
                <w:color w:val="auto"/>
              </w:rPr>
            </w:pPr>
          </w:p>
        </w:tc>
      </w:tr>
      <w:tr>
        <w:trPr>
          <w:trHeight w:val="20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short term borrowing (repayments)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revolving credit agreement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w w:val="98"/>
              </w:rPr>
              <w:t>(1,349)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intercompany transactions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financing activities exclusive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vehicle programs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w w:val="98"/>
              </w:rPr>
              <w:t>(1,766)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Vehicle programs: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(9,149)</w:t>
            </w: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r>
      <w:tr>
        <w:trPr>
          <w:trHeight w:val="229"/>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40" w:type="dxa"/>
            <w:vAlign w:val="bottom"/>
          </w:tcPr>
          <w:p>
            <w:pPr>
              <w:spacing w:after="0"/>
              <w:rPr>
                <w:sz w:val="19"/>
                <w:szCs w:val="19"/>
                <w:color w:val="auto"/>
              </w:rPr>
            </w:pPr>
          </w:p>
        </w:tc>
      </w:tr>
      <w:tr>
        <w:trPr>
          <w:trHeight w:val="20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w w:val="98"/>
              </w:rPr>
              <w:t>(1,766)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discontinued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40" w:type="dxa"/>
            <w:vAlign w:val="bottom"/>
          </w:tcPr>
          <w:p>
            <w:pPr>
              <w:spacing w:after="0"/>
              <w:rPr>
                <w:sz w:val="19"/>
                <w:szCs w:val="19"/>
                <w:color w:val="auto"/>
              </w:rPr>
            </w:pP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19"/>
                <w:szCs w:val="19"/>
                <w:color w:val="auto"/>
              </w:rPr>
            </w:pP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240" w:top="455" w:right="59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Data—(unaudited)</w:t>
      </w:r>
    </w:p>
    <w:p>
      <w:pPr>
        <w:spacing w:after="0" w:line="173"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below are selected unaudited quarterly financial data for 2007 and 2006.</w:t>
      </w:r>
    </w:p>
    <w:p>
      <w:pPr>
        <w:spacing w:after="0" w:line="171" w:lineRule="exact"/>
        <w:rPr>
          <w:rFonts w:ascii="Times New Roman" w:cs="Times New Roman" w:eastAsia="Times New Roman" w:hAnsi="Times New Roman"/>
          <w:sz w:val="18"/>
          <w:szCs w:val="18"/>
          <w:b w:val="1"/>
          <w:bCs w:val="1"/>
          <w:color w:val="auto"/>
        </w:rPr>
      </w:pPr>
    </w:p>
    <w:p>
      <w:pPr>
        <w:ind w:left="36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underlying diluted per share information is calculated from the weighted average common and common stock equivalents outstanding during each quarter, which may fluctuate, based on quarterly income levels, market prices and share repurchases. Therefore, the sum of the quarters’ per share information may not equal the total year amounts presented on the Consolidated Statements of Operations.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2007</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Second</w:t>
            </w:r>
          </w:p>
        </w:tc>
        <w:tc>
          <w:tcPr>
            <w:tcW w:w="28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Fourth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1,365</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$ 1,386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(1,056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 information:</w:t>
            </w: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4"/>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(10.16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3"/>
              </w:rPr>
              <w:t>101.6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103.4</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103.9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104.0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4"/>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(10.16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103.0</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20" w:type="dxa"/>
            <w:vAlign w:val="bottom"/>
          </w:tcPr>
          <w:p>
            <w:pPr>
              <w:spacing w:after="0"/>
              <w:rPr>
                <w:sz w:val="18"/>
                <w:szCs w:val="18"/>
                <w:color w:val="auto"/>
              </w:rPr>
            </w:pPr>
          </w:p>
        </w:tc>
        <w:tc>
          <w:tcPr>
            <w:tcW w:w="700" w:type="dxa"/>
            <w:vAlign w:val="bottom"/>
            <w:gridSpan w:val="3"/>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94"/>
              </w:rPr>
              <w:t>Second</w:t>
            </w:r>
          </w:p>
        </w:tc>
        <w:tc>
          <w:tcPr>
            <w:tcW w:w="120" w:type="dxa"/>
            <w:vAlign w:val="bottom"/>
          </w:tcPr>
          <w:p>
            <w:pPr>
              <w:spacing w:after="0"/>
              <w:rPr>
                <w:sz w:val="18"/>
                <w:szCs w:val="18"/>
                <w:color w:val="auto"/>
              </w:rPr>
            </w:pPr>
          </w:p>
        </w:tc>
        <w:tc>
          <w:tcPr>
            <w:tcW w:w="700" w:type="dxa"/>
            <w:vAlign w:val="bottom"/>
            <w:gridSpan w:val="3"/>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operations, net of tax</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5"/>
              </w:rPr>
              <w:t>(1,307)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 net of tax</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(1,054</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(1,013</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 share information:</w:t>
            </w:r>
          </w:p>
        </w:tc>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(0.64)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5"/>
              </w:rPr>
              <w:t>(13.05)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8"/>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3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(10.52</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(10.07</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3"/>
              </w:rPr>
              <w:t>100.6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101.1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(0.64)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5"/>
              </w:rPr>
              <w:t>(13.05)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8"/>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(loss)</w:t>
            </w:r>
          </w:p>
        </w:tc>
        <w:tc>
          <w:tcPr>
            <w:tcW w:w="3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(10.52</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(10.07</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500" w:type="dxa"/>
            <w:vAlign w:val="bottom"/>
          </w:tcPr>
          <w:p>
            <w:pPr>
              <w:spacing w:after="0"/>
              <w:rPr>
                <w:sz w:val="24"/>
                <w:szCs w:val="24"/>
                <w:color w:val="auto"/>
              </w:rPr>
            </w:pPr>
          </w:p>
        </w:tc>
        <w:tc>
          <w:tcPr>
            <w:tcW w:w="3280" w:type="dxa"/>
            <w:vAlign w:val="bottom"/>
            <w:gridSpan w:val="2"/>
          </w:tcPr>
          <w:p>
            <w:pPr>
              <w:jc w:val="right"/>
              <w:ind w:right="2177"/>
              <w:spacing w:after="0"/>
              <w:rPr>
                <w:sz w:val="20"/>
                <w:szCs w:val="20"/>
                <w:color w:val="auto"/>
              </w:rPr>
            </w:pPr>
            <w:r>
              <w:rPr>
                <w:rFonts w:ascii="Times New Roman" w:cs="Times New Roman" w:eastAsia="Times New Roman" w:hAnsi="Times New Roman"/>
                <w:sz w:val="18"/>
                <w:szCs w:val="18"/>
                <w:color w:val="auto"/>
              </w:rPr>
              <w:t>F-62</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5" w:right="59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3" w:lineRule="exact"/>
        <w:rPr>
          <w:rFonts w:ascii="Times New Roman" w:cs="Times New Roman" w:eastAsia="Times New Roman" w:hAnsi="Times New Roman"/>
          <w:sz w:val="18"/>
          <w:szCs w:val="18"/>
          <w:b w:val="1"/>
          <w:bCs w:val="1"/>
          <w:color w:val="auto"/>
        </w:rPr>
      </w:pPr>
    </w:p>
    <w:p>
      <w:pPr>
        <w:ind w:left="3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23, 2008, the Company announced that its Board of Directors authorized the repurchase of up to $50 million of its common shares. Under the repurchase authorization, the Company may repurchase shares from time to time in open market transactions, accelerated stock buyback programs, tender offers, privately negotiated transactions or by other means. Repurchases may also be made under a Rule 10b5-1 plan. The timing and amount of repurchase transactions, if any, will be determined by the Company’s management based on its evaluation of market conditions, share price, legal requirements and other factors.</w:t>
      </w:r>
    </w:p>
    <w:p>
      <w:pPr>
        <w:spacing w:after="0" w:line="139" w:lineRule="exact"/>
        <w:rPr>
          <w:sz w:val="20"/>
          <w:szCs w:val="20"/>
          <w:color w:val="auto"/>
        </w:rPr>
      </w:pPr>
    </w:p>
    <w:p>
      <w:pPr>
        <w:ind w:left="360"/>
        <w:spacing w:after="0" w:line="262" w:lineRule="auto"/>
        <w:rPr>
          <w:sz w:val="20"/>
          <w:szCs w:val="20"/>
          <w:color w:val="auto"/>
        </w:rPr>
      </w:pPr>
      <w:r>
        <w:rPr>
          <w:rFonts w:ascii="Times New Roman" w:cs="Times New Roman" w:eastAsia="Times New Roman" w:hAnsi="Times New Roman"/>
          <w:sz w:val="18"/>
          <w:szCs w:val="18"/>
          <w:color w:val="auto"/>
        </w:rPr>
        <w:t>On February 21, 2007, the Company completed a new asset-backed conduit facility of $800 million. The facility, which issues variable funding notes by the Company’s Avis Budget Rental Car Funding (AESOP), LLC subsidiary and provides funds for the acquisition for rental cars in the United States, has a maturity date of February 13, 2009.</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320"/>
          </w:cols>
          <w:pgMar w:left="240" w:top="455"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Other –</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Balance at End</w:t>
            </w:r>
          </w:p>
        </w:tc>
      </w:t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3420" w:type="dxa"/>
            <w:vAlign w:val="bottom"/>
          </w:tcPr>
          <w:p>
            <w:pPr>
              <w:spacing w:after="0"/>
              <w:rPr>
                <w:sz w:val="20"/>
                <w:szCs w:val="20"/>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Expensed</w:t>
            </w:r>
          </w:p>
        </w:tc>
        <w:tc>
          <w:tcPr>
            <w:tcW w:w="6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660" w:type="dxa"/>
            <w:vAlign w:val="bottom"/>
          </w:tcPr>
          <w:p>
            <w:pPr>
              <w:spacing w:after="0"/>
              <w:rPr>
                <w:sz w:val="20"/>
                <w:szCs w:val="20"/>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Deductions</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of Period</w:t>
            </w:r>
          </w:p>
        </w:tc>
      </w:tr>
      <w:tr>
        <w:trPr>
          <w:trHeight w:val="22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4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34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8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5"/>
        </w:trPr>
        <w:tc>
          <w:tcPr>
            <w:tcW w:w="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G-1</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540" w:type="dxa"/>
            <w:vAlign w:val="bottom"/>
            <w:gridSpan w:val="3"/>
          </w:tcPr>
          <w:p>
            <w:pPr>
              <w:ind w:left="4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8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180" w:type="dxa"/>
            <w:vAlign w:val="bottom"/>
          </w:tcPr>
          <w:p>
            <w:pPr>
              <w:spacing w:after="0"/>
              <w:rPr>
                <w:sz w:val="24"/>
                <w:szCs w:val="24"/>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540" w:type="dxa"/>
            <w:vAlign w:val="bottom"/>
            <w:gridSpan w:val="3"/>
          </w:tcPr>
          <w:p>
            <w:pPr>
              <w:ind w:left="1280"/>
              <w:spacing w:after="0" w:line="196" w:lineRule="exact"/>
              <w:rPr>
                <w:sz w:val="20"/>
                <w:szCs w:val="20"/>
                <w:color w:val="auto"/>
              </w:rPr>
            </w:pPr>
            <w:r>
              <w:rPr>
                <w:rFonts w:ascii="Times New Roman" w:cs="Times New Roman" w:eastAsia="Times New Roman" w:hAnsi="Times New Roman"/>
                <w:sz w:val="18"/>
                <w:szCs w:val="18"/>
                <w:color w:val="auto"/>
              </w:rPr>
              <w:t>Separation and Distribution Agreement by and among Cendant Corporation*, Realogy Corporation, Wyndham Worldwide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Corporation and Travelport Inc., dated as of July 27, 2006 (Incorporated by reference to Exhibit 2.1 to the Company’s Current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Report on Form 8-K dated August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Letter Agreement dated August 23, 2006 related to the Separation and Distribution Agreement by and among Realogy Corporation,</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Cendant Corporation*, Wyndham Worldwide Corporation and Travelport Inc. dated as of July 27, 2006 (Incorporated by reference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to Exhibit 2.2 to the Company’s Quarterly Report on Form 10-Q for the period ended June 30,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Company (Incorporated by reference to Exhibit 3.1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Current Report on Form 8-K dated September 5,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Amended and Restated By-Laws of the Company (Incorporated by reference to Exhibit 3.1 to the Company’s Current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Form 8-K dated October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Certificate of Designation of Series A Junior Participating Preferred Stock. (Incorporated by reference to Exhibit 4.2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Company’s Registration Statement on Form 8-A dated September 5,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Amended and Restated Rights Agreement, dated as of September 1, 2006, by and between Avis Budget Group, Inc. and Mellon</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Investor Services LLC as Rights Agent, including the form of Certificate of Designation, Preferences and Rights of Series A Junior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Participating Preferred Stock as Exhibit A thereto, the form of Rights Certificates as Exhibit B thereto, and the Summary of Rights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as Exhibit C thereto. (Incorporated by reference to Exhibit 4.1 to the Company’s Registration Statement on Form 8-A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September 5,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Indenture, dated as of April 19, 2006, among Avis Budget Car Rental, LLC, Avis Budget Finance, Inc., the guarantors from time to</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time parties thereto and the Bank of Nova Scotia Trust Company of New York, as trustee, relating to $1,000 million aggregate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principal amount of senior notes, consisting of $250 million aggregate principal amount of Floating Rate Senior Notes due 2014,</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$375 million aggregate principal amount of 7.625% Senior Notes due 2014 and $375 million aggregate principal amount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7.750% Senior Notes due 2016 (Incorporated by reference to Exhibit 10.4 to the Company’s Current Report on Form 8-K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Form of Exchange Floating Rate Note (included in Exhibit 10.4 to the Company’s Current Report on Form 8-K dated April 21,</w:t>
            </w:r>
          </w:p>
        </w:tc>
      </w:tr>
      <w:tr>
        <w:trPr>
          <w:trHeight w:val="228"/>
        </w:trPr>
        <w:tc>
          <w:tcPr>
            <w:tcW w:w="880" w:type="dxa"/>
            <w:vAlign w:val="bottom"/>
          </w:tcPr>
          <w:p>
            <w:pPr>
              <w:spacing w:after="0"/>
              <w:rPr>
                <w:sz w:val="19"/>
                <w:szCs w:val="19"/>
                <w:color w:val="auto"/>
              </w:rPr>
            </w:pPr>
          </w:p>
        </w:tc>
        <w:tc>
          <w:tcPr>
            <w:tcW w:w="5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2006).</w:t>
            </w:r>
          </w:p>
        </w:tc>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Form of Exchange 7.625% Note (included in Exhibit 10.4 to the Company’s Current Report on Form 8-K dated April 21, 2006).</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Form of Exchange 7.75% Note (included in Exhibit 10.4 to the Company’s Current Report on Form 8-K dated 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7"/>
              </w:rPr>
              <w:t>Supplemental Indenture, dated as of February 9, 2007, to the Indenture, dated as of April 19, 2006, among Avis Budget Car Rental,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9"/>
              </w:rPr>
              <w:t>LLC, Avis Budget Finance, Inc., the guarantors from time to time parties thereto and the Bank of Nova Scotia Trust Company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New York, as trustee (Incorporated by reference to Exhibit 10.1 to the Company’s Current Report on Form 8-K dated February 9,</w:t>
            </w:r>
          </w:p>
        </w:tc>
      </w:tr>
      <w:tr>
        <w:trPr>
          <w:trHeight w:val="228"/>
        </w:trPr>
        <w:tc>
          <w:tcPr>
            <w:tcW w:w="880" w:type="dxa"/>
            <w:vAlign w:val="bottom"/>
          </w:tcPr>
          <w:p>
            <w:pPr>
              <w:spacing w:after="0"/>
              <w:rPr>
                <w:sz w:val="19"/>
                <w:szCs w:val="19"/>
                <w:color w:val="auto"/>
              </w:rPr>
            </w:pPr>
          </w:p>
        </w:tc>
        <w:tc>
          <w:tcPr>
            <w:tcW w:w="5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2007).</w:t>
            </w:r>
          </w:p>
        </w:tc>
        <w:tc>
          <w:tcPr>
            <w:tcW w:w="8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Employment Agreement between Cendant Corporation* and Ronald L. Nelson (Incorporated by reference to Exhibit 10.5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Company’s Current Report on Form 8-K dated June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Employment Agreement between Cendant Corporation* and F. Robert Salerno (Incorporated by reference to Exhibit 10.1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Company’s Current Report on Form 8-K dated November 20, 2006).†</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H-1</w:t>
            </w:r>
          </w:p>
        </w:tc>
      </w:tr>
    </w:tbl>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7"/>
        </w:trPr>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10.3</w:t>
            </w:r>
          </w:p>
        </w:tc>
        <w:tc>
          <w:tcPr>
            <w:tcW w:w="5280" w:type="dxa"/>
            <w:vAlign w:val="bottom"/>
          </w:tcPr>
          <w:p>
            <w:pPr>
              <w:ind w:left="880"/>
              <w:spacing w:after="0" w:line="197" w:lineRule="exact"/>
              <w:rPr>
                <w:sz w:val="20"/>
                <w:szCs w:val="20"/>
                <w:color w:val="auto"/>
              </w:rPr>
            </w:pPr>
            <w:r>
              <w:rPr>
                <w:rFonts w:ascii="Times New Roman" w:cs="Times New Roman" w:eastAsia="Times New Roman" w:hAnsi="Times New Roman"/>
                <w:sz w:val="18"/>
                <w:szCs w:val="18"/>
                <w:color w:val="auto"/>
                <w:w w:val="96"/>
              </w:rPr>
              <w:t>Employment Agreement with David B. Wyshner (Incorporated</w:t>
            </w:r>
          </w:p>
        </w:tc>
        <w:tc>
          <w:tcPr>
            <w:tcW w:w="880" w:type="dxa"/>
            <w:vAlign w:val="bottom"/>
            <w:tcBorders>
              <w:top w:val="single" w:sz="8" w:color="auto"/>
            </w:tcBorders>
          </w:tcPr>
          <w:p>
            <w:pPr>
              <w:ind w:left="80"/>
              <w:spacing w:after="0" w:line="197" w:lineRule="exact"/>
              <w:rPr>
                <w:sz w:val="20"/>
                <w:szCs w:val="20"/>
                <w:color w:val="auto"/>
              </w:rPr>
            </w:pPr>
            <w:r>
              <w:rPr>
                <w:rFonts w:ascii="Times New Roman" w:cs="Times New Roman" w:eastAsia="Times New Roman" w:hAnsi="Times New Roman"/>
                <w:sz w:val="18"/>
                <w:szCs w:val="18"/>
                <w:color w:val="auto"/>
                <w:w w:val="87"/>
              </w:rPr>
              <w:t>by reference</w:t>
            </w:r>
          </w:p>
        </w:tc>
        <w:tc>
          <w:tcPr>
            <w:tcW w:w="428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w w:val="98"/>
              </w:rPr>
              <w:t>to Exhibit 10.2 to the Company’s Current Report on Form</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8-K dated November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Agreement between Avis Budget Group, Inc. and Mark Servodidio (Incorporated by reference to Exhibit 10.7 to the Company’s Annual</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Agreement between Avis Budget Group, Inc. and John T. McClain (Incorporated by reference to Exhibit 10.8 to the Company’s Annual</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10-K for the year ended December 31, 2006 dated March 1, 2007).†</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Agreement between Avis Budget Group, Inc. and Larry De Shon.†</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1987 Stock Option Plan, as amended (Incorporated by reference to Exhibit 10.16 to the Company’s Form 10-Q for the quarterly period</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ended October 31, 1996 dated December 13, 1996, File No. 1-10308).†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10.7(b)</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Amendment to 1987 Stock Option Plan dated January 3, 2001 (Incorporated by reference to Exhibit 10.7(b) to the Company’s Annual</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10.8(a)</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1997 Stock Option Plan (Incorporated by reference to Exhibit 10.23 to the Company’s Quarterly Report on Form 10-Q for the quarterly</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April 30, 1997 dated June 16, 1997, File No. 1-10308).†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10.8(b)</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Amendment to 1997 Stock Option Plan dated January 3, 2001 (Incorporated by reference to Exhibit 10.11(b) to the Company’s Annual</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10.8(c)</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Amendment to 1997 Stock Option Plan dated March 19, 2002 (Incorporated by reference to Exhibit 10.11(c) to the Company’s Annual</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10-K for the year ended December 31, 2002 dated March 5,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Avis Budget Group, Inc. 2007 Equity and Incentive Plan (Incorporated by reference to Exhibit 10.2 to the Company’s Quarterly Report</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on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10.10(a)</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1997 Stock Incentive Plan (Incorporated by reference to Appendix E to the Joint Proxy Statement/ Prospectus included as part of the</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Registration Statement on Form S-4, Registration No. 333-34517, dated August 28, 1997).†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10.10(b)</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Amendment to 1997 Stock Incentive Plan dated March 27, 2000 (Incorporated by reference to Exhibit 10.12(b) to the Company’s</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10.10(c)</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Amendment to 1997 Stock Incentive Plan dated March 28, 2000 (Incorporated by reference to Exhibit 10.12(c) to the Company’s</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10.10(d)</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Amendment to 1997 Stock Incentive Plan dated January 3, 2001 (Incorporated by reference to Exhibit 10.12(d) to the Company’s</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2000 dated March 29, 2001).†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HFS Incorporated’s Amended and Restated 1993 Stock Option Plan (Incorporated by reference to Exhibit 4.1 to HFS Incorporated’s</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Registration Statement on Form S-8, Registration No. 33-83956).†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First Amendment to the Amended and Restated 1993 Stock Option Plan dated May 5, 1995 (Incorporated by reference to Exhibit 4.1 to</w:t>
            </w:r>
          </w:p>
        </w:tc>
      </w:tr>
      <w:tr>
        <w:trPr>
          <w:trHeight w:val="228"/>
        </w:trPr>
        <w:tc>
          <w:tcPr>
            <w:tcW w:w="880" w:type="dxa"/>
            <w:vAlign w:val="bottom"/>
          </w:tcPr>
          <w:p>
            <w:pPr>
              <w:spacing w:after="0"/>
              <w:rPr>
                <w:sz w:val="19"/>
                <w:szCs w:val="19"/>
                <w:color w:val="auto"/>
              </w:rPr>
            </w:pPr>
          </w:p>
        </w:tc>
        <w:tc>
          <w:tcPr>
            <w:tcW w:w="10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HFS Incorporated’s Registration Statement on Form S-8, Registration No. 33-094756).†</w:t>
            </w:r>
          </w:p>
        </w:tc>
      </w:tr>
      <w:tr>
        <w:trPr>
          <w:trHeight w:val="365"/>
        </w:trPr>
        <w:tc>
          <w:tcPr>
            <w:tcW w:w="880" w:type="dxa"/>
            <w:vAlign w:val="bottom"/>
          </w:tcPr>
          <w:p>
            <w:pPr>
              <w:spacing w:after="0"/>
              <w:rPr>
                <w:sz w:val="24"/>
                <w:szCs w:val="24"/>
                <w:color w:val="auto"/>
              </w:rPr>
            </w:pPr>
          </w:p>
        </w:tc>
        <w:tc>
          <w:tcPr>
            <w:tcW w:w="104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H-2</w:t>
            </w:r>
          </w:p>
        </w:tc>
      </w:tr>
    </w:tbl>
    <w:p>
      <w:pPr>
        <w:sectPr>
          <w:pgSz w:w="11900" w:h="16838" w:orient="portrait"/>
          <w:cols w:equalWidth="0" w:num="1">
            <w:col w:w="11320"/>
          </w:cols>
          <w:pgMar w:left="24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5260" w:type="dxa"/>
            <w:vAlign w:val="bottom"/>
            <w:gridSpan w:val="2"/>
          </w:tcPr>
          <w:p>
            <w:pPr>
              <w:jc w:val="right"/>
              <w:ind w:right="4312"/>
              <w:spacing w:after="0"/>
              <w:rPr>
                <w:sz w:val="20"/>
                <w:szCs w:val="20"/>
                <w:color w:val="auto"/>
              </w:rPr>
            </w:pPr>
            <w:r>
              <w:rPr>
                <w:rFonts w:ascii="Times New Roman" w:cs="Times New Roman" w:eastAsia="Times New Roman" w:hAnsi="Times New Roman"/>
                <w:sz w:val="18"/>
                <w:szCs w:val="18"/>
                <w:b w:val="1"/>
                <w:bCs w:val="1"/>
                <w:color w:val="auto"/>
                <w:w w:val="94"/>
              </w:rPr>
              <w:t>Description</w:t>
            </w:r>
          </w:p>
        </w:tc>
      </w:tr>
      <w:tr>
        <w:trPr>
          <w:trHeight w:val="197"/>
        </w:trPr>
        <w:tc>
          <w:tcPr>
            <w:tcW w:w="8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10.11(c)</w:t>
            </w:r>
          </w:p>
        </w:tc>
        <w:tc>
          <w:tcPr>
            <w:tcW w:w="5280" w:type="dxa"/>
            <w:vAlign w:val="bottom"/>
          </w:tcPr>
          <w:p>
            <w:pPr>
              <w:ind w:left="880"/>
              <w:spacing w:after="0" w:line="197" w:lineRule="exact"/>
              <w:rPr>
                <w:sz w:val="20"/>
                <w:szCs w:val="20"/>
                <w:color w:val="auto"/>
              </w:rPr>
            </w:pPr>
            <w:r>
              <w:rPr>
                <w:rFonts w:ascii="Times New Roman" w:cs="Times New Roman" w:eastAsia="Times New Roman" w:hAnsi="Times New Roman"/>
                <w:sz w:val="18"/>
                <w:szCs w:val="18"/>
                <w:color w:val="auto"/>
                <w:w w:val="97"/>
              </w:rPr>
              <w:t>Second Amendment to the Amended and Restated 1993 Stock</w:t>
            </w:r>
          </w:p>
        </w:tc>
        <w:tc>
          <w:tcPr>
            <w:tcW w:w="8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rPr>
              <w:t>Option Plan</w:t>
            </w:r>
          </w:p>
        </w:tc>
        <w:tc>
          <w:tcPr>
            <w:tcW w:w="43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w w:val="98"/>
              </w:rPr>
              <w:t>dated January 22, 1996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10.21(b) to HFS Incorporated’s Annual Report on Form 10-K for the year ended December 31, 1995, File No. 1-11402).†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10.11(d)</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Third Amendment to the Amended and Restated 1993 Stock Option Plan dated January 22, 1996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10.21(c) to HFS Incorporated’s Annual Report on Form 10-K for the year ended December 31, 1995, File No. 1-11402).†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10.11(e)</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Fourth Amendment to the Amended and Restated 1993 Stock Option Plan dated May 20, 1996 (Incorporated by reference to Exhibit 4.5</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 HFS Incorporated’s Registration Statement on Form S-8, Registration No. 333-06733).†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10.11(f)</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Fifth Amendment to the Amended and Restated 1993 Stock Option Plan dated July 24, 1996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10.21(e) to HFS Incorporated’s Annual Report on Form 10-K for the year ended December 31, 1995, File No. 1-11402).†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10.11(g)</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Sixth Amendment to the Amended and Restated 1993 Stock Option Plan dated September 24, 1996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10.21(e) to HFS Incorporated’s Annual Report on Form 10-K for the year ended December 31, 1995, File No. 1-11402).†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10.11(h)</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Seventh Amendment to the Amended and Restated 1993 Stock Option Plan dated April 30, 1997 (Incorporated by reference to Exhibit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10.17(g) to the Company’s Annual Report on Form 10-K for the year ended December 31, 1997 dated March 31, 1998, File No. 1-</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10308).†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10.11(i)</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Eighth Amendment to the Amended and Restated 1993 Stock Option Plan dated May 27, 1997 (Incorporated by reference to Exhibit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10.17(h) to the Company’s Annual Report on Form 10-K for the year ended December 31, 1997 dated March 31, 1998, File No. 1-</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10308).†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1997 Employee Stock Plan (Incorporated by reference to Exhibit 4.1 to the Company’s Registration Statement on Form S-8, Registration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No. 333-45183, dated January 29, 1998).†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Amendment to 1997 Employee Stock Plan dated January 3, 2001 (Incorporated by reference to Exhibit 10.15(b)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2003 dated March 1,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Cendant Corporation* Deferred Compensation Plan (Incorporated by reference to Exhibit 10.15 to the Company’s Annual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Form 10-K for the year ended December 31, 1998 dated March 29,1999, File No. 1-10308).†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First Amendment to Cendant Corporation* Deferred Compensation Plan (Incorporated by reference to Exhibit 10.13(b)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Amendment to Certain Stock Plans (Incorporated by reference to Exhibit 10.16(c) to the Company’s Annual Report on Form 10-K for</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year ended December 31, 2003 dated March 5,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1999 Broad-Based Employee Stock Option Plan, including the Third Amendment dated March 19, 2002, Second Amendment dated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April 2, 2001 and First Amendment dated March 29, 1999 (Incorporated by reference to Exhibit 10.17 to the Company’s Annual Report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on Form 10-K for the year ended December 31, 2002 dated March 5,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Amendment to Various Equity-Based Plans (Incorporated by reference to Exhibit 10.16 to the Company’s Annual Report on Form 10-K</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Form of Award Agreement—Restricted Stock Units (Incorporated by reference to Exhibit 10.1 of the Company’s Current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Form 8-K dated August 4, 2006).†</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H-3</w:t>
            </w:r>
          </w:p>
        </w:tc>
      </w:tr>
    </w:tbl>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8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10.17(b)</w:t>
            </w:r>
          </w:p>
        </w:tc>
        <w:tc>
          <w:tcPr>
            <w:tcW w:w="6160" w:type="dxa"/>
            <w:vAlign w:val="bottom"/>
            <w:gridSpan w:val="2"/>
          </w:tcPr>
          <w:p>
            <w:pPr>
              <w:ind w:left="880"/>
              <w:spacing w:after="0" w:line="197" w:lineRule="exact"/>
              <w:rPr>
                <w:sz w:val="20"/>
                <w:szCs w:val="20"/>
                <w:color w:val="auto"/>
              </w:rPr>
            </w:pPr>
            <w:r>
              <w:rPr>
                <w:rFonts w:ascii="Times New Roman" w:cs="Times New Roman" w:eastAsia="Times New Roman" w:hAnsi="Times New Roman"/>
                <w:sz w:val="18"/>
                <w:szCs w:val="18"/>
                <w:color w:val="auto"/>
                <w:w w:val="99"/>
              </w:rPr>
              <w:t>Form of Award Agreement—Stock Appreciation Rights (Incorporated by</w:t>
            </w:r>
          </w:p>
        </w:tc>
        <w:tc>
          <w:tcPr>
            <w:tcW w:w="43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7"/>
              </w:rPr>
              <w:t>reference to Exhibit 10.2 of the Company’s Current Report on</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Form 8-K dated August 4,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Cendant* Amended and Restated 1999 Non-Employee Directors Deferred Compensation Plan (Incorporated by reference to Exhibit 10.3</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 the Company’s Current Report on Form 8-K dated April 29,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First Amendment to Cendant Corporation* 1999 Non-Employee Directors Deferred Compensation Plan, as Amended and Restated as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January 22, 2006 (Incorporated by reference to Exhibit 10.25 to the Company’s Annual Report on Form 10-K for the year ended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Second Amended and Restated Base Indenture, dated as of June 3, 2004, among Cendant Rental Car Funding (AESOP) LLC***,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Issuer, and The Bank of New York, as Trustee. (Incorporated by reference to Exhibit 10.7 to the Company’s Quarterly Report on Form</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10-Q for the quarterly period ended June 30, 2004, dated August 2,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Supplemental Indenture No. 1, dated as of December 23, 2005, among Cendant Rental Car Funding (AESOP) LLC***, as Issuer,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Bank of New York, as Trustee, to the Second Amended and Restated Base Indenture, dated as of June 3, 2004. (Incorporated by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Supplemental Indenture No. 2, dated as of May 9, 2007, among Avis Budget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Bank of New York Trust Company, N.A. (as successor in interest to The Bank of New York), as Trustee, to the Second Amended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Restated Base Indenture, dated as of June 3, 2004. (Incorporated by reference to Exhibit 10.6 the Company Form 10-Q for the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Second Amended and Restated Loan Agreement, dated as of June 3, 2004, among AESOP Leasing L.P., as Borrower, Quartx Fleet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Management, Inc., as a Permitted Nominee, PV Holding Corp., as a Permitted Nominee, and Cendant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LLC***, as Lender. (Incorporated by reference to Exhibit 10.8 to the Company’s Quarterly Report on Form 10-Q for the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2004, dated August 2,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First Amendment, dated as of December 23, 2005, among AESOP Leasing L.P., as Borrower, Quartx Fleet Management, Inc., as a</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Permitted Nominee, PV Holding Corp., as Permitted Nominee, and Cendant Rental Car Funding (AESOP) LLC***, as Lender, to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Second Amended and Restated Loan Agreement, dated as of June 3, 2004. (Incorporated by reference to Exhibit 10.2 to the Company’s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10.21(b)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Second Amendment, dated as of May 9, 2007, among AESOP Leasing L.P., as Borrower, PV Holding Corp., as Permitted Nominee,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Quartx Fleet Management, Inc., as Permitted Nominee, and Avis Budget Rental Car Funding (AESOP) LLC, as Lender, to the Second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Amended and Restated Loan Agreement, dated as of June 3, 2004. (Incorporated by reference to Exhibit 10.8 the Company Form 10-Q</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Amended and Restated Loan Agreement, dated as of June 3, 2004, among AESOP Leasing L.P., as Borrower, and Cendant Rental Car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Funding (AESOP) LLC***, as Lender (Incorporated by reference to Exhibit 10.29(a) to the Company’s Annual Report on Form 10-K</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10.22(a)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AESOP Leasing L.P., as Borrower, and Cendant Rental Car Funding (AESOP)</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LLC***, as Lender, to the Amended and Restated Loan Agreement, dated as of June 3, 2004.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10.29(b) to the Company’s Annual Report on Form 10-K for the year ended December 31, 2006, dated March 1, 2007).</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H-4</w:t>
            </w:r>
          </w:p>
        </w:tc>
      </w:tr>
    </w:tbl>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4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10.22(b)</w:t>
            </w:r>
          </w:p>
        </w:tc>
        <w:tc>
          <w:tcPr>
            <w:tcW w:w="6160" w:type="dxa"/>
            <w:vAlign w:val="bottom"/>
            <w:gridSpan w:val="2"/>
          </w:tcPr>
          <w:p>
            <w:pPr>
              <w:ind w:left="880"/>
              <w:spacing w:after="0" w:line="197" w:lineRule="exact"/>
              <w:rPr>
                <w:sz w:val="20"/>
                <w:szCs w:val="20"/>
                <w:color w:val="auto"/>
              </w:rPr>
            </w:pPr>
            <w:r>
              <w:rPr>
                <w:rFonts w:ascii="Times New Roman" w:cs="Times New Roman" w:eastAsia="Times New Roman" w:hAnsi="Times New Roman"/>
                <w:sz w:val="18"/>
                <w:szCs w:val="18"/>
                <w:color w:val="auto"/>
                <w:w w:val="97"/>
              </w:rPr>
              <w:t>Second Amendment, dated as of the May 9, 2007, among AESOP Leasing</w:t>
            </w:r>
          </w:p>
        </w:tc>
        <w:tc>
          <w:tcPr>
            <w:tcW w:w="43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L.P., as Borrower, and Avis Budget Rental Car Funding</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(AESOP) LLC, as Lender, to the Amended and Restated Loan Agreement, dated as of June 3, 2004. (Incorporated by reference to</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Exhibit 10.7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Second Amended and Restated Master Motor Vehicle Operating Lease Agreement, dated as of June 3, 2004, among AESOP Leasing</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L.P., as Lessor, and Cendant Car Rental Group, Inc.**, as Lessee and as Administrator. (Incorporated by reference to Exhibit 10.9 to the</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Quarterly Report on Form 10-Q for the quarterly period ended June 30, 2004, dated August 2,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10.23(a)</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First Amendment, dated December 23, 2005, among AESOP Leasing L.P., as Lessor, and Cendant Car Rental Group, Inc.**, as Lessee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and as Administrator, to the Second Amended and Restated Master Motor Vehicle Operating Lease Agreement, dated as of December</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23, 2005. (Incorporated by reference to Exhibit 10.3 to the Company’s Current Report on Form 8-K dated January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10.23(b)</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Third Amendment, dated as of May 9, 2007, among AESOP Leasing L.P., as Lessor and Avis Budget Car Rental, LLC, as Lessee and as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the Administrator, to the Second Amended and Restated Master Motor Vehicle Operating Lease Agreement, dated as of June 3, 2004.</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(Incorporated by reference to Exhibit 10.9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Amended and Restated Master Motor Vehicle Finance Lease Agreement, dated as of June 3, 2004, among AESOP Leasing L.P., as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Lessor, Cendant Car Rental Group, Inc.**, as Lessee, as Administrator and as Finance Lease Guarantor, Avis Rent A Car System,</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Inc.****, as Lessee, and Budget Rent A Car System, Inc., as Lessee. (Incorporated by reference to Exhibit 10.30(a) to the Company’s</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10.24(a)</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First Amendment, dated as of December 23, 2005, among AESOP Leasing L.P., as Lessor, Cendant Car Rental Group, Inc.**, as Lessee,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as Administrator and as Finance Lease Guarantor, Avis Rent A Car System, Inc.****, as Lessee, and Budget Rent A Car System, Inc., as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Lessee, to the Amended and Restated Master Motor Vehicle Finance Lease Agreement, dated as of June 3, 2004. (Incorporated by</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10.30(b) to the Company’s Annual Report on Form 10-K for the year ended December 31, 2006, dated March 1,</w:t>
            </w:r>
          </w:p>
        </w:tc>
      </w:tr>
      <w:tr>
        <w:trPr>
          <w:trHeight w:val="228"/>
        </w:trPr>
        <w:tc>
          <w:tcPr>
            <w:tcW w:w="880" w:type="dxa"/>
            <w:vAlign w:val="bottom"/>
          </w:tcPr>
          <w:p>
            <w:pPr>
              <w:spacing w:after="0"/>
              <w:rPr>
                <w:sz w:val="19"/>
                <w:szCs w:val="19"/>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2007)</w:t>
            </w:r>
          </w:p>
        </w:tc>
        <w:tc>
          <w:tcPr>
            <w:tcW w:w="8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10.24(b)</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Third Amendment, dated as of May 9, 2007, among AESOP Leasing L.P., as Lessor, Avis Budget Car Rental, LLC, as Lessee, as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Administrator and as Finance Lease Guarantor, Avis Rent A Car System, LLC, as Lessee, and Budget Rent A Car System, Inc., as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Lessee, to the Amended and Restated Master Motor Vehicle Finance Lease Agreement, dated as of June 3, 2004. (Incorporated by</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10.11 the Company Form 10-Q for the 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Second Amended and Restated Administration Agreement, dated as of June 3, 2004, among Cendant Rental Car Funding (AESOP)</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LLC***, AESOP Leasing L.P., AESOP Leasing Corp. II, Avis Rent A Car System, Inc.****, Budget Rent A Car System, Inc., Cendant</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Car Rental Group, Inc.** and The Bank of New York, as Trustee. (Incorporated by reference to Exhibit 10.34 to the Company’s Annual</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Assignment and Assumption Agreement dated as of June 3, 2004, among Avis Rent A Car System, Inc.****, Avis Group Holdings,</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 and Cendant Car Rental Group, Inc.** (Incorporated by reference to Exhibit 10.35 to the Company’s Annual Report on Form</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10-K for the year ended December 31, 2005, dated March 1, 2006)</w:t>
            </w:r>
          </w:p>
        </w:tc>
      </w:tr>
      <w:tr>
        <w:trPr>
          <w:trHeight w:val="365"/>
        </w:trPr>
        <w:tc>
          <w:tcPr>
            <w:tcW w:w="880" w:type="dxa"/>
            <w:vAlign w:val="bottom"/>
          </w:tcPr>
          <w:p>
            <w:pPr>
              <w:spacing w:after="0"/>
              <w:rPr>
                <w:sz w:val="24"/>
                <w:szCs w:val="24"/>
                <w:color w:val="auto"/>
              </w:rPr>
            </w:pPr>
          </w:p>
        </w:tc>
        <w:tc>
          <w:tcPr>
            <w:tcW w:w="1050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H-5</w:t>
            </w:r>
          </w:p>
        </w:tc>
      </w:tr>
    </w:tbl>
    <w:p>
      <w:pPr>
        <w:sectPr>
          <w:pgSz w:w="11900" w:h="16838" w:orient="portrait"/>
          <w:cols w:equalWidth="0" w:num="1">
            <w:col w:w="11380"/>
          </w:cols>
          <w:pgMar w:left="240" w:top="455" w:right="2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6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10.27</w:t>
            </w:r>
          </w:p>
        </w:tc>
        <w:tc>
          <w:tcPr>
            <w:tcW w:w="5280" w:type="dxa"/>
            <w:vAlign w:val="bottom"/>
          </w:tcPr>
          <w:p>
            <w:pPr>
              <w:ind w:left="880"/>
              <w:spacing w:after="0" w:line="197" w:lineRule="exact"/>
              <w:rPr>
                <w:sz w:val="20"/>
                <w:szCs w:val="20"/>
                <w:color w:val="auto"/>
              </w:rPr>
            </w:pPr>
            <w:r>
              <w:rPr>
                <w:rFonts w:ascii="Times New Roman" w:cs="Times New Roman" w:eastAsia="Times New Roman" w:hAnsi="Times New Roman"/>
                <w:sz w:val="18"/>
                <w:szCs w:val="18"/>
                <w:color w:val="auto"/>
                <w:w w:val="97"/>
              </w:rPr>
              <w:t>Amended and Restated Series 2002-2 Supplement, dated as of</w:t>
            </w:r>
          </w:p>
        </w:tc>
        <w:tc>
          <w:tcPr>
            <w:tcW w:w="524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w w:val="99"/>
              </w:rPr>
              <w:t>November 22, 2002, among AESOP Funding II L.L.C.***, Cendant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Rental Group, Inc.** (as assignee of Avis Rent A Car System, Inc.****), as Administrator, JPMorgan Chase Bank, as Administrative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Agent, certain CP Conduit Purchasers, certain Funding Agents, certain APA Banks, and The Bank of New York, as Trustee and Series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2002-2 Agent, to the Second Amended and Restated Base Indenture dated as of June 3, 2004, among Cendant Rental Car Funding</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6"/>
              </w:rPr>
              <w:t>(AESOP) LLC***, as Issuer, and The Bank of New York, as Trustee. (Incorporated by reference to Exhibit 10.6 to Avis Group Holdings,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Inc.’s Annual Report on Form 10-K for the year ended December 31, 2002, dated March 6,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10.27(a)</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Fourth Amendment to the Amended and Restated Series 2002-2 Supplement, dated as of November 30, 2005, among Cendant Rental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Car Funding (AESOP) LLC***, as Issuer, and The Bank of New York, as Trustee and Series 2002-2 Agent. (Incorporated by reference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 Exhibit 10.39(b) to the 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10.27(b)</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Fifth Amendment to the Amended and Restated Series 2002-2 Supplement, dated as of December 23, 2005, among Cendant Rental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Funding (AESOP) LLC***, as Issuer, and The Bank of New York, as Trustee and Series 2002-2 Agent.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Exhibit 10.39(c) to the 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10.27(c)</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Seventh Amendment to the Amended and Restated Series 2002-2 Supplement, dated as of March 21, 2006, among Cendant Rental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Funding (AESOP) LLC***, as Issuer, and The Bank of New York, as Trustee and Series 2002-2 Agent.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Exhibit 10.2 to the Company’s Current Report on Form 8-K dated March 27,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10.27(d)</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Eighth Amendment to the Amended and Restated Series 2002-2 Supplement, dated as of November 30, 2006, among Avis Budget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Rental Car Funding (AESOP) LLC, as Issuer, JPMorgan Chase Bank, N.A. (formerly known as JPMorgan Chase Bank),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Administrative Agent, and The Bank of New York, as Trustee and Series 2002-2 Agent. (Incorporated by reference to Exhibit 10.1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Current Report on Form 8-K dated December 6,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10.27(e)</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Ninth Amendment to the Amended and Restated Series 2002-2 Supplement, dated as of May 9, 2007, among Avis Budget Rental Car</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6"/>
              </w:rPr>
              <w:t>Funding (AESOP) LLC, as Issuer, and The Bank of New York Trust Company, N.A. (as successor in interest to The Bank of New York),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as Trustee and as Series 2002-2 Agent. (Incorporated by reference to Exhibit 10.15 the Company Form 10-Q for the quarterly period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10.27(f)</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Tenth Amendment to the Amended and Restated Series 2002-2 Supplement, dated as of October 29, 2007, among Avis Budget Rental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Car Funding (AESOP) LLC, as Issuer, JPMorgan Chase Bank, N.A. (formerly known as JPMorgan Chase Bank), as Administrative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Agent, and The Bank of New York Trust Company, N.A. (as successor in interest to The Bank of New York), as Trustee and as Series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2002-2 Agent. (Incorporated by reference to Exhibit 10.1 to the Company’s Current Report on Form 8-K dated November 2,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Series 2003-2 Supplement, dated as of March 6, 2003, among AESOP Funding II L.L.C.***, as Issuer, and The Bank of New York, as</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Trustee and Series 2003-2 Agent, to the Second Amended and Restated Base Indenture, dated as of June 3, 2004, among Cendant Rental</w:t>
            </w:r>
          </w:p>
        </w:tc>
      </w:tr>
    </w:tbl>
    <w:p>
      <w:pPr>
        <w:ind w:left="1760" w:right="200"/>
        <w:spacing w:after="0" w:line="261" w:lineRule="auto"/>
        <w:rPr>
          <w:sz w:val="20"/>
          <w:szCs w:val="20"/>
          <w:color w:val="auto"/>
        </w:rPr>
      </w:pPr>
      <w:r>
        <w:rPr>
          <w:rFonts w:ascii="Times New Roman" w:cs="Times New Roman" w:eastAsia="Times New Roman" w:hAnsi="Times New Roman"/>
          <w:sz w:val="18"/>
          <w:szCs w:val="18"/>
          <w:color w:val="auto"/>
        </w:rPr>
        <w:t>Car Funding (AESOP) LLC***, as Issuer, and The Bank of New York, as Trustee. (Incorporated by reference to Exhibit 10.11 to Avis Group Holdings, Inc.’s Quarterly Report on Form 10-Q for the quarterly period ended March 31, 2003, dated May 14, 2003)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H-6</w:t>
      </w:r>
    </w:p>
    <w:p>
      <w:pPr>
        <w:sectPr>
          <w:pgSz w:w="11900" w:h="16838" w:orient="portrait"/>
          <w:cols w:equalWidth="0" w:num="1">
            <w:col w:w="11400"/>
          </w:cols>
          <w:pgMar w:left="240" w:top="455" w:right="2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8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10.28(a)</w:t>
            </w:r>
          </w:p>
        </w:tc>
        <w:tc>
          <w:tcPr>
            <w:tcW w:w="5280" w:type="dxa"/>
            <w:vAlign w:val="bottom"/>
          </w:tcPr>
          <w:p>
            <w:pPr>
              <w:ind w:left="880"/>
              <w:spacing w:after="0" w:line="197" w:lineRule="exact"/>
              <w:rPr>
                <w:sz w:val="20"/>
                <w:szCs w:val="20"/>
                <w:color w:val="auto"/>
              </w:rPr>
            </w:pPr>
            <w:r>
              <w:rPr>
                <w:rFonts w:ascii="Times New Roman" w:cs="Times New Roman" w:eastAsia="Times New Roman" w:hAnsi="Times New Roman"/>
                <w:sz w:val="18"/>
                <w:szCs w:val="18"/>
                <w:color w:val="auto"/>
              </w:rPr>
              <w:t>Second Amendment, dated as of December 23, 2005, among</w:t>
            </w:r>
          </w:p>
        </w:tc>
        <w:tc>
          <w:tcPr>
            <w:tcW w:w="526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w w:val="95"/>
              </w:rPr>
              <w:t>Cendant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New York, as Trustee and Series 2003-2 Agent, to the Series 2003-2 Supplement, dated as of March 6, 2003. (Incorporated by reference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 Exhibit 10.41(b) to the 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10.28(b)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Third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2003-2 Agent, to the Series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2003-2 Supplement, dated as of March 6, 2003. (Incorporated by reference to Exhibit 10.17 the Company Form 10-Q for the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Series 2003-3 Supplement, dated as of May 6, 2003, among AESOP Funding II L.L.C.***, as Issuer, and The Bank of New York,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Trustee and Series 2003-3 Agent, to the Second Amended and Restated Base Indenture dated as of June 3, 2004, among Cendant Rental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Car Funding (AESOP) LLC***, as Issuer, and The Bank of New York, as Trustee. (Incorporated by reference to Exhibit 10.14 to Avis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Group Holdings, Inc.’s Annual Report on Form 10-K for the year ended December 31, 2003, dated March 23,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Second Amendment, dated as of December 23, 2005, among Cendant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New York, as Trustee and Series 2003-3 Agent, to the Series 2003-3 Supplement, dated as of May 6, 2003.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Exhibit 10.42(b) to the 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10.29(b)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Third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2003-3 Agent, to the Series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2003-3 Supplement, dated as of May 6, 2003. (Incorporated by reference to Exhibit 10.18 the Company Form 10-Q for the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Series 2003-4 Supplement, dated as of June 19, 2003, among AESOP Funding II L.L.C.***, as Issuer, and The Bank of New York, as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Trustee and Series 2003-4 Agent, to the Second Amended and Restated Base Indenture dated as of June 3, 2004, among Cendant Rental</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Car Funding (AESOP) LLC***, as Issuer, and The Bank of New York, as Trustee. (Incorporated by reference to Exhibit 10.2 to Avis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Group Holdings, Inc.’s Quarterly Report on Form 10-Q for the quarterly period ended June 30, 2003, dated August 13, 2003)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Second Amendment, dated as of December 23, 2005, among Cendant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New York, as Trustee and Series 2003-4 Agent, to the Series 2003-4 Supplement dated as of June 19, 2003.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Exhibit 10.43(b) to the 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Third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2003-4 Agent, to the Series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2003-4 Supplement, dated as of June 19, 2003. (Incorporated by reference to Exhibit 10.19 the Company Form 10-Q for the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Series 2003-5 Supplement, dated as of October 9, 2003, among AESOP Funding II L.L.C.***, as Issuer, and The Bank of New York, as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Trustee and Series 2003-5 Agent, to the Second Amended and Restated Base Indenture dated as of June 3, 2004, among Cendant Rental</w:t>
            </w:r>
          </w:p>
        </w:tc>
      </w:tr>
    </w:tbl>
    <w:p>
      <w:pPr>
        <w:ind w:left="1760" w:right="320"/>
        <w:spacing w:after="0" w:line="261" w:lineRule="auto"/>
        <w:rPr>
          <w:sz w:val="20"/>
          <w:szCs w:val="20"/>
          <w:color w:val="auto"/>
        </w:rPr>
      </w:pPr>
      <w:r>
        <w:rPr>
          <w:rFonts w:ascii="Times New Roman" w:cs="Times New Roman" w:eastAsia="Times New Roman" w:hAnsi="Times New Roman"/>
          <w:sz w:val="18"/>
          <w:szCs w:val="18"/>
          <w:color w:val="auto"/>
        </w:rPr>
        <w:t>Car Funding (AESOP) LLC***, as Issuer, and The Bank of New York, as Trustee. (Incorporated by reference to Exhibit 10.41 to the Company’s Annual Report on Form 10-K for the year ended December 31, 2003, dated March 1, 2004)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H-7</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6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10.31(a)</w:t>
            </w:r>
          </w:p>
        </w:tc>
        <w:tc>
          <w:tcPr>
            <w:tcW w:w="5280" w:type="dxa"/>
            <w:vAlign w:val="bottom"/>
          </w:tcPr>
          <w:p>
            <w:pPr>
              <w:ind w:left="880"/>
              <w:spacing w:after="0" w:line="197" w:lineRule="exact"/>
              <w:rPr>
                <w:sz w:val="20"/>
                <w:szCs w:val="20"/>
                <w:color w:val="auto"/>
              </w:rPr>
            </w:pPr>
            <w:r>
              <w:rPr>
                <w:rFonts w:ascii="Times New Roman" w:cs="Times New Roman" w:eastAsia="Times New Roman" w:hAnsi="Times New Roman"/>
                <w:sz w:val="18"/>
                <w:szCs w:val="18"/>
                <w:color w:val="auto"/>
              </w:rPr>
              <w:t>Second Amendment, dated as of December 23, 2005, among</w:t>
            </w:r>
          </w:p>
        </w:tc>
        <w:tc>
          <w:tcPr>
            <w:tcW w:w="524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w w:val="95"/>
              </w:rPr>
              <w:t>Cendant Rental Car Funding (AESOP) LLC***, as Issuer, and The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New York, as Trustee and Series 2003-5 Agent, to the Series 2003-5 Supplement dated as of October 9, 2003. (Incorporated by reference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 Exhibit 10.44(b) to the 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10.31(b)</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Third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2003-5 Agent, to the Series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2003-5 Supplement, dated as of October 9, 2003. (Incorporated by reference to Exhibit 10.20 the Company Form 10-Q for the quarterly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Second Amended and Restated Series 2004-1 Supplement, dated as of June 27, 2006, among Cendant Rental Car Funding (AESOP)</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LLC***, as Issuer, Avis Budget Car Rental, LLC, as Administrator, Mizuho Corporate Bank, Ltd., as Administrative Agent, certain</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financial institutions, as Purchasers, and The Bank of New York, as Trustee and Series 2004-1 Agent, to the Second Amended and</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Restated Base Indenture, dated as of June 3, 2004, among Cendant Rental Car Funding (AESOP) LLC***, as Issuer, and The Bank of</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New York, as Trustee. (Incorporated by reference to Exhibit 10.2 to the Company’s Current Report on Form 8-K dated June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10.32(a)</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First Amendment to the Second Amended and Restated Series 2004-1 Supplement, dated as of May 9, 2007, among Avis Budget Rental</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Car Funding (AESOP) LLC, as Issuer, and The Bank of New York Trust Company, N.A. (as successor in interest to The Bank of New</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as Trustee and as Series 2004-1 Agent. (Incorporated by reference to Exhibit 10.21 the Company Form 10-Q for the quarterly</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Series 2004-2 Supplement, dated as of February 18, 2004, among AESOP Funding II L.L.C.***, as Issuer, and The Bank of New York,</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as Trustee and Series 2004-2 Agent, to the Second Amended and Restated Base Indenture dated as of June 3, 2004, among Cendant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Rental Car Funding (AESOP) LLC***, as Issuer, and The Bank of New York, as Trustee. (Incorporated by reference to Exhibit 10.1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Company’s Quarterly Report on Form 10-Q for the quarterly period ended March 31, 2004, dated May 3, 2004)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10.33(a)</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Second Amendment, dated as of December 23, 2005, among Cendant Rental Car Funding (AESOP) LLC***, as Issuer, and The Bank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New York, as Trustee and Series 2004-2 Agent, to the Series 2004-2 Supplement, dated as of February 18, 2004. (Incorporated by</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10.45(b) to the Company’s Annual Report on Form 10-K for the year ended December 31, 2005, dated March 1,</w:t>
            </w:r>
          </w:p>
        </w:tc>
      </w:tr>
      <w:tr>
        <w:trPr>
          <w:trHeight w:val="228"/>
        </w:trPr>
        <w:tc>
          <w:tcPr>
            <w:tcW w:w="880" w:type="dxa"/>
            <w:vAlign w:val="bottom"/>
          </w:tcPr>
          <w:p>
            <w:pPr>
              <w:spacing w:after="0"/>
              <w:rPr>
                <w:sz w:val="19"/>
                <w:szCs w:val="19"/>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2006)</w:t>
            </w:r>
          </w:p>
        </w:tc>
        <w:tc>
          <w:tcPr>
            <w:tcW w:w="8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10.33(b)</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Third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2004-2 Agent, to the Series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2004-2 Supplement, dated as of February 18, 2004. (Incorporated by reference to Exhibit 10.22 the Company Form 10-Q for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Series 2005-1 Supplement, dated as of February 25, 2005, among Cendant Rental Car Funding (AESOP) LLC***, as Issuer, and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Bank of New York, as Trustee and Series 2005-1 Agent, to the Second Amended and Restated Base Indenture, dated as of June 3, 2004,</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among Cendant Rental Car Funding (AESOP) LLC***, as Issuer, and The Bank of New York, as Trustee. (Incorporated by reference to</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Exhibit 10.1 to the Company’s Current Report on Form 8-K dated March 2, 2005)</w:t>
            </w:r>
          </w:p>
        </w:tc>
      </w:tr>
      <w:tr>
        <w:trPr>
          <w:trHeight w:val="365"/>
        </w:trPr>
        <w:tc>
          <w:tcPr>
            <w:tcW w:w="880" w:type="dxa"/>
            <w:vAlign w:val="bottom"/>
          </w:tcPr>
          <w:p>
            <w:pPr>
              <w:spacing w:after="0"/>
              <w:rPr>
                <w:sz w:val="24"/>
                <w:szCs w:val="24"/>
                <w:color w:val="auto"/>
              </w:rPr>
            </w:pPr>
          </w:p>
        </w:tc>
        <w:tc>
          <w:tcPr>
            <w:tcW w:w="1052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H-8</w:t>
            </w:r>
          </w:p>
        </w:tc>
      </w:tr>
    </w:tbl>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8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10.34(a)</w:t>
            </w:r>
          </w:p>
        </w:tc>
        <w:tc>
          <w:tcPr>
            <w:tcW w:w="6160" w:type="dxa"/>
            <w:vAlign w:val="bottom"/>
            <w:gridSpan w:val="2"/>
          </w:tcPr>
          <w:p>
            <w:pPr>
              <w:ind w:left="880"/>
              <w:spacing w:after="0" w:line="197" w:lineRule="exact"/>
              <w:rPr>
                <w:sz w:val="20"/>
                <w:szCs w:val="20"/>
                <w:color w:val="auto"/>
              </w:rPr>
            </w:pPr>
            <w:r>
              <w:rPr>
                <w:rFonts w:ascii="Times New Roman" w:cs="Times New Roman" w:eastAsia="Times New Roman" w:hAnsi="Times New Roman"/>
                <w:sz w:val="18"/>
                <w:szCs w:val="18"/>
                <w:color w:val="auto"/>
                <w:w w:val="98"/>
              </w:rPr>
              <w:t>First Amendment, dated as of December 23, 2005, among Cendant Rental</w:t>
            </w:r>
          </w:p>
        </w:tc>
        <w:tc>
          <w:tcPr>
            <w:tcW w:w="43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New York, as Trustee and Series 2005-1 Agent, to the Series 2005-1 Supplement dated as of February 25, 2005. (Incorporated by</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10.29(b) to the Company’s Annual Report on Form 10-K for the year ended December 31, 2005, dated March 1,</w:t>
            </w:r>
          </w:p>
        </w:tc>
      </w:tr>
      <w:tr>
        <w:trPr>
          <w:trHeight w:val="228"/>
        </w:trPr>
        <w:tc>
          <w:tcPr>
            <w:tcW w:w="880" w:type="dxa"/>
            <w:vAlign w:val="bottom"/>
          </w:tcPr>
          <w:p>
            <w:pPr>
              <w:spacing w:after="0"/>
              <w:rPr>
                <w:sz w:val="19"/>
                <w:szCs w:val="19"/>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2006)</w:t>
            </w:r>
          </w:p>
        </w:tc>
        <w:tc>
          <w:tcPr>
            <w:tcW w:w="880" w:type="dxa"/>
            <w:vAlign w:val="bottom"/>
          </w:tcPr>
          <w:p>
            <w:pPr>
              <w:spacing w:after="0"/>
              <w:rPr>
                <w:sz w:val="19"/>
                <w:szCs w:val="19"/>
                <w:color w:val="auto"/>
              </w:rPr>
            </w:pPr>
          </w:p>
        </w:tc>
        <w:tc>
          <w:tcPr>
            <w:tcW w:w="438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10.34(b)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Second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2005-1 Agent, to the Series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2005-1 Supplement, dated as of February 25, 2005. (Incorporated by reference to Exhibit 10.23 the Company Form 10-Q for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quarterly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Series 2005-2 Supplement, dated as of March 22, 2005, among Cendant Rental Car Funding (AESOP) LLC***, as Issuer, and The Bank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of New York, as Trustee and as Series 2005-2 Agent, to the Second Amended and Restated Base Indenture dated as of June 3, 2004,</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among Cendant Rental Car Funding (AESOP) LLC*** and The Bank of New York, as Trustee.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10.25(a) to the Company’s Annual Report on 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First Amendment, dated as of December 23, 2005, among Cendant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New York, as Trustee and Series 2005-2 Agent, to the Series 2005-2 Supplement, dated as of March 22, 2005. (Incorporated by reference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 Exhibit 10.25(b) to the Company’s Annual Report on Form 10-K for the year ended December 31, 2006, dated March 1,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10.35(b)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Second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2005-2 Agent, to the Series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2005-2 Supplement, dated as of March 22, 2005. (Incorporated by reference to Exhibit 10.24 the Company Form 10-Q for the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Series 2005-4 Supplement, dated as of June 1, 2005, among Cendant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New York, as Trustee and as Series 2005-4 Agent, to the Second Amended and Restated Base Indenture, dated as of June 3, 2004, among</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Cendant Rental Car Funding (AESOP) LLC*** and The Bank of New York, as Trustee. (Incorporated by reference to Exhibit 10.1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Current Report on Form 8-K dated June 7,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First Amendment, dated as of December 23, 2005, among Cendant Rental Car Funding (AESOP) LLC***, as Issuer, and The Bank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New York, as Trustee and Series 2005-4 Agent, to the Series 2005-4 Supplement dated as of June 1, 2005. (Incorporated by reference to</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Exhibit 10.30(b) to the Company’s Annual Report on Form 10-K for the year ended December 31, 2005, dated March 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10.36(b)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Second Amendment, dated as of May 9, 2007, among Avis Budget Rental Car Funding (AESOP) LLC, as Issuer, and The Bank of New</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York Trust Company, N.A. (as successor in interest to The Bank of New York), as Trustee and as Series 2005-4 Agent, to the Series</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2005-4 Supplement, dated as of June 1, 2005. (Incorporated by reference to Exhibit 10.25 the Company Form 10-Q for the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Series 2006-1 Supplement, dated as of January 19, 2006, among Cendant Rental Car Funding (AESOP) LLC***, as Issuer, and The</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Bank of New York, as Trustee and as Series 2006-1 Agent, to the Second Amended and Restated Base Indenture, dated as of June 3,</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2004, among Cendant Rental Car Funding (AESOP) LLC***, as Issuer and The Bank of New York, as Trustee. (Incorporated by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10.4 to the Company’s Current Report on Form 8-K dated January 20, 2006)</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700"/>
              <w:spacing w:after="0"/>
              <w:rPr>
                <w:sz w:val="20"/>
                <w:szCs w:val="20"/>
                <w:color w:val="auto"/>
              </w:rPr>
            </w:pPr>
            <w:r>
              <w:rPr>
                <w:rFonts w:ascii="Times New Roman" w:cs="Times New Roman" w:eastAsia="Times New Roman" w:hAnsi="Times New Roman"/>
                <w:sz w:val="18"/>
                <w:szCs w:val="18"/>
                <w:color w:val="auto"/>
              </w:rPr>
              <w:t>H-9</w:t>
            </w:r>
          </w:p>
        </w:tc>
      </w:tr>
    </w:tbl>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tcPr>
          <w:p>
            <w:pPr>
              <w:spacing w:after="0"/>
              <w:rPr>
                <w:sz w:val="15"/>
                <w:szCs w:val="15"/>
                <w:color w:val="auto"/>
              </w:rPr>
            </w:pPr>
          </w:p>
        </w:tc>
        <w:tc>
          <w:tcPr>
            <w:tcW w:w="10040" w:type="dxa"/>
            <w:vAlign w:val="bottom"/>
            <w:tcBorders>
              <w:bottom w:val="single" w:sz="8" w:color="auto"/>
            </w:tcBorders>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10.37(a)</w:t>
            </w:r>
          </w:p>
        </w:tc>
        <w:tc>
          <w:tcPr>
            <w:tcW w:w="66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First Amendment, dated as of May 9, 2007, among Avis Budget Rental Car Funding (AESOP) LLC, as Issuer, and The Bank of New York</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Trust Company, N.A. (as successor in interest to The Bank of New York), as Trustee and as Series 2006-1 Agent, to the Series 2006-1</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7"/>
              </w:rPr>
              <w:t>Supplement, dated as of January 11, 2006. (Incorporated by reference to Exhibit 10.26 the Company Form 10-Q for the quarterly period ended</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June 30, 2007, dated August 8, 2007)</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Series 2007-2 Supplement, dated as of June 6, 2007, among Avis Budget Rental Car Funding (AESOP) LLC, as Issuer and The Bank of New</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York Trust Company, N.A., as Trustee and Series 2007-2 Agent, to the Second Amended and Restated Base Indenture, dated as of June 3,</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2004, among Cendant Rental Car Funding (AESOP) LLC***, as Issuer and The Bank of New York, as Trustee, as amended (Incorporated by</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June 8, 2007)</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7"/>
              </w:rPr>
              <w:t>Administration Agreement, dated as of May 11, 2006, among Budget Truck Funding, LLC, Budget Truck Rental, LLC, as Administrator, and</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The Bank of New York Trust Company, N.A., as Trustee. (Incorporated by reference to Exhibit 10.16 to the Company’s Quarterly Report on</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10-Q for the quarterly period ended June 30, 2006 dated, August 9, 2006)</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7"/>
              </w:rPr>
              <w:t>Master Motor Vehicle Operating Lease Agreement, dated as of May 11, 2006, among Budget Truck Funding, LLC††, as Lessor, Budget Truck</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Rental, LLC, as Administrator and as Lessee, and Avis Budget Car Rental, LLC, as Guarantor. (Incorporated by reference to Exhibit 10.15 to</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Quarterly Report on Form 10-Q for the quarterly period ended June 30, 2006, dated August 9, 2006)</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10.40(a)</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Master Motor Vehicle Operating Lease Agreement, dated as of February 15, 2008, among Centre Point Funding,</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LLC (formerly known as Budget Truck Funding, LLC), as Lessor, Budget Truck Rental, LLC, as Administrator and as Lessee, and Avis</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Budget Car Rental, LLC, as Guarantor.</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6"/>
              </w:rPr>
              <w:t>Base Indenture, dated as of May 11, 2006, among Budget Truck Funding, LLC††, as Issuer, and The Bank of New York Trust Company, N.A.,</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as Trustee. (Incorporated by reference to Exhibit 10.13 to the Company’s Quarterly Report on Form 10-Q for the quarterly period ended June</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30, 2006, dated August 9, 2006)</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10.41(a)</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Amendment No. 1 to the Base Indenture, dated as of May 16, 2007, among Budget Truck Funding, LLC††, as Issuer, and The Bank of New</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York Trust Company, N.A., as Trustee. (Incorporated by reference to Exhibit 10.5 to the Company’s Quarterly Report on Form 10-Q for the</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June 30, 2007, dated August 8, 2007)</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10.41(b)</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7"/>
              </w:rPr>
              <w:t>Amendment No. 2 to the Base Indenture, dated as of February 15, 2008, among Centre Point Funding, LLC (formerly known as Budget Truck</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Funding, LLC), as Issuer, and The Bank of New York Trust Company, N.A., as Trustee.</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Series 2006-1 Supplement, dated as of May 11, 2006, among Budget Truck Funding, LLC, as Issuer, Budget Truck Rental, LLC††, as</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Administrator, Deutsche Bank Securities, Inc., as Administrative Agent, certain commercial paper conduit purchasers, certain funding agents,</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6"/>
              </w:rPr>
              <w:t>certain APA banks and The Bank of New York Trust Company, N.A., as Trustee, Series 2006-1 Agent and Securities Intermediary, to the Base</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8"/>
              </w:rPr>
              <w:t>Indenture, dated as of May 11, 2006, among Budget Truck Funding, LLC††, as Issuer, and The Bank of New York Trust Company, N.A., as</w:t>
            </w:r>
          </w:p>
        </w:tc>
      </w:tr>
      <w:tr>
        <w:trPr>
          <w:trHeight w:val="216"/>
        </w:trPr>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7"/>
              </w:rPr>
              <w:t>Trustee. (Incorporated by reference to Exhibit 10.14 to the Company’s Quarterly Report on Form 10-Q for the quarterly period ended June 30,</w:t>
            </w:r>
          </w:p>
        </w:tc>
      </w:t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2006, dated August 9, 2006)</w:t>
            </w:r>
          </w:p>
        </w:tc>
      </w:tr>
      <w:tr>
        <w:trPr>
          <w:trHeight w:val="365"/>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H-10</w:t>
            </w:r>
          </w:p>
        </w:tc>
      </w:tr>
    </w:tbl>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80" w:type="dxa"/>
            <w:vAlign w:val="bottom"/>
          </w:tcPr>
          <w:p>
            <w:pPr>
              <w:spacing w:after="0"/>
              <w:rPr>
                <w:sz w:val="20"/>
                <w:szCs w:val="20"/>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10.42(a)</w:t>
            </w:r>
          </w:p>
        </w:tc>
        <w:tc>
          <w:tcPr>
            <w:tcW w:w="10540" w:type="dxa"/>
            <w:vAlign w:val="bottom"/>
            <w:gridSpan w:val="3"/>
          </w:tcPr>
          <w:p>
            <w:pPr>
              <w:ind w:left="880"/>
              <w:spacing w:after="0" w:line="196" w:lineRule="exact"/>
              <w:rPr>
                <w:sz w:val="20"/>
                <w:szCs w:val="20"/>
                <w:color w:val="auto"/>
              </w:rPr>
            </w:pPr>
            <w:r>
              <w:rPr>
                <w:rFonts w:ascii="Times New Roman" w:cs="Times New Roman" w:eastAsia="Times New Roman" w:hAnsi="Times New Roman"/>
                <w:sz w:val="18"/>
                <w:szCs w:val="18"/>
                <w:color w:val="auto"/>
              </w:rPr>
              <w:t>Amendment No. 1 to the Series 2006-1 Supplement, dated as of May 16, 2007, among Budget Truck Funding, LLC††, as Issuer,</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Deutsche Bank Securities, Inc., as Administrative Agent, certain CP Conduit Purchasers, certain Funding Agents, certain APA Banks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The Bank of New York Trust Company, N.A., as Trustee. (Incorporated by reference to Exhibit 10.4 to the Company’s Quarterly Report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on Form 10-Q for the period 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10.42(b)</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Extension Letter (related to the Series 2006-1 Supplement, dated as of May 11, 2006), dated as of May 10, 2007, from Budget Truck</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Funding, LLC††, as Issuer. (Incorporated by reference to Exhibit 10.3 to the Company’s Quarterly Report on Form 10-Q for the period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ended June 30, 2007, dated August 8,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10.42(c)</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Amendment No. 2 to the Series 2006-1 Supplement, dated as of February 15, 2008, among Centre Point Funding, LLC (formerly known</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as Budget Truck Funding, LLC), as Issuer, Deutsche Bank Securities, Inc., as Administrative Agent, certain CP Conduit Purchasers,</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certain Funding Agents, certain APA Banks and The Bank of New York Trust Company, N.A., as Trustee.</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Asset and Stock Purchase Agreement by and among Budget Group, Inc. and certain of its Subsidiaries, Cendant Corporation* and</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Cherokee Acquisition Corporation dated as of August 22, 2002 (Incorporated by reference to Exhibit 10.71 to the Company’s Annual</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10-K/A for the year ended December 31, 2001 dated November 4, 2002).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10.43(a)</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First Amendment to Asset and Stock Purchase Agreement by and among Budget Group, Inc. and certain of its Subsidiaries, Cendant</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Corporation* and Cherokee Acquisition Corporation dated as of September 10, 2002 (Incorporated by reference to Exhibit 10.72 to the</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Annual Report on Form 10-K/A for the year ended December 31, 2001 dated November 4, 2002).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Separation Agreement, dated as of January 31, 2005, by and between Cendant Corporation* and PHH Corporation (Incorporated by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10.3 to the Company’s Current Report on Form 8-K dated February 4,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Tax Sharing Agreement, dated as of January 31, 2005, by and among Cendant Corporation*, PHH Corporation and certain affiliates of</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PHH Corporation named therein (Incorporated by reference to Exhibit 10.4 to the Company’s Current Report on Form 8-K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February 4,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Cendant Corporation* Officer Personal Financial Services Policy (Incorporated by reference to Exhibit 10.1 of the Company’s Current</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8-K dated January 26,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Form of TRAC Participation Agreement (Incorporated by reference to Exhibit 10.1 to the Company’s Current Report on Form 8-K dated</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May 26, 2005).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Form of TRAC Lease (Incorporated by reference to Exhibit 10.2 to the Company’s Current Report on Form 8-K dated May 26,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Form of TRAC Guaranty (Incorporated by reference to Exhibit 10.3 to the Company’s Current Report on Form 8-K dated May 26,</w:t>
            </w:r>
          </w:p>
        </w:tc>
      </w:tr>
      <w:tr>
        <w:trPr>
          <w:trHeight w:val="228"/>
        </w:trPr>
        <w:tc>
          <w:tcPr>
            <w:tcW w:w="880" w:type="dxa"/>
            <w:vAlign w:val="bottom"/>
          </w:tcPr>
          <w:p>
            <w:pPr>
              <w:spacing w:after="0"/>
              <w:rPr>
                <w:sz w:val="19"/>
                <w:szCs w:val="19"/>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2005).</w:t>
            </w:r>
          </w:p>
        </w:tc>
        <w:tc>
          <w:tcPr>
            <w:tcW w:w="880" w:type="dxa"/>
            <w:vAlign w:val="bottom"/>
          </w:tcPr>
          <w:p>
            <w:pPr>
              <w:spacing w:after="0"/>
              <w:rPr>
                <w:sz w:val="19"/>
                <w:szCs w:val="19"/>
                <w:color w:val="auto"/>
              </w:rPr>
            </w:pPr>
          </w:p>
        </w:tc>
        <w:tc>
          <w:tcPr>
            <w:tcW w:w="438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WTH Funding Limited Partnership Fourth Amended and Restated Limited Partnership Agreement among Aviscar Inc., Budgetcar Inc.,</w:t>
            </w:r>
          </w:p>
        </w:tc>
      </w:tr>
      <w:tr>
        <w:trPr>
          <w:trHeight w:val="216"/>
        </w:trPr>
        <w:tc>
          <w:tcPr>
            <w:tcW w:w="880" w:type="dxa"/>
            <w:vAlign w:val="bottom"/>
          </w:tcPr>
          <w:p>
            <w:pPr>
              <w:spacing w:after="0"/>
              <w:rPr>
                <w:sz w:val="18"/>
                <w:szCs w:val="18"/>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STARS Trust and Bay Street Funding Trust dated April 20, 2005 (Incorporated by reference to Exhibit 10.2 to the Company’s Quarterly</w:t>
            </w:r>
          </w:p>
        </w:tc>
      </w:tr>
      <w:tr>
        <w:trPr>
          <w:trHeight w:val="228"/>
        </w:trPr>
        <w:tc>
          <w:tcPr>
            <w:tcW w:w="880" w:type="dxa"/>
            <w:vAlign w:val="bottom"/>
          </w:tcPr>
          <w:p>
            <w:pPr>
              <w:spacing w:after="0"/>
              <w:rPr>
                <w:sz w:val="19"/>
                <w:szCs w:val="19"/>
                <w:color w:val="auto"/>
              </w:rPr>
            </w:pPr>
          </w:p>
        </w:tc>
        <w:tc>
          <w:tcPr>
            <w:tcW w:w="10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Report on Form 10-Q for the quarterly period ended June 30, 2005 dated August 2, 2005).</w:t>
            </w:r>
          </w:p>
        </w:tc>
      </w:tr>
      <w:tr>
        <w:trPr>
          <w:trHeight w:val="365"/>
        </w:trPr>
        <w:tc>
          <w:tcPr>
            <w:tcW w:w="880" w:type="dxa"/>
            <w:vAlign w:val="bottom"/>
          </w:tcPr>
          <w:p>
            <w:pPr>
              <w:spacing w:after="0"/>
              <w:rPr>
                <w:sz w:val="24"/>
                <w:szCs w:val="24"/>
                <w:color w:val="auto"/>
              </w:rPr>
            </w:pPr>
          </w:p>
        </w:tc>
        <w:tc>
          <w:tcPr>
            <w:tcW w:w="1054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H-11</w:t>
            </w:r>
          </w:p>
        </w:tc>
      </w:tr>
    </w:tbl>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40" w:type="dxa"/>
            <w:vAlign w:val="bottom"/>
          </w:tcPr>
          <w:p>
            <w:pPr>
              <w:spacing w:after="0"/>
              <w:rPr>
                <w:sz w:val="20"/>
                <w:szCs w:val="20"/>
                <w:color w:val="auto"/>
              </w:rPr>
            </w:pPr>
          </w:p>
        </w:tc>
      </w:tr>
      <w:tr>
        <w:trPr>
          <w:trHeight w:val="197"/>
        </w:trPr>
        <w:tc>
          <w:tcPr>
            <w:tcW w:w="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10.50(a)</w:t>
            </w:r>
          </w:p>
        </w:tc>
        <w:tc>
          <w:tcPr>
            <w:tcW w:w="6160" w:type="dxa"/>
            <w:vAlign w:val="bottom"/>
            <w:gridSpan w:val="2"/>
          </w:tcPr>
          <w:p>
            <w:pPr>
              <w:ind w:left="880"/>
              <w:spacing w:after="0" w:line="197" w:lineRule="exact"/>
              <w:rPr>
                <w:sz w:val="20"/>
                <w:szCs w:val="20"/>
                <w:color w:val="auto"/>
              </w:rPr>
            </w:pPr>
            <w:r>
              <w:rPr>
                <w:rFonts w:ascii="Times New Roman" w:cs="Times New Roman" w:eastAsia="Times New Roman" w:hAnsi="Times New Roman"/>
                <w:sz w:val="18"/>
                <w:szCs w:val="18"/>
                <w:color w:val="auto"/>
                <w:w w:val="98"/>
              </w:rPr>
              <w:t>Amending Agreement No. 1 to the Fourth Amended and Restated Limited</w:t>
            </w:r>
          </w:p>
        </w:tc>
        <w:tc>
          <w:tcPr>
            <w:tcW w:w="43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Partnership Agreement among Aviscar, Inc. and Budgetcar,</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 as general partners and BNY Trust Company of Canada, in its capacity as trustee of STARS Trust and Montreal Trust Company of</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Canada, in its capacity as trustee of Bay Street Funding Trust, as limited partners (Incorporated by reference to Exhibit 10.1 to the</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10.50(b)</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Amending Agreement No. 2 to the Fourth Amended and Restated Limited Partnership Agreement among Aviscar, Inc. and Budgetcar,</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 as general partners and BNY Trust Company of Canada, in its capacity as trustee of STARS Trust and Montreal Trust Company of</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Canada, in its capacity as trustee of Bay Street Funding Trust, as limited partners (Incorporated by reference to Exhibit 10.2 to the</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10.50(c)</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Amending Agreement No. 3 to the Fourth Amended and Restated Limited Partnership Agreement among Aviscar, Inc. and Budgetcar,</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 as general partners and BNY Trust Company of Canada, in its capacity as trustee of STARS Trust and Montreal Trust Company of</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Canada, in its capacity as trustee of Bay Street Funding Trust, as limited partners (Incorporated by reference to Exhibit 10.3 to the</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10.50(d)</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Amending Agreement No. 4 to the Fourth Amended and Restated Limited Partnership Agreement among Aviscar, Inc. and Budgetcar,</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 as general partners and BNY Trust Company of Canada, in its capacity as trustee of STARS Trust and Montreal Trust Company of</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Canada, in its capacity as trustee of Bay Street Funding Trust, as limited partners.</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10.50(e)</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Amending Agreement No. 5 to the Fourth Amended and Restated Limited Partnership Agreement among Aviscar, Inc. and Budgetcar,</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 as general partners and BNY Trust Company of Canada, in its capacity as trustee of STARS Trust and Montreal Trust Company of</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Canada, in its capacity as trustee of Bay Street Funding Trust, as limited partners.</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Parent Guaranty of Avis Budget Car Rental, LLC to BNY Trust Company of Canada, in its capacity as trustee of STARS Trust and</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Montreal Trust Company of Canada, in its capacity as trustee of Bay Street Funding Trust, as limited partners (Incorporated by reference</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 Exhibit 10.4 to the Company’s Current Report on Form 8-K dated December 20,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Credit Agreement, dated as of April 19, 2006, among Avis Budget Holdings, LLC and Avis Budget Car Rental, LLC, as Borrower, the</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lenders referred to therein, JPMorgan Chase Bank, N.A., as Administrative Agent, Deutsche Bank Securities Inc., as Syndication Agent,</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Bank of America, N.A., Calyon New York Branch and Citicorp USA, Inc., as Documentation Agents, and Wachovia Bank, National</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Association, as Co-Documentation Agent (Incorporated by reference to Exhibit 10.2 to the Company’s Current Report on Form 8-K</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dated 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Guarantee and Collateral Agreement, dated as of April 19, 2006, made by Avis Budget Holdings, LLC, Avis Budget Car Rental, LLC</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and certain of its Subsidiaries in favor of JPMorgan Chase Bank, N.A., as Administrative Agent (Incorporated by reference to Exhibit</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10.3 to the Company’s Current Report on Form 8-K dated April 21,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Purchase Agreement, dated as of June 30, 2006, by and among the Company, Travelport Inc. and TDS Investor LLC (Incorporated by</w:t>
            </w:r>
          </w:p>
        </w:tc>
      </w:tr>
      <w:tr>
        <w:trPr>
          <w:trHeight w:val="228"/>
        </w:trPr>
        <w:tc>
          <w:tcPr>
            <w:tcW w:w="880" w:type="dxa"/>
            <w:vAlign w:val="bottom"/>
          </w:tcPr>
          <w:p>
            <w:pPr>
              <w:spacing w:after="0"/>
              <w:rPr>
                <w:sz w:val="19"/>
                <w:szCs w:val="19"/>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dated June 30,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Transition Services Agreement among Cendant Corporation*, Realogy Corporation, Wyndham Worldwide Corporation and Travelport</w:t>
            </w:r>
          </w:p>
        </w:tc>
      </w:tr>
      <w:tr>
        <w:trPr>
          <w:trHeight w:val="216"/>
        </w:trPr>
        <w:tc>
          <w:tcPr>
            <w:tcW w:w="880" w:type="dxa"/>
            <w:vAlign w:val="bottom"/>
          </w:tcPr>
          <w:p>
            <w:pPr>
              <w:spacing w:after="0"/>
              <w:rPr>
                <w:sz w:val="18"/>
                <w:szCs w:val="18"/>
                <w:color w:val="auto"/>
              </w:rPr>
            </w:pPr>
          </w:p>
        </w:tc>
        <w:tc>
          <w:tcPr>
            <w:tcW w:w="105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Inc., dated as of July 27, 2006 (Incorporated by reference to Exhibit 10.1 to the Company’s Current Report on Form 8-K dated August 1,</w:t>
            </w:r>
          </w:p>
        </w:tc>
      </w:tr>
      <w:tr>
        <w:trPr>
          <w:trHeight w:val="228"/>
        </w:trPr>
        <w:tc>
          <w:tcPr>
            <w:tcW w:w="880" w:type="dxa"/>
            <w:vAlign w:val="bottom"/>
          </w:tcPr>
          <w:p>
            <w:pPr>
              <w:spacing w:after="0"/>
              <w:rPr>
                <w:sz w:val="19"/>
                <w:szCs w:val="19"/>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2006).</w:t>
            </w:r>
          </w:p>
        </w:tc>
        <w:tc>
          <w:tcPr>
            <w:tcW w:w="8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5"/>
        </w:trPr>
        <w:tc>
          <w:tcPr>
            <w:tcW w:w="880" w:type="dxa"/>
            <w:vAlign w:val="bottom"/>
          </w:tcPr>
          <w:p>
            <w:pPr>
              <w:spacing w:after="0"/>
              <w:rPr>
                <w:sz w:val="24"/>
                <w:szCs w:val="24"/>
                <w:color w:val="auto"/>
              </w:rPr>
            </w:pPr>
          </w:p>
        </w:tc>
        <w:tc>
          <w:tcPr>
            <w:tcW w:w="10500" w:type="dxa"/>
            <w:vAlign w:val="bottom"/>
            <w:gridSpan w:val="3"/>
          </w:tcPr>
          <w:p>
            <w:pPr>
              <w:ind w:left="4660"/>
              <w:spacing w:after="0"/>
              <w:rPr>
                <w:sz w:val="20"/>
                <w:szCs w:val="20"/>
                <w:color w:val="auto"/>
              </w:rPr>
            </w:pPr>
            <w:r>
              <w:rPr>
                <w:rFonts w:ascii="Times New Roman" w:cs="Times New Roman" w:eastAsia="Times New Roman" w:hAnsi="Times New Roman"/>
                <w:sz w:val="18"/>
                <w:szCs w:val="18"/>
                <w:color w:val="auto"/>
              </w:rPr>
              <w:t>H-12</w:t>
            </w:r>
          </w:p>
        </w:tc>
      </w:tr>
    </w:tbl>
    <w:p>
      <w:pPr>
        <w:sectPr>
          <w:pgSz w:w="11900" w:h="16838" w:orient="portrait"/>
          <w:cols w:equalWidth="0" w:num="1">
            <w:col w:w="11380"/>
          </w:cols>
          <w:pgMar w:left="240" w:top="455" w:right="2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360" w:type="dxa"/>
            <w:vAlign w:val="bottom"/>
          </w:tcPr>
          <w:p>
            <w:pPr>
              <w:spacing w:after="0"/>
              <w:rPr>
                <w:sz w:val="20"/>
                <w:szCs w:val="20"/>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Tax Sharing Agreement among Cendant Corporation*, Realogy Corporation, Wyndham Worldwide Corporation and Travelport Inc.,</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dated as of July 28, 2006 (Incorporated by reference to Exhibit 10.1 to the Company’s Current Report on Form 8-K dated August 1,</w:t>
            </w:r>
          </w:p>
        </w:tc>
      </w:tr>
      <w:tr>
        <w:trPr>
          <w:trHeight w:val="228"/>
        </w:trPr>
        <w:tc>
          <w:tcPr>
            <w:tcW w:w="880" w:type="dxa"/>
            <w:vAlign w:val="bottom"/>
          </w:tcPr>
          <w:p>
            <w:pPr>
              <w:spacing w:after="0"/>
              <w:rPr>
                <w:sz w:val="19"/>
                <w:szCs w:val="19"/>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2006).</w:t>
            </w:r>
          </w:p>
        </w:tc>
        <w:tc>
          <w:tcPr>
            <w:tcW w:w="8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Agreement dated October 15, 2007 between Avis Budget Car Rental, LLC and General Motors††† (Incorporated by reference to Exhibit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10.1 to the Company’s Current Report on Form 8-K dated October 19, 2007).</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7"/>
              </w:rPr>
              <w:t>Purchase Agreement by and among Cendant Corporation*, Affinity Acquisition, Inc. and Affinity Acquisition Holdings, Inc. dated as of</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July 26, 2005 (Incorporated by reference to Exhibit 10.2 to the Company’s Quarterly Report on Form 10-Q for the quarterly period</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ended September 30, 2005 dated November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10.58(a)</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Amendment No. 1 dated as of October 17, 2005 to the Purchase Agreement dated as of July 26, 2005 by and among Cendant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Corporation*, Affinity Acquisition, Inc. (now known as Affinion Group, Inc. ) and Affinity Acquisition Holdings, Inc. (now known as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Affinion Group Holdings, Inc.) (Incorporated by reference to Exhibit 10.3 to the Company’s Quarterly Report on Form 10-Q for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quarterly period ended September 30, 2005 dated November 2, 2005).</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Amended and Restated Equalization Benefit Plan.</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Trademark License Agreement between Wizard Co. Inc. and Avis Europe plc.</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System License Agreement between Avis Rent A Car System, Inc. and Avis Europe plc.</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Purchaser Group Supplement, dated as of February 21, 2008, among Atlantic Asset Securitization LLC, as commercial paper conduit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6"/>
              </w:rPr>
              <w:t>purchaser, Calyon New York Branch, as APA bank and funding agent, Avis Budget Rental Car Funding (AESOP) LLC, JPMorgan Chase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Bank, N.A., as administrative agent and Avis Budget Car Rental LLC, as administrator (Incorporated by reference to Exhibit 10.1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Current Report on Form 8-K dated February 22,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10.62(a)</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Purchaser Group Supplement, dated as of February 21, 2008, among Atlantic Asset Securitization LLC, as commercial paper conduit</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6"/>
              </w:rPr>
              <w:t>purchaser, Calyon New York Branch, as APA bank and funding agent, Avis Budget Rental Car Funding (AESOP) LLC, JPMorgan Chase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Bank, N.A., as administrative agent and Avis Budget Car Rental LLC, as administrator (Incorporated by reference to Exhibit 10.2 to the</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Company’s Current Report on Form 8-K dated February 22, 2008).</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Statement Re: Computation of Ratio of Earnings to Fixed Charges.</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Certification of Chief Executive Officer Pursuant to Rules 13(a)-14(a) and 15(d)-14(a) Promulgated Under the Securities Exchange Act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of 1934, as amended.</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8"/>
              </w:rPr>
              <w:t>Certification of Chief Financial Officer Pursuant to Rules 13(a)-14(a) and 15(d)-14(a) Promulgated Under the Securities Exchange Act</w:t>
            </w:r>
          </w:p>
        </w:tc>
      </w:tr>
      <w:tr>
        <w:trPr>
          <w:trHeight w:val="228"/>
        </w:trPr>
        <w:tc>
          <w:tcPr>
            <w:tcW w:w="880" w:type="dxa"/>
            <w:vAlign w:val="bottom"/>
          </w:tcPr>
          <w:p>
            <w:pPr>
              <w:spacing w:after="0"/>
              <w:rPr>
                <w:sz w:val="19"/>
                <w:szCs w:val="19"/>
                <w:color w:val="auto"/>
              </w:rPr>
            </w:pP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of 1934, as amended.</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tc>
      </w:tr>
    </w:tbl>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Corporation is now known as Avis Budget Group, Inc.</w:t>
      </w:r>
    </w:p>
    <w:p>
      <w:pPr>
        <w:spacing w:after="0" w:line="9"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Car Rental Group, LLC (formerly known as Cendant Car Rental Group, Inc.) is now known as Avis Budget Car Rental, LLC.</w:t>
      </w:r>
    </w:p>
    <w:p>
      <w:pPr>
        <w:spacing w:after="0" w:line="9" w:lineRule="exact"/>
        <w:rPr>
          <w:rFonts w:ascii="Times New Roman" w:cs="Times New Roman" w:eastAsia="Times New Roman" w:hAnsi="Times New Roman"/>
          <w:sz w:val="18"/>
          <w:szCs w:val="18"/>
          <w:color w:val="auto"/>
        </w:rPr>
      </w:pPr>
    </w:p>
    <w:p>
      <w:pPr>
        <w:ind w:left="460" w:right="260" w:hanging="452"/>
        <w:spacing w:after="0" w:line="250"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Cendant Rental Car Funding (AESOP) LLC, formerly known as AESOP Funding II L.L.C, is now known as Avis Budget Rental Car Funding (AESOP) LLC.</w:t>
      </w: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 Rent A Car System, Inc. is now known as Avis Rent A Car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Group Holdings, Inc. is now known as Avis Group Holdings, LLC.</w:t>
      </w:r>
    </w:p>
    <w:p>
      <w:pPr>
        <w:spacing w:after="0" w:line="9"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w:t>
      </w:r>
    </w:p>
    <w:p>
      <w:pPr>
        <w:spacing w:after="0" w:line="9"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Truck Funding, LLC is now known as Centre Point Funding, LLC.</w:t>
      </w:r>
    </w:p>
    <w:p>
      <w:pPr>
        <w:spacing w:after="0" w:line="9" w:lineRule="exact"/>
        <w:rPr>
          <w:sz w:val="20"/>
          <w:szCs w:val="20"/>
          <w:color w:val="auto"/>
        </w:rPr>
      </w:pPr>
    </w:p>
    <w:p>
      <w:pPr>
        <w:ind w:left="460" w:right="140" w:hanging="452"/>
        <w:spacing w:after="0" w:line="261"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H-13</w:t>
      </w:r>
    </w:p>
    <w:p>
      <w:pPr>
        <w:sectPr>
          <w:pgSz w:w="11900" w:h="16838" w:orient="portrait"/>
          <w:cols w:equalWidth="0" w:num="1">
            <w:col w:w="11400"/>
          </w:cols>
          <w:pgMar w:left="240" w:top="455" w:right="2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Larry De Shon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Sylvan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Larry:</w:t>
      </w:r>
    </w:p>
    <w:p>
      <w:pPr>
        <w:spacing w:after="0" w:line="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 are pleased to confirm your continued employment with Avis Budget Car Rental, LLC, (“ABCR” or the “Company”), a subsidiary of Avis Budget Group, as Executive Vice President – Operations, reporting to Bob Salerno.</w:t>
      </w:r>
    </w:p>
    <w:p>
      <w:pPr>
        <w:spacing w:after="0" w:line="1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Your salary, paid on a bi-weekly basis, will be $14,615.39, which equates to an annualized salary of $380,000. Your target bonus will be 75% of your regular base salary subject to the Company achieving performance goals as described in the Management Incentive Plan for ABG Senior Executive Leadership and will be based upon your eligible base salary during the performance period. The bonus distribution is typically in the first quarter of the next year.</w:t>
      </w:r>
    </w:p>
    <w:p>
      <w:pPr>
        <w:spacing w:after="0" w:line="13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If, however, your employment with ABCR is terminated by ABCR other than: (i) “for cause” (as defined below); (ii) in connection with your disability which prevents you from performing services for ABCR for a period of 12 months; or (iii) death, you will receive a lump-sum severance payment equal to 200% of your base salary plus your target incentive (bonus) and perquisites to include car usage, financial planning and health coverage (Company-subsidized COBRA) for a period of 24 months (excluding group life insurance and AD&amp;D insurance). For purposes of this agreement ‘company subsidized COBRA’ shall mean that the Company shall subsidize the total cost of COBRA such that the contributions required of you for health plan participation during the 24 month period shall be substantially equal to the contributions required of active employed executives of ABG. All other programs and perquisites would be governed by their respective plan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 of such severance pay is subject to, and contingent upon, your executing a separation agreement with ABCR, in such form determined by ABCR, which requires 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one year after your employment separation or for a period of time and within a geographic scope determined by ABCR to be reasonable to protect ABCR’s business interests; and (iii) not solicit any ABCR employees, consultants, agents or customers during and for one year after your employment separation.</w:t>
      </w:r>
    </w:p>
    <w:p>
      <w:pPr>
        <w:sectPr>
          <w:pgSz w:w="11900" w:h="16838" w:orient="portrait"/>
          <w:cols w:equalWidth="0" w:num="1">
            <w:col w:w="11420"/>
          </w:cols>
          <w:pgMar w:left="240" w:top="123"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Larry DeShon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2008</w:t>
      </w:r>
    </w:p>
    <w:p>
      <w:pPr>
        <w:spacing w:after="0" w:line="14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addition, a lump sum will be paid in cash in lieu of the time-vesting portion (RSUs but not PSUs) of your stock-based awards which would have been expensed in accordance with their original vesting schedule by the one-year anniversary of your termination of employment.</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“Termination for Cause” shall mean: (i) your willful failure to substantially perform your duties as an employee of the Company or any subsidiary (other than any such failure resulting from your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3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by-laws of the Company provide that officers will be indemnified for their authorized actions on behalf of our Company to the fullest extent permitted under applicable law.</w:t>
      </w:r>
    </w:p>
    <w:p>
      <w:pPr>
        <w:spacing w:after="0" w:line="120"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This severance pay as set forth in this letter is in lieu of and supersedes any other severance benefits otherwise payable to you under any other agreement or severance plan of ABCR or its affiliates.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J. Servodidio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 Servodidio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Larry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De Shon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2008</w:t>
      </w:r>
    </w:p>
    <w:p>
      <w:pPr>
        <w:sectPr>
          <w:pgSz w:w="11900" w:h="16838" w:orient="portrait"/>
          <w:cols w:equalWidth="0" w:num="1">
            <w:col w:w="11420"/>
          </w:cols>
          <w:pgMar w:left="240" w:top="274"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10.40(a)</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CONFORMED COPY</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AMENDMENT NO. 1 TO MASTER MOTOR VEHICLE OPERATING</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LEASE AGREEMENT</w:t>
      </w:r>
    </w:p>
    <w:p>
      <w:pPr>
        <w:spacing w:after="0" w:line="1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February 15, 2008</w:t>
      </w:r>
    </w:p>
    <w:p>
      <w:pPr>
        <w:spacing w:after="0" w:line="1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between</w:t>
      </w:r>
    </w:p>
    <w:p>
      <w:pPr>
        <w:spacing w:after="0" w:line="1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CENTRE POINT FUNDING, LLC,</w:t>
      </w:r>
    </w:p>
    <w:p>
      <w:pPr>
        <w:spacing w:after="0" w:line="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as Lessor,</w:t>
      </w:r>
    </w:p>
    <w:p>
      <w:pPr>
        <w:spacing w:after="0" w:line="15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2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Administrator</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Lessee</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as Guarantor</w:t>
      </w:r>
    </w:p>
    <w:p>
      <w:pPr>
        <w:sectPr>
          <w:pgSz w:w="11900" w:h="16838" w:orient="portrait"/>
          <w:cols w:equalWidth="0" w:num="1">
            <w:col w:w="10220"/>
          </w:cols>
          <w:pgMar w:left="1440" w:top="123" w:right="2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NO. 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MASTER MOTOR VEHICLE OPERATING LEASE AGREEMENT</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 TO MASTER MOTOR VEHICLE OPERATING LEASE AGREEMENT</w:t>
      </w:r>
      <w:r>
        <w:rPr>
          <w:rFonts w:ascii="Times New Roman" w:cs="Times New Roman" w:eastAsia="Times New Roman" w:hAnsi="Times New Roman"/>
          <w:sz w:val="18"/>
          <w:szCs w:val="18"/>
          <w:color w:val="auto"/>
        </w:rPr>
        <w:t>, dated February 15, 2008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between CENTRE POINT FUNDING, LLC (f/k/a Budget Truck Funding, LLC) (“</w:t>
      </w:r>
      <w:r>
        <w:rPr>
          <w:rFonts w:ascii="Times New Roman" w:cs="Times New Roman" w:eastAsia="Times New Roman" w:hAnsi="Times New Roman"/>
          <w:sz w:val="16"/>
          <w:szCs w:val="16"/>
          <w:u w:val="single" w:color="auto"/>
          <w:color w:val="auto"/>
        </w:rPr>
        <w:t>BTF</w:t>
      </w:r>
      <w:r>
        <w:rPr>
          <w:rFonts w:ascii="Times New Roman" w:cs="Times New Roman" w:eastAsia="Times New Roman" w:hAnsi="Times New Roman"/>
          <w:sz w:val="16"/>
          <w:szCs w:val="16"/>
          <w:color w:val="auto"/>
        </w:rPr>
        <w:t>”), a Delaware limited liability company, as lessor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Lessor</w:t>
      </w:r>
      <w:r>
        <w:rPr>
          <w:rFonts w:ascii="Times New Roman" w:cs="Times New Roman" w:eastAsia="Times New Roman" w:hAnsi="Times New Roman"/>
          <w:sz w:val="18"/>
          <w:szCs w:val="18"/>
          <w:color w:val="auto"/>
        </w:rPr>
        <w:t>”), BUDGET TRUCK RENTAL, LLC, a Delaware limited liability company (“</w:t>
      </w:r>
      <w:r>
        <w:rPr>
          <w:rFonts w:ascii="Times New Roman" w:cs="Times New Roman" w:eastAsia="Times New Roman" w:hAnsi="Times New Roman"/>
          <w:sz w:val="18"/>
          <w:szCs w:val="18"/>
          <w:u w:val="single" w:color="auto"/>
          <w:color w:val="auto"/>
        </w:rPr>
        <w:t>BTR</w:t>
      </w:r>
      <w:r>
        <w:rPr>
          <w:rFonts w:ascii="Times New Roman" w:cs="Times New Roman" w:eastAsia="Times New Roman" w:hAnsi="Times New Roman"/>
          <w:sz w:val="18"/>
          <w:szCs w:val="18"/>
          <w:color w:val="auto"/>
        </w:rPr>
        <w:t>”), as lessee (the “</w:t>
      </w:r>
      <w:r>
        <w:rPr>
          <w:rFonts w:ascii="Times New Roman" w:cs="Times New Roman" w:eastAsia="Times New Roman" w:hAnsi="Times New Roman"/>
          <w:sz w:val="18"/>
          <w:szCs w:val="18"/>
          <w:u w:val="single" w:color="auto"/>
          <w:color w:val="auto"/>
        </w:rPr>
        <w:t>Lessee</w:t>
      </w:r>
      <w:r>
        <w:rPr>
          <w:rFonts w:ascii="Times New Roman" w:cs="Times New Roman" w:eastAsia="Times New Roman" w:hAnsi="Times New Roman"/>
          <w:sz w:val="18"/>
          <w:szCs w:val="18"/>
          <w:color w:val="auto"/>
        </w:rPr>
        <w:t>”) and as administrator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and AVIS BUDGET CAR RENTAL, LLC, a Delaware limited liability company (“</w:t>
      </w:r>
      <w:r>
        <w:rPr>
          <w:rFonts w:ascii="Times New Roman" w:cs="Times New Roman" w:eastAsia="Times New Roman" w:hAnsi="Times New Roman"/>
          <w:sz w:val="18"/>
          <w:szCs w:val="18"/>
          <w:u w:val="single" w:color="auto"/>
          <w:color w:val="auto"/>
        </w:rPr>
        <w:t>ABCR</w:t>
      </w:r>
      <w:r>
        <w:rPr>
          <w:rFonts w:ascii="Times New Roman" w:cs="Times New Roman" w:eastAsia="Times New Roman" w:hAnsi="Times New Roman"/>
          <w:sz w:val="18"/>
          <w:szCs w:val="18"/>
          <w:color w:val="auto"/>
        </w:rPr>
        <w:t>”), as guarantor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1"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Lessor entered into that certain Master Motor Vehicle Operating Lease Agreement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dated as of May 11, 2006,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Lessor, the Administrator, as Lessee, and the Guarantor pursuant to which the Lessor leases to the Lessee, and the Lessee leases from the Lessor, the BTF Trucks set forth on Attachments A to the Lease for use in the daily rental business of the Lessee;</w:t>
      </w:r>
    </w:p>
    <w:p>
      <w:pPr>
        <w:spacing w:after="0" w:line="127" w:lineRule="exact"/>
        <w:rPr>
          <w:sz w:val="20"/>
          <w:szCs w:val="20"/>
          <w:color w:val="auto"/>
        </w:rPr>
      </w:pPr>
    </w:p>
    <w:p>
      <w:pPr>
        <w:ind w:left="460" w:right="2100"/>
        <w:spacing w:after="0" w:line="43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Guarantor has guaranteed the obligations of the Lessee under the Lease pursuant to Section 22 of the Lease;</w:t>
      </w:r>
      <w:r>
        <w:rPr>
          <w:rFonts w:ascii="Times New Roman" w:cs="Times New Roman" w:eastAsia="Times New Roman" w:hAnsi="Times New Roman"/>
          <w:sz w:val="18"/>
          <w:szCs w:val="18"/>
          <w:b w:val="1"/>
          <w:bCs w:val="1"/>
          <w:color w:val="auto"/>
        </w:rPr>
        <w:t xml:space="preserve"> WHEREAS</w:t>
      </w:r>
      <w:r>
        <w:rPr>
          <w:rFonts w:ascii="Times New Roman" w:cs="Times New Roman" w:eastAsia="Times New Roman" w:hAnsi="Times New Roman"/>
          <w:sz w:val="18"/>
          <w:szCs w:val="18"/>
          <w:color w:val="auto"/>
        </w:rPr>
        <w:t>, the parties hereto wish to amend the Lease as provided herein;</w:t>
      </w:r>
    </w:p>
    <w:p>
      <w:pPr>
        <w:spacing w:after="0" w:line="1"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24 of the Lease, the Lease may be modified or amended in accordance the requirements of such Section, and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the Trustee and the Required Noteholders, as required, have consented in writing to the amendments effected by this Amendment; and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been duly authorized by all necessary limited liability company action on the part of BTF;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premises and the agreements, provisions and covenants herein contained, the parties hereto agree as follows: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143" w:name="page144"/>
    <w:bookmarkEnd w:id="143"/>
    <w:p>
      <w:pPr>
        <w:ind w:left="5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1"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Terms Defined in Series Supplement or Base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specified herein, capitalized terms used herein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xml:space="preserve"> hereto) shall have the meanings ascribed to such terms in the Lease or the Definitions List attached as Annex 1 to the Base Indenture, dated as of May 11, 2006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Lessor, as issuer, and The Bank of New York Trust Company, N.A., as Trustee, as such Definitions List may from time to time be amended in accordance with the Base Indenture.</w:t>
      </w: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Amendments to Table of Contents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Table of Contents is hereby amended by the addition of the following at the end thereof:</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“ATTACHMENT D Form of Sublease”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Amendments to Article 2: General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2(b) is hereby amended as follows: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by amending and restating clause (ii) in its entirety to read as follows:</w:t>
      </w:r>
    </w:p>
    <w:p>
      <w:pPr>
        <w:spacing w:after="0" w:line="90"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“(ii) all BTF Trucks which, notwithstanding that this Agreement and any Sublease is intended to convey only a leasehold interest, are determined to be owned by the Lessee or any Permitted Sublessee, and all Certificates of Title with respect to the BTF Trucks;”</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 by amending and restating clauses (iii) in its entirety to read as follows:</w:t>
      </w:r>
    </w:p>
    <w:p>
      <w:pPr>
        <w:spacing w:after="0" w:line="9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“(iii) all right, title and interest of the Lessee or any Permitted Sublessee in and to any proceeds from the sale of BTF Trucks which, notwithstanding that this Agreement and any Sublease is intended to convey only a leasehold interest, are determined to be owned by the Lessee or any Sublessee, including all monies due in respect of such BTF Trucks, whether payable as the purchase price of such BTF Trucks or as fees, expenses, costs, indemnities, insurance recoveries or otherwise;”</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 by adding the following new clause (v):</w:t>
      </w:r>
    </w:p>
    <w:p>
      <w:pPr>
        <w:spacing w:after="0" w:line="90"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“(v) the rights of the Lessee under any Sublease, as the same may be amended, modified or supplemented from time to time in accordance with its terms, including, without limitation, (a) all monies, if any, due and to become due to the Lessee from any Permitted Sublessee under or in connection with any Sublease, whether payable as rent, fees, expenses, costs, indemnities, insurance recoveries, damages for the breach of any Sublease or otherwise, (b) all rights, remedies, powers, privileges and claims of the Lessee against any other party under or with respect to any Sublease (whether arising pursuant to the terms of such Sublease or otherwise available to the Lessee at law or in equity), including the right to enforce any Sublease and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2" w:right="279" w:bottom="1440" w:gutter="0" w:footer="0" w:header="0"/>
        </w:sectPr>
      </w:pPr>
    </w:p>
    <w:bookmarkStart w:id="144" w:name="page145"/>
    <w:bookmarkEnd w:id="14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give or withhold any and all consents, requests, notices, directions, approvals, extensions or waivers under or with respect to any Sublease or the obligations and liabilities of any party thereunder, (c) all liens and property from time to time purporting to secure payment of the obligations and liabilities of any Permitted Sublessee arising under or in connection with any Sublease, together with any documents or agreements describing any collateral securing such obligations or liabilities and (d) all guarantees, insurance and other agreements or arrangements of whatever character from time to time supporting or securing payment of such obligations and liabilities of any Permitted Sublessee pursuant to any Sublease;”; and</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 by renumbering the existing clauses “(v)” and “(vi)” so that they are now clauses “(vi)” and “(vii)”.</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Amendments to Section 7 : BTF Truck Use</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7 is hereby amended and restated in its entirety to read as follows:</w:t>
      </w:r>
    </w:p>
    <w:p>
      <w:pPr>
        <w:spacing w:after="0" w:line="171"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BTF TRUCK USE</w:t>
      </w:r>
      <w:r>
        <w:rPr>
          <w:rFonts w:ascii="Times New Roman" w:cs="Times New Roman" w:eastAsia="Times New Roman" w:hAnsi="Times New Roman"/>
          <w:sz w:val="18"/>
          <w:szCs w:val="18"/>
          <w:color w:val="auto"/>
        </w:rPr>
        <w:t xml:space="preserve">. So long as no Lease Event of Default, Liquidation Event of Default or Limited Liquidation Event of Default has occurred (subject, however,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hereof), the Lessee may use BTF Trucks leased hereunder in its regular course of business, including subleasing BTF Trucks to Permitted Sublessees in accordance with this Section 7. Such use shall be confined solely to the United States, and the principal place of business or rental office of the Lessee with respect to the BTF Trucks shall be located in the United States. The Administrator shall promptly and duly execute, deliver, file and record all such documents, statements, filings and registrations and take such further actions as the Lessor or the Trustee shall from time to time reasonably request in order to establish, perfect and maintain the Lessor’s rights to and interest in the BTF Trucks and the Certificates of Title as against the Lessee or any third party in any applicable jurisdiction and to establish, perfect and maintain the Trustee’s Lien on the BTF Trucks and the Certificates of Title as a perfected first lien in any applicable jurisdiction. The Lessee may, at its sole expense, change the place of principal location of any BTF Trucks. Notwithstanding the foregoing, no change of location shall be undertaken unless and until (x) all actions necessary to maintain the Lien of the Trustee on such BTF Trucks and the Certificates of Title with respect to such BTF Trucks shall have been taken and (y) all legal requirements applicable to such BTF Trucks shall have been met or obtained. Following the occurrence of a Lease Event of Default, a Limited Liquidation Event of Default or a Liquidation Event of Default, the Lessee shall advise the Lessor in writing where all BTF Trucks leased hereunder as of such date are principally located. The Lessee shall not knowingly use any BTF Trucks or knowingly permit the same to be used for any unlawful purpose. The Lessee shall use reasonable precautions to prevent loss or damage to BTF Trucks. The Lessee shall comply with all applicable statutes, decrees, ordinances and regulations regarding acquiring, titling, registering, leasing, insuring and disposing of BTF Trucks and shall take reasonable steps to ensure that operators are licensed. The Lessee and the Lessor agree that the Lessee shall perform, at the Lessee’s own expense, such BTF Truck preparation and conditioning services with respect to BTF Trucks leased by the Lessee hereunder as are customary. The Lessor or the Trustee or any authorized representative of the Lessor or the Trustee may during reasonable business hours from time to time, without disruption of the Lessee’s business, subject to applicable law, inspect BTF Trucks and registration certificates, Certificates of Title and related documents covering BTF Trucks wherever the same be located. In addition to its normal daily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4" w:right="259" w:bottom="1440" w:gutter="0" w:footer="0" w:header="0"/>
        </w:sectPr>
      </w:pPr>
    </w:p>
    <w:bookmarkStart w:id="145" w:name="page146"/>
    <w:bookmarkEnd w:id="14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rental operations, the Lessee may sublease BTF Trucks to a Permitted Sublessee provided that (i) such Permitted Sublessee uses such BTF Trucks in the regular course of its business and the regular course of such Permitted Sublessee’s business is renting vehicles on a daily basis, (ii) the aggregate Net Book Value of all BTF Trucks being subleased at any one time is less than ten percent (10%) (or such other percentage as may be agreed to in writing by the Required Noteholders of each Series of Notes Outstanding at such time) of the aggregate Net Book Value of the Vehicles being leased under this Agreement at such time, (iv) the applicable sublease agreement is substantially in the form of Attachment D hereto and (iii) the Lessee delivers to the Lessor and the Trustee an Opinion of Counsel, dated the date of the applicable Sublease, substantially to the effect that (a) the applicable Sublease has been duly authorized, executed and delivered by each of the Lessee and the applicable Permitted Sublessee, (b) the applicable Sublease constitutes a valid, binding and enforceable obligation of each of the Lessee and the applicable Permitted Sublessee, (c) there is no pending or threatened litigation which, if adversely determined, would materially and adversely affect the ability of each of the Lessee and the applicable Permitted Sublessee to perform its obligations under the applicable Sublease, (d) the Subleases does not conflict with or violate any court decree, injunction, writ or order applicable to either the Lessee or the applicable Sublessee or result in a breach or default under any indenture, agreement or other instrument of the Lessee or the applicable Permitted Sublessee and (e) the validity, perfection and priority of the security interests created by the Sublease. No such sublease to a Permitted Sublessee shall release the Lessee or the Guarantor from any obligations under this Agreement. The Lessee shall not sublease any BTF Truck or assign any right or interest herein or in any BTF Truck to any Person other than a Permitted Sublessee in accordance with this Section 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foregoing shall not be deemed to prohibit the Lessee from renting BTF Trucks to third party customers in the ordinary course of its business.”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Amendments to Section 16.1.1</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Section 16.1.1 is hereby amended by adding the following phrase immediately after the phrase “request by the Lessee” at the end of the first sentence thereof:</w:t>
      </w:r>
    </w:p>
    <w:p>
      <w:pPr>
        <w:spacing w:after="0" w:line="39" w:lineRule="exact"/>
        <w:rPr>
          <w:sz w:val="20"/>
          <w:szCs w:val="20"/>
          <w:color w:val="auto"/>
        </w:rPr>
      </w:pPr>
    </w:p>
    <w:p>
      <w:pPr>
        <w:ind w:left="460" w:right="700"/>
        <w:spacing w:after="0" w:line="275" w:lineRule="auto"/>
        <w:rPr>
          <w:sz w:val="20"/>
          <w:szCs w:val="20"/>
          <w:color w:val="auto"/>
        </w:rPr>
      </w:pPr>
      <w:r>
        <w:rPr>
          <w:rFonts w:ascii="Times New Roman" w:cs="Times New Roman" w:eastAsia="Times New Roman" w:hAnsi="Times New Roman"/>
          <w:sz w:val="18"/>
          <w:szCs w:val="18"/>
          <w:color w:val="auto"/>
        </w:rPr>
        <w:t>“including, without limitation, any BTF Truck subleased to a Permitted Sublessee pursuant to Section 7 and any of the forgoing actions events or circumstances occurring or arising in connection with such subleasing and any customer of any such Permitted Sublessee”.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Amendments to Section 17.2</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Section 17.2 is hereby amended by adding the following phrase immediately after the phrase “normal daily rental programs” at the end of the proviso contained in the first sentence thereof:</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may sublease BTF Trucks to Permitted Sublessees in accordance with Section 7”.</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274" w:right="299"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2.6. </w:t>
      </w:r>
      <w:r>
        <w:rPr>
          <w:rFonts w:ascii="Times New Roman" w:cs="Times New Roman" w:eastAsia="Times New Roman" w:hAnsi="Times New Roman"/>
          <w:sz w:val="18"/>
          <w:szCs w:val="18"/>
          <w:b w:val="1"/>
          <w:bCs w:val="1"/>
          <w:u w:val="single" w:color="auto"/>
          <w:color w:val="auto"/>
        </w:rPr>
        <w:t>Amendments to Section 25.14</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25.14 is hereby amended by (a) deleting the title of that Section in its entirety and substituting, in replacement thereof, the following new title: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Trucks; Permitted Sublessees</w:t>
      </w:r>
      <w:r>
        <w:rPr>
          <w:rFonts w:ascii="Times New Roman" w:cs="Times New Roman" w:eastAsia="Times New Roman" w:hAnsi="Times New Roman"/>
          <w:sz w:val="18"/>
          <w:szCs w:val="18"/>
          <w:color w:val="auto"/>
        </w:rPr>
        <w:t>” and (b) adding the following sentence immediately after the first sentence thereof:</w:t>
      </w:r>
    </w:p>
    <w:p>
      <w:pPr>
        <w:spacing w:after="0" w:line="78" w:lineRule="exact"/>
        <w:rPr>
          <w:sz w:val="20"/>
          <w:szCs w:val="20"/>
          <w:color w:val="auto"/>
        </w:rPr>
      </w:pPr>
    </w:p>
    <w:p>
      <w:pPr>
        <w:ind w:left="460" w:right="140"/>
        <w:spacing w:after="0" w:line="275" w:lineRule="auto"/>
        <w:rPr>
          <w:sz w:val="20"/>
          <w:szCs w:val="20"/>
          <w:color w:val="auto"/>
        </w:rPr>
      </w:pPr>
      <w:r>
        <w:rPr>
          <w:rFonts w:ascii="Times New Roman" w:cs="Times New Roman" w:eastAsia="Times New Roman" w:hAnsi="Times New Roman"/>
          <w:sz w:val="18"/>
          <w:szCs w:val="18"/>
          <w:color w:val="auto"/>
        </w:rPr>
        <w:t>“Each sublessee subleasing a BTF Truck from the Lessee is, or will be as of the sublease commencement date for such BTF Truck, a Permitted Sublessee and each applicable sublease meets the requirements set forth in Section 7.”</w:t>
      </w:r>
    </w:p>
    <w:p>
      <w:pPr>
        <w:spacing w:after="0" w:line="28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Effect of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this Amendment shall not by implication or otherwise limit, impair,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or otherwise affect the rights and remedies of any of the parties hereto under the Lease, nor alter, modify, amend or in any way affect any of the terms, conditions, obligations, covenants or agreements contained in the Lease, all of which are hereby ratified and affirmed in all respects by each of the parties hereto and shall continue in full force and effect.</w:t>
      </w:r>
    </w:p>
    <w:p>
      <w:pPr>
        <w:spacing w:after="0" w:line="13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Condition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as of the date hereof only upon receipt by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Series 2006-1 Supplement to the Base Indenture, dated as of May 11, 2006, as amended by that certain Amendment No. 1 to Series 2006-1 Supplement, dated as of May 16, 2007 (the “</w:t>
      </w:r>
      <w:r>
        <w:rPr>
          <w:rFonts w:ascii="Times New Roman" w:cs="Times New Roman" w:eastAsia="Times New Roman" w:hAnsi="Times New Roman"/>
          <w:sz w:val="18"/>
          <w:szCs w:val="18"/>
          <w:u w:val="single" w:color="auto"/>
          <w:color w:val="auto"/>
        </w:rPr>
        <w:t>Series 2006-1 Supplement</w:t>
      </w:r>
      <w:r>
        <w:rPr>
          <w:rFonts w:ascii="Times New Roman" w:cs="Times New Roman" w:eastAsia="Times New Roman" w:hAnsi="Times New Roman"/>
          <w:sz w:val="18"/>
          <w:szCs w:val="18"/>
          <w:color w:val="auto"/>
        </w:rPr>
        <w:t>”) of written confirmation from Moody’s that the Series 2006-1 Notes (as defined in the Series 2006-1 Supplement) are publicly rated at least “A3” by Moody’s after giving effect to the amendments contemplated by this Amendment.</w:t>
      </w:r>
    </w:p>
    <w:p>
      <w:pPr>
        <w:spacing w:after="0" w:line="133"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hereto waives any prior notice and any notice period that may be required by any other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in connection with the execution of this Amendment.</w:t>
      </w:r>
    </w:p>
    <w:p>
      <w:pPr>
        <w:spacing w:after="0" w:line="116"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the parties hereto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w:t>
      </w:r>
    </w:p>
    <w:p>
      <w:pPr>
        <w:spacing w:after="0" w:line="11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A CONTRACT MADE UNDER AND GOVERNED BY THE INTERNAL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WITHOUT REGARD TO CONFLICT OF LAW PRINCIPLES (EXCEPT FOR SECTION 5-1401 OF THE NEW YORK GENERAL OBLIGATIONS LAW). Whenever possible each provision of this Amendment shall be interpreted in such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 All obligations of the Guarantor and the Lessee and all rights of the Lessor or the Trustee expressed herein shall be in addition to and not in limitation of those provided by applicable law or in any other written instrument or agreement.</w:t>
      </w:r>
    </w:p>
    <w:p>
      <w:pPr>
        <w:spacing w:after="0" w:line="135"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HERETO HEREBY EXPRESSLY WAIVES ANY RIGHT TO A TRIAL BY JURY IN ANY 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TO</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2" w:right="259" w:bottom="1440" w:gutter="0" w:footer="0" w:header="0"/>
        </w:sectPr>
      </w:pPr>
    </w:p>
    <w:bookmarkStart w:id="147" w:name="page148"/>
    <w:bookmarkEnd w:id="147"/>
    <w:p>
      <w:pPr>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ENFORCE OR DEFEND ANY RIGHTS UNDER THIS AGREEMENT OR ANY OTHER RELATED DOCUMENT TO WHICH IT IS A PARTY, OR UNDER ANY AMENDMENT, INSTRUMENT, DOCUMENT OR AGREEMENT DELIVERED OR WHICH MAY IN THE FUTURE BE DELIVERED IN CONNECTION THEREWITH OR ARISING FROM ANY RELATIONSHIP EXISTING IN CONNECTION WITH THIS AGREEMENT OR ANY RELATED TRANSACTION, AND AGREES THAT ANY SUCH ACTION OR PROCEEDING SHALL BE TRIED BEFORE A COURT AND NOT BEFORE A JURY.</w:t>
      </w:r>
    </w:p>
    <w:p>
      <w:pPr>
        <w:spacing w:after="0" w:line="101" w:lineRule="exact"/>
        <w:rPr>
          <w:sz w:val="20"/>
          <w:szCs w:val="20"/>
          <w:color w:val="auto"/>
        </w:rPr>
      </w:pPr>
    </w:p>
    <w:p>
      <w:pPr>
        <w:ind w:right="5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headings used in this Amendment are for convenience of reference only and shall not affect the construction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16"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any number of counterparts and by different parties hereto on separate counterparts,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counterparts, when so executed and delivered, shall be deemed to be an original and all of which counterparts, taken together, shall constitute one and the same Amendment.</w:t>
      </w:r>
    </w:p>
    <w:p>
      <w:pPr>
        <w:spacing w:after="0" w:line="127"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obligations of the Lessor under this Agreement are solely the corporate obligations of the Lessor. No recourse shall be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payment of any obligation or claim arising out of or based upon this Agreement against any shareholder, partner, employee, officer, director or incorporator of the Lessor</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48" w:name="page149"/>
    <w:bookmarkEnd w:id="148"/>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Amendment to be duly executed by their respective officers thereunto duly authorized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day and year first above written.</w:t>
      </w:r>
    </w:p>
    <w:p>
      <w:pPr>
        <w:spacing w:after="0" w:line="1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LESSOR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CENTRE POINT FUNDING,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Joe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6 Sylvan Way</w:t>
      </w:r>
    </w:p>
    <w:p>
      <w:pPr>
        <w:spacing w:after="0" w:line="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6" w:lineRule="exact"/>
        <w:rPr>
          <w:sz w:val="20"/>
          <w:szCs w:val="20"/>
          <w:color w:val="auto"/>
        </w:rPr>
      </w:pPr>
    </w:p>
    <w:tbl>
      <w:tblPr>
        <w:tblLayout w:type="fixed"/>
        <w:tblInd w:w="73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Treasurer</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(973) 496-7312</w:t>
            </w:r>
          </w:p>
        </w:tc>
      </w:t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(973) 496-5852</w:t>
            </w:r>
          </w:p>
        </w:tc>
      </w:tr>
    </w:tbl>
    <w:p>
      <w:pPr>
        <w:spacing w:after="0" w:line="19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LESSEE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1 Campus Drive</w:t>
      </w:r>
    </w:p>
    <w:p>
      <w:pPr>
        <w:spacing w:after="0" w:line="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6" w:lineRule="exact"/>
        <w:rPr>
          <w:sz w:val="20"/>
          <w:szCs w:val="20"/>
          <w:color w:val="auto"/>
        </w:rPr>
      </w:pPr>
    </w:p>
    <w:tbl>
      <w:tblPr>
        <w:tblLayout w:type="fixed"/>
        <w:tblInd w:w="73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Treasurer</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(973) 496-5285</w:t>
            </w:r>
          </w:p>
        </w:tc>
      </w:t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(973) 496-5852</w:t>
            </w:r>
          </w:p>
        </w:tc>
      </w:tr>
    </w:tbl>
    <w:p>
      <w:pPr>
        <w:spacing w:after="0" w:line="19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1560 Broadway, Suite 1700</w:t>
      </w:r>
    </w:p>
    <w:p>
      <w:pPr>
        <w:spacing w:after="0" w:line="2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9" w:lineRule="exact"/>
        <w:rPr>
          <w:sz w:val="20"/>
          <w:szCs w:val="20"/>
          <w:color w:val="auto"/>
        </w:rPr>
      </w:pPr>
    </w:p>
    <w:p>
      <w:pPr>
        <w:ind w:left="7360"/>
        <w:spacing w:after="0"/>
        <w:tabs>
          <w:tab w:leader="none" w:pos="83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Fax:</w:t>
      </w:r>
    </w:p>
    <w:p>
      <w:pPr>
        <w:sectPr>
          <w:pgSz w:w="11900" w:h="16838" w:orient="portrait"/>
          <w:cols w:equalWidth="0" w:num="1">
            <w:col w:w="11240"/>
          </w:cols>
          <w:pgMar w:left="240" w:top="272" w:right="419" w:bottom="1440" w:gutter="0" w:footer="0" w:header="0"/>
        </w:sectPr>
      </w:pPr>
    </w:p>
    <w:bookmarkStart w:id="149" w:name="page150"/>
    <w:bookmarkEnd w:id="149"/>
    <w:p>
      <w:pPr>
        <w:ind w:left="56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AVIS BUDGET CAR RENTAL, LLC</w:t>
      </w: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3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One Campus Drive</w:t>
      </w:r>
    </w:p>
    <w:p>
      <w:pPr>
        <w:spacing w:after="0" w:line="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6" w:lineRule="exact"/>
        <w:rPr>
          <w:sz w:val="20"/>
          <w:szCs w:val="20"/>
          <w:color w:val="auto"/>
        </w:rPr>
      </w:pPr>
    </w:p>
    <w:tbl>
      <w:tblPr>
        <w:tblLayout w:type="fixed"/>
        <w:tblInd w:w="61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Treasurer</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(973) 496-7312</w:t>
            </w:r>
          </w:p>
        </w:tc>
      </w:t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(973) 496-5852</w:t>
            </w:r>
          </w:p>
        </w:tc>
      </w:tr>
    </w:tbl>
    <w:p>
      <w:pPr>
        <w:sectPr>
          <w:pgSz w:w="11900" w:h="16838" w:orient="portrait"/>
          <w:cols w:equalWidth="0" w:num="1">
            <w:col w:w="9019"/>
          </w:cols>
          <w:pgMar w:left="1440" w:top="274"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10.41(b)</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CONFORMED COPY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BASE INDENTURE</w:t>
      </w:r>
    </w:p>
    <w:p>
      <w:pPr>
        <w:spacing w:after="0" w:line="157" w:lineRule="exact"/>
        <w:rPr>
          <w:sz w:val="20"/>
          <w:szCs w:val="20"/>
          <w:color w:val="auto"/>
        </w:rPr>
      </w:pPr>
    </w:p>
    <w:p>
      <w:pPr>
        <w:ind w:right="100" w:firstLine="913"/>
        <w:spacing w:after="0" w:line="342"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AMENDMENT NO. 2 TO THE BASE INDENTURE</w:t>
      </w:r>
      <w:r>
        <w:rPr>
          <w:rFonts w:ascii="Times New Roman" w:cs="Times New Roman" w:eastAsia="Times New Roman" w:hAnsi="Times New Roman"/>
          <w:sz w:val="16"/>
          <w:szCs w:val="16"/>
          <w:color w:val="auto"/>
        </w:rPr>
        <w:t>, dated as of February 15, 2008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between Centre Point Funding, LLC (f/k/a Budget Truck Funding, LLC), as issuer (“</w:t>
      </w:r>
      <w:r>
        <w:rPr>
          <w:rFonts w:ascii="Times New Roman" w:cs="Times New Roman" w:eastAsia="Times New Roman" w:hAnsi="Times New Roman"/>
          <w:sz w:val="16"/>
          <w:szCs w:val="16"/>
          <w:u w:val="single" w:color="auto"/>
          <w:color w:val="auto"/>
        </w:rPr>
        <w:t>BTF</w:t>
      </w:r>
      <w:r>
        <w:rPr>
          <w:rFonts w:ascii="Times New Roman" w:cs="Times New Roman" w:eastAsia="Times New Roman" w:hAnsi="Times New Roman"/>
          <w:sz w:val="16"/>
          <w:szCs w:val="16"/>
          <w:color w:val="auto"/>
        </w:rPr>
        <w:t>”) and The Bank of New York Trust Company, N.A., in its capacity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1"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BTF and the Trustee entered into that certain Base Indenture dated as of May 11, 2006, as amended by that certain Amendment No. 1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Indenture, dated as of May 16, 2007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wish to amend the Base Indenture as provided herein;</w:t>
      </w:r>
    </w:p>
    <w:p>
      <w:pPr>
        <w:spacing w:after="0" w:line="171"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the requirements of Section 12.1 of the Base Indenture, the Requisite Investors or each affected Noteholder, as required,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consented in writing to the amendments effected by the Amendment; and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been duly authorized by all necessary limited liability company action on the part of BTF;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premises and the agreements, provisions and covenants herein contained, the parties hereto agree as follows:</w:t>
      </w:r>
    </w:p>
    <w:p>
      <w:pPr>
        <w:spacing w:after="0" w:line="3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1"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Terms Defined in Base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in this Amendment not herein defined shall have the meaning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Definitions List attached to the Base Indenture as Annex 1 or as otherwise set forth in the Base Indenture.</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Amendments to Article 3: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3.1(a)(i) is hereby amended and restated in its entirety to read as follows:</w:t>
      </w:r>
    </w:p>
    <w:p>
      <w:pPr>
        <w:spacing w:after="0" w:line="92" w:lineRule="exact"/>
        <w:rPr>
          <w:sz w:val="20"/>
          <w:szCs w:val="20"/>
          <w:color w:val="auto"/>
        </w:rPr>
      </w:pPr>
    </w:p>
    <w:p>
      <w:pPr>
        <w:ind w:right="340" w:firstLine="913"/>
        <w:spacing w:after="0" w:line="262" w:lineRule="auto"/>
        <w:rPr>
          <w:sz w:val="20"/>
          <w:szCs w:val="20"/>
          <w:color w:val="auto"/>
        </w:rPr>
      </w:pPr>
      <w:r>
        <w:rPr>
          <w:rFonts w:ascii="Times New Roman" w:cs="Times New Roman" w:eastAsia="Times New Roman" w:hAnsi="Times New Roman"/>
          <w:sz w:val="18"/>
          <w:szCs w:val="18"/>
          <w:color w:val="auto"/>
        </w:rPr>
        <w:t>“(i) the BTF Lease, any Sublease and any other agreements related to the BTF Trucks to which BTF is a party or in which BTF otherwise has an interest (collectively, the “</w:t>
      </w:r>
      <w:r>
        <w:rPr>
          <w:rFonts w:ascii="Times New Roman" w:cs="Times New Roman" w:eastAsia="Times New Roman" w:hAnsi="Times New Roman"/>
          <w:sz w:val="18"/>
          <w:szCs w:val="18"/>
          <w:u w:val="single" w:color="auto"/>
          <w:color w:val="auto"/>
        </w:rPr>
        <w:t>BTF Agreements</w:t>
      </w:r>
      <w:r>
        <w:rPr>
          <w:rFonts w:ascii="Times New Roman" w:cs="Times New Roman" w:eastAsia="Times New Roman" w:hAnsi="Times New Roman"/>
          <w:sz w:val="18"/>
          <w:szCs w:val="18"/>
          <w:color w:val="auto"/>
        </w:rPr>
        <w:t>”), including, without limitation, all monies due and to become due to BTF under or in connection with the BTF Agreements, whether payable as rent, fees, expenses, costs,</w:t>
      </w:r>
    </w:p>
    <w:p>
      <w:pPr>
        <w:sectPr>
          <w:pgSz w:w="11900" w:h="16838" w:orient="portrait"/>
          <w:cols w:equalWidth="0" w:num="1">
            <w:col w:w="11420"/>
          </w:cols>
          <w:pgMar w:left="240" w:top="123" w:right="239" w:bottom="1440" w:gutter="0" w:footer="0" w:header="0"/>
        </w:sectPr>
      </w:pPr>
    </w:p>
    <w:bookmarkStart w:id="151" w:name="page152"/>
    <w:bookmarkEnd w:id="151"/>
    <w:p>
      <w:pPr>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indemnities, insurance recoveries, damages for the breach of the BTF Agreements or otherwise, all security for amounts payable thereunder and all rights, remedies, powers, privileges and claims of BTF against any other party under or with respect to the BTF Agreements (whether arising pursuant to the terms of the BTF Agreements or otherwise available to BTF at law or in equity), the right to enforce the BTF Agreements and to give or withhold any and all consents, requests, notices, directions, approvals, extensions or waivers under or with respect to the BTF Agreements or the obligations of any party thereunder;”</w:t>
      </w:r>
    </w:p>
    <w:p>
      <w:pPr>
        <w:spacing w:after="0" w:line="101" w:lineRule="exact"/>
        <w:rPr>
          <w:sz w:val="20"/>
          <w:szCs w:val="20"/>
          <w:color w:val="auto"/>
        </w:rPr>
      </w:pPr>
    </w:p>
    <w:p>
      <w:pPr>
        <w:ind w:right="5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Amendments to Article 7: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7.14(d) is hereby amended and restated in its entirety to read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 BTF’s legal name is Centre Point Funding, LLC and its location within the meaning of Section 9-307 of the applicable UCC is the State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Amendments to Article 8: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8.20 is amended and restated in its entirety to read as follows:</w:t>
      </w:r>
    </w:p>
    <w:p>
      <w:pPr>
        <w:spacing w:after="0" w:line="92"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“BTF will neither change its location (within the meaning of Section 9-301 of the applicable UCC) or its legal name without at least 30 days’ (or such shorter time as agreed to in writing by the Trustee upon the written consent of the Required Noteholders of each Series of Notes Outstanding at such time) prior written notice to the Trustee. In the event that BTF desires to so change its location or change its legal name, prior to actually changing its location or its legal name, BTF shall deliver to the Trustee an Officer’s Certificate of BTF and an Opinion of Counsel confirming that the filings to be made by BTF shall continue the perfected interest of the Trustee on behalf of the Secured Parties in the Collateral in respect of the new location or new legal name of BTF. BTF shall make all such filings and deliver to the Trustee copies of all such required filings with the filing information duly noted thereon by the office in which such filings were made within five (5) Business Days after changing its location or its legal name.”</w:t>
      </w:r>
    </w:p>
    <w:p>
      <w:pPr>
        <w:spacing w:after="0" w:line="139"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Amendments to Article 12: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12.1(iii) of the Base Indenture is hereby amended and restated in its entirety to read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37" w:lineRule="exact"/>
        <w:rPr>
          <w:sz w:val="20"/>
          <w:szCs w:val="20"/>
          <w:color w:val="auto"/>
        </w:rPr>
      </w:pPr>
    </w:p>
    <w:p>
      <w:pPr>
        <w:ind w:right="2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“(iii) the Eligible Truck Appendix may be amended and/or supplemented from time to time by BTF without any approval or consent of any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Eligible Truck Appendix is subject to (i) the calculation of the Termination Value Curve for each newly-added Truck, as determined by Deutsche Bank Securities, Inc., (which Termination Value Curve shall be subject to the consent of BTF), (ii) as applicable, the calculation of the credit enhancement percentages for each newly-added Truck, as determined by the Required Noteholders for each outstanding Series of Notes (which enhancement percentages shall be subject to the consent of BTF) and (iii) the prior written consent of Moody’s.”</w:t>
      </w:r>
    </w:p>
    <w:p>
      <w:pPr>
        <w:spacing w:after="0" w:line="137"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Amendments to Article 13: 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13.1(a) is hereby amended by replacing the words “Budget Truck Funding, LLC”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address for BTF with the words “Centre Point Funding, LLC”.</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3" w:right="259"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2.6. </w:t>
      </w:r>
      <w:r>
        <w:rPr>
          <w:rFonts w:ascii="Times New Roman" w:cs="Times New Roman" w:eastAsia="Times New Roman" w:hAnsi="Times New Roman"/>
          <w:sz w:val="18"/>
          <w:szCs w:val="18"/>
          <w:b w:val="1"/>
          <w:bCs w:val="1"/>
          <w:u w:val="single" w:color="auto"/>
          <w:color w:val="auto"/>
        </w:rPr>
        <w:t>Amendments to Annex 1: Definitions List</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920" w:right="1920" w:firstLine="1"/>
        <w:spacing w:after="0" w:line="369" w:lineRule="auto"/>
        <w:tabs>
          <w:tab w:leader="none" w:pos="11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1 to the Base Indenture is hereby amended to add the following defined terms in appropriate alphabetical order: “</w:t>
      </w:r>
      <w:r>
        <w:rPr>
          <w:rFonts w:ascii="Times New Roman" w:cs="Times New Roman" w:eastAsia="Times New Roman" w:hAnsi="Times New Roman"/>
          <w:sz w:val="18"/>
          <w:szCs w:val="18"/>
          <w:u w:val="single" w:color="auto"/>
          <w:color w:val="auto"/>
        </w:rPr>
        <w:t>ACRG</w:t>
      </w:r>
      <w:r>
        <w:rPr>
          <w:rFonts w:ascii="Times New Roman" w:cs="Times New Roman" w:eastAsia="Times New Roman" w:hAnsi="Times New Roman"/>
          <w:sz w:val="18"/>
          <w:szCs w:val="18"/>
          <w:color w:val="auto"/>
        </w:rPr>
        <w:t>” means Avis Car Rental Group, LLC, a Delaware limited liability company.</w:t>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BRACS</w:t>
      </w:r>
      <w:r>
        <w:rPr>
          <w:rFonts w:ascii="Times New Roman" w:cs="Times New Roman" w:eastAsia="Times New Roman" w:hAnsi="Times New Roman"/>
          <w:sz w:val="18"/>
          <w:szCs w:val="18"/>
          <w:color w:val="auto"/>
        </w:rPr>
        <w:t>” means Budget Rent A Car System, Inc., a Delaware corporation.</w:t>
      </w:r>
    </w:p>
    <w:p>
      <w:pPr>
        <w:spacing w:after="0" w:line="171" w:lineRule="exact"/>
        <w:rPr>
          <w:sz w:val="20"/>
          <w:szCs w:val="20"/>
          <w:color w:val="auto"/>
        </w:rPr>
      </w:pPr>
    </w:p>
    <w:p>
      <w:pPr>
        <w:jc w:val="both"/>
        <w:ind w:right="500" w:firstLine="91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Sublessee</w:t>
      </w:r>
      <w:r>
        <w:rPr>
          <w:rFonts w:ascii="Times New Roman" w:cs="Times New Roman" w:eastAsia="Times New Roman" w:hAnsi="Times New Roman"/>
          <w:sz w:val="18"/>
          <w:szCs w:val="18"/>
          <w:color w:val="auto"/>
        </w:rPr>
        <w:t xml:space="preserve">” means each of ACRG and BRACS and any other Person that becomes a sublessee under a Sublease in accordance with Section 7 of the BTF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ACRG, BRACS and any such other Person shall only be a “Permitted Sublessee” so long as it remains a wholly-owned subsidiary of the Guarantor.</w:t>
      </w:r>
    </w:p>
    <w:p>
      <w:pPr>
        <w:spacing w:after="0" w:line="132" w:lineRule="exact"/>
        <w:rPr>
          <w:sz w:val="20"/>
          <w:szCs w:val="20"/>
          <w:color w:val="auto"/>
        </w:rPr>
      </w:pPr>
    </w:p>
    <w:p>
      <w:pPr>
        <w:ind w:right="40" w:firstLine="913"/>
        <w:spacing w:after="0" w:line="3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Sublease</w:t>
      </w:r>
      <w:r>
        <w:rPr>
          <w:rFonts w:ascii="Times New Roman" w:cs="Times New Roman" w:eastAsia="Times New Roman" w:hAnsi="Times New Roman"/>
          <w:sz w:val="16"/>
          <w:szCs w:val="16"/>
          <w:color w:val="auto"/>
        </w:rPr>
        <w:t>” means any sublease entered into between the Lessee and any Permitted Sublessee pursuant to Section 7 of the BTF Lease and any and all other contracts, agreements, guarantees, insurance, warranties, instruments or certificates entered into or delivered to the Lessee in connection therewith.</w:t>
      </w:r>
    </w:p>
    <w:p>
      <w:pPr>
        <w:spacing w:after="0" w:line="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 The defined term “</w:t>
      </w:r>
      <w:r>
        <w:rPr>
          <w:rFonts w:ascii="Times New Roman" w:cs="Times New Roman" w:eastAsia="Times New Roman" w:hAnsi="Times New Roman"/>
          <w:sz w:val="18"/>
          <w:szCs w:val="18"/>
          <w:u w:val="single" w:color="auto"/>
          <w:color w:val="auto"/>
        </w:rPr>
        <w:t>BTF</w:t>
      </w:r>
      <w:r>
        <w:rPr>
          <w:rFonts w:ascii="Times New Roman" w:cs="Times New Roman" w:eastAsia="Times New Roman" w:hAnsi="Times New Roman"/>
          <w:sz w:val="18"/>
          <w:szCs w:val="18"/>
          <w:color w:val="auto"/>
        </w:rPr>
        <w:t>” contained in Annex 1 is hereby amended and restated in its entirety to read as follows:</w:t>
      </w:r>
    </w:p>
    <w:p>
      <w:pPr>
        <w:spacing w:after="0" w:line="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BTF</w:t>
      </w:r>
      <w:r>
        <w:rPr>
          <w:rFonts w:ascii="Times New Roman" w:cs="Times New Roman" w:eastAsia="Times New Roman" w:hAnsi="Times New Roman"/>
          <w:sz w:val="18"/>
          <w:szCs w:val="18"/>
          <w:color w:val="auto"/>
        </w:rPr>
        <w:t>” means Centre Point Funding, LLC (f/k/a Budget Truck Funding, LLC), a Delaware limited liability company and its successors.</w:t>
      </w:r>
    </w:p>
    <w:p>
      <w:pPr>
        <w:spacing w:after="0" w:line="169"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Amendments to Schedule I: Termination Value Curve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I to the Base Indenture is hereby amended and restated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by the replacement thereof with the Schedule I attached as Annex A hereto.</w:t>
      </w:r>
    </w:p>
    <w:p>
      <w:pPr>
        <w:spacing w:after="0" w:line="2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Effect of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this Amendment shall not by implication or otherwise limit, impair,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or otherwise affect the rights and remedies of any of the parties hereto under the Base Indenture, nor alter, modify, amend or in any way affect any of the terms, conditions, obligations, covenants or agreements contained in the Base Indenture, all of which are hereby ratified and affirmed in all respects by each of the parties hereto and shall continue in full force and effect. This Amendment shall apply and be effective only with respect to the provisions of the Base Indenture specifically referred to herein, and any references in the Base Indenture to the provisions of the Base Indenture specifically referred to herein shall be to such provisions as amended by this Amendment.</w:t>
      </w:r>
    </w:p>
    <w:p>
      <w:pPr>
        <w:spacing w:after="0" w:line="139"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Condition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as of the date hereof only upon receipt by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Series 2006-1 Supplement to the Base Indenture, dated as of May 11, 2006, as amended by that certain Amendment No. 1 to Series 2006-1 Supplement, dated as of May 16, 2007 (the “</w:t>
      </w:r>
      <w:r>
        <w:rPr>
          <w:rFonts w:ascii="Times New Roman" w:cs="Times New Roman" w:eastAsia="Times New Roman" w:hAnsi="Times New Roman"/>
          <w:sz w:val="18"/>
          <w:szCs w:val="18"/>
          <w:u w:val="single" w:color="auto"/>
          <w:color w:val="auto"/>
        </w:rPr>
        <w:t>Series 2006-1 Supplement</w:t>
      </w:r>
      <w:r>
        <w:rPr>
          <w:rFonts w:ascii="Times New Roman" w:cs="Times New Roman" w:eastAsia="Times New Roman" w:hAnsi="Times New Roman"/>
          <w:sz w:val="18"/>
          <w:szCs w:val="18"/>
          <w:color w:val="auto"/>
        </w:rPr>
        <w:t>”) of written confirmation from Moody’s that the Series 2006-1 Notes (as defined in the Series 2006-1 Supplement) are publicly rated at least “A3” by Moody’s after giving effect to the amendments contemplated by this Amendment.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153" w:name="page154"/>
    <w:bookmarkEnd w:id="153"/>
    <w:p>
      <w:pPr>
        <w:ind w:right="2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3.3.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hereto waives any prior notice and any notice period that may be required by any other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in connection with the execution of this Amendment.</w:t>
      </w:r>
    </w:p>
    <w:p>
      <w:pPr>
        <w:spacing w:after="0" w:line="116" w:lineRule="exact"/>
        <w:rPr>
          <w:sz w:val="20"/>
          <w:szCs w:val="20"/>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the parties hereto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w:t>
      </w:r>
    </w:p>
    <w:p>
      <w:pPr>
        <w:spacing w:after="0" w:line="116" w:lineRule="exact"/>
        <w:rPr>
          <w:sz w:val="20"/>
          <w:szCs w:val="20"/>
          <w:color w:val="auto"/>
        </w:rPr>
      </w:pPr>
    </w:p>
    <w:p>
      <w:pPr>
        <w:ind w:right="26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Section 3.5.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b w:val="1"/>
          <w:bCs w:val="1"/>
          <w:color w:val="auto"/>
        </w:rPr>
        <w:t>. THIS AMENDMENT SHALL BE CONSTRUED IN ACCORDANCE WITH THE LAWS OF THE STATE OF NEW YORK (WITHOUT GIVING EFFECT TO THE PROVISIONS THEREOF REGARDING CONFLICTS OF LAWS), AND THE OBLIGATIONS, RIGHTS AND REMEDIES OF THE PARTIES HERETO SHALL BE DETERMINED IN ACCORDANCE WITH SUCH LAWS.</w:t>
      </w:r>
    </w:p>
    <w:p>
      <w:pPr>
        <w:spacing w:after="0" w:line="93" w:lineRule="exact"/>
        <w:rPr>
          <w:sz w:val="20"/>
          <w:szCs w:val="20"/>
          <w:color w:val="auto"/>
        </w:rPr>
      </w:pPr>
    </w:p>
    <w:p>
      <w:pPr>
        <w:ind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Section 3.6. </w:t>
      </w: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may be executed in any number of counterparts and by different parties herein in separate counterparts,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when executed and delivered shall be deemed to be an original and all of which taken together shall constitute but one and the same agreement.</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272" w:right="319" w:bottom="1440" w:gutter="0" w:footer="0" w:header="0"/>
        </w:sectPr>
      </w:pPr>
    </w:p>
    <w:bookmarkStart w:id="154" w:name="page155"/>
    <w:bookmarkEnd w:id="154"/>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Amendment to be duly executed by their respective officers thereunto duly authorized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5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CENTRE POINT FUNDING, LLC, as Issuer</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Ferraro</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Joe Ferraro</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Truck Operations</w:t>
            </w:r>
          </w:p>
        </w:tc>
      </w:tr>
    </w:tbl>
    <w:p>
      <w:pPr>
        <w:spacing w:after="0" w:line="18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THE BANK OF NEW YORK TRUST COMPANY, N.A., as</w:t>
      </w:r>
    </w:p>
    <w:p>
      <w:pPr>
        <w:spacing w:after="0" w:line="2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1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Marian Onischak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Marian Onischak</w:t>
      </w:r>
    </w:p>
    <w:p>
      <w:pPr>
        <w:spacing w:after="0" w:line="2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272" w:right="2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10.42(c)</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CONFORMED COPY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SERIES 2006-1 SUPPLEMENT</w:t>
      </w:r>
    </w:p>
    <w:p>
      <w:pPr>
        <w:spacing w:after="0" w:line="157" w:lineRule="exact"/>
        <w:rPr>
          <w:sz w:val="20"/>
          <w:szCs w:val="20"/>
          <w:color w:val="auto"/>
        </w:rPr>
      </w:pPr>
    </w:p>
    <w:p>
      <w:pPr>
        <w:ind w:right="100" w:firstLine="913"/>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2 TO SERIES 2006-1 SUPPLEMENT</w:t>
      </w:r>
      <w:r>
        <w:rPr>
          <w:rFonts w:ascii="Times New Roman" w:cs="Times New Roman" w:eastAsia="Times New Roman" w:hAnsi="Times New Roman"/>
          <w:sz w:val="18"/>
          <w:szCs w:val="18"/>
          <w:color w:val="auto"/>
        </w:rPr>
        <w:t>, dated as of February 15, 2008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between Centre Point Funding, LLC (f/k/a Budget Truck Funding, LLC) (“</w:t>
      </w:r>
      <w:r>
        <w:rPr>
          <w:rFonts w:ascii="Times New Roman" w:cs="Times New Roman" w:eastAsia="Times New Roman" w:hAnsi="Times New Roman"/>
          <w:sz w:val="18"/>
          <w:szCs w:val="18"/>
          <w:u w:val="single" w:color="auto"/>
          <w:color w:val="auto"/>
        </w:rPr>
        <w:t>BTF</w:t>
      </w:r>
      <w:r>
        <w:rPr>
          <w:rFonts w:ascii="Times New Roman" w:cs="Times New Roman" w:eastAsia="Times New Roman" w:hAnsi="Times New Roman"/>
          <w:sz w:val="18"/>
          <w:szCs w:val="18"/>
          <w:color w:val="auto"/>
        </w:rPr>
        <w:t>”), Deutsche Bank Securities, Inc., (“</w:t>
      </w:r>
      <w:r>
        <w:rPr>
          <w:rFonts w:ascii="Times New Roman" w:cs="Times New Roman" w:eastAsia="Times New Roman" w:hAnsi="Times New Roman"/>
          <w:sz w:val="18"/>
          <w:szCs w:val="18"/>
          <w:u w:val="single" w:color="auto"/>
          <w:color w:val="auto"/>
        </w:rPr>
        <w:t>DBSI</w:t>
      </w:r>
      <w:r>
        <w:rPr>
          <w:rFonts w:ascii="Times New Roman" w:cs="Times New Roman" w:eastAsia="Times New Roman" w:hAnsi="Times New Roman"/>
          <w:sz w:val="18"/>
          <w:szCs w:val="18"/>
          <w:color w:val="auto"/>
        </w:rPr>
        <w:t>”), Riverside Funding LLC (“</w:t>
      </w:r>
      <w:r>
        <w:rPr>
          <w:rFonts w:ascii="Times New Roman" w:cs="Times New Roman" w:eastAsia="Times New Roman" w:hAnsi="Times New Roman"/>
          <w:sz w:val="18"/>
          <w:szCs w:val="18"/>
          <w:u w:val="single" w:color="auto"/>
          <w:color w:val="auto"/>
        </w:rPr>
        <w:t>Riverside Funding</w:t>
      </w:r>
      <w:r>
        <w:rPr>
          <w:rFonts w:ascii="Times New Roman" w:cs="Times New Roman" w:eastAsia="Times New Roman" w:hAnsi="Times New Roman"/>
          <w:sz w:val="18"/>
          <w:szCs w:val="18"/>
          <w:color w:val="auto"/>
        </w:rPr>
        <w:t>”), Deutsche Bank AG, New York Branch (“</w:t>
      </w:r>
      <w:r>
        <w:rPr>
          <w:rFonts w:ascii="Times New Roman" w:cs="Times New Roman" w:eastAsia="Times New Roman" w:hAnsi="Times New Roman"/>
          <w:sz w:val="18"/>
          <w:szCs w:val="18"/>
          <w:u w:val="single" w:color="auto"/>
          <w:color w:val="auto"/>
        </w:rPr>
        <w:t>DBAG</w:t>
      </w:r>
      <w:r>
        <w:rPr>
          <w:rFonts w:ascii="Times New Roman" w:cs="Times New Roman" w:eastAsia="Times New Roman" w:hAnsi="Times New Roman"/>
          <w:sz w:val="18"/>
          <w:szCs w:val="18"/>
          <w:color w:val="auto"/>
        </w:rPr>
        <w:t>”), Sheffield Receivables Corporation (“</w:t>
      </w:r>
      <w:r>
        <w:rPr>
          <w:rFonts w:ascii="Times New Roman" w:cs="Times New Roman" w:eastAsia="Times New Roman" w:hAnsi="Times New Roman"/>
          <w:sz w:val="18"/>
          <w:szCs w:val="18"/>
          <w:u w:val="single" w:color="auto"/>
          <w:color w:val="auto"/>
        </w:rPr>
        <w:t>Sheffield</w:t>
      </w:r>
      <w:r>
        <w:rPr>
          <w:rFonts w:ascii="Times New Roman" w:cs="Times New Roman" w:eastAsia="Times New Roman" w:hAnsi="Times New Roman"/>
          <w:sz w:val="18"/>
          <w:szCs w:val="18"/>
          <w:color w:val="auto"/>
        </w:rPr>
        <w:t>”), Barclays Bank PLC (“</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and The Bank of New York Trust Company, N.A., in its capacity as Trustee.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1"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BTF and the Trustee entered into that certain Base Indenture, dated as of May 11, 2006, as amended by that certain Amendment No. 1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Indenture, dated as of May 16, 2007, and as further amended by that certain Amendment No. 2 to the Base Indenture, dated as of the date hereof (as the same may be further amended, modified, supplemented or amended and restated in accordance with its terms,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right="14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parties hereto and Budget Truck Rental, LLC as administrator, entered into that certain Series 2006-1 Supplement to the Base Indenture,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dated as of May 11, 2006, as amended by that certain Amendment No. 1 to Series 2006-1 Supplement, dated as of May 16, 2007 (the “</w:t>
      </w:r>
      <w:r>
        <w:rPr>
          <w:rFonts w:ascii="Times New Roman" w:cs="Times New Roman" w:eastAsia="Times New Roman" w:hAnsi="Times New Roman"/>
          <w:sz w:val="16"/>
          <w:szCs w:val="16"/>
          <w:u w:val="single" w:color="auto"/>
          <w:color w:val="auto"/>
        </w:rPr>
        <w:t>Series Supplement</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wish to amend the Series Supplement as provided herein;</w:t>
      </w:r>
    </w:p>
    <w:p>
      <w:pPr>
        <w:spacing w:after="0" w:line="171"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Section 10.11 of the Series Supplement, the Series Supplement may be modified or amended in accordance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12.1 of the Base Indenture, and pursuant thereto the Requisite Investors or each affected Noteholder, as required, have consented in writing to the amendments effected by the Amendment; and</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Amendment has been duly authorized by all necessary limited liability company action on the part of BTF;</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premises and the agreements, provisions and covenants herein contained, the parties hereto agree as follows: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1"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Terms Defined in Series Supplement or Base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in this Amendment not herein defined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contained in the Series Supplement and, if not defined therein, in the Definitions List attached to the Base Indenture as Annex 1 or as otherwise set forth in the Base Indenture.</w:t>
      </w:r>
    </w:p>
    <w:p>
      <w:pPr>
        <w:sectPr>
          <w:pgSz w:w="11900" w:h="16838" w:orient="portrait"/>
          <w:cols w:equalWidth="0" w:num="1">
            <w:col w:w="11420"/>
          </w:cols>
          <w:pgMar w:left="240" w:top="123" w:right="239" w:bottom="1440" w:gutter="0" w:footer="0" w:header="0"/>
        </w:sectPr>
      </w:pPr>
    </w:p>
    <w:bookmarkStart w:id="156" w:name="page157"/>
    <w:bookmarkEnd w:id="156"/>
    <w:p>
      <w:pPr>
        <w:ind w:left="5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Amendments to Article I—Definitions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20" w:right="180" w:firstLine="464"/>
        <w:spacing w:after="0" w:line="275" w:lineRule="auto"/>
        <w:tabs>
          <w:tab w:leader="none" w:pos="6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“Series 2006-1 Required Enhancement Percentage” set forth in Article I of the Series Supplement is hereby amended and restated in its entirety to read as follows:</w:t>
      </w:r>
    </w:p>
    <w:p>
      <w:pPr>
        <w:spacing w:after="0" w:line="39" w:lineRule="exact"/>
        <w:rPr>
          <w:sz w:val="20"/>
          <w:szCs w:val="20"/>
          <w:color w:val="auto"/>
        </w:rPr>
      </w:pPr>
    </w:p>
    <w:p>
      <w:pPr>
        <w:ind w:left="440" w:right="80" w:firstLine="657"/>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2006-1 Required Enhancement Percentage</w:t>
      </w:r>
      <w:r>
        <w:rPr>
          <w:rFonts w:ascii="Times New Roman" w:cs="Times New Roman" w:eastAsia="Times New Roman" w:hAnsi="Times New Roman"/>
          <w:sz w:val="16"/>
          <w:szCs w:val="16"/>
          <w:color w:val="auto"/>
        </w:rPr>
        <w:t xml:space="preserve">” means, as of any date of determination, the sum of (a) the product of (i) the 10’ GMC Savana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10’ GMC Savana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the product of (i) the 16’ GMC Savana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16’ GMC Savana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(c) the product of (i) the 24’ GMC TC7500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24’ GMC TC7500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(d) the product of (i) the 16’ Ford E350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16’ Ford E350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(e) the product of (i) the 24’ Int’l 4200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24’ Int’l 4200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(f) the product of (i) the Ford E250 Extended Cargo Van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Ford E250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(g) the product of</w:t>
      </w:r>
    </w:p>
    <w:p>
      <w:pPr>
        <w:spacing w:after="0" w:line="1" w:lineRule="exact"/>
        <w:rPr>
          <w:sz w:val="20"/>
          <w:szCs w:val="20"/>
          <w:color w:val="auto"/>
        </w:rPr>
      </w:pPr>
    </w:p>
    <w:p>
      <w:pPr>
        <w:ind w:left="660" w:hanging="216"/>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16’ Ford LCF Percentage as of such date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Required 16’ Ford LCF Enhancement Percentage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(h) the product of</w:t>
      </w:r>
    </w:p>
    <w:p>
      <w:pPr>
        <w:spacing w:after="0" w:line="9" w:lineRule="exact"/>
        <w:rPr>
          <w:rFonts w:ascii="Times New Roman" w:cs="Times New Roman" w:eastAsia="Times New Roman" w:hAnsi="Times New Roman"/>
          <w:sz w:val="18"/>
          <w:szCs w:val="18"/>
          <w:color w:val="auto"/>
        </w:rPr>
      </w:pPr>
    </w:p>
    <w:p>
      <w:pPr>
        <w:ind w:left="660" w:hanging="216"/>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16’ Int’l CF500 Percentage as of such date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Required 16’ Int’l CF500 Enhancement Percentage as of such date.</w:t>
      </w:r>
    </w:p>
    <w:p>
      <w:pPr>
        <w:spacing w:after="0" w:line="159" w:lineRule="exact"/>
        <w:rPr>
          <w:sz w:val="20"/>
          <w:szCs w:val="20"/>
          <w:color w:val="auto"/>
        </w:rPr>
      </w:pPr>
    </w:p>
    <w:p>
      <w:pPr>
        <w:ind w:left="-20" w:right="440" w:firstLine="464"/>
        <w:spacing w:after="0" w:line="275"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“Series 2006-1 Required Liquid Enhancement Percentage” set forth in Article I of the Series Supplement is hereby amended and restated in its entirety to read as follows:</w:t>
      </w:r>
    </w:p>
    <w:p>
      <w:pPr>
        <w:spacing w:after="0" w:line="39" w:lineRule="exact"/>
        <w:rPr>
          <w:sz w:val="20"/>
          <w:szCs w:val="20"/>
          <w:color w:val="auto"/>
        </w:rPr>
      </w:pPr>
    </w:p>
    <w:p>
      <w:pPr>
        <w:jc w:val="both"/>
        <w:ind w:left="440" w:right="100" w:firstLine="657"/>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2006-1 Required Liquid Enhancement Percentage</w:t>
      </w:r>
      <w:r>
        <w:rPr>
          <w:rFonts w:ascii="Times New Roman" w:cs="Times New Roman" w:eastAsia="Times New Roman" w:hAnsi="Times New Roman"/>
          <w:sz w:val="16"/>
          <w:szCs w:val="16"/>
          <w:color w:val="auto"/>
        </w:rPr>
        <w:t xml:space="preserve">” means, as of any date of determination, the sum of (a) the product of (i) the 10’ GMC Savana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10’ GMC Savana Liquid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(b) the product of (i) the 16’ GMC Savana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16’ GMC Savana Liquid Enhancement Percentage as of such date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(c) the product of (i) the 24’ GMC TC7500 Percentage as of such date </w:t>
      </w:r>
      <w:r>
        <w:rPr>
          <w:rFonts w:ascii="Times New Roman" w:cs="Times New Roman" w:eastAsia="Times New Roman" w:hAnsi="Times New Roman"/>
          <w:sz w:val="16"/>
          <w:szCs w:val="16"/>
          <w:u w:val="single" w:color="auto"/>
          <w:color w:val="auto"/>
        </w:rPr>
        <w:t>times</w:t>
      </w:r>
      <w:r>
        <w:rPr>
          <w:rFonts w:ascii="Times New Roman" w:cs="Times New Roman" w:eastAsia="Times New Roman" w:hAnsi="Times New Roman"/>
          <w:sz w:val="16"/>
          <w:szCs w:val="16"/>
          <w:color w:val="auto"/>
        </w:rPr>
        <w:t xml:space="preserve"> (ii) the Required 24’ GMC TC7500 Liquid Enhancement Percentage as of such date </w:t>
      </w:r>
      <w:r>
        <w:rPr>
          <w:rFonts w:ascii="Times New Roman" w:cs="Times New Roman" w:eastAsia="Times New Roman" w:hAnsi="Times New Roman"/>
          <w:sz w:val="16"/>
          <w:szCs w:val="16"/>
          <w:u w:val="single" w:color="auto"/>
          <w:color w:val="auto"/>
        </w:rPr>
        <w:t>plus</w:t>
      </w:r>
    </w:p>
    <w:p>
      <w:pPr>
        <w:spacing w:after="0" w:line="3" w:lineRule="exact"/>
        <w:rPr>
          <w:sz w:val="20"/>
          <w:szCs w:val="20"/>
          <w:color w:val="auto"/>
        </w:rPr>
      </w:pPr>
    </w:p>
    <w:p>
      <w:pPr>
        <w:ind w:left="440" w:firstLine="4"/>
        <w:spacing w:after="0" w:line="252" w:lineRule="auto"/>
        <w:tabs>
          <w:tab w:leader="none" w:pos="6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(i) the 16’ Ford E350 Percentage as of such date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Required 16’ Ford E350 Liquid Enhancement Percentage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the product of (i) the 24’ Int’l 4200 Percentage as of such date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Required 24’ Int’l 4200 Liquid Enhancement Percentage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the product of (i) the Ford E250 Extended Cargo Van Percentage as of such date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Required Ford E250 Extended Cargo Van Liquid Enhancement Percentage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(g) the product of (i) the 16’ Ford LCF Percentage as of such date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Required 16’ Ford LCF Liquid Enhancement Percentage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(h) the product of (i) the 16’ Int’l CF500 Percentage as of such date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Required 16’ Int’l CF500 Liquid Enhancement Percentage as of such date.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60" w:top="272" w:right="239" w:bottom="1440" w:gutter="0" w:footer="0" w:header="0"/>
        </w:sectPr>
      </w:pPr>
    </w:p>
    <w:bookmarkStart w:id="157" w:name="page158"/>
    <w:bookmarkEnd w:id="157"/>
    <w:p>
      <w:pPr>
        <w:ind w:left="-20" w:right="460" w:firstLine="464"/>
        <w:spacing w:after="0" w:line="275" w:lineRule="auto"/>
        <w:tabs>
          <w:tab w:leader="none" w:pos="6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definition of “Series 2006-1 Permitted Principal Amount” set forth in Article I of the Series Supplement is hereby amended and restated in its entirety to read as follows:</w:t>
      </w:r>
    </w:p>
    <w:p>
      <w:pPr>
        <w:spacing w:after="0" w:line="39" w:lineRule="exact"/>
        <w:rPr>
          <w:sz w:val="20"/>
          <w:szCs w:val="20"/>
          <w:color w:val="auto"/>
        </w:rPr>
      </w:pPr>
    </w:p>
    <w:p>
      <w:pPr>
        <w:ind w:left="440" w:right="140" w:firstLine="657"/>
        <w:spacing w:after="0" w:line="31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2006-1 Permitted Principal Amount</w:t>
      </w:r>
      <w:r>
        <w:rPr>
          <w:rFonts w:ascii="Times New Roman" w:cs="Times New Roman" w:eastAsia="Times New Roman" w:hAnsi="Times New Roman"/>
          <w:sz w:val="16"/>
          <w:szCs w:val="16"/>
          <w:color w:val="auto"/>
        </w:rPr>
        <w:t>” means, as of any date of determination, the excess of (a) the result of (i) the Series 2006-1 Borrowing Base as of such date plus (ii) the Series 2006-1 Letter of Credit Amount as of such date plus (iii) the Series 2006-1 Available Reserve Account Amount as of such date minus (iv) the Series 2006-1 Excess Truck Amount over (b) the Series 2006-1 Required Enhancement Amount as of such date.</w:t>
      </w:r>
    </w:p>
    <w:p>
      <w:pPr>
        <w:spacing w:after="0" w:line="97" w:lineRule="exact"/>
        <w:rPr>
          <w:sz w:val="20"/>
          <w:szCs w:val="20"/>
          <w:color w:val="auto"/>
        </w:rPr>
      </w:pPr>
    </w:p>
    <w:p>
      <w:pPr>
        <w:ind w:left="-20" w:right="220" w:firstLine="464"/>
        <w:spacing w:after="0" w:line="275"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“Series 2006-1 Commitment Termination Date” set forth in Article I of the Series Supplement is hereby amended and restated in its entirety to read as follows:</w:t>
      </w:r>
    </w:p>
    <w:p>
      <w:pPr>
        <w:spacing w:after="0" w:line="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2006-1 Commitment Termination Date</w:t>
      </w:r>
      <w:r>
        <w:rPr>
          <w:rFonts w:ascii="Times New Roman" w:cs="Times New Roman" w:eastAsia="Times New Roman" w:hAnsi="Times New Roman"/>
          <w:sz w:val="16"/>
          <w:szCs w:val="16"/>
          <w:color w:val="auto"/>
        </w:rPr>
        <w:t xml:space="preserve">” means the Series 2006-1 Initial Commitment Termination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Series 2006-1</w:t>
      </w:r>
    </w:p>
    <w:p>
      <w:pPr>
        <w:spacing w:after="0" w:line="46" w:lineRule="exact"/>
        <w:rPr>
          <w:sz w:val="20"/>
          <w:szCs w:val="20"/>
          <w:color w:val="auto"/>
        </w:rPr>
      </w:pPr>
    </w:p>
    <w:p>
      <w:pPr>
        <w:ind w:left="440" w:right="40"/>
        <w:spacing w:after="0" w:line="230" w:lineRule="auto"/>
        <w:rPr>
          <w:sz w:val="20"/>
          <w:szCs w:val="20"/>
          <w:color w:val="auto"/>
        </w:rPr>
      </w:pPr>
      <w:r>
        <w:rPr>
          <w:rFonts w:ascii="Times New Roman" w:cs="Times New Roman" w:eastAsia="Times New Roman" w:hAnsi="Times New Roman"/>
          <w:sz w:val="18"/>
          <w:szCs w:val="18"/>
          <w:color w:val="auto"/>
        </w:rPr>
        <w:t>Commitment Termination Date may be extended to the 364th day (or, if the 364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a Series 2006-1 Commitment Termination Date is not a Business Day, the immediately preceding Business Day) following each Series 2006-1 Commitment Termination Date upon (a) the written agreement of the Series 2006-1 Required Noteholders and (b) receipt by the Administrative Agent of written confirmation from Moody’s, dated as of the then-applicable Series 2006-1 Commitment Termination Date, that the Series 2006-1 Notes are publicly rated at least “A3” by Moody’s (or such other rating that the Series 2006-1 Required Noteholders have agreed to in writing) after giving effect to such extension.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Article I of the Series Supplement is hereby amended by adding the following definitions in proper alphabetical sequence:</w:t>
      </w:r>
    </w:p>
    <w:p>
      <w:pPr>
        <w:spacing w:after="0" w:line="90" w:lineRule="exact"/>
        <w:rPr>
          <w:sz w:val="20"/>
          <w:szCs w:val="20"/>
          <w:color w:val="auto"/>
        </w:rPr>
      </w:pPr>
    </w:p>
    <w:p>
      <w:pPr>
        <w:ind w:left="440" w:right="120" w:firstLine="65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Ford E250 Extended Cargo Van Percentage</w:t>
      </w:r>
      <w:r>
        <w:rPr>
          <w:rFonts w:ascii="Times New Roman" w:cs="Times New Roman" w:eastAsia="Times New Roman" w:hAnsi="Times New Roman"/>
          <w:sz w:val="18"/>
          <w:szCs w:val="18"/>
          <w:color w:val="auto"/>
        </w:rPr>
        <w:t>” means, as of any date of determination, the percentage equivalent of a fraction the numerator of which is the Net Book Value of all Eligible Trucks that are Ford E250 Extended Cargo Vans as of such date and the denominator of which is the Net Book Value of all Eligible Trucks as of such date.</w:t>
      </w:r>
    </w:p>
    <w:p>
      <w:pPr>
        <w:spacing w:after="0" w:line="51" w:lineRule="exact"/>
        <w:rPr>
          <w:sz w:val="20"/>
          <w:szCs w:val="20"/>
          <w:color w:val="auto"/>
        </w:rPr>
      </w:pPr>
    </w:p>
    <w:p>
      <w:pPr>
        <w:ind w:left="440" w:right="140" w:firstLine="65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16’ Ford LCF Percentage</w:t>
      </w:r>
      <w:r>
        <w:rPr>
          <w:rFonts w:ascii="Times New Roman" w:cs="Times New Roman" w:eastAsia="Times New Roman" w:hAnsi="Times New Roman"/>
          <w:sz w:val="18"/>
          <w:szCs w:val="18"/>
          <w:color w:val="auto"/>
        </w:rPr>
        <w:t>” means, as of any date of determination, the percentage equivalent of a fraction the numerator of which is the Net Book Value of all Eligible Trucks that are 16’ Ford LCF Trucks as of such date and the denominator of which is the Net Book Value of all Eligible Trucks as of such date.</w:t>
      </w:r>
    </w:p>
    <w:p>
      <w:pPr>
        <w:spacing w:after="0" w:line="51" w:lineRule="exact"/>
        <w:rPr>
          <w:sz w:val="20"/>
          <w:szCs w:val="20"/>
          <w:color w:val="auto"/>
        </w:rPr>
      </w:pPr>
    </w:p>
    <w:p>
      <w:pPr>
        <w:ind w:left="440" w:firstLine="65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16’ Int’l CF500 Percentage</w:t>
      </w:r>
      <w:r>
        <w:rPr>
          <w:rFonts w:ascii="Times New Roman" w:cs="Times New Roman" w:eastAsia="Times New Roman" w:hAnsi="Times New Roman"/>
          <w:sz w:val="18"/>
          <w:szCs w:val="18"/>
          <w:color w:val="auto"/>
        </w:rPr>
        <w:t>” means, as of any date of determination, the percentage equivalent of a fraction the numerator of which is the Net Book Value of all Eligible Trucks that are 16’ Int’l CF500 Trucks as of such date and the denominator of which is the Net Book Value of all Eligible Trucks as of such date.</w:t>
      </w:r>
    </w:p>
    <w:p>
      <w:pPr>
        <w:spacing w:after="0" w:line="51" w:lineRule="exact"/>
        <w:rPr>
          <w:sz w:val="20"/>
          <w:szCs w:val="20"/>
          <w:color w:val="auto"/>
        </w:rPr>
      </w:pPr>
    </w:p>
    <w:p>
      <w:pPr>
        <w:ind w:left="440" w:right="240" w:firstLine="65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Ford E250 Extended Cargo Van Enhancement Percentage</w:t>
      </w:r>
      <w:r>
        <w:rPr>
          <w:rFonts w:ascii="Times New Roman" w:cs="Times New Roman" w:eastAsia="Times New Roman" w:hAnsi="Times New Roman"/>
          <w:sz w:val="18"/>
          <w:szCs w:val="18"/>
          <w:color w:val="auto"/>
        </w:rPr>
        <w:t>” means, as of any date of determination, the sum of (1) the Required Ford E250 Extended Cargo Van Liquid Enhancement Percentage as of such date and (2) the Required Ford E250 Extended Cargo Van OC Enhancement Percentage as of such date.</w:t>
      </w:r>
    </w:p>
    <w:p>
      <w:pPr>
        <w:spacing w:after="0" w:line="51" w:lineRule="exact"/>
        <w:rPr>
          <w:sz w:val="20"/>
          <w:szCs w:val="20"/>
          <w:color w:val="auto"/>
        </w:rPr>
      </w:pPr>
    </w:p>
    <w:p>
      <w:pPr>
        <w:ind w:left="440" w:right="40" w:firstLine="65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Ford E250 Extended Cargo Van Liquid Enhancement Percentage</w:t>
      </w:r>
      <w:r>
        <w:rPr>
          <w:rFonts w:ascii="Times New Roman" w:cs="Times New Roman" w:eastAsia="Times New Roman" w:hAnsi="Times New Roman"/>
          <w:sz w:val="18"/>
          <w:szCs w:val="18"/>
          <w:color w:val="auto"/>
        </w:rPr>
        <w:t>” means, as of any date of determination, the sum, for each Ford E250 Extended Cargo Van that is an Eligible Truck as of such date, of the percentage obtained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60" w:top="274" w:right="239" w:bottom="1440" w:gutter="0" w:footer="0" w:header="0"/>
        </w:sectPr>
      </w:pPr>
    </w:p>
    <w:bookmarkStart w:id="158" w:name="page159"/>
    <w:bookmarkEnd w:id="158"/>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multiplying (i) the Liquid Enhancement Percentage for such Ford E250 Extended Cargo Van as of such date and (ii) the percentage equivalent of a fraction the numerator of which is the Net Book Value of such Ford E250 Extended Cargo Van as of such date and the denominator of which is the Net Book Value of all Eligible Trucks that are Ford E250 Extended Cargo Vans as of such date.</w:t>
      </w:r>
    </w:p>
    <w:p>
      <w:pPr>
        <w:spacing w:after="0" w:line="51" w:lineRule="exact"/>
        <w:rPr>
          <w:sz w:val="20"/>
          <w:szCs w:val="20"/>
          <w:color w:val="auto"/>
        </w:rPr>
      </w:pPr>
    </w:p>
    <w:p>
      <w:pPr>
        <w:ind w:right="40" w:firstLine="65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Ford E250 Extended Cargo Van OC Enhancement Percentage</w:t>
      </w:r>
      <w:r>
        <w:rPr>
          <w:rFonts w:ascii="Times New Roman" w:cs="Times New Roman" w:eastAsia="Times New Roman" w:hAnsi="Times New Roman"/>
          <w:sz w:val="18"/>
          <w:szCs w:val="18"/>
          <w:color w:val="auto"/>
        </w:rPr>
        <w:t>” means, as of any date of determination, the sum, for each Ford E250 Extended Cargo Van that is an Eligible Truck as of such date, of the percentage obtained by multiplying (i) the OC Enhancement Percentage for such Ford E250 Extended Cargo Van as of such date and (ii) the percentage equivalent of a fraction the numerator of which is the Net Book Value of such Ford E250 Extended Cargo Van as of such date and the denominator of which is the Net Book Value of all Eligible Trucks that are Ford E250 Extended Cargo Van as of such date.</w:t>
      </w:r>
    </w:p>
    <w:p>
      <w:pPr>
        <w:spacing w:after="0" w:line="58" w:lineRule="exact"/>
        <w:rPr>
          <w:sz w:val="20"/>
          <w:szCs w:val="20"/>
          <w:color w:val="auto"/>
        </w:rPr>
      </w:pPr>
    </w:p>
    <w:p>
      <w:pPr>
        <w:ind w:right="340" w:firstLine="657"/>
        <w:spacing w:after="0" w:line="3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16’ Ford LCF Truck Enhancement Percentage</w:t>
      </w:r>
      <w:r>
        <w:rPr>
          <w:rFonts w:ascii="Times New Roman" w:cs="Times New Roman" w:eastAsia="Times New Roman" w:hAnsi="Times New Roman"/>
          <w:sz w:val="16"/>
          <w:szCs w:val="16"/>
          <w:color w:val="auto"/>
        </w:rPr>
        <w:t>” means, as of any date of determination, the sum of (1) the Required 16’ Ford LCF Truck Liquid Enhancement Percentage as of such date and (2) the Required 16’ Ford LCF Truck OC Enhancement Percentage as of such date.</w:t>
      </w:r>
    </w:p>
    <w:p>
      <w:pPr>
        <w:spacing w:after="0" w:line="1" w:lineRule="exact"/>
        <w:rPr>
          <w:sz w:val="20"/>
          <w:szCs w:val="20"/>
          <w:color w:val="auto"/>
        </w:rPr>
      </w:pPr>
    </w:p>
    <w:p>
      <w:pPr>
        <w:jc w:val="both"/>
        <w:ind w:right="20" w:firstLine="65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16’ Ford LCF Truck Liquid Enhancement Percentage</w:t>
      </w:r>
      <w:r>
        <w:rPr>
          <w:rFonts w:ascii="Times New Roman" w:cs="Times New Roman" w:eastAsia="Times New Roman" w:hAnsi="Times New Roman"/>
          <w:sz w:val="18"/>
          <w:szCs w:val="18"/>
          <w:color w:val="auto"/>
        </w:rPr>
        <w:t>” means, as of any date of determination, the sum, for each 16’ Ford LCF Truck that is an Eligible Truck as of such date, of the percentage obtained by multiplying (i) the Liquid Enhancement Percentage for such 16’ Ford LCF Truck as of such date and (ii) the percentage equivalent of a fraction the numerator of which is the Net Book Value of such 16’ Ford LCF Truck as of such date and the denominator of which is the Net Book Value of all Eligible Trucks that are 16’ Ford LCF Trucks as of such date.</w:t>
      </w:r>
    </w:p>
    <w:p>
      <w:pPr>
        <w:spacing w:after="0" w:line="55" w:lineRule="exact"/>
        <w:rPr>
          <w:sz w:val="20"/>
          <w:szCs w:val="20"/>
          <w:color w:val="auto"/>
        </w:rPr>
      </w:pPr>
    </w:p>
    <w:p>
      <w:pPr>
        <w:ind w:firstLine="65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16’ Ford LCF Truck OC Enhancement Percentage</w:t>
      </w:r>
      <w:r>
        <w:rPr>
          <w:rFonts w:ascii="Times New Roman" w:cs="Times New Roman" w:eastAsia="Times New Roman" w:hAnsi="Times New Roman"/>
          <w:sz w:val="18"/>
          <w:szCs w:val="18"/>
          <w:color w:val="auto"/>
        </w:rPr>
        <w:t>” means, as of any date of determination, the sum, for each 16’ Ford LCF Truck that is an Eligible Truck as of such date, of the percentage obtained by multiplying (i) the OC Enhancement Percentage for such 16’ Ford LCF Truck as of such date and (ii) the percentage equivalent of a fraction the numerator of which is the Net Book Value of such 16’ Ford LCF Truck as of such date and the denominator of which is the Net Book Value of all Eligible Trucks that are 16’ Ford LCF Trucks as of such date.</w:t>
      </w:r>
    </w:p>
    <w:p>
      <w:pPr>
        <w:spacing w:after="0" w:line="55" w:lineRule="exact"/>
        <w:rPr>
          <w:sz w:val="20"/>
          <w:szCs w:val="20"/>
          <w:color w:val="auto"/>
        </w:rPr>
      </w:pPr>
    </w:p>
    <w:p>
      <w:pPr>
        <w:ind w:right="100" w:firstLine="657"/>
        <w:spacing w:after="0" w:line="3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16’ Int’l CF500 Truck Enhancement Percentage</w:t>
      </w:r>
      <w:r>
        <w:rPr>
          <w:rFonts w:ascii="Times New Roman" w:cs="Times New Roman" w:eastAsia="Times New Roman" w:hAnsi="Times New Roman"/>
          <w:sz w:val="16"/>
          <w:szCs w:val="16"/>
          <w:color w:val="auto"/>
        </w:rPr>
        <w:t>” means, as of any date of determination, the sum of (1) the Required 16’ Int’l CF500 Truck Liquid Enhancement Percentage as of such date and (2) the Required 16’ Int’l CF500 Truck OC Enhancement Percentage as of such date.</w:t>
      </w:r>
    </w:p>
    <w:p>
      <w:pPr>
        <w:spacing w:after="0" w:line="1" w:lineRule="exact"/>
        <w:rPr>
          <w:sz w:val="20"/>
          <w:szCs w:val="20"/>
          <w:color w:val="auto"/>
        </w:rPr>
      </w:pPr>
    </w:p>
    <w:p>
      <w:pPr>
        <w:ind w:right="80" w:firstLine="657"/>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16’ Int’l CF500 Truck Liquid Enhancement Percentage</w:t>
      </w:r>
      <w:r>
        <w:rPr>
          <w:rFonts w:ascii="Times New Roman" w:cs="Times New Roman" w:eastAsia="Times New Roman" w:hAnsi="Times New Roman"/>
          <w:sz w:val="16"/>
          <w:szCs w:val="16"/>
          <w:color w:val="auto"/>
        </w:rPr>
        <w:t>” means, as of any date of determination, the sum, for each 16’ Int’l CF500 Truck that is an Eligible Truck as of such date, of the percentage obtained by multiplying (i) the Liquid Enhancement Percentage for such 16’ Int’l CF500 Truck as of such date and (ii) the percentage equivalent of a fraction the numerator of which is the Net Book Value of such 16’ Int’l CF500 Truck as of such date and the denominator of which is the Net Book Value of all Eligible Trucks that are 16’ Int’l CF500 Trucks as of such date.</w:t>
      </w:r>
    </w:p>
    <w:p>
      <w:pPr>
        <w:spacing w:after="0" w:line="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700" w:top="274" w:right="299" w:bottom="1440" w:gutter="0" w:footer="0" w:header="0"/>
        </w:sectPr>
      </w:pPr>
    </w:p>
    <w:bookmarkStart w:id="159" w:name="page160"/>
    <w:bookmarkEnd w:id="159"/>
    <w:p>
      <w:pPr>
        <w:ind w:left="460" w:firstLine="657"/>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16’ Int’l CF500 Truck OC Enhancement Percentage</w:t>
      </w:r>
      <w:r>
        <w:rPr>
          <w:rFonts w:ascii="Times New Roman" w:cs="Times New Roman" w:eastAsia="Times New Roman" w:hAnsi="Times New Roman"/>
          <w:sz w:val="18"/>
          <w:szCs w:val="18"/>
          <w:color w:val="auto"/>
        </w:rPr>
        <w:t>” means, as of any date of determination, the sum, for each 16’ Int’l CF500 Truck that is an Eligible Truck as of such date, of the percentage obtained by multiplying (i) the OC Enhancement Percentage for such 16’ Int’l CF500 Truck as of such date and (ii) the percentage equivalent of a fraction the numerator of which is the Net Book Value of such 16’ Int’l CF500 Truck as of such date and the denominator of which is the Net Book Value of all Eligible Trucks that are 16’ Int’l CF500 Trucks as of such date.</w:t>
      </w:r>
    </w:p>
    <w:p>
      <w:pPr>
        <w:spacing w:after="0" w:line="55" w:lineRule="exact"/>
        <w:rPr>
          <w:sz w:val="20"/>
          <w:szCs w:val="20"/>
          <w:color w:val="auto"/>
        </w:rPr>
      </w:pPr>
    </w:p>
    <w:p>
      <w:pPr>
        <w:ind w:left="460" w:right="40" w:firstLine="65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2006-1 Excess Truck Amount</w:t>
      </w:r>
      <w:r>
        <w:rPr>
          <w:rFonts w:ascii="Times New Roman" w:cs="Times New Roman" w:eastAsia="Times New Roman" w:hAnsi="Times New Roman"/>
          <w:sz w:val="18"/>
          <w:szCs w:val="18"/>
          <w:color w:val="auto"/>
        </w:rPr>
        <w:t>” means, as of any date of determination, the product of (a) the Series 2006-1 Excess Truck Percentage as of such date and (b) the Series 2006-1 Borrowing Base as of such date.</w:t>
      </w:r>
    </w:p>
    <w:p>
      <w:pPr>
        <w:spacing w:after="0" w:line="39" w:lineRule="exact"/>
        <w:rPr>
          <w:sz w:val="20"/>
          <w:szCs w:val="20"/>
          <w:color w:val="auto"/>
        </w:rPr>
      </w:pPr>
    </w:p>
    <w:p>
      <w:pPr>
        <w:ind w:left="460" w:right="160" w:firstLine="65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2006-1 Excess Truck Percentage</w:t>
      </w:r>
      <w:r>
        <w:rPr>
          <w:rFonts w:ascii="Times New Roman" w:cs="Times New Roman" w:eastAsia="Times New Roman" w:hAnsi="Times New Roman"/>
          <w:sz w:val="18"/>
          <w:szCs w:val="18"/>
          <w:color w:val="auto"/>
        </w:rPr>
        <w:t>” means, as of any date of determination, the excess of (a) the sum of (i) 16’ Ford LCF Percentage as of such date and (ii) the 16’ Int’l CF500 Percentage as of such date over (b) 20%.</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Amendments to Article VII – Representations, Warranties and Covenants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700" w:hanging="236"/>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7.2(d) of the Series Supplement is hereby amended and restated in its entirety to read as follows:</w:t>
      </w:r>
    </w:p>
    <w:p>
      <w:pPr>
        <w:spacing w:after="0" w:line="90" w:lineRule="exact"/>
        <w:rPr>
          <w:rFonts w:ascii="Times New Roman" w:cs="Times New Roman" w:eastAsia="Times New Roman" w:hAnsi="Times New Roman"/>
          <w:sz w:val="18"/>
          <w:szCs w:val="18"/>
          <w:color w:val="auto"/>
        </w:rPr>
      </w:pPr>
    </w:p>
    <w:p>
      <w:pPr>
        <w:ind w:right="140" w:firstLine="1149"/>
        <w:spacing w:after="0" w:line="262" w:lineRule="auto"/>
        <w:tabs>
          <w:tab w:leader="none" w:pos="139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40 days after the Distribution Date in May of each year, unless such requirement is waived by the Administrative Agent, they shall provide to each Funding Agent a report in form and substance acceptable to the Administrative Agent from a nationally-recognized auditing firm approved by the Administrative Agent regarding the performance by such auditing firm of the agreed upon procedures concerning the Collateral;</w:t>
      </w:r>
    </w:p>
    <w:p>
      <w:pPr>
        <w:spacing w:after="0" w:line="130"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Amendments to Schedule II – Enhancement Percentages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II to the Series Supplement is hereby amended and restated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by the replacement thereof with the Schedule II attached as Annex A hereto.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160" w:name="page161"/>
    <w:bookmarkEnd w:id="160"/>
    <w:p>
      <w:pPr>
        <w:ind w:left="5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7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Effect of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this Amendment shall not by implication or otherwise limit, impair,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of, or otherwise affect the rights and remedies of any of the parties hereto under the Series Supplement, nor alter, modify, amend or in any way affect any of the terms, conditions, obligations, covenants or agreements contained in the Series Supplement, all of which are hereby ratified and affirmed in all respects by each of the parties hereto and shall continue in full force and effect. This Amendment shall apply and be effective only with respect to the provisions of the Series Supplement specifically referred to herein, and any references in the Base Indenture to the provisions of the Series Supplement specifically referred to herein shall be to such provisions as amended by this Amendment.</w:t>
      </w:r>
    </w:p>
    <w:p>
      <w:pPr>
        <w:spacing w:after="0" w:line="139" w:lineRule="exact"/>
        <w:rPr>
          <w:sz w:val="20"/>
          <w:szCs w:val="20"/>
          <w:color w:val="auto"/>
        </w:rPr>
      </w:pPr>
    </w:p>
    <w:p>
      <w:pPr>
        <w:jc w:val="both"/>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Condition to 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as of the date hereof only upon receipt by the Administrative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confirmation from Moody’s that the Series 2006-1 Notes are publicly rated at least “A3” by Moody’s after giving effect to the amendments contemplated by this Amendment.</w:t>
      </w:r>
    </w:p>
    <w:p>
      <w:pPr>
        <w:spacing w:after="0" w:line="127"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hereto waives any prior notice and any notice period that may be required by any other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in connection with the execution of this Amendment.</w:t>
      </w:r>
    </w:p>
    <w:p>
      <w:pPr>
        <w:spacing w:after="0" w:line="116" w:lineRule="exact"/>
        <w:rPr>
          <w:sz w:val="20"/>
          <w:szCs w:val="20"/>
          <w:color w:val="auto"/>
        </w:rPr>
      </w:pPr>
    </w:p>
    <w:p>
      <w:pPr>
        <w:ind w:right="4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and inure to the benefit of the parties hereto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w:t>
      </w:r>
    </w:p>
    <w:p>
      <w:pPr>
        <w:spacing w:after="0" w:line="116" w:lineRule="exact"/>
        <w:rPr>
          <w:sz w:val="20"/>
          <w:szCs w:val="20"/>
          <w:color w:val="auto"/>
        </w:rPr>
      </w:pPr>
    </w:p>
    <w:p>
      <w:pPr>
        <w:ind w:right="34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Section 3.5.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b w:val="1"/>
          <w:bCs w:val="1"/>
          <w:color w:val="auto"/>
        </w:rPr>
        <w:t>. THIS AMENDMENT SHALL BE CONSTRUED IN ACCORDANCE WITH THE LAWS OF THE STATE OF NEW YORK (WITHOUT GIVING EFFECT TO THE PROVISIONS THEREOF REGARDING CONFLICTS OF LAWS), AND THE OBLIGATIONS, RIGHTS AND REMEDIES OF THE PARTIES HERETO SHALL BE DETERMINED IN ACCORDANCE WITH SUCH LAWS.</w:t>
      </w:r>
    </w:p>
    <w:p>
      <w:pPr>
        <w:spacing w:after="0" w:line="93" w:lineRule="exact"/>
        <w:rPr>
          <w:sz w:val="20"/>
          <w:szCs w:val="20"/>
          <w:color w:val="auto"/>
        </w:rPr>
      </w:pPr>
    </w:p>
    <w:p>
      <w:pPr>
        <w:ind w:right="8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Section 3.6. </w:t>
      </w: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may be executed in any number of counterparts and by different parties herein in separate counterparts,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when executed and delivered shall be deemed to be an original and all of which taken together shall constitute but one and the same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2" w:right="239" w:bottom="1440" w:gutter="0" w:footer="0" w:header="0"/>
        </w:sectPr>
      </w:pPr>
    </w:p>
    <w:bookmarkStart w:id="161" w:name="page162"/>
    <w:bookmarkEnd w:id="161"/>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Amendment to be duly executed by their respective officers thereunto duly authorized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day and year first above written.</w:t>
      </w:r>
    </w:p>
    <w:p>
      <w:pPr>
        <w:spacing w:after="0" w:line="15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CENTRE POINT FUNDING, LLC, as Issuer</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Ferraro</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Joe Ferraro</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Truck Operations</w:t>
            </w:r>
          </w:p>
        </w:tc>
      </w:tr>
    </w:tbl>
    <w:p>
      <w:pPr>
        <w:spacing w:after="0" w:line="18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THE BANK OF NEW YORK TRUST COMPANY, N.A., as</w:t>
      </w:r>
    </w:p>
    <w:p>
      <w:pPr>
        <w:spacing w:after="0" w:line="4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13"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Marian Onischak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Marian Onischak</w:t>
      </w:r>
    </w:p>
    <w:p>
      <w:pPr>
        <w:spacing w:after="0" w:line="2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9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DEUTSCHE BANK SECURITIES, INC., as Administrative</w:t>
      </w:r>
    </w:p>
    <w:p>
      <w:pPr>
        <w:spacing w:after="0" w:line="2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Shea</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Eric Shea</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8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RIVERSIDE FUNDING LLC, as a CP Conduit Purchaser</w:t>
      </w:r>
    </w:p>
    <w:p>
      <w:pPr>
        <w:spacing w:after="0" w:line="227"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Jill A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Jill A Gordon</w:t>
      </w:r>
    </w:p>
    <w:p>
      <w:pPr>
        <w:spacing w:after="0" w:line="2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DEUTSCHE BANK AG, NEW YORK BRANCH, as an</w:t>
      </w:r>
    </w:p>
    <w:p>
      <w:pPr>
        <w:spacing w:after="0" w:line="2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APA Bank</w:t>
      </w: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Shea</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Eric Shea</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272" w:right="239" w:bottom="1440" w:gutter="0" w:footer="0" w:header="0"/>
        </w:sectPr>
      </w:pPr>
    </w:p>
    <w:bookmarkStart w:id="162" w:name="page163"/>
    <w:bookmarkEnd w:id="162"/>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SECURITIES, INC., as a Funding</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13"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Shea</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Eric Shea</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88"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SHEFFIELD RECEIVABLES CORPORATION, as a CP</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Conduit Purchaser</w:t>
      </w:r>
    </w:p>
    <w:p>
      <w:pPr>
        <w:spacing w:after="0" w:line="213"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Fouad S. Onbarge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Fouad S. Onbarge</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BARCLAYS BANK PLC, as an APA Bank</w:t>
      </w:r>
    </w:p>
    <w:p>
      <w:pPr>
        <w:spacing w:after="0" w:line="2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Jeffrey Goldberg</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Associate Director</w:t>
      </w:r>
    </w:p>
    <w:p>
      <w:pPr>
        <w:spacing w:after="0" w:line="1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BARCLAYS BANK PLC, as a Funding Agent</w:t>
      </w:r>
    </w:p>
    <w:p>
      <w:pPr>
        <w:spacing w:after="0" w:line="2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Jeffrey Goldberg</w:t>
      </w:r>
    </w:p>
    <w:p>
      <w:pPr>
        <w:spacing w:after="0" w:line="2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Associate Director</w:t>
      </w:r>
    </w:p>
    <w:p>
      <w:pPr>
        <w:spacing w:after="0" w:line="1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220"/>
          </w:cols>
          <w:pgMar w:left="1440" w:top="272" w:right="2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10.50(d)</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Execution Copy</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AMENDING AGREEMENT NO. 4</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made as of the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day of November, 2007,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 T W E E N:</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AVISCAR INC.</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corporation incorporated under the laws of Canada,</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Avis General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BUDGETCAR INC.</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corporation existing under the laws of Canada,</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Budget General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BNY TRUST COMPANY OF CANADA,</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trust company incorporated under the laws of Canada and registered to</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carry on the business of a trust company in each of the provinces of</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Canada, in its capacity as trustee of </w:t>
      </w:r>
      <w:r>
        <w:rPr>
          <w:rFonts w:ascii="Times New Roman" w:cs="Times New Roman" w:eastAsia="Times New Roman" w:hAnsi="Times New Roman"/>
          <w:sz w:val="18"/>
          <w:szCs w:val="18"/>
          <w:b w:val="1"/>
          <w:bCs w:val="1"/>
          <w:color w:val="auto"/>
        </w:rPr>
        <w:t>STARS TRUST</w:t>
      </w:r>
      <w:r>
        <w:rPr>
          <w:rFonts w:ascii="Times New Roman" w:cs="Times New Roman" w:eastAsia="Times New Roman" w:hAnsi="Times New Roman"/>
          <w:sz w:val="18"/>
          <w:szCs w:val="18"/>
          <w:color w:val="auto"/>
        </w:rPr>
        <w:t>, a trust established</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under the laws of the Province of Ontario,</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STARS Limited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MONTREAL TRUST COMPANY OF CANADA,</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trust company incorporated under the laws of Canada and registered to</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carry on the business of a trust company in each of the provinces in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Canada, in its capacity as trustee of </w:t>
      </w:r>
      <w:r>
        <w:rPr>
          <w:rFonts w:ascii="Times New Roman" w:cs="Times New Roman" w:eastAsia="Times New Roman" w:hAnsi="Times New Roman"/>
          <w:sz w:val="18"/>
          <w:szCs w:val="18"/>
          <w:b w:val="1"/>
          <w:bCs w:val="1"/>
          <w:color w:val="auto"/>
        </w:rPr>
        <w:t>BAY STREET FUNDING TRUST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trust established under the laws of the Province of Ontario,</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Bay Street Limited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WHEREAS the Avis General Partner, the Budget General Partner, the STARS Limited Partner and the Bay Street Limited Partner have entered into a fourth amended and restated limited partnership agreement made as of the 20th day of April, 2005, as amended by amending agreements between the parties dated October 11, 2005, July 7, 2006 and December 11, 2006 (collectively, the “</w:t>
      </w:r>
      <w:r>
        <w:rPr>
          <w:rFonts w:ascii="Times New Roman" w:cs="Times New Roman" w:eastAsia="Times New Roman" w:hAnsi="Times New Roman"/>
          <w:sz w:val="18"/>
          <w:szCs w:val="18"/>
          <w:b w:val="1"/>
          <w:bCs w:val="1"/>
          <w:color w:val="auto"/>
        </w:rPr>
        <w:t>Limited Partnership Agreement</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AND WHEREAS the Avis General Partner, the Budget General Partner, the STARS Limited Partner and the Bay Street Limited Partner wish to amend the Limited Partnership Agreement;</w:t>
      </w:r>
    </w:p>
    <w:p>
      <w:pPr>
        <w:sectPr>
          <w:pgSz w:w="11900" w:h="16838" w:orient="portrait"/>
          <w:cols w:equalWidth="0" w:num="1">
            <w:col w:w="11420"/>
          </w:cols>
          <w:pgMar w:left="240" w:top="123" w:right="239" w:bottom="1440" w:gutter="0" w:footer="0" w:header="0"/>
        </w:sectPr>
      </w:pPr>
    </w:p>
    <w:bookmarkStart w:id="164" w:name="page165"/>
    <w:bookmarkEnd w:id="164"/>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THIS AGREEMENT WITNESSETH that in consideration of the premises and covenants and agreements of the parties herein contained and for other good and valuable consideration (the receipt and sufficiency of which are hereby acknowledged by each of the parties), the parties hereby covenant and agree as follows:</w:t>
      </w:r>
    </w:p>
    <w:p>
      <w:pPr>
        <w:spacing w:after="0" w:line="171" w:lineRule="exact"/>
        <w:rPr>
          <w:sz w:val="20"/>
          <w:szCs w:val="20"/>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92" w:lineRule="exact"/>
        <w:rPr>
          <w:rFonts w:ascii="Times New Roman" w:cs="Times New Roman" w:eastAsia="Times New Roman" w:hAnsi="Times New Roman"/>
          <w:sz w:val="18"/>
          <w:szCs w:val="18"/>
          <w:b w:val="1"/>
          <w:bCs w:val="1"/>
          <w:color w:val="auto"/>
        </w:rPr>
      </w:pPr>
    </w:p>
    <w:p>
      <w:pPr>
        <w:ind w:left="900" w:right="80" w:hanging="446"/>
        <w:spacing w:after="0" w:line="275" w:lineRule="auto"/>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words and expressions defined in the Limited Partnership Agreement and not otherwise defined in this Agreement have the respective meanings specified in the Limited Partnership Agreement.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are for convenience only.</w:t>
      </w:r>
    </w:p>
    <w:p>
      <w:pPr>
        <w:spacing w:after="0" w:line="20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the Limited Partnership Agreement</w:t>
      </w:r>
    </w:p>
    <w:p>
      <w:pPr>
        <w:spacing w:after="0" w:line="90" w:lineRule="exact"/>
        <w:rPr>
          <w:sz w:val="20"/>
          <w:szCs w:val="20"/>
          <w:color w:val="auto"/>
        </w:rPr>
      </w:pPr>
    </w:p>
    <w:p>
      <w:pPr>
        <w:ind w:left="460" w:right="4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color w:val="auto"/>
        </w:rPr>
        <w:t>Section 1.1 of the Limited Partnership Agreement is hereby amended by deleting the definition of “Available Call Amount” and replacing it with the following:</w:t>
      </w:r>
    </w:p>
    <w:p>
      <w:pPr>
        <w:spacing w:after="0" w:line="39" w:lineRule="exact"/>
        <w:rPr>
          <w:sz w:val="20"/>
          <w:szCs w:val="20"/>
          <w:color w:val="auto"/>
        </w:rPr>
      </w:pPr>
    </w:p>
    <w:p>
      <w:pPr>
        <w:ind w:left="4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Call Amount</w:t>
      </w:r>
      <w:r>
        <w:rPr>
          <w:rFonts w:ascii="Times New Roman" w:cs="Times New Roman" w:eastAsia="Times New Roman" w:hAnsi="Times New Roman"/>
          <w:sz w:val="18"/>
          <w:szCs w:val="18"/>
          <w:color w:val="auto"/>
        </w:rPr>
        <w:t>” means, in respect of a Limited Partner, the amount by which (a) the sum of $300,000,000 and the aggregate Principal Amount of Bonds issued by such Limited Partner outstanding at such time exceeds (b) the balance of the Limited Partner’s Capital Account of such Limited Partner at such time; provided that on and after the occurrence of a Funding Termination Event for such Limited Partner, the Available Call Amount for such Limited Partner shall be deemed to be zero;”.</w:t>
      </w:r>
    </w:p>
    <w:p>
      <w:pPr>
        <w:spacing w:after="0" w:line="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6"/>
          <w:szCs w:val="16"/>
          <w:color w:val="auto"/>
        </w:rPr>
        <w:t>Section 3.3(b) of the Limited Partnership Agreement is hereby deleted and replaced with the following:</w:t>
      </w:r>
    </w:p>
    <w:p>
      <w:pPr>
        <w:spacing w:after="0" w:line="92" w:lineRule="exact"/>
        <w:rPr>
          <w:sz w:val="20"/>
          <w:szCs w:val="20"/>
          <w:color w:val="auto"/>
        </w:rPr>
      </w:pPr>
    </w:p>
    <w:p>
      <w:pPr>
        <w:ind w:left="920" w:right="480"/>
        <w:spacing w:after="0" w:line="275" w:lineRule="auto"/>
        <w:rPr>
          <w:sz w:val="20"/>
          <w:szCs w:val="20"/>
          <w:color w:val="auto"/>
        </w:rPr>
      </w:pPr>
      <w:r>
        <w:rPr>
          <w:rFonts w:ascii="Times New Roman" w:cs="Times New Roman" w:eastAsia="Times New Roman" w:hAnsi="Times New Roman"/>
          <w:sz w:val="18"/>
          <w:szCs w:val="18"/>
          <w:color w:val="auto"/>
        </w:rPr>
        <w:t>“(b) The balance of each Limited Partner’s Capital Account shall not at any time exceed an amount equal to the sum of $300,000,000 plus the aggregate Principal Amount of Bonds issued and outstanding by such Limited Partner at the time of determination.”.</w:t>
      </w:r>
    </w:p>
    <w:p>
      <w:pPr>
        <w:spacing w:after="0" w:line="158"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Documents</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Any reference to the Limited Partnership Agreement made in any documents delivered pursuant thereto or in connection therewith shall be deemed to refer to the Limited Partnership Agreement as amended or supplemented from time to time.</w:t>
      </w:r>
    </w:p>
    <w:p>
      <w:pPr>
        <w:spacing w:after="0" w:line="158" w:lineRule="exact"/>
        <w:rPr>
          <w:sz w:val="20"/>
          <w:szCs w:val="20"/>
          <w:color w:val="auto"/>
        </w:rPr>
      </w:pPr>
    </w:p>
    <w:p>
      <w:pPr>
        <w:ind w:left="460" w:hanging="452"/>
        <w:spacing w:after="0"/>
        <w:tabs>
          <w:tab w:leader="none" w:pos="4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92"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foregoing amendments, the Limited Partnership Agreement shall continue in full force and effect, unamended.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enure to the benefit of and be binding upon the parties, their successors and any permitted assigns.</w:t>
      </w:r>
    </w:p>
    <w:p>
      <w:pPr>
        <w:spacing w:after="0" w:line="157"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380"/>
          </w:cols>
          <w:pgMar w:left="240" w:top="274" w:right="279" w:bottom="1440" w:gutter="0" w:footer="0" w:header="0"/>
        </w:sectPr>
      </w:pPr>
    </w:p>
    <w:bookmarkStart w:id="165" w:name="page166"/>
    <w:bookmarkEnd w:id="165"/>
    <w:p>
      <w:pPr>
        <w:ind w:left="446" w:hanging="446"/>
        <w:spacing w:after="0" w:line="275" w:lineRule="auto"/>
        <w:tabs>
          <w:tab w:leader="none" w:pos="4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may be executed in one or more counterparts each of which shall be deemed an original and all of which when taken together, shall constitute one and the same instrument.</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rights or obligations hereunder shall be assignable or transferable by any party without the prior written consent of the other party.</w:t>
      </w:r>
    </w:p>
    <w:p>
      <w:pPr>
        <w:spacing w:after="0" w:line="90" w:lineRule="exact"/>
        <w:rPr>
          <w:rFonts w:ascii="Times New Roman" w:cs="Times New Roman" w:eastAsia="Times New Roman" w:hAnsi="Times New Roman"/>
          <w:sz w:val="18"/>
          <w:szCs w:val="18"/>
          <w:color w:val="auto"/>
        </w:rPr>
      </w:pPr>
    </w:p>
    <w:p>
      <w:pPr>
        <w:ind w:left="446" w:right="100" w:hanging="446"/>
        <w:spacing w:after="0" w:line="275" w:lineRule="auto"/>
        <w:tabs>
          <w:tab w:leader="none" w:pos="4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accordance with the laws of the Province of Ontario and the federal laws of Canada applicable therein.</w:t>
      </w:r>
    </w:p>
    <w:p>
      <w:pPr>
        <w:spacing w:after="0" w:line="106" w:lineRule="exact"/>
        <w:rPr>
          <w:rFonts w:ascii="Times New Roman" w:cs="Times New Roman" w:eastAsia="Times New Roman" w:hAnsi="Times New Roman"/>
          <w:sz w:val="18"/>
          <w:szCs w:val="18"/>
          <w:color w:val="auto"/>
        </w:rPr>
      </w:pPr>
    </w:p>
    <w:p>
      <w:pPr>
        <w:ind w:left="5226" w:hanging="112"/>
        <w:spacing w:after="0"/>
        <w:tabs>
          <w:tab w:leader="none" w:pos="522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846"/>
          </w:cols>
          <w:pgMar w:left="694" w:top="274" w:right="359" w:bottom="1440" w:gutter="0" w:footer="0" w:header="0"/>
        </w:sectPr>
      </w:pPr>
    </w:p>
    <w:bookmarkStart w:id="166" w:name="page167"/>
    <w:bookmarkEnd w:id="166"/>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by their authorized signatories thereunto duly authorized, as of the date first above written.</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AVISCAR INC.</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David Calabria</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Assistant Treasurer</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1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BUDGETCAR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Rochelle Tarlowe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Rochelle Tarlowe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275590</wp:posOffset>
            </wp:positionV>
            <wp:extent cx="25215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BNY TRUST COMPANY OF</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CANADA</w:t>
      </w:r>
      <w:r>
        <w:rPr>
          <w:rFonts w:ascii="Times New Roman" w:cs="Times New Roman" w:eastAsia="Times New Roman" w:hAnsi="Times New Roman"/>
          <w:sz w:val="18"/>
          <w:szCs w:val="18"/>
          <w:color w:val="auto"/>
        </w:rPr>
        <w:t>, as trustee of</w:t>
      </w:r>
      <w:r>
        <w:rPr>
          <w:rFonts w:ascii="Times New Roman" w:cs="Times New Roman" w:eastAsia="Times New Roman" w:hAnsi="Times New Roman"/>
          <w:sz w:val="18"/>
          <w:szCs w:val="18"/>
          <w:b w:val="1"/>
          <w:bCs w:val="1"/>
          <w:color w:val="auto"/>
        </w:rPr>
        <w:t xml:space="preserve"> STARS TRUST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(with liability limited to the assets of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Trust) by its Securitization Agent, </w:t>
      </w:r>
      <w:r>
        <w:rPr>
          <w:rFonts w:ascii="Times New Roman" w:cs="Times New Roman" w:eastAsia="Times New Roman" w:hAnsi="Times New Roman"/>
          <w:sz w:val="18"/>
          <w:szCs w:val="18"/>
          <w:b w:val="1"/>
          <w:bCs w:val="1"/>
          <w:color w:val="auto"/>
        </w:rPr>
        <w:t>BMO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NESBITT BURNS INC.</w:t>
      </w:r>
    </w:p>
    <w:p>
      <w:pPr>
        <w:spacing w:after="0" w:line="226"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Terry Ritchie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Terry Ritchie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Christopher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Christopher Romano</w:t>
      </w:r>
    </w:p>
    <w:p>
      <w:pPr>
        <w:spacing w:after="0" w:line="2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Managing Director</w:t>
      </w:r>
    </w:p>
    <w:p>
      <w:pPr>
        <w:sectPr>
          <w:pgSz w:w="11900" w:h="16838" w:orient="portrait"/>
          <w:cols w:equalWidth="0" w:num="1">
            <w:col w:w="11420"/>
          </w:cols>
          <w:pgMar w:left="240" w:top="274" w:right="239" w:bottom="1440" w:gutter="0" w:footer="0" w:header="0"/>
        </w:sectPr>
      </w:pPr>
    </w:p>
    <w:bookmarkStart w:id="167" w:name="page168"/>
    <w:bookmarkEnd w:id="167"/>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MONTREAL TRUST COMPANY OF</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as trustee of</w:t>
      </w:r>
      <w:r>
        <w:rPr>
          <w:rFonts w:ascii="Times New Roman" w:cs="Times New Roman" w:eastAsia="Times New Roman" w:hAnsi="Times New Roman"/>
          <w:sz w:val="18"/>
          <w:szCs w:val="18"/>
          <w:b w:val="1"/>
          <w:bCs w:val="1"/>
          <w:color w:val="auto"/>
        </w:rPr>
        <w:t xml:space="preserve"> BAY STREET</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FUNDING TRUST </w:t>
      </w:r>
      <w:r>
        <w:rPr>
          <w:rFonts w:ascii="Times New Roman" w:cs="Times New Roman" w:eastAsia="Times New Roman" w:hAnsi="Times New Roman"/>
          <w:sz w:val="18"/>
          <w:szCs w:val="18"/>
          <w:color w:val="auto"/>
        </w:rPr>
        <w:t>(with liability limited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to the assets of the trust) by its</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administrator, </w:t>
      </w:r>
      <w:r>
        <w:rPr>
          <w:rFonts w:ascii="Times New Roman" w:cs="Times New Roman" w:eastAsia="Times New Roman" w:hAnsi="Times New Roman"/>
          <w:sz w:val="18"/>
          <w:szCs w:val="18"/>
          <w:b w:val="1"/>
          <w:bCs w:val="1"/>
          <w:color w:val="auto"/>
        </w:rPr>
        <w:t>SCOTIA CAPITAL INC.</w:t>
      </w:r>
    </w:p>
    <w:p>
      <w:pPr>
        <w:spacing w:after="0" w:line="226"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Noe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Douglas Noe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 Structured Finance</w:t>
            </w:r>
          </w:p>
        </w:tc>
      </w:tr>
      <w:tr>
        <w:trPr>
          <w:trHeight w:val="434"/>
        </w:trPr>
        <w:tc>
          <w:tcPr>
            <w:tcW w:w="58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bl>
    <w:p>
      <w:pPr>
        <w:sectPr>
          <w:pgSz w:w="11900" w:h="16838" w:orient="portrait"/>
          <w:cols w:equalWidth="0" w:num="1">
            <w:col w:w="10220"/>
          </w:cols>
          <w:pgMar w:left="1440" w:top="272"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acknowledges notice of and consents to the foregoing amendments to the Limited Partnership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21st day of November, 2007.</w:t>
      </w:r>
    </w:p>
    <w:p>
      <w:pPr>
        <w:spacing w:after="0" w:line="2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AVIS BUDGET CAR RENTAL, LLC</w:t>
      </w:r>
    </w:p>
    <w:p>
      <w:pPr>
        <w:spacing w:after="0" w:line="227"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Calabria</w:t>
      </w:r>
    </w:p>
    <w:p>
      <w:pPr>
        <w:spacing w:after="0" w:line="21" w:lineRule="exact"/>
        <w:rPr>
          <w:sz w:val="20"/>
          <w:szCs w:val="20"/>
          <w:color w:val="auto"/>
        </w:rPr>
      </w:pPr>
    </w:p>
    <w:p>
      <w:pPr>
        <w:ind w:left="594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Assistant Treasurer</w:t>
      </w:r>
    </w:p>
    <w:p>
      <w:pPr>
        <w:sectPr>
          <w:pgSz w:w="11900" w:h="16838" w:orient="portrait"/>
          <w:cols w:equalWidth="0" w:num="1">
            <w:col w:w="9299"/>
          </w:cols>
          <w:pgMar w:left="1160" w:top="274"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10.50(e)</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Execution Copy</w:t>
      </w:r>
    </w:p>
    <w:p>
      <w:pPr>
        <w:spacing w:after="0" w:line="1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AMENDING AGREEMENT NO. 5</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made as of the 12th day of February, 2008,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 T W E E N:</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AVISCAR INC.</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corporation incorporated under the laws of Canada,</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Avis General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BUDGETCAR INC.</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corporation existing under the laws of Canada,</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Budget General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BNY TRUST COMPANY OF CANADA,</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trust company incorporated under the laws of Canada and registered to</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carry on the business of a trust company in each of the provinces of</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Canada, in its capacity as trustee of </w:t>
      </w:r>
      <w:r>
        <w:rPr>
          <w:rFonts w:ascii="Times New Roman" w:cs="Times New Roman" w:eastAsia="Times New Roman" w:hAnsi="Times New Roman"/>
          <w:sz w:val="18"/>
          <w:szCs w:val="18"/>
          <w:b w:val="1"/>
          <w:bCs w:val="1"/>
          <w:color w:val="auto"/>
        </w:rPr>
        <w:t>STARS TRUST</w:t>
      </w:r>
      <w:r>
        <w:rPr>
          <w:rFonts w:ascii="Times New Roman" w:cs="Times New Roman" w:eastAsia="Times New Roman" w:hAnsi="Times New Roman"/>
          <w:sz w:val="18"/>
          <w:szCs w:val="18"/>
          <w:color w:val="auto"/>
        </w:rPr>
        <w:t>, a trust established</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under the laws of the Province of Ontario,</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STARS Limited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MONTREAL TRUST COMPANY OF CANADA,</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trust company incorporated under the laws of Canada and registered to</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carry on the business of a trust company in each of the provinces in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Canada, in its capacity as trustee of </w:t>
      </w:r>
      <w:r>
        <w:rPr>
          <w:rFonts w:ascii="Times New Roman" w:cs="Times New Roman" w:eastAsia="Times New Roman" w:hAnsi="Times New Roman"/>
          <w:sz w:val="18"/>
          <w:szCs w:val="18"/>
          <w:b w:val="1"/>
          <w:bCs w:val="1"/>
          <w:color w:val="auto"/>
        </w:rPr>
        <w:t>BAY STREET FUNDING TRUST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trust established under the laws of the Province of Ontario,</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Bay Street Limited Partner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WHEREAS the Avis General Partner, the Budget General Partner, the STARS Limited Partner and the Bay Street Limited Partner have entered into a fourth amended and restated limited partnership agreement made as of the 20th day of April, 2005, as amended by amending agreements between the parties dated October 11, 2005, July 7, 2006, December 11, 2006 and November 21, 2007 (collectively, the “</w:t>
      </w:r>
      <w:r>
        <w:rPr>
          <w:rFonts w:ascii="Times New Roman" w:cs="Times New Roman" w:eastAsia="Times New Roman" w:hAnsi="Times New Roman"/>
          <w:sz w:val="18"/>
          <w:szCs w:val="18"/>
          <w:b w:val="1"/>
          <w:bCs w:val="1"/>
          <w:color w:val="auto"/>
        </w:rPr>
        <w:t>Limited Partnership Agreement</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AND WHEREAS the Avis General Partner, the Budget General Partner, the STARS Limited Partner and the Bay Street Limited Partner wish to amend the Limited Partnership Agreement;</w:t>
      </w:r>
    </w:p>
    <w:p>
      <w:pPr>
        <w:sectPr>
          <w:pgSz w:w="11900" w:h="16838" w:orient="portrait"/>
          <w:cols w:equalWidth="0" w:num="1">
            <w:col w:w="11420"/>
          </w:cols>
          <w:pgMar w:left="240" w:top="123" w:right="239" w:bottom="1440" w:gutter="0" w:footer="0" w:header="0"/>
        </w:sectPr>
      </w:pPr>
    </w:p>
    <w:bookmarkStart w:id="170" w:name="page171"/>
    <w:bookmarkEnd w:id="170"/>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THIS AGREEMENT WITNESSETH that in consideration of the premises and covenants and agreements of the parties herein contained and for other good and valuable consideration (the receipt and sufficiency of which are hereby acknowledged by each of the parties), the parties hereby covenant and agree as follows:</w:t>
      </w:r>
    </w:p>
    <w:p>
      <w:pPr>
        <w:spacing w:after="0" w:line="171" w:lineRule="exact"/>
        <w:rPr>
          <w:sz w:val="20"/>
          <w:szCs w:val="20"/>
          <w:color w:val="auto"/>
        </w:rPr>
      </w:pPr>
    </w:p>
    <w:p>
      <w:pPr>
        <w:ind w:left="460" w:hanging="452"/>
        <w:spacing w:after="0"/>
        <w:tabs>
          <w:tab w:leader="none" w:pos="4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92" w:lineRule="exact"/>
        <w:rPr>
          <w:rFonts w:ascii="Times New Roman" w:cs="Times New Roman" w:eastAsia="Times New Roman" w:hAnsi="Times New Roman"/>
          <w:sz w:val="18"/>
          <w:szCs w:val="18"/>
          <w:b w:val="1"/>
          <w:bCs w:val="1"/>
          <w:color w:val="auto"/>
        </w:rPr>
      </w:pPr>
    </w:p>
    <w:p>
      <w:pPr>
        <w:ind w:left="900" w:right="80" w:hanging="446"/>
        <w:spacing w:after="0" w:line="275" w:lineRule="auto"/>
        <w:tabs>
          <w:tab w:leader="none" w:pos="9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words and expressions defined in the Limited Partnership Agreement and not otherwise defined in this Agreement have the respective meanings specified in the Limited Partnership Agreement.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are for convenience only.</w:t>
      </w:r>
    </w:p>
    <w:p>
      <w:pPr>
        <w:spacing w:after="0" w:line="20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the Limited Partnership Agreement</w:t>
      </w:r>
    </w:p>
    <w:p>
      <w:pPr>
        <w:spacing w:after="0" w:line="90" w:lineRule="exact"/>
        <w:rPr>
          <w:sz w:val="20"/>
          <w:szCs w:val="20"/>
          <w:color w:val="auto"/>
        </w:rPr>
      </w:pPr>
    </w:p>
    <w:p>
      <w:pPr>
        <w:ind w:left="460" w:right="4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color w:val="auto"/>
        </w:rPr>
        <w:t>Section 1.1 of the Limited Partnership Agreement is hereby amended by deleting the definition of “Available Call Amount” and replacing it with the following:</w:t>
      </w:r>
    </w:p>
    <w:p>
      <w:pPr>
        <w:spacing w:after="0" w:line="39"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Call Amount</w:t>
      </w:r>
      <w:r>
        <w:rPr>
          <w:rFonts w:ascii="Times New Roman" w:cs="Times New Roman" w:eastAsia="Times New Roman" w:hAnsi="Times New Roman"/>
          <w:sz w:val="18"/>
          <w:szCs w:val="18"/>
          <w:color w:val="auto"/>
        </w:rPr>
        <w:t>” means, (x) in respect of the STARS Limited Partner, the amount by which (a) the sum of $300,000,000 and the aggregate Principal Amount of Bonds issued by the STARS Limited Partner outstanding at such time exceeds (b) the balance of the STARS Limited Partner’s Capital Account at such time; and (y) in respect of the Bay Street Limited Partner, the amount by which (a) the sum of $175,000,000 and the aggregate Principal Amount of Bonds issued by the Bay Street Limited Partner outstanding at such time exceeds (b) the balance of the Bay Street Limited Partner’s Capital Account at such time; provided that on and after the occurrence of a Funding Termination Event for any Limited Partner, the Available Call Amount for such Limited Partner shall be deemed to be zero;”.</w:t>
      </w:r>
    </w:p>
    <w:p>
      <w:pPr>
        <w:spacing w:after="0" w:line="58" w:lineRule="exact"/>
        <w:rPr>
          <w:sz w:val="20"/>
          <w:szCs w:val="20"/>
          <w:color w:val="auto"/>
        </w:rPr>
      </w:pPr>
    </w:p>
    <w:p>
      <w:pPr>
        <w:ind w:left="460" w:right="7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color w:val="auto"/>
        </w:rPr>
        <w:t>Section 3.3(a) of the Limited Partnership Agreement is hereby amended by deleting the second sentence of such Section and replacing it with the following:</w:t>
      </w:r>
    </w:p>
    <w:p>
      <w:pPr>
        <w:spacing w:after="0" w:line="41"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“If the Capital Call is made prior to a Funding Termination Event in respect of each Limited Partner, each Limited Partner shall be required to contribute to the Partnership an amount equal to 50% of such Capital Call until the Bay Street Limited Partner has reached its Available Call Amount and thereafter the STARS Limited Partner shall be required to contribute to the Partnership an amount equal to 100% of the balance of such Capital Call (provided in all cases that such required amounts shall not exceed the Available Call Amount for such Limited Partner).”.</w:t>
      </w:r>
    </w:p>
    <w:p>
      <w:pPr>
        <w:spacing w:after="0" w:line="5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color w:val="auto"/>
        </w:rPr>
        <w:t>Section 3.3(b) of the Limited Partnership Agreement is hereby deleted and replaced with the following:</w:t>
      </w:r>
    </w:p>
    <w:p>
      <w:pPr>
        <w:spacing w:after="0" w:line="92"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8"/>
          <w:szCs w:val="18"/>
          <w:color w:val="auto"/>
        </w:rPr>
        <w:t>“(b) The balance of the STARS Limited Partner’s Capital Account shall not at any time exceed an amount equal to the sum of $300,000,000 plus the aggregate Principal Amount of Bonds issued and outstanding by the STARS Limited Partner at the time of determination. The balance of the Bay Street Limited Partner’s Capital Account shall not at any time exceed an amount equal to the sum of $175,000,000 plus the aggregate Principal Amount of Bonds issued and outstanding by the Bay Street Limited Partner at the time of determination.”.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380"/>
          </w:cols>
          <w:pgMar w:left="240" w:top="274" w:right="279" w:bottom="1440" w:gutter="0" w:footer="0" w:header="0"/>
        </w:sectPr>
      </w:pPr>
    </w:p>
    <w:bookmarkStart w:id="171" w:name="page172"/>
    <w:bookmarkEnd w:id="171"/>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color w:val="auto"/>
        </w:rPr>
        <w:t>Sections 4.7(b)(v) and 4.7(b)(vi) are hereby amended by deleting the words “Funding Amount” where those words appear in such Sections and replacing them with the words “Funded Amount”.</w:t>
      </w:r>
    </w:p>
    <w:p>
      <w:pPr>
        <w:spacing w:after="0" w:line="160" w:lineRule="exact"/>
        <w:rPr>
          <w:sz w:val="20"/>
          <w:szCs w:val="20"/>
          <w:color w:val="auto"/>
        </w:rPr>
      </w:pPr>
    </w:p>
    <w:p>
      <w:pPr>
        <w:ind w:left="460" w:hanging="452"/>
        <w:spacing w:after="0"/>
        <w:tabs>
          <w:tab w:leader="none" w:pos="4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Documents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Any reference to the Limited Partnership Agreement made in any documents delivered pursuant thereto or in connection therewith shall be deemed to refer to the Limited Partnership Agreement as amended or supplemented from time to time.</w:t>
      </w:r>
    </w:p>
    <w:p>
      <w:pPr>
        <w:spacing w:after="0" w:line="158"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92"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foregoing amendments, the Limited Partnership Agreement shall continue in full force and effect, unamended.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enure to the benefit of and be binding upon the parties, their successors and any permitted assigns.</w:t>
      </w:r>
    </w:p>
    <w:p>
      <w:pPr>
        <w:spacing w:after="0" w:line="90"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deemed an original and all of which when taken together, shall constitute one and the same instrument.</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rights or obligations hereunder shall be assignable or transferable by any party without the prior written consent of the other party.</w:t>
      </w:r>
    </w:p>
    <w:p>
      <w:pPr>
        <w:spacing w:after="0" w:line="90"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and construed in accordance with the laws of the Province of Ontario and the federal laws of Canada applicable therein.</w:t>
      </w:r>
    </w:p>
    <w:p>
      <w:pPr>
        <w:spacing w:after="0" w:line="106"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340"/>
          </w:cols>
          <w:pgMar w:left="240" w:top="272" w:right="319" w:bottom="1440" w:gutter="0" w:footer="0" w:header="0"/>
        </w:sectPr>
      </w:pPr>
    </w:p>
    <w:bookmarkStart w:id="172" w:name="page173"/>
    <w:bookmarkEnd w:id="172"/>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by their authorized signatories thereunto duly authorized, as of the date first above written.</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AVISCAR INC.</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David Calabria</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Assistant Treasurer</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1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BUDGETCAR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Rochelle Tarlowe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Rochelle Tarlowe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275590</wp:posOffset>
            </wp:positionV>
            <wp:extent cx="25215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BNY TRUST COMPANY OF</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CANADA</w:t>
      </w:r>
      <w:r>
        <w:rPr>
          <w:rFonts w:ascii="Times New Roman" w:cs="Times New Roman" w:eastAsia="Times New Roman" w:hAnsi="Times New Roman"/>
          <w:sz w:val="18"/>
          <w:szCs w:val="18"/>
          <w:color w:val="auto"/>
        </w:rPr>
        <w:t>, as trustee of</w:t>
      </w:r>
      <w:r>
        <w:rPr>
          <w:rFonts w:ascii="Times New Roman" w:cs="Times New Roman" w:eastAsia="Times New Roman" w:hAnsi="Times New Roman"/>
          <w:sz w:val="18"/>
          <w:szCs w:val="18"/>
          <w:b w:val="1"/>
          <w:bCs w:val="1"/>
          <w:color w:val="auto"/>
        </w:rPr>
        <w:t xml:space="preserve"> STARS TRUST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(with liability limited to the assets of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Trust) by its Securitization Agent, </w:t>
      </w:r>
      <w:r>
        <w:rPr>
          <w:rFonts w:ascii="Times New Roman" w:cs="Times New Roman" w:eastAsia="Times New Roman" w:hAnsi="Times New Roman"/>
          <w:sz w:val="18"/>
          <w:szCs w:val="18"/>
          <w:b w:val="1"/>
          <w:bCs w:val="1"/>
          <w:color w:val="auto"/>
        </w:rPr>
        <w:t>BMO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NESBITT BURNS INC.</w:t>
      </w:r>
    </w:p>
    <w:p>
      <w:pPr>
        <w:spacing w:after="0" w:line="226"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Terry Ritchie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Terry Ritchie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Christopher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Christopher Romano</w:t>
      </w:r>
    </w:p>
    <w:p>
      <w:pPr>
        <w:spacing w:after="0" w:line="2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Managing Director</w:t>
      </w:r>
    </w:p>
    <w:p>
      <w:pPr>
        <w:sectPr>
          <w:pgSz w:w="11900" w:h="16838" w:orient="portrait"/>
          <w:cols w:equalWidth="0" w:num="1">
            <w:col w:w="11420"/>
          </w:cols>
          <w:pgMar w:left="240" w:top="274" w:right="239" w:bottom="1440" w:gutter="0" w:footer="0" w:header="0"/>
        </w:sectPr>
      </w:pPr>
    </w:p>
    <w:bookmarkStart w:id="173" w:name="page174"/>
    <w:bookmarkEnd w:id="173"/>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MONTREAL TRUST COMPANY OF</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CANADA, </w:t>
      </w:r>
      <w:r>
        <w:rPr>
          <w:rFonts w:ascii="Times New Roman" w:cs="Times New Roman" w:eastAsia="Times New Roman" w:hAnsi="Times New Roman"/>
          <w:sz w:val="18"/>
          <w:szCs w:val="18"/>
          <w:color w:val="auto"/>
        </w:rPr>
        <w:t>as trustee of</w:t>
      </w:r>
      <w:r>
        <w:rPr>
          <w:rFonts w:ascii="Times New Roman" w:cs="Times New Roman" w:eastAsia="Times New Roman" w:hAnsi="Times New Roman"/>
          <w:sz w:val="18"/>
          <w:szCs w:val="18"/>
          <w:b w:val="1"/>
          <w:bCs w:val="1"/>
          <w:color w:val="auto"/>
        </w:rPr>
        <w:t xml:space="preserve"> BAY STREET</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xml:space="preserve">FUNDING TRUST </w:t>
      </w:r>
      <w:r>
        <w:rPr>
          <w:rFonts w:ascii="Times New Roman" w:cs="Times New Roman" w:eastAsia="Times New Roman" w:hAnsi="Times New Roman"/>
          <w:sz w:val="18"/>
          <w:szCs w:val="18"/>
          <w:color w:val="auto"/>
        </w:rPr>
        <w:t>(with liability limited</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to the assets of the trust) by its</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 xml:space="preserve">administrator, </w:t>
      </w:r>
      <w:r>
        <w:rPr>
          <w:rFonts w:ascii="Times New Roman" w:cs="Times New Roman" w:eastAsia="Times New Roman" w:hAnsi="Times New Roman"/>
          <w:sz w:val="18"/>
          <w:szCs w:val="18"/>
          <w:b w:val="1"/>
          <w:bCs w:val="1"/>
          <w:color w:val="auto"/>
        </w:rPr>
        <w:t>SCOTIA CAPITAL INC.</w:t>
      </w:r>
    </w:p>
    <w:p>
      <w:pPr>
        <w:spacing w:after="0" w:line="226"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Noe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Douglas Noe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 Structured Finance</w:t>
            </w:r>
          </w:p>
        </w:tc>
      </w:tr>
      <w:tr>
        <w:trPr>
          <w:trHeight w:val="434"/>
        </w:trPr>
        <w:tc>
          <w:tcPr>
            <w:tcW w:w="58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bl>
    <w:p>
      <w:pPr>
        <w:sectPr>
          <w:pgSz w:w="11900" w:h="16838" w:orient="portrait"/>
          <w:cols w:equalWidth="0" w:num="1">
            <w:col w:w="10220"/>
          </w:cols>
          <w:pgMar w:left="1440" w:top="272"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acknowledges notice of and consents to the foregoing amendments to the Limited Partnership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12th day of February, 2008.</w:t>
      </w:r>
    </w:p>
    <w:p>
      <w:pPr>
        <w:spacing w:after="0" w:line="21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AVIS BUDGET CAR RENTAL, LLC</w:t>
      </w:r>
    </w:p>
    <w:p>
      <w:pPr>
        <w:spacing w:after="0" w:line="250"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David Calabria</w:t>
      </w:r>
    </w:p>
    <w:p>
      <w:pPr>
        <w:spacing w:after="0" w:line="21"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 Finance</w:t>
      </w:r>
    </w:p>
    <w:p>
      <w:pPr>
        <w:sectPr>
          <w:pgSz w:w="11900" w:h="16838" w:orient="portrait"/>
          <w:cols w:equalWidth="0" w:num="1">
            <w:col w:w="9759"/>
          </w:cols>
          <w:pgMar w:left="700" w:top="274"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10.59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RETIREMENT EQUALIZATION BENEFIT PLAN</w:t>
      </w:r>
    </w:p>
    <w:p>
      <w:pPr>
        <w:spacing w:after="0" w:line="173"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Avis Rent A Car System, Inc. adopted and established the Retirement Equalization Benefit Plan (the “Prior Plan”) to compensate certain senior executives for any reduction in the retirement benefits provided under the Retirement Plan for Employees as of June 30, 1985 of Avis Rent A Car System, Inc. (the “Pension Plan”) which resulted from the application of the limitations imposed by section 415 of the Internal Revenue Code of 1954, as amended, as incorporated in Section 14.1 of the Pension Plan. The Amended Retirement Equalization Benefit Plan, as set forth herein effective as of July 1, 1987, is intended to further the objectives of the Prior Plan by compensating certain executives for reductions in the retirement benefits provided under the Pension Plan imposed by the Internal Revenue Code of 1986, as amended (the “Code”) and for any such reductions that may be imposed in the future. The Plan is intended to be an “excess benefit plan” as that term is defined in Section 3(36) of the Employee Retirement Income Security Act of 1974, as amended (“ERISA”), with respect to those Executives whose benefits under the Pension Plan have been limited by section 415 of the Code, and a “top hat” plan meeting the requirements of Sections 201(2), 301(a)(3), 401(a)(1) and 4021(b)(6) of ERISA with respect to those Executives whose benefits under the Pension Plan have been limited by section 401(a)(17) of the Code.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words and phrases shall, when used herein, have the meanings set forth below:</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 “Avis” means Avis Rent A Car System, Inc. and any successor thereto which maintains the Plan and which shall assume the obligations hereunder.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 “Executive” means each person designated as such by the Board of Directors of Avis pursuant to Section 6 hereof.</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1.3 “Pension Plan” means the Retirement Plan for Employees as of June 30, 1985 of Avis Rent A Car System, Inc., as the same may be amended from time to time.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 “Plan” means the Amended Retirement Equalization Benefit Plan as set forth herein.</w:t>
      </w:r>
    </w:p>
    <w:p>
      <w:pPr>
        <w:spacing w:after="0" w:line="171" w:lineRule="exact"/>
        <w:rPr>
          <w:sz w:val="20"/>
          <w:szCs w:val="20"/>
          <w:color w:val="auto"/>
        </w:rPr>
      </w:pPr>
    </w:p>
    <w:p>
      <w:pPr>
        <w:ind w:right="160" w:firstLine="464"/>
        <w:spacing w:after="0" w:line="258" w:lineRule="auto"/>
        <w:tabs>
          <w:tab w:leader="none" w:pos="63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Each Executive (as defined in Section 1.2 hereof) who suffers a reduction in the pension benefits otherwise payable to such Executive (or such Executive’s beneficiary) under Articles 4 and 6 of the Pension Plan as a result of the limitations imposed by the Code including, without limitation, section 415 (as such limitation is expressed in Section 14.1 (or any successor thereto) of the Pension Plan) and section 401(a)(17) thereof, shall be eligible for a Retirement Equalization Benefit determined in accordance with Section 3 hereof.</w:t>
      </w:r>
    </w:p>
    <w:p>
      <w:pPr>
        <w:sectPr>
          <w:pgSz w:w="11900" w:h="16838" w:orient="portrait"/>
          <w:cols w:equalWidth="0" w:num="1">
            <w:col w:w="11420"/>
          </w:cols>
          <w:pgMar w:left="240" w:top="123" w:right="239" w:bottom="1440" w:gutter="0" w:footer="0" w:header="0"/>
        </w:sectPr>
      </w:pPr>
    </w:p>
    <w:bookmarkStart w:id="176" w:name="page177"/>
    <w:bookmarkEnd w:id="176"/>
    <w:p>
      <w:pPr>
        <w:ind w:left="-464" w:firstLine="464"/>
        <w:spacing w:after="0" w:line="254" w:lineRule="auto"/>
        <w:tabs>
          <w:tab w:leader="none" w:pos="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Equalization Benefit</w:t>
      </w:r>
      <w:r>
        <w:rPr>
          <w:rFonts w:ascii="Times New Roman" w:cs="Times New Roman" w:eastAsia="Times New Roman" w:hAnsi="Times New Roman"/>
          <w:sz w:val="18"/>
          <w:szCs w:val="18"/>
          <w:color w:val="auto"/>
        </w:rPr>
        <w:t>. The Retirement Equalization Benefit shall be a monthly benefit, determined at the time a pension first commences to be paid under the Pension Plan to the Executive, or in the case of such Executive’s death prior to such time, to such Executive’s surviving spouse or other beneficiary, equal to the excess, if any, of (i) the monthly pension (expressed in the form of a straight life annuity) that would have been payable to the Executive (or the Executive’s surviving spouse or other beneficiary) under the Pension Plan, determined under Articles 4 and 6 thereof and without regard to any other provision thereof (including, without limitation, Section 14.1 thereof or any successor thereto) which is required in order to satisfy the requirements of any provision of the Code applicable to the Pension Plan (including, without limitation, sections 401(a)(17) and 415 thereof) over (ii) the monthly pension (expressed in the form of a straight life annuity) payable to the Executive (or the Executive’s surviving spouse or other beneficiary) under the Pension Plan.</w:t>
      </w:r>
    </w:p>
    <w:p>
      <w:pPr>
        <w:spacing w:after="0" w:line="141" w:lineRule="exact"/>
        <w:rPr>
          <w:rFonts w:ascii="Times New Roman" w:cs="Times New Roman" w:eastAsia="Times New Roman" w:hAnsi="Times New Roman"/>
          <w:sz w:val="18"/>
          <w:szCs w:val="18"/>
          <w:color w:val="auto"/>
        </w:rPr>
      </w:pPr>
    </w:p>
    <w:p>
      <w:pPr>
        <w:jc w:val="both"/>
        <w:ind w:left="-464" w:right="220" w:firstLine="464"/>
        <w:spacing w:after="0" w:line="262" w:lineRule="auto"/>
        <w:tabs>
          <w:tab w:leader="none" w:pos="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 Payment of the Retirement Equalization Benefit shall commence at the same time as pension payments commence to the Executive (or the Executive’s surviving spouse or other beneficiary) under the Pension Plan. The Pension Committee of Avis shall authorize payments upon receipt of the calculation of the amount of such Retirement Equalization Benefit.</w:t>
      </w:r>
    </w:p>
    <w:p>
      <w:pPr>
        <w:spacing w:after="0" w:line="132" w:lineRule="exact"/>
        <w:rPr>
          <w:rFonts w:ascii="Times New Roman" w:cs="Times New Roman" w:eastAsia="Times New Roman" w:hAnsi="Times New Roman"/>
          <w:sz w:val="18"/>
          <w:szCs w:val="18"/>
          <w:color w:val="auto"/>
        </w:rPr>
      </w:pPr>
    </w:p>
    <w:p>
      <w:pPr>
        <w:ind w:left="-464" w:right="40" w:firstLine="464"/>
        <w:spacing w:after="0" w:line="254" w:lineRule="auto"/>
        <w:tabs>
          <w:tab w:leader="none" w:pos="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Payment</w:t>
      </w:r>
      <w:r>
        <w:rPr>
          <w:rFonts w:ascii="Times New Roman" w:cs="Times New Roman" w:eastAsia="Times New Roman" w:hAnsi="Times New Roman"/>
          <w:sz w:val="18"/>
          <w:szCs w:val="18"/>
          <w:color w:val="auto"/>
        </w:rPr>
        <w:t>. Payment of the Retirement Equalization Benefit shall be made to the Executive in the form of a straight life annuity or on an actuarially equivalent basis, as determined in each case by the Pension Committee of Avis in consultation with its actuarial consultants, giving due regard to any election made by the Executive with respect to the manner of payments to be made under this Plan or the Pension Plan. In the event of the Executive’s death prior to commencement of such Executive’s Retirement Equalization Benefit, payment of such Executive’s Retirement Equalization Benefit shall be made to the Executive’s surviving spouse or other beneficiary eligible to receive benefits pursuant to the terms of the Pension Plan. In the event of the Executive’s death after such Executive’s Retirement Equalization Benefit has commenced to be paid, any survivor benefits payable hereunder shall be paid to the Executive’s surviving spouse or other beneficiary entitled to receive a survivor benefit under such circumstance under the Pension Plan.</w:t>
      </w:r>
    </w:p>
    <w:p>
      <w:pPr>
        <w:spacing w:after="0" w:line="141" w:lineRule="exact"/>
        <w:rPr>
          <w:rFonts w:ascii="Times New Roman" w:cs="Times New Roman" w:eastAsia="Times New Roman" w:hAnsi="Times New Roman"/>
          <w:sz w:val="18"/>
          <w:szCs w:val="18"/>
          <w:color w:val="auto"/>
        </w:rPr>
      </w:pPr>
    </w:p>
    <w:p>
      <w:pPr>
        <w:ind w:left="-464" w:right="20" w:firstLine="464"/>
        <w:spacing w:after="0" w:line="256" w:lineRule="auto"/>
        <w:tabs>
          <w:tab w:leader="none" w:pos="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Board of Directors of Avis shall have the power and authority to designate as “Executives” for purposes of this Plan such senior executives of Avis as it shall select. A list of any senior executives so designated shall be appended to and made a part of this Plan. The Plan shall be administered by the Pension Committee of Avis. The Pension Committee (with consent of the Board of Directors) shall have all powers as may be necessary to discharge its duties hereunder, including but not by way of limitation, the power to interpret the Plan and to determine the amount, manner and time of payment of any Retirement Benefit hereunder.</w:t>
      </w:r>
    </w:p>
    <w:p>
      <w:pPr>
        <w:sectPr>
          <w:pgSz w:w="11900" w:h="16838" w:orient="portrait"/>
          <w:cols w:equalWidth="0" w:num="1">
            <w:col w:w="10956"/>
          </w:cols>
          <w:pgMar w:left="704" w:top="274" w:right="239" w:bottom="1440" w:gutter="0" w:footer="0" w:header="0"/>
        </w:sectPr>
      </w:pPr>
    </w:p>
    <w:bookmarkStart w:id="177" w:name="page178"/>
    <w:bookmarkEnd w:id="177"/>
    <w:p>
      <w:pPr>
        <w:ind w:left="-464" w:right="100" w:firstLine="464"/>
        <w:spacing w:after="0" w:line="301" w:lineRule="auto"/>
        <w:tabs>
          <w:tab w:leader="none" w:pos="16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Source of Payments</w:t>
      </w:r>
      <w:r>
        <w:rPr>
          <w:rFonts w:ascii="Times New Roman" w:cs="Times New Roman" w:eastAsia="Times New Roman" w:hAnsi="Times New Roman"/>
          <w:sz w:val="16"/>
          <w:szCs w:val="16"/>
          <w:color w:val="auto"/>
        </w:rPr>
        <w:t>. All payments provided for under the Plan shall be paid in cash from the general funds of Avis; provided, however, that Avis reserves the right to establish one or more trusts to provide alternate sources of benefit payments under the Plan. Avis may, but shall not be required to, make any investment or investments whatsoever, to provide it with funds sufficient to satisfy its obligations under the Plan; provided that neither the Executive, nor such Executive’s surviving spouse or their beneficiary, nor any other person, shall have any right, title or interest whatsoever in or to any such investment.</w:t>
      </w:r>
    </w:p>
    <w:p>
      <w:pPr>
        <w:spacing w:after="0" w:line="103" w:lineRule="exact"/>
        <w:rPr>
          <w:rFonts w:ascii="Times New Roman" w:cs="Times New Roman" w:eastAsia="Times New Roman" w:hAnsi="Times New Roman"/>
          <w:sz w:val="16"/>
          <w:szCs w:val="16"/>
          <w:color w:val="auto"/>
        </w:rPr>
      </w:pPr>
    </w:p>
    <w:p>
      <w:pPr>
        <w:ind w:left="-464" w:firstLine="464"/>
        <w:spacing w:after="0" w:line="254" w:lineRule="auto"/>
        <w:tabs>
          <w:tab w:leader="none" w:pos="1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Rights</w:t>
      </w:r>
      <w:r>
        <w:rPr>
          <w:rFonts w:ascii="Times New Roman" w:cs="Times New Roman" w:eastAsia="Times New Roman" w:hAnsi="Times New Roman"/>
          <w:sz w:val="18"/>
          <w:szCs w:val="18"/>
          <w:color w:val="auto"/>
        </w:rPr>
        <w:t>. Nothing contained in the Plan, and no action taken pursuant to its terms, shall create or be construed to create a trust or escrow account of any kind, or a fiduciary relationship between Avis and the Executive, such Executive’s surviving spouse or other beneficiary or any other person. The Executive, such Executive’s surviving spouse or other beneficiary and any other person or persons claiming a right to payments hereunder, shall rely solely on the unsecured promise of Avis and nothing herein shall be construed to give the Executive, such Executive’s surviving spouse or other beneficiary or any other person or persons, any right, title, interest or claim in or to any specific asset, fund, reserve, account or property of any kind whatsoever, owned by Avis or in which it may have any right, title or interest now or in the future, but the Executive, such Executive’s surviving spouse or other beneficiary shall have the right to enforce a claim for benefits hereunder against Avis in the same manner as any unsecured creditor.</w:t>
      </w:r>
    </w:p>
    <w:p>
      <w:pPr>
        <w:spacing w:after="0" w:line="141" w:lineRule="exact"/>
        <w:rPr>
          <w:rFonts w:ascii="Times New Roman" w:cs="Times New Roman" w:eastAsia="Times New Roman" w:hAnsi="Times New Roman"/>
          <w:sz w:val="18"/>
          <w:szCs w:val="18"/>
          <w:color w:val="auto"/>
        </w:rPr>
      </w:pPr>
    </w:p>
    <w:p>
      <w:pPr>
        <w:ind w:left="-464" w:right="60" w:firstLine="464"/>
        <w:spacing w:after="0" w:line="258" w:lineRule="auto"/>
        <w:tabs>
          <w:tab w:leader="none" w:pos="1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Nonalienation</w:t>
      </w:r>
      <w:r>
        <w:rPr>
          <w:rFonts w:ascii="Times New Roman" w:cs="Times New Roman" w:eastAsia="Times New Roman" w:hAnsi="Times New Roman"/>
          <w:sz w:val="18"/>
          <w:szCs w:val="18"/>
          <w:color w:val="auto"/>
        </w:rPr>
        <w:t>. Neither the Executive, nor such Executive’s surviving spouse or other beneficiary shall have any right or power to sell, anticipate, assign, pledge, mortgage, transfer or otherwise alienate or encumber the right to receive any payments hereunder and any attempt to sell, anticipate, assign, pledge, mortgage, transfer or otherwise alienate or encumber such right shall be null and void. To the fullest extent permitted by law, no payment or right to payment hereunder shall be subject to involuntary assignment or to attachment, execution, garnishment, sequestration or other legal or equitable process.</w:t>
      </w:r>
    </w:p>
    <w:p>
      <w:pPr>
        <w:sectPr>
          <w:pgSz w:w="11900" w:h="16838" w:orient="portrait"/>
          <w:cols w:equalWidth="0" w:num="1">
            <w:col w:w="10956"/>
          </w:cols>
          <w:pgMar w:left="704" w:top="274" w:right="239" w:bottom="1440" w:gutter="0" w:footer="0" w:header="0"/>
        </w:sectPr>
      </w:pPr>
    </w:p>
    <w:bookmarkStart w:id="178" w:name="page179"/>
    <w:bookmarkEnd w:id="178"/>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Executives</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Each executive of Avis Rent A Car System, Inc. with the title of Vice President or higher who suffers a reduction in the pension benefits otherwise payable to such executive (or such executive’s beneficiary) under Articles 4 and 6 of the Pension Plan as a result of the limitations imposed by the Code including, without limitation, Section 415 and Section 401(a)(17) thereof, shall be deemed a designated “Executive” for purposes of Section 6 of this Plan.</w:t>
      </w:r>
    </w:p>
    <w:p>
      <w:pPr>
        <w:sectPr>
          <w:pgSz w:w="11900" w:h="16838" w:orient="portrait"/>
          <w:cols w:equalWidth="0" w:num="1">
            <w:col w:w="11240"/>
          </w:cols>
          <w:pgMar w:left="240" w:top="272" w:right="4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10.60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LICENSE AGREEMENT</w:t>
      </w:r>
    </w:p>
    <w:p>
      <w:pPr>
        <w:spacing w:after="0" w:line="17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Agreement is made and entered into on the 22nd day of October 1986 between Wizard Co., Inc., a corporation of the State of Delaware, with its principal place of business at 900 Old Country Road, Garden City, Long Island, New York 11530 (hereafter referred to as “Licensor”), and Avis Europe plc, an English company, registered number 1995619, with its principal place of business at Avis House, Park Road, Bracknell, Berkshire, RG12 2EW, United Kingdom (hereafter referred to as “Licensee”).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7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WHEREAS, Licensor holds all right, title and interest in the trademarks and service marks, and the goodwill symbolized by such trademarks and service marks, as well as all related registrations and applications, as listed in Appendix I attached to this Agreement and made a part hereof;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WHEREAS, Licensee desires to use the trademarks and service marks listed in Appendix I in connection with the goods and services stated in Appendix II; and</w:t>
      </w:r>
    </w:p>
    <w:p>
      <w:pPr>
        <w:spacing w:after="0" w:line="194"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WHEREAS, Licensor desires to obtain from Licensee an initial royalty payment representing the present value of the rights to be provided to Licensee by Licensor over the term of this Agreement, plus certain other future royalties as provided herein;</w:t>
      </w:r>
    </w:p>
    <w:p>
      <w:pPr>
        <w:spacing w:after="0" w:line="12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and for other good and valuable consideration, the receipt and sufficiency of which are hereby acknowledged, the parties hereto agree as follows: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2" w:lineRule="exact"/>
        <w:rPr>
          <w:sz w:val="20"/>
          <w:szCs w:val="20"/>
          <w:color w:val="auto"/>
        </w:rPr>
      </w:pPr>
    </w:p>
    <w:p>
      <w:pPr>
        <w:ind w:left="460" w:hanging="452"/>
        <w:spacing w:after="0"/>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used in this Agreement, unless otherwise indicated, the terms quoted below shall have the meaning ascribed to them in this Article I.</w:t>
      </w:r>
    </w:p>
    <w:p>
      <w:pPr>
        <w:spacing w:after="0" w:line="90" w:lineRule="exact"/>
        <w:rPr>
          <w:sz w:val="20"/>
          <w:szCs w:val="20"/>
          <w:color w:val="auto"/>
        </w:rPr>
      </w:pPr>
    </w:p>
    <w:p>
      <w:pPr>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1.1</w:t>
        <w:tab/>
        <w:t>“Alternate Products and Services” shall mean any of the goods or services listed in Appendix II, Part II, until and unless the same shall be deemed Licensed Products and Services. Alternate Products and Services shall not include any goods or services of any affiliate of Licensor offered under or in connection with marks other than the Licensed Marks.</w:t>
      </w:r>
    </w:p>
    <w:p>
      <w:pPr>
        <w:spacing w:after="0" w:line="51" w:lineRule="exact"/>
        <w:rPr>
          <w:sz w:val="20"/>
          <w:szCs w:val="20"/>
          <w:color w:val="auto"/>
        </w:rPr>
      </w:pPr>
    </w:p>
    <w:p>
      <w:pPr>
        <w:ind w:left="460" w:right="80" w:hanging="445"/>
        <w:spacing w:after="0" w:line="301" w:lineRule="auto"/>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“Licensed Territory” shall mean that part of the world bounded to the west of the Greenwich Meridian by a line running from the north pole to the south pole along 30 degrees of Longitude (but including that part of the Azores and Greenland which lies to the west of such line) and to the east of the Greenwich Meridian by a line running from the north pole to the south pole along 60 degrees of Longitude (but including that part of the U.S.S.R. and Iran which lies to the east of such line) but excluding the Republic of France, Madagascar and the continent of Africa west of the Suez canal and the Red Sea.</w:t>
      </w:r>
    </w:p>
    <w:p>
      <w:pPr>
        <w:spacing w:after="0" w:line="22" w:lineRule="exact"/>
        <w:rPr>
          <w:sz w:val="20"/>
          <w:szCs w:val="20"/>
          <w:color w:val="auto"/>
        </w:rPr>
      </w:pPr>
    </w:p>
    <w:p>
      <w:pPr>
        <w:ind w:left="460" w:right="30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1.3</w:t>
        <w:tab/>
        <w:t>“Licensed Marks” shall mean all trademarks and service marks and related registrations and applications listed in Appendix I and, where the context so admits, additional trademarks and service marks that the parties add thereto by mutual agreement and the goodwill attached to such marks, but shall exclude any trademarks and service marks and related registrations and applications which have been assigned to Licensee pursuant to Section 10.1 and such exclusion shall continue until such time (if any) as they shall have been reassigned pursuant to Section 10.5.</w:t>
      </w:r>
    </w:p>
    <w:p>
      <w:pPr>
        <w:sectPr>
          <w:pgSz w:w="11900" w:h="16838" w:orient="portrait"/>
          <w:cols w:equalWidth="0" w:num="1">
            <w:col w:w="11420"/>
          </w:cols>
          <w:pgMar w:left="240" w:top="123" w:right="239" w:bottom="1440" w:gutter="0" w:footer="0" w:header="0"/>
        </w:sectPr>
      </w:pPr>
    </w:p>
    <w:bookmarkStart w:id="180" w:name="page181"/>
    <w:bookmarkEnd w:id="180"/>
    <w:p>
      <w:pPr>
        <w:ind w:left="460" w:right="24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tab/>
        <w:t>“Licensed Products and Services” shall mean any of the goods or services listed in Appendix II, Part I, and any Alternate Products and Services deemed Licensed Products and Services pursuant to Section 2.12.</w:t>
      </w:r>
    </w:p>
    <w:p>
      <w:pPr>
        <w:spacing w:after="0" w:line="39" w:lineRule="exact"/>
        <w:rPr>
          <w:sz w:val="20"/>
          <w:szCs w:val="20"/>
          <w:color w:val="auto"/>
        </w:rPr>
      </w:pPr>
    </w:p>
    <w:p>
      <w:pPr>
        <w:ind w:left="460" w:right="2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w:t>
        <w:tab/>
        <w:t>“Sublicensees” shall mean persons or entities who are licensed by Licensee or by Sublicensees to use the Licensed Marks in connection with the sale or distribution of the Licensed Products and Services.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12" w:lineRule="exact"/>
        <w:rPr>
          <w:sz w:val="20"/>
          <w:szCs w:val="20"/>
          <w:color w:val="auto"/>
        </w:rPr>
      </w:pPr>
    </w:p>
    <w:p>
      <w:pPr>
        <w:ind w:left="460" w:hanging="452"/>
        <w:spacing w:after="0"/>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LICENSE</w:t>
      </w:r>
    </w:p>
    <w:p>
      <w:pPr>
        <w:spacing w:after="0" w:line="92" w:lineRule="exact"/>
        <w:rPr>
          <w:sz w:val="20"/>
          <w:szCs w:val="20"/>
          <w:color w:val="auto"/>
        </w:rPr>
      </w:pPr>
    </w:p>
    <w:p>
      <w:pPr>
        <w:jc w:val="both"/>
        <w:ind w:left="460" w:right="6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2.1</w:t>
        <w:tab/>
        <w:t>Subject to the terms and conditions set forth in this Agreement, Licensor grants to Licensee the exclusive right to use the Licensed Marks solely in connection with the sale or distribution of the Licensed Products and Services, and Licensee accepts this license subject to the following terms and conditions.</w:t>
      </w:r>
    </w:p>
    <w:p>
      <w:pPr>
        <w:spacing w:after="0" w:line="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6"/>
          <w:szCs w:val="16"/>
          <w:color w:val="auto"/>
        </w:rPr>
        <w:t>The license hereby granted extends only to the Licensed Territory.</w:t>
      </w:r>
    </w:p>
    <w:p>
      <w:pPr>
        <w:spacing w:after="0" w:line="90"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2.3</w:t>
        <w:tab/>
        <w:t>Licensee may sublicense the rights granted within the Licensed Territory provided that each Sublicensee enters into an agreement (a “Sublicense Agreement”) with the Licensee or its Sublicensee incorporating terms provided for in Section 2.9 hereof. This right to sublicense is personal to Licensee and is granted hereunder only to the named Licensee and to Sublicensees licensed directly by Licensee. Licensee shall promptly notify Licensor in writing of the name and address of all Sublicensees and shall promptly provide Licensor with copies of all Sublicense Agreements between Licensee or any Sublicensee and such Sublicensees.</w:t>
      </w:r>
    </w:p>
    <w:p>
      <w:pPr>
        <w:spacing w:after="0" w:line="58" w:lineRule="exact"/>
        <w:rPr>
          <w:sz w:val="20"/>
          <w:szCs w:val="20"/>
          <w:color w:val="auto"/>
        </w:rPr>
      </w:pPr>
    </w:p>
    <w:p>
      <w:pPr>
        <w:jc w:val="both"/>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2.4</w:t>
        <w:tab/>
        <w:t>Licensee recognizes the value of the goodwill associated with the Licensed Marks and acknowledges that the Licensed Marks and all rights in them and the goodwill pertaining to them throughout the world belong exclusively to Licensor, and that the Licensed Marks have secondary meaning in the trade and to customers and purchasers and prospective customers and purchasers of the Licensed Products and Services.</w:t>
      </w:r>
    </w:p>
    <w:p>
      <w:pPr>
        <w:spacing w:after="0" w:line="51" w:lineRule="exact"/>
        <w:rPr>
          <w:sz w:val="20"/>
          <w:szCs w:val="20"/>
          <w:color w:val="auto"/>
        </w:rPr>
      </w:pPr>
    </w:p>
    <w:p>
      <w:pPr>
        <w:ind w:left="4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2.5</w:t>
        <w:tab/>
        <w:t>Licensee agrees that it will not, and will use its best efforts so that its Sublicensees will not, during the term of this Agreement (a) do anything either by an act of omission or commission which might impair, jeopardise, violate or infringe the Licensed Marks; (b) claim adversely to Licensor or anyone claiming through Licensor any right, title or interest in and to any of the Licensed Marks in the Licensed Territory, or anywhere else in the world; (c) misuse or harm or bring into dispute the Licensed Marks; (d) register or apply for registration in the United States, any state thereof, or anywhere else in the world, of any of the Licensed Marks or any other mark which is, in Licensor’s reasonable opinion, the same as or confusingly similar to any of the Licensed Marks. Licensee further agrees that it will not, and will use its reasonable efforts so that its Sublicensees will not, after this Agreement has terminated, perform any of the actions set forth in (a) through (d) above.</w:t>
      </w:r>
    </w:p>
    <w:p>
      <w:pPr>
        <w:spacing w:after="0" w:line="60" w:lineRule="exact"/>
        <w:rPr>
          <w:sz w:val="20"/>
          <w:szCs w:val="20"/>
          <w:color w:val="auto"/>
        </w:rPr>
      </w:pPr>
    </w:p>
    <w:p>
      <w:pPr>
        <w:ind w:left="460" w:right="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2.6</w:t>
        <w:tab/>
        <w:t>Licensee agrees that its use and the use by its Sublicensees of the Licensed Marks shall inure to the benefit of Licensor, and neither Licensee nor its Sublicensees shall at any time acquire any rights in the Licensed Marks. Any application to register the Licensed Marks or any mark confusingly similar to any of the Licensed Marks,</w:t>
      </w:r>
    </w:p>
    <w:p>
      <w:pPr>
        <w:sectPr>
          <w:pgSz w:w="11900" w:h="16838" w:orient="portrait"/>
          <w:cols w:equalWidth="0" w:num="1">
            <w:col w:w="11380"/>
          </w:cols>
          <w:pgMar w:left="240" w:top="274" w:right="279" w:bottom="1440" w:gutter="0" w:footer="0" w:header="0"/>
        </w:sectPr>
      </w:pPr>
    </w:p>
    <w:bookmarkStart w:id="181" w:name="page182"/>
    <w:bookmarkEnd w:id="181"/>
    <w:p>
      <w:pPr>
        <w:jc w:val="both"/>
        <w:ind w:left="6" w:right="460" w:hanging="445"/>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w:t>
      </w:r>
      <w:r>
        <w:rPr>
          <w:sz w:val="20"/>
          <w:szCs w:val="20"/>
          <w:color w:val="auto"/>
        </w:rPr>
        <w:t xml:space="preserve"> </w:t>
      </w:r>
      <w:r>
        <w:rPr>
          <w:rFonts w:ascii="Times New Roman" w:cs="Times New Roman" w:eastAsia="Times New Roman" w:hAnsi="Times New Roman"/>
          <w:sz w:val="18"/>
          <w:szCs w:val="18"/>
          <w:color w:val="auto"/>
        </w:rPr>
        <w:t>Licensee shall execute, and shall use its best efforts to cause any Sublicensee to execute, any documents deemed reasonably necessary by Licensor to obtain protection for the Licensed Marks or to maintain their continued validity and enforceability based upon the use thereof by the Licensee or any Sublicensee.</w:t>
      </w:r>
    </w:p>
    <w:p>
      <w:pPr>
        <w:spacing w:after="0" w:line="51" w:lineRule="exact"/>
        <w:rPr>
          <w:sz w:val="20"/>
          <w:szCs w:val="20"/>
          <w:color w:val="auto"/>
        </w:rPr>
      </w:pPr>
    </w:p>
    <w:p>
      <w:pPr>
        <w:ind w:left="6" w:right="60" w:hanging="445"/>
        <w:spacing w:after="0" w:line="262" w:lineRule="auto"/>
        <w:rPr>
          <w:sz w:val="20"/>
          <w:szCs w:val="20"/>
          <w:color w:val="auto"/>
        </w:rPr>
      </w:pPr>
      <w:r>
        <w:rPr>
          <w:rFonts w:ascii="Times New Roman" w:cs="Times New Roman" w:eastAsia="Times New Roman" w:hAnsi="Times New Roman"/>
          <w:sz w:val="18"/>
          <w:szCs w:val="18"/>
          <w:color w:val="auto"/>
        </w:rPr>
        <w:t>2.8</w:t>
      </w:r>
      <w:r>
        <w:rPr>
          <w:sz w:val="20"/>
          <w:szCs w:val="20"/>
          <w:color w:val="auto"/>
        </w:rPr>
        <w:t xml:space="preserve"> </w:t>
      </w:r>
      <w:r>
        <w:rPr>
          <w:rFonts w:ascii="Times New Roman" w:cs="Times New Roman" w:eastAsia="Times New Roman" w:hAnsi="Times New Roman"/>
          <w:sz w:val="18"/>
          <w:szCs w:val="18"/>
          <w:color w:val="auto"/>
        </w:rPr>
        <w:t>Licensee agrees that it and, to its best efforts, its Sublicensees shall use the Avis name and related trademarks in connection with such Licensed Products and Services as are provided by it, and shall not use any other trademark or service mark in combination with the Licensed Marks without the prior written consent of Licensor, which consent shall not be unreasonably withheld.</w:t>
      </w:r>
    </w:p>
    <w:p>
      <w:pPr>
        <w:spacing w:after="0" w:line="51" w:lineRule="exact"/>
        <w:rPr>
          <w:sz w:val="20"/>
          <w:szCs w:val="20"/>
          <w:color w:val="auto"/>
        </w:rPr>
      </w:pPr>
    </w:p>
    <w:p>
      <w:pPr>
        <w:ind w:left="6" w:right="120" w:hanging="445"/>
        <w:spacing w:after="0" w:line="285" w:lineRule="auto"/>
        <w:rPr>
          <w:sz w:val="20"/>
          <w:szCs w:val="20"/>
          <w:color w:val="auto"/>
        </w:rPr>
      </w:pPr>
      <w:r>
        <w:rPr>
          <w:rFonts w:ascii="Times New Roman" w:cs="Times New Roman" w:eastAsia="Times New Roman" w:hAnsi="Times New Roman"/>
          <w:sz w:val="18"/>
          <w:szCs w:val="18"/>
          <w:color w:val="auto"/>
        </w:rPr>
        <w:t>2.9</w:t>
      </w:r>
      <w:r>
        <w:rPr>
          <w:sz w:val="20"/>
          <w:szCs w:val="20"/>
          <w:color w:val="auto"/>
        </w:rPr>
        <w:t xml:space="preserve"> </w:t>
      </w:r>
      <w:r>
        <w:rPr>
          <w:rFonts w:ascii="Times New Roman" w:cs="Times New Roman" w:eastAsia="Times New Roman" w:hAnsi="Times New Roman"/>
          <w:sz w:val="16"/>
          <w:szCs w:val="16"/>
          <w:color w:val="auto"/>
        </w:rPr>
        <w:t>Each Sublicense Agreement shall provide that (a) the License granted thereby does not extend beyond the Licensed Territory or some part thereof, (b) the Licensed Marks covered thereby may be used solely in connection with the sale or distribution of Licensed Products and Services, (c) the Sublicensee agrees to maintain the quality standards established by Licensor and described in Article V of this Agreement, to preserve and protect the Licensed Marks and to provide information and assistance to Licensee with respect to matters as to which Licensee must inform and assist Licensor under this Agreement,</w:t>
      </w:r>
    </w:p>
    <w:p>
      <w:pPr>
        <w:spacing w:after="0" w:line="3" w:lineRule="exact"/>
        <w:rPr>
          <w:sz w:val="20"/>
          <w:szCs w:val="20"/>
          <w:color w:val="auto"/>
        </w:rPr>
      </w:pPr>
    </w:p>
    <w:p>
      <w:pPr>
        <w:ind w:left="6" w:hanging="6"/>
        <w:spacing w:after="0" w:line="288" w:lineRule="auto"/>
        <w:tabs>
          <w:tab w:leader="none" w:pos="25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Sublicense Agreement shall terminate not later than the expiry of this Agreement, and (e) the Sublicensee shall observe terms having the same effect as those contained in Sections 2.5, 2.6, 2.7, 2.8 and 8.10 hereof. The Sublicense Agreement shall also provide for the grant of rights to use the Avis System pursuant to the License Agreement of even date herewith (the “System License Agreement”) between Avis Rent A Car System, Inc. (“ARACS”) and Licensee, and for other related rights, but shall not grant to the Sublicensee any rights with respect to the Licensed Marks which exceed the rights granted by Licensor to Licensee by this Agreement. At the request of Licensor, the Sublicense Agreement or an additional appropriate agreement between the Licensor or the sublicensor and the Sublicensee shall be entered into in form suitable for recording as a registered user or similar agreement. Licensee is free to determine all other terms of the Sublicense Agreement provided that the same are not in conflict herewith and with the System License Agreement.</w:t>
      </w:r>
    </w:p>
    <w:p>
      <w:pPr>
        <w:spacing w:after="0" w:line="36" w:lineRule="exact"/>
        <w:rPr>
          <w:sz w:val="20"/>
          <w:szCs w:val="20"/>
          <w:color w:val="auto"/>
        </w:rPr>
      </w:pPr>
    </w:p>
    <w:p>
      <w:pPr>
        <w:ind w:left="6" w:right="60" w:hanging="445"/>
        <w:spacing w:after="0" w:line="255" w:lineRule="auto"/>
        <w:rPr>
          <w:sz w:val="20"/>
          <w:szCs w:val="20"/>
          <w:color w:val="auto"/>
        </w:rPr>
      </w:pPr>
      <w:r>
        <w:rPr>
          <w:rFonts w:ascii="Times New Roman" w:cs="Times New Roman" w:eastAsia="Times New Roman" w:hAnsi="Times New Roman"/>
          <w:sz w:val="18"/>
          <w:szCs w:val="18"/>
          <w:color w:val="auto"/>
        </w:rPr>
        <w:t>2.10</w:t>
      </w:r>
      <w:r>
        <w:rPr>
          <w:sz w:val="20"/>
          <w:szCs w:val="20"/>
          <w:color w:val="auto"/>
        </w:rPr>
        <w:t xml:space="preserve"> </w:t>
      </w:r>
      <w:r>
        <w:rPr>
          <w:rFonts w:ascii="Times New Roman" w:cs="Times New Roman" w:eastAsia="Times New Roman" w:hAnsi="Times New Roman"/>
          <w:sz w:val="18"/>
          <w:szCs w:val="18"/>
          <w:color w:val="auto"/>
        </w:rPr>
        <w:t>Licensor shall take all necessary action, as requested by Licensee, to obtain protection for the Licensed Marks by registration thereof, shall maintain all the Licensed Marks in force, throughout the Licensed Territory, and shall execute any documents deemed reasonably necessary for such purpose by Licensee. All such action shall be taken at the sole cost and expense of Licensee, except to the extent that the Licensed Marks are being used by Licensor in the Licensed Territory with respect to Alternate Products and Services. Licensee’s obligation hereunder to reimburse costs and expenses of Licensor shall be limited to obligations, evidence of which is provided to Licensee, incurred by Licensor to third parties, and shall not include direct staff costs and overhead of Licensor.</w:t>
      </w:r>
    </w:p>
    <w:p>
      <w:pPr>
        <w:spacing w:after="0" w:line="58" w:lineRule="exact"/>
        <w:rPr>
          <w:sz w:val="20"/>
          <w:szCs w:val="20"/>
          <w:color w:val="auto"/>
        </w:rPr>
      </w:pPr>
    </w:p>
    <w:p>
      <w:pPr>
        <w:ind w:left="6" w:right="300" w:hanging="445"/>
        <w:spacing w:after="0" w:line="262" w:lineRule="auto"/>
        <w:rPr>
          <w:sz w:val="20"/>
          <w:szCs w:val="20"/>
          <w:color w:val="auto"/>
        </w:rPr>
      </w:pPr>
      <w:r>
        <w:rPr>
          <w:rFonts w:ascii="Times New Roman" w:cs="Times New Roman" w:eastAsia="Times New Roman" w:hAnsi="Times New Roman"/>
          <w:sz w:val="18"/>
          <w:szCs w:val="18"/>
          <w:color w:val="auto"/>
        </w:rPr>
        <w:t>2.11</w:t>
      </w:r>
      <w:r>
        <w:rPr>
          <w:sz w:val="20"/>
          <w:szCs w:val="20"/>
          <w:color w:val="auto"/>
        </w:rPr>
        <w:t xml:space="preserve"> </w:t>
      </w:r>
      <w:r>
        <w:rPr>
          <w:rFonts w:ascii="Times New Roman" w:cs="Times New Roman" w:eastAsia="Times New Roman" w:hAnsi="Times New Roman"/>
          <w:sz w:val="18"/>
          <w:szCs w:val="18"/>
          <w:color w:val="auto"/>
        </w:rPr>
        <w:t>Nothing in this Agreement shall prevent either party, its licensees or sublicensees from using the Licensed Marks in activities conducted pursuant to the Joint Promotion Agreement dated the date hereof between Licensee and ARACS outside their respective territories for the purpose of identifying, advertising or promoting their activities as conducted within their respective territories.</w:t>
      </w:r>
    </w:p>
    <w:p>
      <w:pPr>
        <w:spacing w:after="0" w:line="51" w:lineRule="exact"/>
        <w:rPr>
          <w:sz w:val="20"/>
          <w:szCs w:val="20"/>
          <w:color w:val="auto"/>
        </w:rPr>
      </w:pPr>
    </w:p>
    <w:p>
      <w:pPr>
        <w:ind w:left="6" w:right="40" w:hanging="445"/>
        <w:spacing w:after="0" w:line="301" w:lineRule="auto"/>
        <w:rPr>
          <w:sz w:val="20"/>
          <w:szCs w:val="20"/>
          <w:color w:val="auto"/>
        </w:rPr>
      </w:pPr>
      <w:r>
        <w:rPr>
          <w:rFonts w:ascii="Times New Roman" w:cs="Times New Roman" w:eastAsia="Times New Roman" w:hAnsi="Times New Roman"/>
          <w:sz w:val="18"/>
          <w:szCs w:val="18"/>
          <w:color w:val="auto"/>
        </w:rPr>
        <w:t>2.12</w:t>
      </w:r>
      <w:r>
        <w:rPr>
          <w:sz w:val="20"/>
          <w:szCs w:val="20"/>
          <w:color w:val="auto"/>
        </w:rPr>
        <w:t xml:space="preserve"> </w:t>
      </w:r>
      <w:r>
        <w:rPr>
          <w:rFonts w:ascii="Times New Roman" w:cs="Times New Roman" w:eastAsia="Times New Roman" w:hAnsi="Times New Roman"/>
          <w:sz w:val="16"/>
          <w:szCs w:val="16"/>
          <w:color w:val="auto"/>
        </w:rPr>
        <w:t>If there shall be proposed at any time the distribution or sale by Licensee of any of the Alternate Products and Services in the Licensed Territory using the Licensed Marks, such Alternate Products and Services shall be deemed Licensed Products and Services, provided that at such time the parties shall agree upon (a) a royalty in an amount equal to that then being customarily paid for similar newly-issued licenses in connection with similar products and services to be paid by Licensee to Licensor in connection with such uses of the Licensed Marks, and (b) standards and systems for the distribution and sale of</w:t>
      </w:r>
    </w:p>
    <w:p>
      <w:pPr>
        <w:sectPr>
          <w:pgSz w:w="11900" w:h="16838" w:orient="portrait"/>
          <w:cols w:equalWidth="0" w:num="1">
            <w:col w:w="10946"/>
          </w:cols>
          <w:pgMar w:left="694" w:top="274" w:right="259" w:bottom="1440" w:gutter="0" w:footer="0" w:header="0"/>
        </w:sectPr>
      </w:pPr>
    </w:p>
    <w:bookmarkStart w:id="182" w:name="page183"/>
    <w:bookmarkEnd w:id="18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Alternate Products and Services appropriate to and consistent with the Licensed Marks and their protection and enhancement as provided in the Guidelines. If Licensee shall not wish to license the Licensed Marks for use in connection with such Alternate Products and Services, Licensor shall thereafter be free to license the Licensed Marks to others for such use. If Licensor and Licensee shall be unable to agree to the ~terms of the use of the Licensed Marks for Alternate Products and Services after good faith bargaining within a reasonable period of time, the matter shall be referred to review and arbitration under the terms of the Review and Arbitration Agreement between the parties and others dated [ ] (the ‘Review Agreement. “) Licensor does not warrant by any provision of this Agreement that it has the power to grant the right to use the Licensed Marks in connection with any of the Alternate Products and Services.</w:t>
      </w:r>
    </w:p>
    <w:p>
      <w:pPr>
        <w:spacing w:after="0" w:line="60" w:lineRule="exact"/>
        <w:rPr>
          <w:sz w:val="20"/>
          <w:szCs w:val="20"/>
          <w:color w:val="auto"/>
        </w:rPr>
      </w:pPr>
    </w:p>
    <w:p>
      <w:pPr>
        <w:ind w:right="120" w:hanging="445"/>
        <w:spacing w:after="0" w:line="288" w:lineRule="auto"/>
        <w:rPr>
          <w:sz w:val="20"/>
          <w:szCs w:val="20"/>
          <w:color w:val="auto"/>
        </w:rPr>
      </w:pPr>
      <w:r>
        <w:rPr>
          <w:rFonts w:ascii="Times New Roman" w:cs="Times New Roman" w:eastAsia="Times New Roman" w:hAnsi="Times New Roman"/>
          <w:sz w:val="18"/>
          <w:szCs w:val="18"/>
          <w:color w:val="auto"/>
        </w:rPr>
        <w:t>2.13</w:t>
      </w:r>
      <w:r>
        <w:rPr>
          <w:sz w:val="20"/>
          <w:szCs w:val="20"/>
          <w:color w:val="auto"/>
        </w:rPr>
        <w:t xml:space="preserve"> </w:t>
      </w:r>
      <w:r>
        <w:rPr>
          <w:rFonts w:ascii="Times New Roman" w:cs="Times New Roman" w:eastAsia="Times New Roman" w:hAnsi="Times New Roman"/>
          <w:sz w:val="16"/>
          <w:szCs w:val="16"/>
          <w:color w:val="auto"/>
        </w:rPr>
        <w:t>Notwithstanding Section 2.12, if Licensor or any of its affiliates which are otherwise entitled to use the Avis name are at the time of a proposal under Section 2.12 engaged in the distribution and sale of such Alternate Products and Services anywhere in the world, and intend to engage in the same directly in the Licensed Territory and Licensee neither is then engaged in nor has carried out a detailed feasibility study or other substantial action sufficient to demonstrate that it has a firm present intention to engage in, such distribution and sale, Licensor shall not be obligated to license the Licensed Marks to Licensee for use in connection with such Alternate Products and Services, and Licensor or its affiliates can distribute and sell such Alternate Products and Services using the Licensed Marks. Licensor will give reasonable notice to Licensee of the intention of it or its affiliates to so use the Licensed Marks. If Licensor shall thereafter decide to license the Licensed Marks for use in connection with Alternate Products and Services to which the preceding sentence is applicable, other than Licensed Marks which Licensor is free to license to others pursuant to Section 2.12, prior to entering into any license agreement with another person, Licensor shall offer to Licensee for a period of ninety (90) days the opportunity to enter into such an agreement on substantially the same terms. Any dispute arising under this Section 2.13 shall be referred to review and arbitration under the terms of the Review Agreement.</w:t>
      </w:r>
    </w:p>
    <w:p>
      <w:pPr>
        <w:spacing w:after="0" w:line="34" w:lineRule="exact"/>
        <w:rPr>
          <w:sz w:val="20"/>
          <w:szCs w:val="20"/>
          <w:color w:val="auto"/>
        </w:rPr>
      </w:pPr>
    </w:p>
    <w:p>
      <w:pPr>
        <w:ind w:right="320" w:hanging="445"/>
        <w:spacing w:after="0" w:line="262" w:lineRule="auto"/>
        <w:rPr>
          <w:sz w:val="20"/>
          <w:szCs w:val="20"/>
          <w:color w:val="auto"/>
        </w:rPr>
      </w:pPr>
      <w:r>
        <w:rPr>
          <w:rFonts w:ascii="Times New Roman" w:cs="Times New Roman" w:eastAsia="Times New Roman" w:hAnsi="Times New Roman"/>
          <w:sz w:val="18"/>
          <w:szCs w:val="18"/>
          <w:color w:val="auto"/>
        </w:rPr>
        <w:t>2.14</w:t>
      </w:r>
      <w:r>
        <w:rPr>
          <w:sz w:val="20"/>
          <w:szCs w:val="20"/>
          <w:color w:val="auto"/>
        </w:rPr>
        <w:t xml:space="preserve"> </w:t>
      </w:r>
      <w:r>
        <w:rPr>
          <w:rFonts w:ascii="Times New Roman" w:cs="Times New Roman" w:eastAsia="Times New Roman" w:hAnsi="Times New Roman"/>
          <w:sz w:val="18"/>
          <w:szCs w:val="18"/>
          <w:color w:val="auto"/>
        </w:rPr>
        <w:t>Licensee shall not use the Licensed Marks in connection with the sale or distribution of any products or services other than the Licensed Products or Services, but nothing in this Agreement shall prevent Licensee from engaging in the sale or distribution of any such other products or services in such a manner as not to use or adversely affect the Licensed Marks.</w:t>
      </w:r>
    </w:p>
    <w:p>
      <w:pPr>
        <w:spacing w:after="0" w:line="51" w:lineRule="exact"/>
        <w:rPr>
          <w:sz w:val="20"/>
          <w:szCs w:val="20"/>
          <w:color w:val="auto"/>
        </w:rPr>
      </w:pPr>
    </w:p>
    <w:p>
      <w:pPr>
        <w:ind w:right="60" w:hanging="445"/>
        <w:spacing w:after="0" w:line="256" w:lineRule="auto"/>
        <w:rPr>
          <w:sz w:val="20"/>
          <w:szCs w:val="20"/>
          <w:color w:val="auto"/>
        </w:rPr>
      </w:pPr>
      <w:r>
        <w:rPr>
          <w:rFonts w:ascii="Times New Roman" w:cs="Times New Roman" w:eastAsia="Times New Roman" w:hAnsi="Times New Roman"/>
          <w:sz w:val="18"/>
          <w:szCs w:val="18"/>
          <w:color w:val="auto"/>
        </w:rPr>
        <w:t>2.15</w:t>
      </w:r>
      <w:r>
        <w:rPr>
          <w:sz w:val="20"/>
          <w:szCs w:val="20"/>
          <w:color w:val="auto"/>
        </w:rPr>
        <w:t xml:space="preserve"> </w:t>
      </w:r>
      <w:r>
        <w:rPr>
          <w:rFonts w:ascii="Times New Roman" w:cs="Times New Roman" w:eastAsia="Times New Roman" w:hAnsi="Times New Roman"/>
          <w:sz w:val="18"/>
          <w:szCs w:val="18"/>
          <w:color w:val="auto"/>
        </w:rPr>
        <w:t>Until the expiration of a period of six (6) months from the date of execution of this Agreement, neither Licensor nor any of its affiliates otherwise entitled to use the Avis name shall engage in or license the distribution and sale of any products or services in the Licensed Territories, other than (a) products or services listed on Appendix III, Part I, (b) products or services listed on Appendix III, Part II with respect to which Licensor and Licensee have bargained in good faith to reach an agreement under which Licensee participates with Licensor on a reasonable basis in the costs and benefits of such distribution and sale, and (c) other products or services mutually agreed to by Licensor and Licensee.</w:t>
      </w:r>
    </w:p>
    <w:p>
      <w:pPr>
        <w:spacing w:after="0" w:line="58" w:lineRule="exact"/>
        <w:rPr>
          <w:sz w:val="20"/>
          <w:szCs w:val="20"/>
          <w:color w:val="auto"/>
        </w:rPr>
      </w:pPr>
    </w:p>
    <w:p>
      <w:pPr>
        <w:ind w:right="140" w:hanging="445"/>
        <w:spacing w:after="0" w:line="262" w:lineRule="auto"/>
        <w:rPr>
          <w:sz w:val="20"/>
          <w:szCs w:val="20"/>
          <w:color w:val="auto"/>
        </w:rPr>
      </w:pPr>
      <w:r>
        <w:rPr>
          <w:rFonts w:ascii="Times New Roman" w:cs="Times New Roman" w:eastAsia="Times New Roman" w:hAnsi="Times New Roman"/>
          <w:sz w:val="18"/>
          <w:szCs w:val="18"/>
          <w:color w:val="auto"/>
        </w:rPr>
        <w:t>2.16</w:t>
      </w:r>
      <w:r>
        <w:rPr>
          <w:sz w:val="20"/>
          <w:szCs w:val="20"/>
          <w:color w:val="auto"/>
        </w:rPr>
        <w:t xml:space="preserve"> </w:t>
      </w:r>
      <w:r>
        <w:rPr>
          <w:rFonts w:ascii="Times New Roman" w:cs="Times New Roman" w:eastAsia="Times New Roman" w:hAnsi="Times New Roman"/>
          <w:sz w:val="18"/>
          <w:szCs w:val="18"/>
          <w:color w:val="auto"/>
        </w:rPr>
        <w:t>Nothing in this Agreement shall prevent Licensee from accepting from ARACS the assignment of certain license Agreements with sublicensees predating this Agreement or acting thereunder in accordance with the existing terms of such agreements and the related assignment and assumption agreements between Licensee and ARACS.</w:t>
      </w:r>
    </w:p>
    <w:p>
      <w:pPr>
        <w:spacing w:after="0" w:line="51" w:lineRule="exact"/>
        <w:rPr>
          <w:sz w:val="20"/>
          <w:szCs w:val="20"/>
          <w:color w:val="auto"/>
        </w:rPr>
      </w:pPr>
    </w:p>
    <w:p>
      <w:pPr>
        <w:ind w:right="620" w:hanging="445"/>
        <w:spacing w:after="0" w:line="275" w:lineRule="auto"/>
        <w:rPr>
          <w:sz w:val="20"/>
          <w:szCs w:val="20"/>
          <w:color w:val="auto"/>
        </w:rPr>
      </w:pPr>
      <w:r>
        <w:rPr>
          <w:rFonts w:ascii="Times New Roman" w:cs="Times New Roman" w:eastAsia="Times New Roman" w:hAnsi="Times New Roman"/>
          <w:sz w:val="18"/>
          <w:szCs w:val="18"/>
          <w:color w:val="auto"/>
        </w:rPr>
        <w:t>2.17</w:t>
      </w:r>
      <w:r>
        <w:rPr>
          <w:sz w:val="20"/>
          <w:szCs w:val="20"/>
          <w:color w:val="auto"/>
        </w:rPr>
        <w:t xml:space="preserve"> </w:t>
      </w:r>
      <w:r>
        <w:rPr>
          <w:rFonts w:ascii="Times New Roman" w:cs="Times New Roman" w:eastAsia="Times New Roman" w:hAnsi="Times New Roman"/>
          <w:sz w:val="18"/>
          <w:szCs w:val="18"/>
          <w:color w:val="auto"/>
        </w:rPr>
        <w:t>Nothing in this Agreement shall prevent Licensor, its licensees or sublicensees from engaging in the distribution and sale of Alternate Products and Services without using any of the Licensed Marks in connection therewith.</w:t>
      </w:r>
    </w:p>
    <w:p>
      <w:pPr>
        <w:sectPr>
          <w:pgSz w:w="11900" w:h="16838" w:orient="portrait"/>
          <w:cols w:equalWidth="0" w:num="1">
            <w:col w:w="10960"/>
          </w:cols>
          <w:pgMar w:left="700" w:top="274" w:right="239"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212" w:lineRule="exact"/>
        <w:rPr>
          <w:sz w:val="20"/>
          <w:szCs w:val="20"/>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INDEMNIFICATION PROVISIONS</w:t>
      </w:r>
    </w:p>
    <w:p>
      <w:pPr>
        <w:spacing w:after="0" w:line="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All claims for indemnification under this Agreement in respect of any third party claim shall be asserted and resolved as provided in this Section 3.</w:t>
      </w:r>
    </w:p>
    <w:p>
      <w:pPr>
        <w:spacing w:after="0" w:line="90"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3.2</w:t>
        <w:tab/>
        <w:t>In the event that any third party claim or demand (a “Claim”) for which either party (“Indemnitor”) may be liable under this Agreement to indemnify the other party (“Indemnitee”) is asserted against or sought to be collected from Indemnitee, Indemnitee shall as promptly as practicable inform Indemnitor in writing of the Claim, and shall provide such details of the Claim (including amount, if known) and any documents relating thereto as are then available to it (the “Claim Notice”). The failure on the part of Indemnitee to give a Claim Notice promptly shall not relieve the Indemnitor of any indemnification obligations hereunder unless, and then only to the extent that, the Indemnitor is materially prejudiced thereby.</w:t>
      </w:r>
    </w:p>
    <w:p>
      <w:pPr>
        <w:spacing w:after="0" w:line="58" w:lineRule="exact"/>
        <w:rPr>
          <w:sz w:val="20"/>
          <w:szCs w:val="20"/>
          <w:color w:val="auto"/>
        </w:rPr>
      </w:pPr>
    </w:p>
    <w:p>
      <w:pPr>
        <w:jc w:val="both"/>
        <w:ind w:left="460" w:right="8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3.3</w:t>
        <w:tab/>
        <w:t xml:space="preserve">The Indemnitor shall have 15 days from delivery of the Claim Notice (the “Notice Period”) to inform Indemnitee whether or not it desires to conduct the defence of the Claim, in which case Indemnitor shall, at its sole cost and expense, have the right to defend Indemnitee by appropriate proceedings and by counsel reasonably acceptable to Indemnitee and shall have the sole power to direct and control such defence;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Indemnitee may participate in such defence at its sole cost and expense.</w:t>
      </w:r>
    </w:p>
    <w:p>
      <w:pPr>
        <w:spacing w:after="0" w:line="55" w:lineRule="exact"/>
        <w:rPr>
          <w:sz w:val="20"/>
          <w:szCs w:val="20"/>
          <w:color w:val="auto"/>
        </w:rPr>
      </w:pPr>
    </w:p>
    <w:p>
      <w:pPr>
        <w:jc w:val="both"/>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3.4</w:t>
        <w:tab/>
        <w:t>Indemnitee shall not settle a Claim for which it is indemnified by Indemnitor unless Indemnitor does not defend Indemnitee against such Claim, except that Indemnitee shall have the sole right to defend, settle or compromise a Claim with respect to which it has waived its right to indemnification pursuant to this Agreement.</w:t>
      </w:r>
    </w:p>
    <w:p>
      <w:pPr>
        <w:spacing w:after="0" w:line="51" w:lineRule="exact"/>
        <w:rPr>
          <w:sz w:val="20"/>
          <w:szCs w:val="20"/>
          <w:color w:val="auto"/>
        </w:rPr>
      </w:pPr>
    </w:p>
    <w:p>
      <w:pPr>
        <w:ind w:left="460" w:right="12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3.5</w:t>
        <w:tab/>
        <w:t>If Indemnitor does not serve notice under Section 3.3 during the Claim Period, Indemnitee may take such steps as are reasonable to defend itself against a Claim and to settle or compromise such Claim.</w:t>
      </w:r>
    </w:p>
    <w:p>
      <w:pPr>
        <w:spacing w:after="0" w:line="39" w:lineRule="exact"/>
        <w:rPr>
          <w:sz w:val="20"/>
          <w:szCs w:val="20"/>
          <w:color w:val="auto"/>
        </w:rPr>
      </w:pPr>
    </w:p>
    <w:p>
      <w:pPr>
        <w:ind w:left="460" w:right="40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3.6</w:t>
        <w:tab/>
        <w:t>Unless Indemnitee agrees (such agreement not to be unreasonably withheld) Indemnitor may settle or compromise actions and consent to entry of judgments only on terms providing for the delivery of the claimant or plaintiff of a duly executed written unconditional release of Indemnitee from all liability in respect of such action.</w:t>
      </w:r>
    </w:p>
    <w:p>
      <w:pPr>
        <w:spacing w:after="0" w:line="51" w:lineRule="exact"/>
        <w:rPr>
          <w:sz w:val="20"/>
          <w:szCs w:val="20"/>
          <w:color w:val="auto"/>
        </w:rPr>
      </w:pPr>
    </w:p>
    <w:p>
      <w:pPr>
        <w:ind w:left="460" w:right="4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3.7</w:t>
        <w:tab/>
        <w:t>During the Notice Period, Indemnitee may, without prejudicing its right to indemnification, take reasonable actions to preserve all and any rights with respect to the subject matter of a Claim notified to Indemnitor.</w:t>
      </w:r>
    </w:p>
    <w:p>
      <w:pPr>
        <w:spacing w:after="0" w:line="39"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3.8</w:t>
        <w:tab/>
        <w:t>Indemnitee will provide all assistance and access to all documents and personnel reasonably required by Indemnitor in connection with the Defence of any Claim.</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0" w:lineRule="exact"/>
        <w:rPr>
          <w:sz w:val="20"/>
          <w:szCs w:val="20"/>
          <w:color w:val="auto"/>
        </w:rPr>
      </w:pPr>
    </w:p>
    <w:p>
      <w:pPr>
        <w:ind w:left="460" w:hanging="452"/>
        <w:spacing w:after="0"/>
        <w:tabs>
          <w:tab w:leader="none" w:pos="4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 BY LICENSEE</w:t>
      </w:r>
    </w:p>
    <w:p>
      <w:pPr>
        <w:spacing w:after="0" w:line="92" w:lineRule="exact"/>
        <w:rPr>
          <w:sz w:val="20"/>
          <w:szCs w:val="20"/>
          <w:color w:val="auto"/>
        </w:rPr>
      </w:pPr>
    </w:p>
    <w:p>
      <w:pPr>
        <w:ind w:left="460" w:right="32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Licensee shall indemnify and hold Licensor harmless from and against any and all damages, claims, losses, costs and expenses (including reasonable attorneys’ fees) arising out of, caused by or connected directly or indirectly with any breach or non-performance by Licensee of any of its obligations hereunder. The foregoing shall not limit or negate any rights of indemnity Licensor may have from Licensee under any other agreement between them.</w:t>
      </w:r>
    </w:p>
    <w:p>
      <w:pPr>
        <w:sectPr>
          <w:pgSz w:w="11900" w:h="16838" w:orient="portrait"/>
          <w:cols w:equalWidth="0" w:num="1">
            <w:col w:w="11380"/>
          </w:cols>
          <w:pgMar w:left="240" w:top="272" w:right="279" w:bottom="1440" w:gutter="0" w:footer="0" w:header="0"/>
        </w:sectPr>
      </w:pPr>
    </w:p>
    <w:bookmarkStart w:id="184" w:name="page185"/>
    <w:bookmarkEnd w:id="184"/>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6"/>
          <w:szCs w:val="16"/>
          <w:color w:val="auto"/>
        </w:rPr>
        <w:t>Subject to Article III, the indemnifications set forth in this Article IV shall survive the termination of this Agreement.</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12" w:lineRule="exact"/>
        <w:rPr>
          <w:sz w:val="20"/>
          <w:szCs w:val="20"/>
          <w:color w:val="auto"/>
        </w:rPr>
      </w:pPr>
    </w:p>
    <w:p>
      <w:pPr>
        <w:ind w:left="460" w:hanging="452"/>
        <w:spacing w:after="0"/>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CONTROL</w:t>
      </w:r>
    </w:p>
    <w:p>
      <w:pPr>
        <w:spacing w:after="0" w:line="92" w:lineRule="exact"/>
        <w:rPr>
          <w:sz w:val="20"/>
          <w:szCs w:val="20"/>
          <w:color w:val="auto"/>
        </w:rPr>
      </w:pPr>
    </w:p>
    <w:p>
      <w:pPr>
        <w:ind w:left="460" w:hanging="445"/>
        <w:spacing w:after="0" w:line="286" w:lineRule="auto"/>
        <w:tabs>
          <w:tab w:leader="none" w:pos="4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Licensee agrees that all artwork, designs, labels, tags, brochures and other advertisements and promotional material employing the Licensed Marks, whether used in radio, television, or print media, and measures taken by Licensee and the Sublicensees to identify themselves as licensees of Licensor, shall be in accordance with written guidelines (“Guidelines”) furnished from time to time by Licensor to Licensee, which Guidelines may be updated or modified at any time by Licensor during the term, including renewals, of this Agreement. The style and manner in which the Licensed Marks are used in advertisements or other promotional materials used by Licensor and Licensee or any subsidiary with the approval of Licensor prior to the date of this Agreement are deemed Acceptable Uses of the Licensed Marks. Licensee and any Sublicensee shall have the right to use the Licensed Marks in advertisements or other promotional materials in a manner consistent in all material respects with such Acceptable Uses and the Guidelines so as to give the Licensed Marks full and favourable prominence and publicity. Any changes in the Acceptable Uses or in the Guidelines may only be made by Licensor on prior notice to Licensee, providing for transition periods and rules for phase out of obsolete materials which shall be reasonable in light of the cost and effort required of Licensee and the Sublicensees to effect such changes. Licensee and all Sublicensees shall submit to Licensor for Licensor’s written approval any advertisement or promotional material which uses the Licensed Marks in a style or manner that is significantly different from the Acceptable Uses or the Guidelines. Licensee further agrees that representative samples of other uses of the Licensed Marks by Licensee or any Sublicensee shall be submitted to Licensor upon request. Should Licensor at any time reasonably object to any advertisement or other promotional material of the Licensee or Sublicensees as being in violation with the Acceptable Uses or the Guidelines, Licensee shall, at its own expense, cure such violations promptly.</w:t>
      </w:r>
    </w:p>
    <w:p>
      <w:pPr>
        <w:spacing w:after="0" w:line="256" w:lineRule="exact"/>
        <w:rPr>
          <w:sz w:val="20"/>
          <w:szCs w:val="20"/>
          <w:color w:val="auto"/>
        </w:rPr>
      </w:pPr>
    </w:p>
    <w:p>
      <w:pPr>
        <w:ind w:left="460" w:right="6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5.2</w:t>
        <w:tab/>
        <w:t>Licensee agrees that the Licensed Products and Services sold, distributed or provided by Licensee and the Sublicensees will be of such quality as to protect the goodwill of the Licensed Marks; and will be provided, sold and/or distributed in accordance with all applicable laws.</w:t>
      </w:r>
    </w:p>
    <w:p>
      <w:pPr>
        <w:spacing w:after="0" w:line="39" w:lineRule="exact"/>
        <w:rPr>
          <w:sz w:val="20"/>
          <w:szCs w:val="20"/>
          <w:color w:val="auto"/>
        </w:rPr>
      </w:pPr>
    </w:p>
    <w:p>
      <w:pPr>
        <w:ind w:left="460" w:righ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5.3</w:t>
        <w:tab/>
        <w:t>Licensee agrees that Licensor and/or its designated agents or representatives may enter the premises of Licensee or any of its Sublicensees at any reasonable time to inspect the premises and observe the conduct of business and rendering of services to insure compliance with the quality standards outlined in this Agreement.</w:t>
      </w:r>
    </w:p>
    <w:p>
      <w:pPr>
        <w:spacing w:after="0" w:line="51" w:lineRule="exact"/>
        <w:rPr>
          <w:sz w:val="20"/>
          <w:szCs w:val="20"/>
          <w:color w:val="auto"/>
        </w:rPr>
      </w:pPr>
    </w:p>
    <w:p>
      <w:pPr>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5.4</w:t>
        <w:tab/>
        <w:t>Licensee agrees that in connection with each Licensed Product or Service sold or offered by it or its Sublicensees and all tags, labels, containers, packaging, advertising, promotional or display materials containing or referring to the Licensed Marks, Licensee and its Sublicensees shall where and to the extent necessary under local law to protect the status of the Licensed Marks apply the appropriate legend indicating the status of the Licensed Marks and the fact (if it be the case) that the marks are registered.</w:t>
      </w:r>
    </w:p>
    <w:p>
      <w:pPr>
        <w:spacing w:after="0" w:line="55" w:lineRule="exact"/>
        <w:rPr>
          <w:sz w:val="20"/>
          <w:szCs w:val="20"/>
          <w:color w:val="auto"/>
        </w:rPr>
      </w:pPr>
    </w:p>
    <w:p>
      <w:pPr>
        <w:ind w:left="460" w:right="38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5.5</w:t>
        <w:tab/>
        <w:t>Licensee and Licensor agree to monitor the activities of their licensees and sublicensees (including sublicensees thereof) to insure compliance with the standard worldwide Guidelines established by Licensor and the requirements of this Article V of the Agreement.</w:t>
      </w:r>
    </w:p>
    <w:p>
      <w:pPr>
        <w:sectPr>
          <w:pgSz w:w="11900" w:h="16838" w:orient="portrait"/>
          <w:cols w:equalWidth="0" w:num="1">
            <w:col w:w="11420"/>
          </w:cols>
          <w:pgMar w:left="240" w:top="274" w:right="239" w:bottom="1440" w:gutter="0" w:footer="0" w:header="0"/>
        </w:sectPr>
      </w:pPr>
    </w:p>
    <w:bookmarkStart w:id="185" w:name="page186"/>
    <w:bookmarkEnd w:id="185"/>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212" w:lineRule="exact"/>
        <w:rPr>
          <w:sz w:val="20"/>
          <w:szCs w:val="20"/>
          <w:color w:val="auto"/>
        </w:rPr>
      </w:pPr>
    </w:p>
    <w:p>
      <w:pPr>
        <w:ind w:left="-8" w:right="5120" w:firstLine="8"/>
        <w:spacing w:after="0" w:line="345" w:lineRule="auto"/>
        <w:tabs>
          <w:tab w:leader="none" w:pos="43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REPRESENTATIONS. WARRANTIES AND COVENANTS OF LICENSOR </w:t>
      </w:r>
      <w:r>
        <w:rPr>
          <w:rFonts w:ascii="Times New Roman" w:cs="Times New Roman" w:eastAsia="Times New Roman" w:hAnsi="Times New Roman"/>
          <w:sz w:val="18"/>
          <w:szCs w:val="18"/>
          <w:color w:val="auto"/>
        </w:rPr>
        <w:t>6.1 Licensor hereby represents and warrants to Licensee</w:t>
      </w:r>
    </w:p>
    <w:p>
      <w:pPr>
        <w:spacing w:after="0" w:line="1" w:lineRule="exact"/>
        <w:rPr>
          <w:rFonts w:ascii="Times New Roman" w:cs="Times New Roman" w:eastAsia="Times New Roman" w:hAnsi="Times New Roman"/>
          <w:sz w:val="18"/>
          <w:szCs w:val="18"/>
          <w:color w:val="auto"/>
        </w:rPr>
      </w:pPr>
    </w:p>
    <w:p>
      <w:pPr>
        <w:ind w:left="892" w:right="520" w:hanging="446"/>
        <w:spacing w:after="0" w:line="275" w:lineRule="auto"/>
        <w:tabs>
          <w:tab w:leader="none" w:pos="89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execution, delivery and performance of this License Agreement have been duly authorized and approved by the Board of Directors of Licensor and this License Agreement represents the valid and binding agreement of Licensor;</w:t>
      </w:r>
    </w:p>
    <w:p>
      <w:pPr>
        <w:spacing w:after="0" w:line="38" w:lineRule="exact"/>
        <w:rPr>
          <w:rFonts w:ascii="Times New Roman" w:cs="Times New Roman" w:eastAsia="Times New Roman" w:hAnsi="Times New Roman"/>
          <w:sz w:val="18"/>
          <w:szCs w:val="18"/>
          <w:color w:val="auto"/>
        </w:rPr>
      </w:pPr>
    </w:p>
    <w:p>
      <w:pPr>
        <w:ind w:left="892" w:hanging="446"/>
        <w:spacing w:after="0" w:line="262" w:lineRule="auto"/>
        <w:tabs>
          <w:tab w:leader="none" w:pos="89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engaged exclusively in the businesses of (i) owning, using, maintaining, protecting and licensing the use of certain trademarks and service marks, including the Licensed Marks, and (ii) owning, developing operating, using, maintaining, protecting and licensing the use of certain computer hardware and software systems; and</w:t>
      </w:r>
    </w:p>
    <w:p>
      <w:pPr>
        <w:spacing w:after="0" w:line="51" w:lineRule="exact"/>
        <w:rPr>
          <w:rFonts w:ascii="Times New Roman" w:cs="Times New Roman" w:eastAsia="Times New Roman" w:hAnsi="Times New Roman"/>
          <w:sz w:val="18"/>
          <w:szCs w:val="18"/>
          <w:color w:val="auto"/>
        </w:rPr>
      </w:pPr>
    </w:p>
    <w:p>
      <w:pPr>
        <w:ind w:left="892" w:right="80" w:hanging="446"/>
        <w:spacing w:after="0" w:line="258" w:lineRule="auto"/>
        <w:tabs>
          <w:tab w:leader="none" w:pos="89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beneficial owner of the Licensed Marks, that all of the Licensed Marks are registered in its name or the name of a predecessor owner, and will be registered in its name as soon as practicable, and that it has advised Licensee in writing in all rights or claims of third parties known to it which may adversely affect the rights granted to Licensee, to the extent that the Licensed Marks are used in connection with the Licensed Products and Services on the date of initial execution of this Agreement.</w:t>
      </w:r>
    </w:p>
    <w:p>
      <w:pPr>
        <w:spacing w:after="0" w:line="55" w:lineRule="exact"/>
        <w:rPr>
          <w:sz w:val="20"/>
          <w:szCs w:val="20"/>
          <w:color w:val="auto"/>
        </w:rPr>
      </w:pPr>
    </w:p>
    <w:p>
      <w:pPr>
        <w:ind w:left="452" w:right="200" w:hanging="445"/>
        <w:spacing w:after="0" w:line="262" w:lineRule="auto"/>
        <w:tabs>
          <w:tab w:leader="none" w:pos="432" w:val="left"/>
        </w:tabs>
        <w:rPr>
          <w:sz w:val="20"/>
          <w:szCs w:val="20"/>
          <w:color w:val="auto"/>
        </w:rPr>
      </w:pPr>
      <w:r>
        <w:rPr>
          <w:rFonts w:ascii="Times New Roman" w:cs="Times New Roman" w:eastAsia="Times New Roman" w:hAnsi="Times New Roman"/>
          <w:sz w:val="18"/>
          <w:szCs w:val="18"/>
          <w:color w:val="auto"/>
        </w:rPr>
        <w:t>6.2</w:t>
        <w:tab/>
        <w:t>Licensor covenants that, for the term of this Agreement, it (i) will continue to conduct its businesses as described in Section 6.1(b) (the “Existing Businesses”) in the ordinary and usual course, (ii) will use its best efforts to preserve intact its organisation, and (Hi) will engage in and conduct only the Existing Businesses and such other businesses as are reasonably related to the Existing Businesses.</w:t>
      </w:r>
    </w:p>
    <w:p>
      <w:pPr>
        <w:spacing w:after="0" w:line="51" w:lineRule="exact"/>
        <w:rPr>
          <w:sz w:val="20"/>
          <w:szCs w:val="20"/>
          <w:color w:val="auto"/>
        </w:rPr>
      </w:pPr>
    </w:p>
    <w:p>
      <w:pPr>
        <w:ind w:left="452" w:right="60" w:hanging="445"/>
        <w:spacing w:after="0" w:line="255" w:lineRule="auto"/>
        <w:tabs>
          <w:tab w:leader="none" w:pos="432" w:val="left"/>
        </w:tabs>
        <w:rPr>
          <w:sz w:val="20"/>
          <w:szCs w:val="20"/>
          <w:color w:val="auto"/>
        </w:rPr>
      </w:pPr>
      <w:r>
        <w:rPr>
          <w:rFonts w:ascii="Times New Roman" w:cs="Times New Roman" w:eastAsia="Times New Roman" w:hAnsi="Times New Roman"/>
          <w:sz w:val="18"/>
          <w:szCs w:val="18"/>
          <w:color w:val="auto"/>
        </w:rPr>
        <w:t>6.3</w:t>
        <w:tab/>
        <w:t>Licensor further covenants that it will not assign, encumber or otherwise part with possession or control of any of the Licensed Marks or enter into any other agreement with respect to the Licensed Marks, except subject to this Agreement, which may in any way adversely affect the rights of Licensee or the Sublicensees under this Agreement, except that nothing herein shall require Licensor to maintain or undertake registrations of Licensed Marks or other protective actions otherwise than in accordance with Section 2.10. Nothing in this Agreement shall obligate Licensee to pay any expense incurred by Licensor with respect to the registration or protection of any Licensed Mark if Licensee shall previously have advised Licensor in good faith that in its opinion such expense is unnecessary or inadvisable to protect its rights under this Agreement.</w:t>
      </w:r>
    </w:p>
    <w:p>
      <w:pPr>
        <w:spacing w:after="0" w:line="29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12" w:lineRule="exact"/>
        <w:rPr>
          <w:sz w:val="20"/>
          <w:szCs w:val="20"/>
          <w:color w:val="auto"/>
        </w:rPr>
      </w:pPr>
    </w:p>
    <w:p>
      <w:pPr>
        <w:ind w:left="452" w:hanging="452"/>
        <w:spacing w:after="0"/>
        <w:tabs>
          <w:tab w:leader="none" w:pos="4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INFRINGEMENT ACTIONS</w:t>
      </w:r>
    </w:p>
    <w:p>
      <w:pPr>
        <w:spacing w:after="0" w:line="92" w:lineRule="exact"/>
        <w:rPr>
          <w:sz w:val="20"/>
          <w:szCs w:val="20"/>
          <w:color w:val="auto"/>
        </w:rPr>
      </w:pPr>
    </w:p>
    <w:p>
      <w:pPr>
        <w:ind w:left="452" w:hanging="445"/>
        <w:spacing w:after="0" w:line="254" w:lineRule="auto"/>
        <w:tabs>
          <w:tab w:leader="none" w:pos="432" w:val="left"/>
        </w:tabs>
        <w:rPr>
          <w:sz w:val="20"/>
          <w:szCs w:val="20"/>
          <w:color w:val="auto"/>
        </w:rPr>
      </w:pPr>
      <w:r>
        <w:rPr>
          <w:rFonts w:ascii="Times New Roman" w:cs="Times New Roman" w:eastAsia="Times New Roman" w:hAnsi="Times New Roman"/>
          <w:sz w:val="18"/>
          <w:szCs w:val="18"/>
          <w:color w:val="auto"/>
        </w:rPr>
        <w:t>7.1</w:t>
        <w:tab/>
        <w:t>In the event that litigation involving the Licensed Marks is instituted or threatened against Licensee or any Sublicensee, Licensee shall promptly notify Licensor, and Licensor shall defend such litigation with the utmost vigour. Licensor shall take such other protective measures as shall be requested by Licensee to preserve and protect Licensee’s right to use the Licensed Marks as provided by this Agreement. Licensee shall bear any cost or expense in connection with such litigation or protective measures to the extent that it requests that the same be defended or undertaken, but shall have no obligation to pay costs of, any litigation or measure which Licensor shall undertake after being advised by Licensee in good faith that it considers such litigation or measure unnecessary or inadvisable to protect its rights under this Agreement. Licensor shall conduct litigation or protective measures paid for by Licensee in a manner approved by Licensee, which approval shall not be unreasonably withheld.</w:t>
      </w:r>
    </w:p>
    <w:p>
      <w:pPr>
        <w:sectPr>
          <w:pgSz w:w="11900" w:h="16838" w:orient="portrait"/>
          <w:cols w:equalWidth="0" w:num="1">
            <w:col w:w="11372"/>
          </w:cols>
          <w:pgMar w:left="248" w:top="272" w:right="279" w:bottom="1440" w:gutter="0" w:footer="0" w:header="0"/>
        </w:sectPr>
      </w:pPr>
    </w:p>
    <w:bookmarkStart w:id="186" w:name="page187"/>
    <w:bookmarkEnd w:id="186"/>
    <w:p>
      <w:pPr>
        <w:ind w:left="452" w:right="40" w:hanging="445"/>
        <w:spacing w:after="0" w:line="254" w:lineRule="auto"/>
        <w:tabs>
          <w:tab w:leader="none" w:pos="43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w:t>
        <w:tab/>
        <w:t>Licensor and Licensee agree to cooperate in their efforts to defend and enforce the Licensed Marks and to maintain the Licensed Marks as valid. Licensee shall notify Licensor promptly in writing of any potential or actual infringements or imitations by others of the Licensed Marks or of actions by others described in clauses (a) through (d) of Section 2.5 as may come to the Licensee’s attention, and shall require the Sublicensees to do the same. Neither Licensee nor any Sublicensee shall initiate any suit or take any action in connection with such infringement or imitation without the prior consent of Licensor, provided that if Licensor shall fail to take necessary protective action promptly, Licensee may take such action as it deems necessary to preserve and protect the ownership by Licensor of the Licensed Marks as well as the right of Licensee and the Sublicensees to use them as provided in this Agreement. To the extent requested by Licensor, Licensee and the Sublicensees shall assist in the investigation and conduct of any legal action or other measure to defend or enforce the Licensed Marks in the Licensed Territory.</w:t>
      </w:r>
    </w:p>
    <w:p>
      <w:pPr>
        <w:spacing w:after="0" w:line="29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0" w:lineRule="exact"/>
        <w:rPr>
          <w:sz w:val="20"/>
          <w:szCs w:val="20"/>
          <w:color w:val="auto"/>
        </w:rPr>
      </w:pPr>
    </w:p>
    <w:p>
      <w:pPr>
        <w:ind w:left="452" w:hanging="452"/>
        <w:spacing w:after="0"/>
        <w:tabs>
          <w:tab w:leader="none" w:pos="4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92" w:lineRule="exact"/>
        <w:rPr>
          <w:sz w:val="20"/>
          <w:szCs w:val="20"/>
          <w:color w:val="auto"/>
        </w:rPr>
      </w:pPr>
    </w:p>
    <w:p>
      <w:pPr>
        <w:ind w:left="452" w:right="400"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8.1</w:t>
        <w:tab/>
        <w:t>This Agreement shall become effective upon the date hereof and shall remain in force for fifty (50) years from the last day of the month immediately following the date hereof unless terminated in accordance with the provisions of this Agreement.</w:t>
      </w:r>
    </w:p>
    <w:p>
      <w:pPr>
        <w:spacing w:after="0" w:line="39" w:lineRule="exact"/>
        <w:rPr>
          <w:sz w:val="20"/>
          <w:szCs w:val="20"/>
          <w:color w:val="auto"/>
        </w:rPr>
      </w:pPr>
    </w:p>
    <w:p>
      <w:pPr>
        <w:ind w:left="452" w:right="40" w:hanging="445"/>
        <w:spacing w:after="0" w:line="254" w:lineRule="auto"/>
        <w:tabs>
          <w:tab w:leader="none" w:pos="432" w:val="left"/>
        </w:tabs>
        <w:rPr>
          <w:sz w:val="20"/>
          <w:szCs w:val="20"/>
          <w:color w:val="auto"/>
        </w:rPr>
      </w:pPr>
      <w:r>
        <w:rPr>
          <w:rFonts w:ascii="Times New Roman" w:cs="Times New Roman" w:eastAsia="Times New Roman" w:hAnsi="Times New Roman"/>
          <w:sz w:val="18"/>
          <w:szCs w:val="18"/>
          <w:color w:val="auto"/>
        </w:rPr>
        <w:t>8.2</w:t>
        <w:tab/>
        <w:t>In the event that a petition is presented against Licensee for its liquidation and such petition is not dismissed within ninety (90) days, or Licensee shall make an assignment for the benefit of, or enter into any composition or arrangement with, creditors, or a receiver, trustee or liquidator shall have been appointed for the business of Licensee, or if bankruptcy, reorganisation, insolvency or arrangement proceedings under any other laws relating to the relief of debtors shall be commenced by or against Licensee and shall not be dismissed within ninety (90) days, this Agreement shall terminate immediately and automatically without any prior notice to Licensee, provided however, in the event of such termination, Licensee, its receivers, representatives, trustees, agents, administrators, successors and/or assigns may continue to use the Licensed Marks with the consent of and under the specific instructions of Licensor.</w:t>
      </w:r>
    </w:p>
    <w:p>
      <w:pPr>
        <w:spacing w:after="0" w:line="60" w:lineRule="exact"/>
        <w:rPr>
          <w:sz w:val="20"/>
          <w:szCs w:val="20"/>
          <w:color w:val="auto"/>
        </w:rPr>
      </w:pPr>
    </w:p>
    <w:p>
      <w:pPr>
        <w:ind w:left="452" w:right="200" w:hanging="445"/>
        <w:spacing w:after="0" w:line="291" w:lineRule="auto"/>
        <w:tabs>
          <w:tab w:leader="none" w:pos="432"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6"/>
          <w:szCs w:val="16"/>
          <w:color w:val="auto"/>
        </w:rPr>
        <w:t>If any person or entity, other than Licensor or any of its affiliates, who is or controls, is controlled by or is under common control with a competitor of Licensor or Licensee acquires control, directly or indirectly, of thirty-five percent (35%) or more of the capital stock of Licensee or of any successor in interest to Licensee or of the direct or indirect right to exercise the voting rights of such capital stock, Licensor may, in its sole discretion, terminate this Agreement immediately on written notice to Licensee. For the purposes of this Section, a “competitor” shall mean any person or company who owns or operates a business under an international, national or regional vehicle rental system other than the Avis System, if such business, including agents or licensees thereof, (i) is carried on at more than 300 rental locations and (ii) is operating more than 12,000 vehicles, provided that a person or company engaged primarily in leasing of vehicles for terms of more than one year shall not be considered engaged in vehicle rental.</w:t>
      </w:r>
    </w:p>
    <w:p>
      <w:pPr>
        <w:spacing w:after="0" w:line="32" w:lineRule="exact"/>
        <w:rPr>
          <w:sz w:val="20"/>
          <w:szCs w:val="20"/>
          <w:color w:val="auto"/>
        </w:rPr>
      </w:pPr>
    </w:p>
    <w:p>
      <w:pPr>
        <w:ind w:left="452" w:hanging="445"/>
        <w:spacing w:after="0" w:line="275" w:lineRule="auto"/>
        <w:tabs>
          <w:tab w:leader="none" w:pos="432" w:val="left"/>
        </w:tabs>
        <w:rPr>
          <w:sz w:val="20"/>
          <w:szCs w:val="20"/>
          <w:color w:val="auto"/>
        </w:rPr>
      </w:pPr>
      <w:r>
        <w:rPr>
          <w:rFonts w:ascii="Times New Roman" w:cs="Times New Roman" w:eastAsia="Times New Roman" w:hAnsi="Times New Roman"/>
          <w:sz w:val="18"/>
          <w:szCs w:val="18"/>
          <w:color w:val="auto"/>
        </w:rPr>
        <w:t>8.4</w:t>
        <w:tab/>
        <w:t>If the System License Agreement shall terminate for any reason, this Agreement shall terminate immediately and automatically without any prior notice to Licensee.</w:t>
      </w:r>
    </w:p>
    <w:p>
      <w:pPr>
        <w:spacing w:after="0" w:line="39" w:lineRule="exact"/>
        <w:rPr>
          <w:sz w:val="20"/>
          <w:szCs w:val="20"/>
          <w:color w:val="auto"/>
        </w:rPr>
      </w:pPr>
    </w:p>
    <w:p>
      <w:pPr>
        <w:ind w:left="452" w:right="60" w:hanging="445"/>
        <w:spacing w:after="0" w:line="258" w:lineRule="auto"/>
        <w:tabs>
          <w:tab w:leader="none" w:pos="432" w:val="left"/>
        </w:tabs>
        <w:rPr>
          <w:sz w:val="20"/>
          <w:szCs w:val="20"/>
          <w:color w:val="auto"/>
        </w:rPr>
      </w:pPr>
      <w:r>
        <w:rPr>
          <w:rFonts w:ascii="Times New Roman" w:cs="Times New Roman" w:eastAsia="Times New Roman" w:hAnsi="Times New Roman"/>
          <w:sz w:val="18"/>
          <w:szCs w:val="18"/>
          <w:color w:val="auto"/>
        </w:rPr>
        <w:t>8.5</w:t>
        <w:tab/>
        <w:t>The termination of this Agreement pursuant to Section 8.2n or 8.4 hereof shall not cause the termination of any Sublicense where the Sublicensee is in compliance with the terms of this Agreement, including without limitation the Guidelines; provided, however, that in the event of such termination of this Agreement the Sublicensees shall become direct licensees of the Licensor and of ARACS, as appropriate, and Licensee shall enter into such agreements and make such certificates and filings as shall be reasonably necessary or advisable to accomplish the same.</w:t>
      </w:r>
    </w:p>
    <w:p>
      <w:pPr>
        <w:sectPr>
          <w:pgSz w:w="11900" w:h="16838" w:orient="portrait"/>
          <w:cols w:equalWidth="0" w:num="1">
            <w:col w:w="11312"/>
          </w:cols>
          <w:pgMar w:left="248" w:top="274" w:right="339" w:bottom="1440" w:gutter="0" w:footer="0" w:header="0"/>
        </w:sectPr>
      </w:pPr>
    </w:p>
    <w:bookmarkStart w:id="187" w:name="page188"/>
    <w:bookmarkEnd w:id="187"/>
    <w:p>
      <w:pPr>
        <w:ind w:left="460" w:hanging="445"/>
        <w:spacing w:after="0" w:line="285"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8.6</w:t>
      </w:r>
      <w:r>
        <w:rPr>
          <w:sz w:val="20"/>
          <w:szCs w:val="20"/>
          <w:color w:val="auto"/>
        </w:rPr>
        <w:tab/>
      </w:r>
      <w:r>
        <w:rPr>
          <w:rFonts w:ascii="Times New Roman" w:cs="Times New Roman" w:eastAsia="Times New Roman" w:hAnsi="Times New Roman"/>
          <w:sz w:val="16"/>
          <w:szCs w:val="16"/>
          <w:color w:val="auto"/>
        </w:rPr>
        <w:t>If Licensee should breach any provision of this Agreement in any material respect, including without limitation the quality standards set forth in Article V, Licensor shall have the right to terminate this Agreement by giving ninety (90) days’ prior written notice of intention to terminate to Licensee, which notice shall specify the breach and intention to terminate if the breach has not been cured during such period. If such breach is not cured within such period, Licensor may deliver to Licensee a notice of termination stating that there has been no cure and that termination will be effective at the expiration of thirty</w:t>
      </w:r>
    </w:p>
    <w:p>
      <w:pPr>
        <w:spacing w:after="0" w:line="3" w:lineRule="exact"/>
        <w:rPr>
          <w:sz w:val="20"/>
          <w:szCs w:val="20"/>
          <w:color w:val="auto"/>
        </w:rPr>
      </w:pPr>
    </w:p>
    <w:p>
      <w:pPr>
        <w:ind w:left="800" w:hanging="346"/>
        <w:spacing w:after="0"/>
        <w:tabs>
          <w:tab w:leader="none" w:pos="8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the date of such notice. This Agreement and all rights granted hereunder to Licensee shall terminate automatically at the end of such thirty</w:t>
      </w:r>
    </w:p>
    <w:p>
      <w:pPr>
        <w:spacing w:after="0" w:line="32" w:lineRule="exact"/>
        <w:rPr>
          <w:rFonts w:ascii="Times New Roman" w:cs="Times New Roman" w:eastAsia="Times New Roman" w:hAnsi="Times New Roman"/>
          <w:sz w:val="16"/>
          <w:szCs w:val="16"/>
          <w:color w:val="auto"/>
        </w:rPr>
      </w:pPr>
    </w:p>
    <w:p>
      <w:pPr>
        <w:ind w:left="460" w:right="40" w:hanging="6"/>
        <w:spacing w:after="0" w:line="261" w:lineRule="auto"/>
        <w:tabs>
          <w:tab w:leader="none" w:pos="7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subject to the pro rata adjustments set forth in Section 8.9. The foregoing rights and remedies are in lieu of and not in addition to any other rights and remedies available at law or in equity.</w:t>
      </w:r>
    </w:p>
    <w:p>
      <w:pPr>
        <w:spacing w:after="0" w:line="51" w:lineRule="exact"/>
        <w:rPr>
          <w:sz w:val="20"/>
          <w:szCs w:val="20"/>
          <w:color w:val="auto"/>
        </w:rPr>
      </w:pPr>
    </w:p>
    <w:p>
      <w:pPr>
        <w:ind w:left="46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8.7</w:t>
        <w:tab/>
        <w:t>If Licensor should breach any provisions of this Agreement in any material respect, Licensee shall have the right to terminate this Agreement by giving ninety (90) days’ prior written notice thereof to Licensor which notice shall specify the breach and intention to terminate if the breach is not so cured within such period. If such breach is not cured within such period, Licensee may deliver to Licensor a notice of termination stating that there has been no cure and that termination will be effective at the expiration of thirty (30) days after the date of such notice. This Agreement and all obligations of the Licensee hereunder to Licensor shall terminate without further notice at the end of such thirty (30) day period, subject to the pro rata adjustment set forth in Section 8.9. The foregoing rights and remedies are in lieu of and not in addition to any other rights and remedies available at law or in equity.</w:t>
      </w:r>
    </w:p>
    <w:p>
      <w:pPr>
        <w:spacing w:after="0" w:line="58"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6"/>
          <w:szCs w:val="16"/>
          <w:color w:val="auto"/>
        </w:rPr>
        <w:t>Licensee acknowledges that its failure (except as otherwise provided herein) to cease the sale or distribution of the Licensed Products and Services utilizing</w:t>
      </w:r>
    </w:p>
    <w:p>
      <w:pPr>
        <w:spacing w:after="0" w:line="21" w:lineRule="exact"/>
        <w:rPr>
          <w:sz w:val="20"/>
          <w:szCs w:val="20"/>
          <w:color w:val="auto"/>
        </w:rPr>
      </w:pPr>
    </w:p>
    <w:p>
      <w:pPr>
        <w:ind w:left="460" w:right="180"/>
        <w:spacing w:after="0" w:line="254" w:lineRule="auto"/>
        <w:rPr>
          <w:sz w:val="20"/>
          <w:szCs w:val="20"/>
          <w:color w:val="auto"/>
        </w:rPr>
      </w:pPr>
      <w:r>
        <w:rPr>
          <w:rFonts w:ascii="Times New Roman" w:cs="Times New Roman" w:eastAsia="Times New Roman" w:hAnsi="Times New Roman"/>
          <w:sz w:val="18"/>
          <w:szCs w:val="18"/>
          <w:color w:val="auto"/>
        </w:rPr>
        <w:t>the Licensed Marks and to perform its obligations under Section 8.10 on the termination or expiration of this Agreement will result in immediate and irremediable damage to Licensor. Licensee acknowledges and admits that there is no adequate remedy at law for such failure, and Licensee agrees that in the event of such failure, Licensor shall be entitled to equitable relief by way of temporary or permanent injunctions, and such other further relief as any court with jurisdiction may deem just and proper.</w:t>
      </w:r>
    </w:p>
    <w:p>
      <w:pPr>
        <w:spacing w:after="0" w:line="57" w:lineRule="exact"/>
        <w:rPr>
          <w:sz w:val="20"/>
          <w:szCs w:val="20"/>
          <w:color w:val="auto"/>
        </w:rPr>
      </w:pPr>
    </w:p>
    <w:p>
      <w:pPr>
        <w:jc w:val="both"/>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8.9</w:t>
        <w:tab/>
        <w:t>In the event of any termination under this Article VIII, Licensee shall be entitled to a pro rata adjustment of the royalty to be paid pursuant to Section 2.12 for the month during which the termination occurred, provided however, that Licensee shall pay the greater of the pro rata adjusted royalty and the actual accrued royalty for that month.</w:t>
      </w:r>
    </w:p>
    <w:p>
      <w:pPr>
        <w:spacing w:after="0" w:line="51" w:lineRule="exact"/>
        <w:rPr>
          <w:sz w:val="20"/>
          <w:szCs w:val="20"/>
          <w:color w:val="auto"/>
        </w:rPr>
      </w:pPr>
    </w:p>
    <w:p>
      <w:pPr>
        <w:ind w:left="460" w:right="2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8.10</w:t>
        <w:tab/>
        <w:t>Licensee shall within thirty (30) days after termination of this Agreement use its best efforts to change the name of Licensee and to cause each of its Sublicensees to change its name~ if necessary, so that the word “Avis” or any other Licensed Mark, or the phonetic equivalent in any language, shall not appear therein.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12" w:lineRule="exact"/>
        <w:rPr>
          <w:sz w:val="20"/>
          <w:szCs w:val="20"/>
          <w:color w:val="auto"/>
        </w:rPr>
      </w:pPr>
    </w:p>
    <w:p>
      <w:pPr>
        <w:ind w:left="460" w:hanging="452"/>
        <w:spacing w:after="0"/>
        <w:tabs>
          <w:tab w:leader="none" w:pos="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ROYALTY</w:t>
      </w:r>
    </w:p>
    <w:p>
      <w:pPr>
        <w:spacing w:after="0" w:line="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6"/>
          <w:szCs w:val="16"/>
          <w:color w:val="auto"/>
        </w:rPr>
        <w:t>Licensee shall pay, as consideration for the license granted hereunder, a royalty of Fifteen Million Pounds Sterling (15,000,000 PS) to be paid within thirty</w:t>
      </w:r>
    </w:p>
    <w:p>
      <w:pPr>
        <w:spacing w:after="0" w:line="21" w:lineRule="exact"/>
        <w:rPr>
          <w:sz w:val="20"/>
          <w:szCs w:val="20"/>
          <w:color w:val="auto"/>
        </w:rPr>
      </w:pPr>
    </w:p>
    <w:p>
      <w:pPr>
        <w:ind w:left="460" w:right="320" w:hanging="6"/>
        <w:spacing w:after="0" w:line="323" w:lineRule="auto"/>
        <w:tabs>
          <w:tab w:leader="none" w:pos="796"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the date of execution of this Agreement. In addition, Licensee shall pay a royalty or each use of the Licensed Marks or related or similar marks in connection with any Alternate Products and Services which may become Licensed Products and Services pursuant to this Agreement.</w:t>
      </w:r>
    </w:p>
    <w:p>
      <w:pPr>
        <w:sectPr>
          <w:pgSz w:w="11900" w:h="16838" w:orient="portrait"/>
          <w:cols w:equalWidth="0" w:num="1">
            <w:col w:w="11400"/>
          </w:cols>
          <w:pgMar w:left="240" w:top="274" w:right="259" w:bottom="1440" w:gutter="0" w:footer="0" w:header="0"/>
        </w:sectPr>
      </w:pPr>
    </w:p>
    <w:bookmarkStart w:id="188" w:name="page189"/>
    <w:bookmarkEnd w:id="188"/>
    <w:p>
      <w:pPr>
        <w:ind w:left="460" w:right="20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w:t>
        <w:tab/>
        <w:t>Unless otherwise agreed by the parties, royalty payments shall be due and payable monthly no later than thirty (30) days after .the end of the calendar month to which they relate, and shall be accompanied by a statement, signed by an officer of the Licensee, describing in detail the exact manner in which the payment was calculated. Licensor shall have access during reasonable business hours and upon reasonable prior notice to examine the books, records and other data relating to the calculation of the royalty payment.</w:t>
      </w:r>
    </w:p>
    <w:p>
      <w:pPr>
        <w:spacing w:after="0" w:line="55"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9.3</w:t>
        <w:tab/>
        <w:t>There shall be added to any payments made by Licensee hereunder amounts equal to any value added, sales or use or other equivalent indirect taxes levied on Licensor in connection with such charges (other than taxes on profits or income) which may be imposed after the date of this Agreement.</w:t>
      </w:r>
    </w:p>
    <w:p>
      <w:pPr>
        <w:spacing w:after="0" w:line="39" w:lineRule="exact"/>
        <w:rPr>
          <w:sz w:val="20"/>
          <w:szCs w:val="20"/>
          <w:color w:val="auto"/>
        </w:rPr>
      </w:pPr>
    </w:p>
    <w:p>
      <w:pPr>
        <w:ind w:left="46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9.4</w:t>
        <w:tab/>
        <w:t>Each party shall endeavor to make all payments due hereunder free and clear of any withholding taxes, and both parties will join in making any necessary applications to any relevant taxing authorities to obtain the benefit of any exemption or relief from the imposition of a withholding obligation which may be available. Where either party is obliged by law to make any withholding it will provide to the other a withholding certificate from the revenue authority to which it accounts for such withholding, and will increase the payment to the other party by such amount as may be necessary so that, after taking into account any benefit derived by such other party from resulting tax credits, the amount received by such other party shall not be less than it would have been absent such withholding.</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12" w:lineRule="exact"/>
        <w:rPr>
          <w:sz w:val="20"/>
          <w:szCs w:val="20"/>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p>
    <w:p>
      <w:pPr>
        <w:spacing w:after="0" w:line="92"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10.1</w:t>
        <w:tab/>
        <w:t>At any time from time to time after the occurrence of any of the events described in Section 10.3 Licensor shall immediately upon receipt of Licensee’s request and at Licensee’s expense execute all and any documents necessary to assign to Licensee full right, title and interest to and in those of the Licensed Marks which are (i) in any country for the time being a member of the European Economic Community, (ii) in respect of any class of goods and services which includes any of the Licensed Products and Services; to the extent possible, such classes shall be drawn so as not to include goods and services other than the Licensed Products and Services, and (iii) affected by the events described in Section 10.3.</w:t>
      </w:r>
    </w:p>
    <w:p>
      <w:pPr>
        <w:spacing w:after="0" w:line="58"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10.2</w:t>
        <w:tab/>
        <w:t>Licensor hereby irrevocably appoints Licensee as its-attorney-in-fact in its name and on its behalf to execute in such form as Licensee may approve any and all assignments, transfers, consents, directions and other documents of whatever kind as may be reasonably necessary to give effect to the assignments described in Section 10.1, and hereby ratifies and affirms that which Licensee shall do by virtue of the power hereby conferred.</w:t>
      </w:r>
    </w:p>
    <w:p>
      <w:pPr>
        <w:spacing w:after="0" w:line="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color w:val="auto"/>
        </w:rPr>
        <w:t>The events referred to in Section 10.1 are the following:</w:t>
      </w:r>
    </w:p>
    <w:p>
      <w:pPr>
        <w:spacing w:after="0" w:line="90" w:lineRule="exact"/>
        <w:rPr>
          <w:sz w:val="20"/>
          <w:szCs w:val="20"/>
          <w:color w:val="auto"/>
        </w:rPr>
      </w:pPr>
    </w:p>
    <w:p>
      <w:pPr>
        <w:ind w:left="900" w:right="220" w:hanging="446"/>
        <w:spacing w:after="0" w:line="275"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award, judgment or order (whether final or interim) by any national court or the European Court of Justice (excluding any made pursuant to an ex parte application) which restricts or invalidates the exclusivity of the rights granted to Licensee under Section 2.1; or</w:t>
      </w:r>
    </w:p>
    <w:p>
      <w:pPr>
        <w:sectPr>
          <w:pgSz w:w="11900" w:h="16838" w:orient="portrait"/>
          <w:cols w:equalWidth="0" w:num="1">
            <w:col w:w="11420"/>
          </w:cols>
          <w:pgMar w:left="240" w:top="274" w:right="239" w:bottom="1440" w:gutter="0" w:footer="0" w:header="0"/>
        </w:sectPr>
      </w:pPr>
    </w:p>
    <w:bookmarkStart w:id="189" w:name="page190"/>
    <w:bookmarkEnd w:id="189"/>
    <w:p>
      <w:pPr>
        <w:ind w:left="900" w:right="140" w:hanging="446"/>
        <w:spacing w:after="0" w:line="275"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 by the Commission of the European Communities of a Statement of Objections which includes an objection to the exclusivity of the rights granted to Licensee under Section 2.1; or</w:t>
      </w:r>
    </w:p>
    <w:p>
      <w:pPr>
        <w:spacing w:after="0" w:line="38"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by Licensor to any third party or the exercise by Licensor of any rights (which rights shall be continuing after 30 days notice by Licensee to Licensor) inconsistent with the exclusive rights granted to Licensee under Section 2.1 to use the Licensed Marks in connection with the goods or services listed in Appendix II, Part I; or</w:t>
      </w:r>
    </w:p>
    <w:p>
      <w:pPr>
        <w:spacing w:after="0" w:line="51" w:lineRule="exact"/>
        <w:rPr>
          <w:rFonts w:ascii="Times New Roman" w:cs="Times New Roman" w:eastAsia="Times New Roman" w:hAnsi="Times New Roman"/>
          <w:sz w:val="18"/>
          <w:szCs w:val="18"/>
          <w:color w:val="auto"/>
        </w:rPr>
      </w:pPr>
    </w:p>
    <w:p>
      <w:pPr>
        <w:ind w:left="900" w:right="40" w:hanging="446"/>
        <w:spacing w:after="0" w:line="256"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by the Commission of the European Community of a decision, or the making of any award, judgment or order by any national court or the European Court of Justice which is final and against which no appeal can be made, in either case which both (a) restricts or invalidates the exclusivity of the rights granted to Licensee and (b) invalidates in whole or in part (whether prospectively or retrospectively) an assignment of marks which has been or may be executed pursuant to Section 10.1 but it is reasonably anticipated that such decision would not have invalidated such assignment in the absence of the obligation of Licensee to reassign such marks under Section 10.5.</w:t>
      </w:r>
    </w:p>
    <w:p>
      <w:pPr>
        <w:spacing w:after="0" w:line="58" w:lineRule="exact"/>
        <w:rPr>
          <w:sz w:val="20"/>
          <w:szCs w:val="20"/>
          <w:color w:val="auto"/>
        </w:rPr>
      </w:pPr>
    </w:p>
    <w:p>
      <w:pPr>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10.4</w:t>
        <w:tab/>
        <w:t>In the event of any assignment pursuant to Section 10.1 Licensee shall grant forthwith and from time to time upon request a paid-up exclusive license to use any of the marks assigned to it pursuant to Section 10.1 in connection with the sale and distribution of all products and services other than the Licensed Products and Services. Such license shall be in a form which shall contain such quality control and other provisions as are necessary in law to protect Licensee’s rights to such marks and shall continue until the date of any reassignment pursuant to Section 10.5 or, if no such reassignment occurs, indefinitely.</w:t>
      </w:r>
    </w:p>
    <w:p>
      <w:pPr>
        <w:spacing w:after="0" w:line="58" w:lineRule="exact"/>
        <w:rPr>
          <w:sz w:val="20"/>
          <w:szCs w:val="20"/>
          <w:color w:val="auto"/>
        </w:rPr>
      </w:pPr>
    </w:p>
    <w:p>
      <w:pPr>
        <w:jc w:val="both"/>
        <w:ind w:left="460" w:right="10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10.5</w:t>
        <w:tab/>
        <w:t>Subject to Section 10.9, if any mark is assigned to Licensee pursuant to Section 10.1 as a result of the occurrence of any event described in Section 10.3(i) or 10.3(ii) Licensee shall immediately upon receipt of Licensor’s request at any time from time to time after the occurrence of any of the events or the date described in Section 10.7 at Licensor’s expense execute all and any documents necessary to re-assign to Licensor full right, title and interest to and in such mark.</w:t>
      </w:r>
    </w:p>
    <w:p>
      <w:pPr>
        <w:spacing w:after="0" w:line="55" w:lineRule="exact"/>
        <w:rPr>
          <w:sz w:val="20"/>
          <w:szCs w:val="20"/>
          <w:color w:val="auto"/>
        </w:rPr>
      </w:pPr>
    </w:p>
    <w:p>
      <w:pPr>
        <w:ind w:left="460" w:right="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10.6</w:t>
        <w:tab/>
        <w:t>Licensee hereby irrevocably appoints Licensor as its attorney-in-fact in its name and on its behalf to execute in such form as Licensor may approve any and all assignments, transfers, consents, directions and other documents of whatever kind as may be reasonably necessary to give effect to the assignments described in Section 10.5, and hereby ratifies and affirms that which Licensor shall do by virtue of the power hereby conferred.</w:t>
      </w:r>
    </w:p>
    <w:p>
      <w:pPr>
        <w:spacing w:after="0" w:line="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6"/>
          <w:szCs w:val="16"/>
          <w:color w:val="auto"/>
        </w:rPr>
        <w:t>The events and date referred to in Section 10.5 are any of the following:</w:t>
      </w:r>
    </w:p>
    <w:p>
      <w:pPr>
        <w:spacing w:after="0" w:line="90" w:lineRule="exact"/>
        <w:rPr>
          <w:sz w:val="20"/>
          <w:szCs w:val="20"/>
          <w:color w:val="auto"/>
        </w:rPr>
      </w:pPr>
    </w:p>
    <w:p>
      <w:pPr>
        <w:ind w:left="900" w:right="120" w:hanging="446"/>
        <w:spacing w:after="0" w:line="26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assignment of the Licensed Marks took place as a result of the occurrence of an event described in Section 1O.3(i), the making of an award, judgment or order which is final and against which no appeal can be made, which confirms the validity for the duration of this Agreement of the exclusive rights granted to Licensee hereunder; or</w:t>
      </w:r>
    </w:p>
    <w:p>
      <w:pPr>
        <w:spacing w:after="0" w:line="51" w:lineRule="exact"/>
        <w:rPr>
          <w:rFonts w:ascii="Times New Roman" w:cs="Times New Roman" w:eastAsia="Times New Roman" w:hAnsi="Times New Roman"/>
          <w:sz w:val="18"/>
          <w:szCs w:val="18"/>
          <w:color w:val="auto"/>
        </w:rPr>
      </w:pPr>
    </w:p>
    <w:p>
      <w:pPr>
        <w:ind w:left="900" w:right="360" w:hanging="446"/>
        <w:spacing w:after="0" w:line="26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assignment of the Licensed Marks took place as a result of the occurrence of the event described in Section 10.3(ii), the issue by the European Commission of a negative clearance or an exemption confirming the validity for the duration of this Agreement of the exclusive rights granted to Licensee hereunder; or</w:t>
      </w:r>
    </w:p>
    <w:p>
      <w:pPr>
        <w:sectPr>
          <w:pgSz w:w="11900" w:h="16838" w:orient="portrait"/>
          <w:cols w:equalWidth="0" w:num="1">
            <w:col w:w="11420"/>
          </w:cols>
          <w:pgMar w:left="240" w:top="274" w:right="239" w:bottom="1440" w:gutter="0" w:footer="0" w:header="0"/>
        </w:sectPr>
      </w:pPr>
    </w:p>
    <w:bookmarkStart w:id="190" w:name="page191"/>
    <w:bookmarkEnd w:id="190"/>
    <w:p>
      <w:pPr>
        <w:ind w:left="900" w:right="300" w:hanging="446"/>
        <w:spacing w:after="0" w:line="275"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the assignment of the Licensed Marks took place as a result of the occurrence of any of the events described in Section 10.3(i) or 10.3(ii), 30 November 2036, or</w:t>
      </w:r>
    </w:p>
    <w:p>
      <w:pPr>
        <w:spacing w:after="0" w:line="38" w:lineRule="exact"/>
        <w:rPr>
          <w:rFonts w:ascii="Times New Roman" w:cs="Times New Roman" w:eastAsia="Times New Roman" w:hAnsi="Times New Roman"/>
          <w:sz w:val="18"/>
          <w:szCs w:val="18"/>
          <w:color w:val="auto"/>
        </w:rPr>
      </w:pPr>
    </w:p>
    <w:p>
      <w:pPr>
        <w:ind w:left="900" w:right="20" w:hanging="446"/>
        <w:spacing w:after="0" w:line="334" w:lineRule="auto"/>
        <w:tabs>
          <w:tab w:leader="none" w:pos="90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assignment of the Licensed Marks took place as a result of the occurrence of any of the events described in Section 1O.3(i) or 10.3(ii), the termination of this Agreement by Licensor or Licensee, whether automatically or in exercise of a right of termination granted hereunder</w:t>
      </w:r>
    </w:p>
    <w:p>
      <w:pPr>
        <w:spacing w:after="0" w:line="1" w:lineRule="exact"/>
        <w:rPr>
          <w:sz w:val="20"/>
          <w:szCs w:val="20"/>
          <w:color w:val="auto"/>
        </w:rPr>
      </w:pPr>
    </w:p>
    <w:p>
      <w:pPr>
        <w:jc w:val="both"/>
        <w:ind w:left="460" w:right="8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10.8</w:t>
        <w:tab/>
        <w:t>The rights of Licensee under Section 10.1 shall be suspended and the appointment under Section 10.2 shall be of no effect during any period for which an exemption issued by the Commission of the European Communities confirming the validity of the exclusive rights granted to Licensee hereunder remains in effect.</w:t>
      </w:r>
    </w:p>
    <w:p>
      <w:pPr>
        <w:spacing w:after="0" w:line="51" w:lineRule="exact"/>
        <w:rPr>
          <w:sz w:val="20"/>
          <w:szCs w:val="20"/>
          <w:color w:val="auto"/>
        </w:rPr>
      </w:pPr>
    </w:p>
    <w:p>
      <w:pPr>
        <w:ind w:left="460" w:right="1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10.9</w:t>
        <w:tab/>
        <w:t>If (i) any marks are assigned to Licensee as a result of the occurrence of an event described in Section 10.3(iii) or 10.3(iv) or (ii) if after marks have been assigned to Licensor as a result of the occurrence of an event described in Section 10.3(i) or 10.3(ii), an event described in Section 10.3 (iii) or 10.3 (iv) occurs, then in either case, Licensee shall have no obligation to reassign any marks to Licensor at any time.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12" w:lineRule="exact"/>
        <w:rPr>
          <w:sz w:val="20"/>
          <w:szCs w:val="20"/>
          <w:color w:val="auto"/>
        </w:rPr>
      </w:pPr>
    </w:p>
    <w:p>
      <w:pPr>
        <w:ind w:left="460" w:hanging="452"/>
        <w:spacing w:after="0"/>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RELATIONSHIP OF THE PARTIES</w:t>
      </w:r>
    </w:p>
    <w:p>
      <w:pPr>
        <w:spacing w:after="0" w:line="92" w:lineRule="exact"/>
        <w:rPr>
          <w:sz w:val="20"/>
          <w:szCs w:val="20"/>
          <w:color w:val="auto"/>
        </w:rPr>
      </w:pPr>
    </w:p>
    <w:p>
      <w:pPr>
        <w:jc w:val="center"/>
        <w:ind w:right="500"/>
        <w:spacing w:after="0"/>
        <w:tabs>
          <w:tab w:leader="none" w:pos="1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6"/>
          <w:szCs w:val="16"/>
          <w:color w:val="auto"/>
        </w:rPr>
        <w:t>Nothing contained herein shall be construed to place Licensor, Licensee and Sublicensees in an agency relationship or a partnership or joint venture</w:t>
      </w:r>
    </w:p>
    <w:p>
      <w:pPr>
        <w:spacing w:after="0" w:line="21"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relationship. Nothing in this’ License Agreement authorises Licensor, Licensee or Sublicensees to make any contract, agreement, warranty or representation on behalf of any of the others or to incur any debt or other obligation in any of the other’s names. Licensor, Licensee or Sublicensees shall not assume liability for, or be deemed liable hereunder as a result of, any such action, or by reason of any act of omission of any of the others hereunder, or any claim or judgment arising therefrom.</w:t>
      </w:r>
    </w:p>
    <w:p>
      <w:pPr>
        <w:spacing w:after="0" w:line="57" w:lineRule="exact"/>
        <w:rPr>
          <w:sz w:val="20"/>
          <w:szCs w:val="20"/>
          <w:color w:val="auto"/>
        </w:rPr>
      </w:pPr>
    </w:p>
    <w:p>
      <w:pPr>
        <w:jc w:val="center"/>
        <w:ind w:right="260"/>
        <w:spacing w:after="0"/>
        <w:tabs>
          <w:tab w:leader="none" w:pos="1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color w:val="auto"/>
        </w:rPr>
        <w:t>This Agreement is personal to the parties and neither party may assign, sell, transfer, sub-contract or otherwise part with this Agreement or any right or</w:t>
      </w:r>
    </w:p>
    <w:p>
      <w:pPr>
        <w:spacing w:after="0" w:line="21" w:lineRule="exact"/>
        <w:rPr>
          <w:sz w:val="20"/>
          <w:szCs w:val="20"/>
          <w:color w:val="auto"/>
        </w:rPr>
      </w:pPr>
    </w:p>
    <w:p>
      <w:pPr>
        <w:ind w:left="460" w:right="720"/>
        <w:spacing w:after="0" w:line="261" w:lineRule="auto"/>
        <w:rPr>
          <w:sz w:val="20"/>
          <w:szCs w:val="20"/>
          <w:color w:val="auto"/>
        </w:rPr>
      </w:pPr>
      <w:r>
        <w:rPr>
          <w:rFonts w:ascii="Times New Roman" w:cs="Times New Roman" w:eastAsia="Times New Roman" w:hAnsi="Times New Roman"/>
          <w:sz w:val="18"/>
          <w:szCs w:val="18"/>
          <w:color w:val="auto"/>
        </w:rPr>
        <w:t>obligation under it (“Assignment”) without the other party’s prior written consent except as provided in the Master Acquisition Agreement dated 7 February 1997 between Avis Europe plc, HFS Incorporated, Avis International Limited and Avis Rent A Car System, Inc.</w:t>
      </w:r>
    </w:p>
    <w:p>
      <w:pPr>
        <w:spacing w:after="0" w:line="51" w:lineRule="exact"/>
        <w:rPr>
          <w:sz w:val="20"/>
          <w:szCs w:val="20"/>
          <w:color w:val="auto"/>
        </w:rPr>
      </w:pPr>
    </w:p>
    <w:p>
      <w:pPr>
        <w:ind w:left="4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11.3</w:t>
        <w:tab/>
        <w:t>It shall be a condition of any Assignment by Licensee that Licensee shall at the same time assign to the proposed assignee the System License in respect of the Territory dated the same date as this Agreement between Licensee and Avis Rent A Car System, Inc., together with all of its rights and obligations under all sublicenses granted under this Agreement.</w:t>
      </w:r>
    </w:p>
    <w:p>
      <w:pPr>
        <w:spacing w:after="0" w:line="51" w:lineRule="exact"/>
        <w:rPr>
          <w:sz w:val="20"/>
          <w:szCs w:val="20"/>
          <w:color w:val="auto"/>
        </w:rPr>
      </w:pPr>
    </w:p>
    <w:p>
      <w:pPr>
        <w:ind w:left="460" w:right="12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11.4</w:t>
        <w:tab/>
        <w:t>After the effective date of any Assignment in accordance with this Section 11, references in this Agreement to the assignor shall be read and construed as references to assignee, (including, without limitation, in the case of an Assignment by Licensee, the reference to ‘named Licensee’ in Section 2.3) but without prejudice to the rights of either party in relation to any breach by the other party of any obligations under this Agreement prior to the date of assignment.</w:t>
      </w:r>
    </w:p>
    <w:p>
      <w:pPr>
        <w:spacing w:after="0" w:line="5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6"/>
          <w:szCs w:val="16"/>
          <w:color w:val="auto"/>
        </w:rPr>
        <w:t>Any Assignment in respect of which the provisions of this Section are not complied with shall be void.</w:t>
      </w:r>
    </w:p>
    <w:p>
      <w:pPr>
        <w:sectPr>
          <w:pgSz w:w="11900" w:h="16838" w:orient="portrait"/>
          <w:cols w:equalWidth="0" w:num="1">
            <w:col w:w="11340"/>
          </w:cols>
          <w:pgMar w:left="240" w:top="274" w:right="319"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212" w:lineRule="exact"/>
        <w:rPr>
          <w:sz w:val="20"/>
          <w:szCs w:val="20"/>
          <w:color w:val="auto"/>
        </w:rPr>
      </w:pPr>
    </w:p>
    <w:p>
      <w:pPr>
        <w:ind w:left="460" w:hanging="452"/>
        <w:spacing w:after="0"/>
        <w:tabs>
          <w:tab w:leader="none" w:pos="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FORCE MAJEURE</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either party is rendered unable, wholly or in part, to carry out any of its duties or obligations under this Agreement, other than a payment of money due, by reason of “FORCE MAJEURE” (as hereinafter defined), such party shall promptly give written notice to the other party (such notice briefly to describe the circumstances causing such inability), and thereafter, to the extent that the party giving such notice is unable to perform such duty or obligation by reason of the specified circumstances, it shall be excused from performance during, but no longer than, the continuance of such circumstances. As used here, “FORCE MAJEURE” means and includes interference by any government, state or local authority, war, strike, lockouts, riot, or epidemic, disease, flood and other acts of God, or any other circumstances whatsoever, whether ejusdem generis to the foregoing cause or not, over which Licensor or Licensee (as the case may be) have no control.</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12" w:lineRule="exact"/>
        <w:rPr>
          <w:sz w:val="20"/>
          <w:szCs w:val="20"/>
          <w:color w:val="auto"/>
        </w:rPr>
      </w:pPr>
    </w:p>
    <w:p>
      <w:pPr>
        <w:ind w:left="460" w:hanging="452"/>
        <w:spacing w:after="0"/>
        <w:tabs>
          <w:tab w:leader="none" w:pos="4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p>
    <w:p>
      <w:pPr>
        <w:spacing w:after="0" w:line="92"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All notices and statements to be given or information furnished, shall be given to or made at the respective addresses of the parties set forth below unless notification of a change of address is given in writing, and the date of mailing shall be deemed the date the notice or statement is given.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Wizard Co.,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Old Country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Garden City, Long Island New York 11530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HFS Incorporated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Sylvan Way Parsippany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 07054 Attention: General Counsel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Europe pIc Avis House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Bracknell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Berkshire RG122EW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3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12" w:lineRule="exact"/>
        <w:rPr>
          <w:sz w:val="20"/>
          <w:szCs w:val="20"/>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w:t>
      </w:r>
    </w:p>
    <w:p>
      <w:pPr>
        <w:spacing w:after="0" w:line="92" w:lineRule="exact"/>
        <w:rPr>
          <w:sz w:val="20"/>
          <w:szCs w:val="20"/>
          <w:color w:val="auto"/>
        </w:rPr>
      </w:pPr>
    </w:p>
    <w:p>
      <w:pPr>
        <w:ind w:left="460" w:right="6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14.1</w:t>
        <w:tab/>
        <w:t>Any provision of this Agreement or of any agreement or arrangement of which it forms part by virtue of which the agreement or arrangement constituted by all of the foregoing is subject to registration under the English Restrictive Trade Practices Act of 1976 shall not take effect until the day after that on which particulars of such agreement or arrangement shall have been delivered to the Director General of Fair Trading in</w:t>
      </w:r>
    </w:p>
    <w:p>
      <w:pPr>
        <w:sectPr>
          <w:pgSz w:w="11900" w:h="16838" w:orient="portrait"/>
          <w:cols w:equalWidth="0" w:num="1">
            <w:col w:w="11260"/>
          </w:cols>
          <w:pgMar w:left="240" w:top="272" w:right="399" w:bottom="1440" w:gutter="0" w:footer="0" w:header="0"/>
        </w:sectPr>
      </w:pPr>
    </w:p>
    <w:bookmarkStart w:id="192" w:name="page193"/>
    <w:bookmarkEnd w:id="192"/>
    <w:p>
      <w:pPr>
        <w:ind w:left="460"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the provisions of that Act. If such particulars are not so delivered within three months of the date of execution of this Agreement any such provision shall be void. The parties shall use their respective best efforts to comply with the requirements of such Act relating to the delivery of such particulars.</w:t>
      </w:r>
    </w:p>
    <w:p>
      <w:pPr>
        <w:spacing w:after="0" w:line="51" w:lineRule="exact"/>
        <w:rPr>
          <w:sz w:val="20"/>
          <w:szCs w:val="20"/>
          <w:color w:val="auto"/>
        </w:rPr>
      </w:pPr>
    </w:p>
    <w:p>
      <w:pPr>
        <w:jc w:val="both"/>
        <w:ind w:left="460" w:right="140" w:hanging="445"/>
        <w:spacing w:after="0" w:line="310" w:lineRule="auto"/>
        <w:tabs>
          <w:tab w:leader="none" w:pos="4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6"/>
          <w:szCs w:val="16"/>
          <w:color w:val="auto"/>
        </w:rPr>
        <w:t>The parties agree to cooperate to file promptly following signature hereof a joint notification to the Commission of the European Community applying for negative clearance or, in the alternative, exemption for this Agreement. The parties agree each to use their best efforts to secure a negative clearance or, in the alternative, exemption for this Agreement and to reach joint agreement on all submissions to be made to the Commission in connection therewith.</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12" w:lineRule="exact"/>
        <w:rPr>
          <w:sz w:val="20"/>
          <w:szCs w:val="20"/>
          <w:color w:val="auto"/>
        </w:rPr>
      </w:pPr>
    </w:p>
    <w:p>
      <w:pPr>
        <w:ind w:left="460" w:hanging="452"/>
        <w:spacing w:after="0"/>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6"/>
          <w:szCs w:val="16"/>
          <w:u w:val="single" w:color="auto"/>
          <w:color w:val="auto"/>
        </w:rPr>
        <w:t xml:space="preserve">Amendments </w:t>
      </w:r>
      <w:r>
        <w:rPr>
          <w:rFonts w:ascii="Times New Roman" w:cs="Times New Roman" w:eastAsia="Times New Roman" w:hAnsi="Times New Roman"/>
          <w:sz w:val="16"/>
          <w:szCs w:val="16"/>
          <w:color w:val="auto"/>
        </w:rPr>
        <w:t>None of the—terms of this License Agreement can be amended or modified except by an express agreement in writing signed by both parties.</w:t>
      </w:r>
    </w:p>
    <w:p>
      <w:pPr>
        <w:spacing w:after="0" w:line="90" w:lineRule="exact"/>
        <w:rPr>
          <w:sz w:val="20"/>
          <w:szCs w:val="20"/>
          <w:color w:val="auto"/>
        </w:rPr>
      </w:pPr>
    </w:p>
    <w:p>
      <w:pPr>
        <w:ind w:left="460" w:right="34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u w:val="single" w:color="auto"/>
          <w:color w:val="auto"/>
        </w:rPr>
        <w:t xml:space="preserve">Governing Law </w:t>
      </w:r>
      <w:r>
        <w:rPr>
          <w:rFonts w:ascii="Times New Roman" w:cs="Times New Roman" w:eastAsia="Times New Roman" w:hAnsi="Times New Roman"/>
          <w:sz w:val="18"/>
          <w:szCs w:val="18"/>
          <w:color w:val="auto"/>
        </w:rPr>
        <w:t>It is agreed that this Agreement shall be governed, and construed in accordance with, the laws of the State of New York applicable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agreements made and to be wholly performed therein and/or, where applicable, the laws of the United States of America. The courts of New York have jurisdiction over any dispute arising under this Agreement.</w:t>
      </w:r>
    </w:p>
    <w:p>
      <w:pPr>
        <w:spacing w:after="0" w:line="51" w:lineRule="exact"/>
        <w:rPr>
          <w:sz w:val="20"/>
          <w:szCs w:val="20"/>
          <w:color w:val="auto"/>
        </w:rPr>
      </w:pPr>
    </w:p>
    <w:p>
      <w:pPr>
        <w:ind w:left="460" w:right="120" w:hanging="445"/>
        <w:spacing w:after="0" w:line="262" w:lineRule="auto"/>
        <w:tabs>
          <w:tab w:leader="none" w:pos="4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u w:val="single" w:color="auto"/>
          <w:color w:val="auto"/>
        </w:rPr>
        <w:t xml:space="preserve">Entire Agreement </w:t>
      </w:r>
      <w:r>
        <w:rPr>
          <w:rFonts w:ascii="Times New Roman" w:cs="Times New Roman" w:eastAsia="Times New Roman" w:hAnsi="Times New Roman"/>
          <w:sz w:val="18"/>
          <w:szCs w:val="18"/>
          <w:color w:val="auto"/>
        </w:rPr>
        <w:t>This Agreement contains all the terms and conditions of the agreement between the parties concerning the subject matter hereof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supersedes all previous agreements and understandings concerning the same. There are no verbal statements, representations, or warranties with respect to the subject matter of this Agreement which have not been embodied in this Agreement.</w:t>
      </w:r>
    </w:p>
    <w:p>
      <w:pPr>
        <w:spacing w:after="0" w:line="51" w:lineRule="exact"/>
        <w:rPr>
          <w:sz w:val="20"/>
          <w:szCs w:val="20"/>
          <w:color w:val="auto"/>
        </w:rPr>
      </w:pPr>
    </w:p>
    <w:p>
      <w:pPr>
        <w:ind w:left="460" w:right="9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u w:val="single" w:color="auto"/>
          <w:color w:val="auto"/>
        </w:rPr>
        <w:t xml:space="preserve">Severability </w:t>
      </w:r>
      <w:r>
        <w:rPr>
          <w:rFonts w:ascii="Times New Roman" w:cs="Times New Roman" w:eastAsia="Times New Roman" w:hAnsi="Times New Roman"/>
          <w:sz w:val="18"/>
          <w:szCs w:val="18"/>
          <w:color w:val="auto"/>
        </w:rPr>
        <w:t>If any clause or condition or part thereof in this Agreement shall be found to be invalid, ineffective or unenforceable the invalidity,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ineffectiveness or unenforceability of such condition shall not:</w:t>
      </w:r>
    </w:p>
    <w:p>
      <w:pPr>
        <w:spacing w:after="0" w:line="39" w:lineRule="exact"/>
        <w:rPr>
          <w:sz w:val="20"/>
          <w:szCs w:val="20"/>
          <w:color w:val="auto"/>
        </w:rPr>
      </w:pPr>
    </w:p>
    <w:p>
      <w:pPr>
        <w:ind w:left="900" w:right="740" w:hanging="446"/>
        <w:spacing w:after="0" w:line="275"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invalid, ineffective or unenforceable part of a condition, either affect the remainder of the condition of which such invalid, ineffective or unenforceable part forms part or any other conditions;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invalid, ineffective or unenforceable condition affect any other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accordingly all such conditions or parts thereof not affected by such invalidity, ineffectiveness or enforceability shall remain in full force and effect.</w:t>
      </w:r>
    </w:p>
    <w:p>
      <w:pPr>
        <w:spacing w:after="0" w:line="90" w:lineRule="exact"/>
        <w:rPr>
          <w:sz w:val="20"/>
          <w:szCs w:val="20"/>
          <w:color w:val="auto"/>
        </w:rPr>
      </w:pPr>
    </w:p>
    <w:p>
      <w:pPr>
        <w:ind w:left="460" w:right="260" w:hanging="445"/>
        <w:spacing w:after="0" w:line="334" w:lineRule="auto"/>
        <w:tabs>
          <w:tab w:leader="none" w:pos="4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6"/>
          <w:szCs w:val="16"/>
          <w:u w:val="single" w:color="auto"/>
          <w:color w:val="auto"/>
        </w:rPr>
        <w:t xml:space="preserve">Waiver </w:t>
      </w:r>
      <w:r>
        <w:rPr>
          <w:rFonts w:ascii="Times New Roman" w:cs="Times New Roman" w:eastAsia="Times New Roman" w:hAnsi="Times New Roman"/>
          <w:sz w:val="16"/>
          <w:szCs w:val="16"/>
          <w:color w:val="auto"/>
        </w:rPr>
        <w:t>The failure of the party to insist upon strict adherence to any term of this Agreement on any occasion shall not be considered a waiver or deprive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that party of the right thereafter to insist upon strict adherence to that term or any other term of this Agreement. Any waiver must be in writing.</w:t>
      </w:r>
    </w:p>
    <w:p>
      <w:pPr>
        <w:spacing w:after="0" w:line="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6"/>
          <w:szCs w:val="16"/>
          <w:u w:val="single" w:color="auto"/>
          <w:color w:val="auto"/>
        </w:rPr>
        <w:t xml:space="preserve">Headings </w:t>
      </w:r>
      <w:r>
        <w:rPr>
          <w:rFonts w:ascii="Times New Roman" w:cs="Times New Roman" w:eastAsia="Times New Roman" w:hAnsi="Times New Roman"/>
          <w:sz w:val="16"/>
          <w:szCs w:val="16"/>
          <w:color w:val="auto"/>
        </w:rPr>
        <w:t>The headings in this Agreement are solely for convenience of reference and shall not affect its interpretation.</w:t>
      </w:r>
    </w:p>
    <w:p>
      <w:pPr>
        <w:spacing w:after="0" w:line="90" w:lineRule="exact"/>
        <w:rPr>
          <w:sz w:val="20"/>
          <w:szCs w:val="20"/>
          <w:color w:val="auto"/>
        </w:rPr>
      </w:pPr>
    </w:p>
    <w:p>
      <w:pPr>
        <w:ind w:left="460" w:right="100" w:hanging="445"/>
        <w:spacing w:after="0" w:line="275" w:lineRule="auto"/>
        <w:tabs>
          <w:tab w:leader="none" w:pos="4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u w:val="single" w:color="auto"/>
          <w:color w:val="auto"/>
        </w:rPr>
        <w:t xml:space="preserve">Counterparts </w:t>
      </w:r>
      <w:r>
        <w:rPr>
          <w:rFonts w:ascii="Times New Roman" w:cs="Times New Roman" w:eastAsia="Times New Roman" w:hAnsi="Times New Roman"/>
          <w:sz w:val="18"/>
          <w:szCs w:val="18"/>
          <w:color w:val="auto"/>
        </w:rPr>
        <w:t>This Agreement may be executed in counterparts, each of which shall constitute an original and all of which together shall constitute one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same agreement.</w:t>
      </w:r>
    </w:p>
    <w:p>
      <w:pPr>
        <w:sectPr>
          <w:pgSz w:w="11900" w:h="16838" w:orient="portrait"/>
          <w:cols w:equalWidth="0" w:num="1">
            <w:col w:w="11420"/>
          </w:cols>
          <w:pgMar w:left="240" w:top="274" w:right="239" w:bottom="1440" w:gutter="0" w:footer="0" w:header="0"/>
        </w:sectPr>
      </w:pPr>
    </w:p>
    <w:bookmarkStart w:id="193" w:name="page194"/>
    <w:bookmarkEnd w:id="193"/>
    <w:p>
      <w:pPr>
        <w:ind w:left="460" w:right="280" w:hanging="445"/>
        <w:spacing w:after="0" w:line="289" w:lineRule="auto"/>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15.8</w:t>
      </w:r>
      <w:r>
        <w:rPr>
          <w:sz w:val="20"/>
          <w:szCs w:val="20"/>
          <w:color w:val="auto"/>
        </w:rPr>
        <w:tab/>
      </w:r>
      <w:r>
        <w:rPr>
          <w:rFonts w:ascii="Times New Roman" w:cs="Times New Roman" w:eastAsia="Times New Roman" w:hAnsi="Times New Roman"/>
          <w:sz w:val="16"/>
          <w:szCs w:val="16"/>
          <w:u w:val="single" w:color="auto"/>
          <w:color w:val="auto"/>
        </w:rPr>
        <w:t xml:space="preserve">Condition Precedent </w:t>
      </w:r>
      <w:r>
        <w:rPr>
          <w:rFonts w:ascii="Times New Roman" w:cs="Times New Roman" w:eastAsia="Times New Roman" w:hAnsi="Times New Roman"/>
          <w:sz w:val="16"/>
          <w:szCs w:val="16"/>
          <w:color w:val="auto"/>
        </w:rPr>
        <w:t>This Agreement is conditional upon the ordinary share capital of PLC being admitted to the Official List of The Stock Exchange,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London, England, and listing becoming effective by not later than 13th November, 1986. In the event. of such condition not being fulfilled by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13th November, 1986 all obligations of the parties hereunder shall cease and neither party shall have any claim against the other.</w:t>
      </w:r>
    </w:p>
    <w:p>
      <w:pPr>
        <w:spacing w:after="0" w:line="3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212" w:lineRule="exact"/>
        <w:rPr>
          <w:sz w:val="20"/>
          <w:szCs w:val="20"/>
          <w:color w:val="auto"/>
        </w:rPr>
      </w:pPr>
    </w:p>
    <w:p>
      <w:pPr>
        <w:ind w:left="460" w:hanging="452"/>
        <w:spacing w:after="0"/>
        <w:tabs>
          <w:tab w:leader="none" w:pos="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ACQUISITIONS</w:t>
      </w:r>
    </w:p>
    <w:p>
      <w:pPr>
        <w:spacing w:after="0" w:line="9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The parties recognise that from time to time Licensee, or a subsidiary or affiliate of Licensee, may wish to operate in a country or region in the Territory a business which includes the leasing of vehicles without drivers (“the Business”), and that Licensor or Licensee may have granted or Licensee may now desire to grant to a third party (“a Sub-licensee”) a license to use the Licensed Marks in such country or region. The Licensor agrees that, notwithstanding section 2.8 or any other provision of the Trade Mark License, in respect of those names listed in the Schedule hereto, the Licensee may carryon or permit any subsidiary or affiliate to carryon the Business under the said names until such time as the agreement under which the Sub-licensee carries on business terminates or expires.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License Agreement to be duly executed and delivered as of the date and year first above written.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WIZARD CO., INC</w:t>
      </w:r>
    </w:p>
    <w:p>
      <w:pPr>
        <w:spacing w:after="0" w:line="22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Joseph Vittoria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AVIS EUROPE PLC</w:t>
      </w:r>
    </w:p>
    <w:p>
      <w:pPr>
        <w:spacing w:after="0" w:line="22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Alun Cathcart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Director</w:t>
      </w:r>
    </w:p>
    <w:p>
      <w:pPr>
        <w:sectPr>
          <w:pgSz w:w="11900" w:h="16838" w:orient="portrait"/>
          <w:cols w:equalWidth="0" w:num="1">
            <w:col w:w="11280"/>
          </w:cols>
          <w:pgMar w:left="240" w:top="274" w:right="37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10.61</w:t>
      </w:r>
    </w:p>
    <w:p>
      <w:pPr>
        <w:spacing w:after="0" w:line="1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AVIS RENT A CAR SYSTEM, INC.</w:t>
      </w:r>
    </w:p>
    <w:p>
      <w:pPr>
        <w:spacing w:after="0" w:line="1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SYSTEM LICENCE AGREEMENT</w:t>
      </w:r>
    </w:p>
    <w:p>
      <w:pPr>
        <w:spacing w:after="0" w:line="171"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made this 22nd day of October 1986 between Avis Rent A Car System, Inc., a Delaware corporation, with principal offices at 900 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Road, Garden City, Long Island, New York, hereinafter called “Licensor”, and Avis Europe plc an English company, of Avis House, Station Road, Bracknell, Berks, hereinafter called “Licensee”.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Whereas, Licensor is the exclusive owner of, and has the right to use and to license others to use, a plan or system for conducting the business of renting and leasing motor vehicles, with or without drivers, hereinafter called “vehicle rental business”, which plan or system consists, among other things, of uniform methods of operation, accounting, advertising service and publicity, courtesy and credit card service, kind and amount of insurance protection, method of procuring insurance protection and equipment, style and character of equipment, furnishings and appliances used in the conduct of a system generally known as Avis Rent a Car System and sometimes referred to hereinafter as the “System”; and</w:t>
      </w:r>
    </w:p>
    <w:p>
      <w:pPr>
        <w:spacing w:after="0" w:line="13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Whereas, Licensee is desirous of obtaining a licence to use the System in the conduct of a vehicle rental business and to sub-license the System to others in the area hereinafter set forth;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 THEREFORE, in consideration of the sum of $1 and of the mutual covenants contained herein, it is agreed by and between the parties hereto as follows:</w:t>
      </w:r>
    </w:p>
    <w:p>
      <w:pPr>
        <w:spacing w:after="0" w:line="111" w:lineRule="exact"/>
        <w:rPr>
          <w:sz w:val="20"/>
          <w:szCs w:val="20"/>
          <w:color w:val="auto"/>
        </w:rPr>
      </w:pPr>
    </w:p>
    <w:p>
      <w:pPr>
        <w:ind w:left="460" w:hanging="452"/>
        <w:spacing w:after="0"/>
        <w:tabs>
          <w:tab w:leader="none" w:pos="4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LICENCE</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1.1 Licensor hereby grants to the Licensee, subject to the terms and conditions hereof, an exclusive licence to use the System, and to grant to sub-licensees (“Sub-licensees”) sub-licences for the use of the System, and to permit Sub-licensees to grant sub-licences for the use of the System, in the conduct of a vehicle rental business in that part of the world bounded to the west of the Greenwich Meridian by a line running from the north pole to the south pole along 30 degrees of longitude (but including that part of the Azores and Greenland which lies to the west of such line) and to the east of the Greenwich Meridian by a line running from the north pole to the south pole along 60 degrees of longitude (but including that part of the USSR and Iran which lies to the east of such line) excluding Madagascar and the continent of Africa which lies to the west of the Suez canal and the Red Sea (“the Territory”);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This licence commences on 5 November 1986 and terminates on 30 November 2036.</w:t>
      </w:r>
    </w:p>
    <w:p>
      <w:pPr>
        <w:spacing w:after="0" w:line="171"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1.3 During the term of this agreement, Licensor covenants that it will not grant a licence to use the System in the conduct of a vehicle rental business in the Territory to anyone other than Licensee and that it will not itself conduct a vehicle rental business within the Territory.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95" w:name="page196"/>
    <w:bookmarkEnd w:id="195"/>
    <w:p>
      <w:pPr>
        <w:ind w:left="460" w:hanging="452"/>
        <w:spacing w:after="0"/>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LICENSOR’S RIGHTS IN SYSTEM</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Licensee recognises and acknowledges without any limitation or reservation of any kind or nature Licensor’s interest in and exclusive right to the System as described above, and to all parts thereof, including, without limitation, all bulletins or procedures and supplements thereto and all forms set forth or described from time to time therein, and all forms, advertising matter and devices from time to time used as a part of, in connection with, or applicable to the System, and Licensee further recognises and acknowledges the exclusive right of Licensor to grant this licence and to grant licences to others to use the System in the conduct of a vehicle rental business. Licensee does hereby accept this licence, and does covenant and agree to conduct a vehicle rental business only within the Territory, including airports, ports and railroad stations therein and only in accordance with the methods, rules and regulations of the System as now constituted, or as the same may from time to time be changed or amended as provided herein.</w:t>
      </w:r>
    </w:p>
    <w:p>
      <w:pPr>
        <w:spacing w:after="0" w:line="261" w:lineRule="exact"/>
        <w:rPr>
          <w:sz w:val="20"/>
          <w:szCs w:val="20"/>
          <w:color w:val="auto"/>
        </w:rPr>
      </w:pPr>
    </w:p>
    <w:p>
      <w:pPr>
        <w:ind w:left="460" w:hanging="452"/>
        <w:spacing w:after="0"/>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INDEMNIFICATION PROVISIONS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All claims for indemnification under this Agreement in respect of any third party claim shall be asserted and resolved as provided in this Section 3.</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3.2 In the event that any third party claim or demand (a “Claim”) for which either party (“Indemnitor”) may be liable under this Agreement to indemnify the other party (“Indemnitee”) is asserted against or sought to be collected from Indemnitee, Indemnitee shall as promptly as practicable inform Indemnitor in writing of the Claim, and shall provide such details of the Claim (including amount, if known) and any documents relating thereto as are then available to it (the “Claim Notice”). The failure on the part of Indemnitee to give a Claim Notice promptly shall not relieve the Indemnitor of any. indemnification obligations hereunder unless, and then only to the extent that, the Indemnitor is materially prejudiced thereby.</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3.3 The Indemnitor shall have 15 days from delivery of the Claim Notice (the “Notice Period”) to inform Indemnitee whether or not it desires to conduct the defence of the Claim, in which case Indemnitor shall, at its sole cost and expense, have the right to defend Indemnitee by appropriate proceedings and by counsel reasonably acceptable to Indemnitee and shall have the sole power to direct and control such defence;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Indemnitee may participate in such defence at its sole cost and expense.</w:t>
      </w:r>
    </w:p>
    <w:p>
      <w:pPr>
        <w:spacing w:after="0" w:line="13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3.4 Indemnitee shall not settle a Claim for which it is indemnified by Indemnitor unless Indemnitor does not defend Indemnitee against such Claim, except that Indemnitee shall have the sole right to defend, settle or compromise a Claim with respect to which it has waived its right to indemnification pursuant to this Agreement.</w:t>
      </w:r>
    </w:p>
    <w:p>
      <w:pPr>
        <w:spacing w:after="0" w:line="1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3.5 If Indemnitor does not serve notice under Section 3.3 during the Claim Period, Indemnitee may take such steps as are reasonable to defend itself against a Claim and to settle or compromise such Claim.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196" w:name="page197"/>
    <w:bookmarkEnd w:id="196"/>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 Unless Indemnitee agrees (such agreement not to be unreasonably withheld) Indemnitor may settle or compromise actions and consent to entry of judgments only on terms providing for the delivery of the claimant or plaintiff of a duly executed written unconditional release of Indemnitee from all liability in respect of such action.</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3.7 During the Notice Period, Indemnitee may, without prejudicing its right to indemnification, take reasonable actions to preserve all and any rights with respect to the subject matter of a Claim notified to Indemnitor.</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3.8 Indemnitee will provide all assistance and access to all documents and personnel reasonably required by Indemnitor in connection with the Defence of any Claim.</w:t>
      </w:r>
    </w:p>
    <w:p>
      <w:pPr>
        <w:spacing w:after="0" w:line="239" w:lineRule="exact"/>
        <w:rPr>
          <w:sz w:val="20"/>
          <w:szCs w:val="20"/>
          <w:color w:val="auto"/>
        </w:rPr>
      </w:pPr>
    </w:p>
    <w:p>
      <w:pPr>
        <w:ind w:right="8940" w:firstLine="8"/>
        <w:spacing w:after="0" w:line="388" w:lineRule="auto"/>
        <w:tabs>
          <w:tab w:leader="none" w:pos="44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 xml:space="preserve">LICENSEE COVENANTS </w:t>
      </w:r>
      <w:r>
        <w:rPr>
          <w:rFonts w:ascii="Times New Roman" w:cs="Times New Roman" w:eastAsia="Times New Roman" w:hAnsi="Times New Roman"/>
          <w:sz w:val="16"/>
          <w:szCs w:val="16"/>
          <w:color w:val="auto"/>
        </w:rPr>
        <w:t>Licensee covenants and agrees: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4.1   Liability Insurance and Indemnity</w:t>
      </w:r>
    </w:p>
    <w:p>
      <w:pPr>
        <w:spacing w:after="0" w:line="171" w:lineRule="exact"/>
        <w:rPr>
          <w:rFonts w:ascii="Times New Roman" w:cs="Times New Roman" w:eastAsia="Times New Roman" w:hAnsi="Times New Roman"/>
          <w:sz w:val="16"/>
          <w:szCs w:val="16"/>
          <w:color w:val="auto"/>
        </w:rPr>
      </w:pPr>
    </w:p>
    <w:p>
      <w:pPr>
        <w:ind w:firstLine="464"/>
        <w:spacing w:after="0" w:line="254" w:lineRule="auto"/>
        <w:tabs>
          <w:tab w:leader="none" w:pos="69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or use its reasonable endeavours to procure that its Sub-licensees agree to provide bodily injury and property damage liability insurance in each country within the Territory in at least the minimum legal amount for such country or the amount extended to customers in such country by companies of similar international stature, whichever is the greater. In addition to the renter, such insurance shall protect as an insured, Licensee, the appropriate Sub-licensee, Licensor, its parent, subsidiaries and affiliates, members of the renter’s immediate family, and his employer and employees where authorised by the renter to use the motor vehicle rented. It shall be a violation of this Agreement for Licensee to rent vehicles without providing insurance in the amounts which it has so notified Licensor it is providing. Licensee shall also procure that insurance is made available in the type and in the minimum amounts specified in agreements entered into by Licensor with certain corporate customers and to which Licensee agrees in writing.</w:t>
      </w:r>
    </w:p>
    <w:p>
      <w:pPr>
        <w:spacing w:after="0" w:line="141" w:lineRule="exact"/>
        <w:rPr>
          <w:rFonts w:ascii="Times New Roman" w:cs="Times New Roman" w:eastAsia="Times New Roman" w:hAnsi="Times New Roman"/>
          <w:sz w:val="18"/>
          <w:szCs w:val="18"/>
          <w:color w:val="auto"/>
        </w:rPr>
      </w:pPr>
    </w:p>
    <w:p>
      <w:pPr>
        <w:ind w:right="260" w:firstLine="464"/>
        <w:spacing w:after="0" w:line="293" w:lineRule="auto"/>
        <w:tabs>
          <w:tab w:leader="none" w:pos="705"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its option, when and on the terms and conditions of the program then offered to Licensee by Licensor, to pay the stipulated amount (the “DIC” charge) for bodily injury and property damage liability insurance coverage relating to claims, suits or proceedings, instituted and maintained outside of the Territory but which arise, in whole or in part, from accidents, events, incidents or transactions occurring in the Territory or involving a vehicle owned by Licensee. Licensor shall advise Licensee in writing promptly at the beginning of each fiscal year during which the program will be available to Licensee of the amount of such charge. Such amount shall, if Licensee has opted to participate in the program, be paid to Licensor within thirty (30) days after receipt by Licensee of Licensor’s notice of the amount to be paid. It is specifically agreed that Licensee is not paying a premium nor is Licensee buying insurance.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197" w:name="page198"/>
    <w:bookmarkEnd w:id="197"/>
    <w:p>
      <w:pPr>
        <w:ind w:right="200" w:firstLine="464"/>
        <w:spacing w:after="0" w:line="258"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indemnify and save Licensor, its parent, subsidiaries and affiliates, harmless from all loss, cost, liability and expense, including attorney’s fees, incurred in connection with or arising out of the operation of Licensee’s businesses unless caused by the acts of Licensor, its agents or servants. Licensor, when defending any suits or claims which would be covered by the indemnity by Licensee shall consult with Licensee on such defence and shall not settle any suit or claim without the prior consent or Licensee.</w:t>
      </w:r>
    </w:p>
    <w:p>
      <w:pPr>
        <w:spacing w:after="0" w:line="136" w:lineRule="exact"/>
        <w:rPr>
          <w:rFonts w:ascii="Times New Roman" w:cs="Times New Roman" w:eastAsia="Times New Roman" w:hAnsi="Times New Roman"/>
          <w:sz w:val="18"/>
          <w:szCs w:val="18"/>
          <w:color w:val="auto"/>
        </w:rPr>
      </w:pPr>
    </w:p>
    <w:p>
      <w:pPr>
        <w:ind w:right="20" w:firstLine="464"/>
        <w:spacing w:after="0" w:line="258" w:lineRule="auto"/>
        <w:tabs>
          <w:tab w:leader="none" w:pos="7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Licensee shall perform and carry out all the terms, covenants, conditions and provisions of this License Agreement, and shall exercise its option to pay the DIC charge as provided above, Licensee shall be relieved of any obligation to indemnify and save harmless in connection with any claim, suit or proceeding instituted and maintained outside the Territory and which would normally be covered by the insurance maintained by Licensee as provided in Section 4.1(a) had such claim, suit or proceeding been instituted and maintained within the Territory.</w:t>
      </w:r>
    </w:p>
    <w:p>
      <w:pPr>
        <w:spacing w:after="0" w:line="1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u w:val="single" w:color="auto"/>
          <w:color w:val="auto"/>
        </w:rPr>
        <w:t>Release from Liability</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provide each person renting a vehicle, members of his immediate family, and renter’s employer and employees operating such vehicle with renter’s permission, without extra charge with an automatic release from all liability of any of such persons for damage to the rented vehicle caused by collision or upset in excess of such amount as Licensee may specify or fire, theft, casualty or other perils normally protected against by a comprehensive physical damage insurance policy. In addition, Licensee shall unless prohibited by local law make available to the renter at such rate as Licensee may specify, an automatic release from all such damages without limitation.</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6"/>
          <w:szCs w:val="16"/>
          <w:u w:val="single" w:color="auto"/>
          <w:color w:val="auto"/>
        </w:rPr>
        <w:t>Rental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use at the time of renting of a vehicle, a Rental Agreement which complies with the guidelines established in accordance with Section 6.</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u w:val="single" w:color="auto"/>
          <w:color w:val="auto"/>
        </w:rPr>
        <w:t>Conduct of Licensee’s Business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conduct the vehicle rental business under this Agreement in a businesslike manner and in compliance with all the applicable laws, rules and regulations appertaining thereto, and with all bulletins, directives by letter and instructions contained in Avis System Station or Licensee Manual or other manuals which may from time to time be issued by Licensor respecting the conduct by Licensees of the vehicle rental business (to the extent that such bulletins, directives and instructions are binding on Licensee under Section 6); to maintain the premises in a clean, safe and orderly manner so that they will at all times present a neat appearance; to keep all motor vehicles used by Licensee in the conduct of the vehicle rental business in a safe, efficient and presentable condition and in first class mechanical and running order, and to use in the conduct of its transient rent a car operations passenger cars of the current or next preceding model year only, consistent with past practice.</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6"/>
          <w:szCs w:val="16"/>
          <w:u w:val="single" w:color="auto"/>
          <w:color w:val="auto"/>
        </w:rPr>
        <w:t>Inspection by Licensor</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To permit Licensor, at all reasonable times during business hours, to inspect the Licensee’s business premises and all parts thereof and to inspect the motor vehicles and to examine and audit any or all of the books, records, accounts and other documents of Licensee to the extent that these contain information relating to compliance by Licensee with its obligations under this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198" w:name="page199"/>
    <w:bookmarkEnd w:id="198"/>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4.6</w:t>
      </w:r>
      <w:r>
        <w:rPr>
          <w:sz w:val="20"/>
          <w:szCs w:val="20"/>
          <w:color w:val="auto"/>
        </w:rPr>
        <w:tab/>
      </w:r>
      <w:r>
        <w:rPr>
          <w:rFonts w:ascii="Times New Roman" w:cs="Times New Roman" w:eastAsia="Times New Roman" w:hAnsi="Times New Roman"/>
          <w:sz w:val="16"/>
          <w:szCs w:val="16"/>
          <w:u w:val="single" w:color="auto"/>
          <w:color w:val="auto"/>
        </w:rPr>
        <w:t>Licensee’s Rates</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To furnish to Licensor a complete schedule of its public rates and tariffs and not to charge any rates which are unreasonable, discriminatory or which tend to mislead the public; and to state, display and advertise its rates in accordance with bulletins issued by Licensor; provided that nothing herein is intended or shall be construed to require Licensee to charge or maintain any specific rates or level of rates or charges.</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6"/>
          <w:szCs w:val="16"/>
          <w:u w:val="single" w:color="auto"/>
          <w:color w:val="auto"/>
        </w:rPr>
        <w:t>Information Provided to Licensor</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promptly furnish Licensor at such times and in such manner as Licensor may from time to time prescribe such information as Licensor may request relating to Licensee’s vehicle rental business, including information with respect to all vehicles registered, used or available for use by Licensee for any purpose, to the extent that Licensee is permitted by law and by Stock Exchange regulations to disclose such information to Licensor without causing such information to be publicly disclosed.</w:t>
      </w:r>
    </w:p>
    <w:p>
      <w:pPr>
        <w:spacing w:after="0" w:line="1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6"/>
          <w:szCs w:val="16"/>
          <w:u w:val="single" w:color="auto"/>
          <w:color w:val="auto"/>
        </w:rPr>
        <w:t>Cooperation with Licensor and other Licensees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cooperate with Licensor and other Avis licensees in promoting, advertising and developing the international recognition of the System. This includes operating in such a manner as to make generally known its affiliation as a Licensee of the System. Licensee will encourage and solicit vehicle rental customers to patronise Licensor and other Avis licensees, and will refer all vehicle rental reservations to Licensor and to other Avis licensees when Licensor or a licensee is in the location concerned. .</w:t>
      </w:r>
    </w:p>
    <w:p>
      <w:pPr>
        <w:spacing w:after="0" w:line="1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6"/>
          <w:szCs w:val="16"/>
          <w:u w:val="single" w:color="auto"/>
          <w:color w:val="auto"/>
        </w:rPr>
        <w:t>Payment of Monies Due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promptly pay Licensor and other Avis licensees any and all monies due from transactions arising out of the business of the System.</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6"/>
          <w:szCs w:val="16"/>
          <w:u w:val="single" w:color="auto"/>
          <w:color w:val="auto"/>
        </w:rPr>
        <w:t>Association with Other Systems</w:t>
      </w:r>
    </w:p>
    <w:p>
      <w:pPr>
        <w:spacing w:after="0" w:line="17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Not to be or become associated, directly or indirectly, or through any corporation or other entity which it owns or controls, which owns or controls it or with which it is under common ownership or control, or in any other manner, in any location, whether or not within the Territory, with an international, national or regional vehicle rental system other than the Avis System or with any other entity in competition with Avis in the vehicle rental business, except that Licensee may acquire an existing vehicle rental or leasing business and for a reasonable period of time following such acquisition it shall have the right to continue to operate such business under the existing name. It is further recognised and agreed that none of the current activities of Licensee or of any of its Sub-licensees violate this clause.</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4" w:right="259" w:bottom="1440" w:gutter="0" w:footer="0" w:header="0"/>
        </w:sectPr>
      </w:pPr>
    </w:p>
    <w:bookmarkStart w:id="199" w:name="page200"/>
    <w:bookmarkEnd w:id="199"/>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4.11</w:t>
      </w:r>
      <w:r>
        <w:rPr>
          <w:sz w:val="20"/>
          <w:szCs w:val="20"/>
          <w:color w:val="auto"/>
        </w:rPr>
        <w:tab/>
      </w:r>
      <w:r>
        <w:rPr>
          <w:rFonts w:ascii="Times New Roman" w:cs="Times New Roman" w:eastAsia="Times New Roman" w:hAnsi="Times New Roman"/>
          <w:sz w:val="16"/>
          <w:szCs w:val="16"/>
          <w:u w:val="single" w:color="auto"/>
          <w:color w:val="auto"/>
        </w:rPr>
        <w:t>Grant of sub-licences</w:t>
      </w:r>
    </w:p>
    <w:p>
      <w:pPr>
        <w:spacing w:after="0" w:line="17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To use for the purpose of granting sub-licences within Territory a sub-licence complying with the guidelines set forth in Exhibit A hereto. Licensee shall provide Licensor copies of all sub-licence agreements after signature.</w:t>
      </w:r>
    </w:p>
    <w:p>
      <w:pPr>
        <w:spacing w:after="0" w:line="1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6"/>
          <w:szCs w:val="16"/>
          <w:u w:val="single" w:color="auto"/>
          <w:color w:val="auto"/>
        </w:rPr>
        <w:t>Format of credit cards</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To use a format approved by Licensor (such approval not to be unreasonably withheld) for all credit cards issued by it to customers in connection with its vehicle rental business. Licensor confirms that all formats currently used by Licensee or its predecessors are approved for the purposes of this section.</w:t>
      </w:r>
    </w:p>
    <w:p>
      <w:pPr>
        <w:spacing w:after="0" w:line="239" w:lineRule="exact"/>
        <w:rPr>
          <w:sz w:val="20"/>
          <w:szCs w:val="20"/>
          <w:color w:val="auto"/>
        </w:rPr>
      </w:pPr>
    </w:p>
    <w:p>
      <w:pPr>
        <w:ind w:right="8860" w:firstLine="8"/>
        <w:spacing w:after="0" w:line="388" w:lineRule="auto"/>
        <w:tabs>
          <w:tab w:leader="none" w:pos="44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 xml:space="preserve">LICENSOR COVENANTS </w:t>
      </w:r>
      <w:r>
        <w:rPr>
          <w:rFonts w:ascii="Times New Roman" w:cs="Times New Roman" w:eastAsia="Times New Roman" w:hAnsi="Times New Roman"/>
          <w:sz w:val="16"/>
          <w:szCs w:val="16"/>
          <w:color w:val="auto"/>
        </w:rPr>
        <w:t>Licensor covenants and agrees: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Consultation with Licensee</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To make available to Licensee without charge the privilege of consulting with the appropriate personnel of Licensor upon the problems of advertising, promoting, operating and developing the Licensee’s vehicle rental business.</w:t>
      </w:r>
    </w:p>
    <w:p>
      <w:pPr>
        <w:spacing w:after="0" w:line="1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6"/>
          <w:szCs w:val="16"/>
          <w:u w:val="single" w:color="auto"/>
          <w:color w:val="auto"/>
        </w:rPr>
        <w:t>Sale of Avis Material</w:t>
      </w:r>
    </w:p>
    <w:p>
      <w:pPr>
        <w:spacing w:after="0" w:line="17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To make available to Licensee and its Sub-licensees, through sale or otherwise, standard Avis System signs and advertising, promotion and display materials, standard Rental Agreements, standardized letterhead, billheads, rate folders, and other similar material.</w:t>
      </w:r>
    </w:p>
    <w:p>
      <w:pPr>
        <w:spacing w:after="0" w:line="1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6"/>
          <w:szCs w:val="16"/>
          <w:u w:val="single" w:color="auto"/>
          <w:color w:val="auto"/>
        </w:rPr>
        <w:t>Issue of Directories</w:t>
      </w:r>
    </w:p>
    <w:p>
      <w:pPr>
        <w:spacing w:after="0" w:line="171"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To issue, from time to time, as it sees fit, for distribution among travellers and other potential vehicle rental customers, a directory which will contain the addresses and telephone numbers of all rental stations owned by Avis System licensees including Licensee and its Sub-licensees.</w:t>
      </w:r>
    </w:p>
    <w:p>
      <w:pPr>
        <w:spacing w:after="0" w:line="1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6"/>
          <w:szCs w:val="16"/>
          <w:u w:val="single" w:color="auto"/>
          <w:color w:val="auto"/>
        </w:rPr>
        <w:t>Assistance in Procurement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assist Licensee in procuring, either through Licensor or from other sources, equipment, supplies and services required in the vehicle rental business.</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6"/>
          <w:szCs w:val="16"/>
          <w:u w:val="single" w:color="auto"/>
          <w:color w:val="auto"/>
        </w:rPr>
        <w:t>Issue of Bulletins. Forms and Procedures</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To make available for the use of Licensee and to its Sub-licensees, through sale or otherwise, various forms, bulletins and procedures for use in the conduct of their vehicle rental business and from time to time to issue bulletins making various recommendations for the improvement of the vehicle rental business, and to furnish to Licensee a complete Schedule of its public rates and tariffs.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200" w:name="page201"/>
    <w:bookmarkEnd w:id="200"/>
    <w:p>
      <w:pPr>
        <w:spacing w:after="0"/>
        <w:tabs>
          <w:tab w:leader="none" w:pos="4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w:t>
      </w:r>
      <w:r>
        <w:rPr>
          <w:sz w:val="20"/>
          <w:szCs w:val="20"/>
          <w:color w:val="auto"/>
        </w:rPr>
        <w:tab/>
      </w:r>
      <w:r>
        <w:rPr>
          <w:rFonts w:ascii="Times New Roman" w:cs="Times New Roman" w:eastAsia="Times New Roman" w:hAnsi="Times New Roman"/>
          <w:sz w:val="16"/>
          <w:szCs w:val="16"/>
          <w:u w:val="single" w:color="auto"/>
          <w:color w:val="auto"/>
        </w:rPr>
        <w:t>Indemnity</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indemnify and save Licensee, its parent, subsidiaries and affiliates, harmless from all loss, cost, liability and expense, including attorney’s fees incurred in connection with or arising out of Licensor’s own business operations or that of its wholly owned subsidiaries, unless caused by the acts of Licensee, its agents or servants. In the event Licensee shall incur a loss, cost, liability or expense as result of the operation of the business of a licensee of Avis outside of Licensee’s Territory, Licensor shall upon request, and to the extent permitted by law and the License Agreement with such Licensee, assign to Licensee any indemnity rights which it may have.</w:t>
      </w:r>
    </w:p>
    <w:p>
      <w:pPr>
        <w:spacing w:after="0" w:line="258" w:lineRule="exact"/>
        <w:rPr>
          <w:sz w:val="20"/>
          <w:szCs w:val="20"/>
          <w:color w:val="auto"/>
        </w:rPr>
      </w:pPr>
    </w:p>
    <w:p>
      <w:pPr>
        <w:ind w:left="460" w:hanging="452"/>
        <w:spacing w:after="0"/>
        <w:tabs>
          <w:tab w:leader="none" w:pos="4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 OF LICENSOR TO CHANGE SYSTEM</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6.1 Licensor expressly reserves the right to change when and as it chooses, the System or any part thereof, including any forms, bulletins, procedures, or standard Rental Agreements, and the System as so changed or amended, from time to time, shall for all purposes be deemed to be the System referred to in this Agreement, and Licensee agrees to adopt and use all changes as may from time to time be required by Licensor provided that the Licensor has complied with the following procedure before implementing such changes. If at any time Licensor wishes to make any change to the System or any part thereof, including any forms, bulletins, procedures, standard Rental Agreements, clothing or equipment used in the System, it will give Licensee not less than one month’s advance notice or its intention to do so and in such notice shall provide full details of the proposed change which would be consistent with existing system variations. Licensee shall implement such change during the period of five months following the date on which it is stated to become effective, except that Licensor will not require Licensee to implement any such change hereunder if Licensee can demonstrate to Licensor’s reasonable satisfaction that any such change would adversely affect it in a material manner.</w:t>
      </w:r>
    </w:p>
    <w:p>
      <w:pPr>
        <w:spacing w:after="0" w:line="14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6.2 Any and all improvements in said System developed by Licensee or any of its Sub-licensees shall be and become the sole and absolute property of Licensor, and Licensor may incorporate the same in said System and shall have the sole and exclusive right to copyright, register and/or patent such improvements in its own name, and neither Licensee nor any of its Sub-licensees shall have any right to use such improvements, except as it may be licensed to use the System hereunder, provided, however, that in the event of the termination of this licence, Licensee may continue to use and permit its Sub-licensees to use any form of improvement which Licensee or any Sub-licensee has itself developed, but neither Licensee nor any Sub-licensee shall thereby represent that it is in any manner a licensee of or connected with Licensor or the System, and Licensor and other licensees of the System may continue to use such forms or improvement.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201" w:name="page202"/>
    <w:bookmarkEnd w:id="201"/>
    <w:p>
      <w:pPr>
        <w:ind w:left="460" w:hanging="452"/>
        <w:spacing w:after="0"/>
        <w:tabs>
          <w:tab w:leader="none" w:pos="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may terminate this Licence Agreement by serving thirty days’ written notice to that effect in the following events:</w:t>
      </w:r>
    </w:p>
    <w:p>
      <w:pPr>
        <w:spacing w:after="0" w:line="171" w:lineRule="exact"/>
        <w:rPr>
          <w:sz w:val="20"/>
          <w:szCs w:val="20"/>
          <w:color w:val="auto"/>
        </w:rPr>
      </w:pPr>
    </w:p>
    <w:p>
      <w:pPr>
        <w:ind w:right="380" w:firstLine="464"/>
        <w:spacing w:after="0" w:line="275" w:lineRule="auto"/>
        <w:tabs>
          <w:tab w:leader="none" w:pos="70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Licensee violates in any material respect any of the terms, covenants, conditions or provisions of this Licence Agreement and fails to correct such violation within ninety (90) days after receipt from Licensor of a notice specifying the breach and requesting correction.</w:t>
      </w:r>
    </w:p>
    <w:p>
      <w:pPr>
        <w:spacing w:after="0" w:line="119" w:lineRule="exact"/>
        <w:rPr>
          <w:rFonts w:ascii="Times New Roman" w:cs="Times New Roman" w:eastAsia="Times New Roman" w:hAnsi="Times New Roman"/>
          <w:sz w:val="18"/>
          <w:szCs w:val="18"/>
          <w:color w:val="auto"/>
        </w:rPr>
      </w:pPr>
    </w:p>
    <w:p>
      <w:pPr>
        <w:jc w:val="both"/>
        <w:ind w:right="160" w:firstLine="464"/>
        <w:spacing w:after="0" w:line="258" w:lineRule="auto"/>
        <w:tabs>
          <w:tab w:leader="none" w:pos="70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petition is presented against Licensee for its liquidation and such petition is not dismissed within ninety days, Licensee makes an assignment for the benefit of, or enters into any composition or arrangement with, creditors, or a receiver, trustee or liquidator is appointed for the business of Licensee, or if bankruptcy, reorganisation, insolvency or arrangement proceedings or proceedings under any other laws relating to the relief of debtors shall be commenced by Licensee or shall be commenced against Licensee and shall not be dismissed within ninety days.</w:t>
      </w:r>
    </w:p>
    <w:p>
      <w:pPr>
        <w:spacing w:after="0" w:line="136" w:lineRule="exact"/>
        <w:rPr>
          <w:rFonts w:ascii="Times New Roman" w:cs="Times New Roman" w:eastAsia="Times New Roman" w:hAnsi="Times New Roman"/>
          <w:sz w:val="18"/>
          <w:szCs w:val="18"/>
          <w:color w:val="auto"/>
        </w:rPr>
      </w:pPr>
    </w:p>
    <w:p>
      <w:pPr>
        <w:ind w:right="240" w:firstLine="464"/>
        <w:spacing w:after="0" w:line="258" w:lineRule="auto"/>
        <w:tabs>
          <w:tab w:leader="none" w:pos="70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 or deed or judicial or administrative proceeding in the nature of an expropriation, confiscation, nationalisation, intervention, acquisition, seizure, sequestration or condemnation of or with respect to the Licensee, the business and operations, management or ownership thereof, or its capital stock, property or assets, or any substantial portion thereof, shall be undertaken or instituted by any government, government agency, or authority or instrumentality purporting to exercise government authority, present or future, in the Territory.</w:t>
      </w:r>
    </w:p>
    <w:p>
      <w:pPr>
        <w:spacing w:after="0" w:line="136" w:lineRule="exact"/>
        <w:rPr>
          <w:rFonts w:ascii="Times New Roman" w:cs="Times New Roman" w:eastAsia="Times New Roman" w:hAnsi="Times New Roman"/>
          <w:sz w:val="18"/>
          <w:szCs w:val="18"/>
          <w:color w:val="auto"/>
        </w:rPr>
      </w:pPr>
    </w:p>
    <w:p>
      <w:pPr>
        <w:ind w:firstLine="464"/>
        <w:spacing w:after="0" w:line="275" w:lineRule="auto"/>
        <w:tabs>
          <w:tab w:leader="none" w:pos="70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Trademark Licence Agreement dated the same date as this Agreement between Licensee and Wizard Co. Inc. should terminate for any reason whatsoever.</w:t>
      </w:r>
    </w:p>
    <w:p>
      <w:pPr>
        <w:spacing w:after="0" w:line="23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REASONABLE ENDEAVOURS</w:t>
      </w:r>
    </w:p>
    <w:p>
      <w:pPr>
        <w:spacing w:after="0" w:line="9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No party hereto, in using its reasonable endeavours whenever required by this Agreement, shall be thereby required to act contrary to any law or contractual provision then in effect which is binding upon it.</w:t>
      </w:r>
    </w:p>
    <w:p>
      <w:pPr>
        <w:spacing w:after="0" w:line="239" w:lineRule="exact"/>
        <w:rPr>
          <w:sz w:val="20"/>
          <w:szCs w:val="20"/>
          <w:color w:val="auto"/>
        </w:rPr>
      </w:pPr>
    </w:p>
    <w:p>
      <w:pPr>
        <w:ind w:left="460" w:hanging="452"/>
        <w:spacing w:after="0"/>
        <w:tabs>
          <w:tab w:leader="none" w:pos="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w:t>
      </w:r>
    </w:p>
    <w:p>
      <w:pPr>
        <w:spacing w:after="0" w:line="9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No failure of either party to exercise any power given it hereunder, or to insist upon strict compliance by the other party with any obligation hereunder or any obligation in similar agreements with other licensees of the System, and no custom or practice of the parties at variance with the terms hereof shall constitute a waiver of the such party’s right to demand and enforce strict compliance within the terms hereof.</w:t>
      </w:r>
    </w:p>
    <w:p>
      <w:pPr>
        <w:spacing w:after="0" w:line="252" w:lineRule="exact"/>
        <w:rPr>
          <w:sz w:val="20"/>
          <w:szCs w:val="20"/>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REVERSION TO LICENSOR OF ALL RIGHTS ON TERMINATION</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of termination, cancellation or suspension of this Agreement, all rights of Licensee hereunder shall thereupon terminate, and Licensee will immediately thereafter cease to use the System or any part thereof and shall return forthwith to Licensor all unused Avis System Standard Rental Agreements, forms, advertising matter, bulletins, procedures, manuals of operation, and Commercial Customer Information Sheets which have been received from Licensor and receive due credit therefor.</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00"/>
          </w:cols>
          <w:pgMar w:left="240" w:top="272" w:right="359" w:bottom="1440" w:gutter="0" w:footer="0" w:header="0"/>
        </w:sectPr>
      </w:pPr>
    </w:p>
    <w:bookmarkStart w:id="202" w:name="page203"/>
    <w:bookmarkEnd w:id="202"/>
    <w:p>
      <w:pPr>
        <w:ind w:left="460" w:hanging="452"/>
        <w:spacing w:after="0"/>
        <w:tabs>
          <w:tab w:leader="none" w:pos="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AGENCY</w:t>
      </w:r>
    </w:p>
    <w:p>
      <w:pPr>
        <w:spacing w:after="0" w:line="9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This Agreement shall not be construed so as to constitute either party the agent or representative of the other for any purpose whatsoever, and each party agrees that it has no authority to assume or to incur any obligation or responsibility, expressed or implied, for, or on behalf of, or in the name of, the other party, or to bind, the other party in any manner or thing whatsoever.</w:t>
      </w:r>
    </w:p>
    <w:p>
      <w:pPr>
        <w:spacing w:after="0" w:line="252" w:lineRule="exact"/>
        <w:rPr>
          <w:sz w:val="20"/>
          <w:szCs w:val="20"/>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WRITTEN CONTRACT ENTIRE AGREEMENT BETWEEN PARTIES</w:t>
      </w:r>
    </w:p>
    <w:p>
      <w:pPr>
        <w:spacing w:after="0" w:line="92" w:lineRule="exact"/>
        <w:rPr>
          <w:sz w:val="20"/>
          <w:szCs w:val="20"/>
          <w:color w:val="auto"/>
        </w:rPr>
      </w:pPr>
    </w:p>
    <w:p>
      <w:pPr>
        <w:jc w:val="both"/>
        <w:ind w:right="40"/>
        <w:spacing w:after="0" w:line="301" w:lineRule="auto"/>
        <w:rPr>
          <w:sz w:val="20"/>
          <w:szCs w:val="20"/>
          <w:color w:val="auto"/>
        </w:rPr>
      </w:pPr>
      <w:r>
        <w:rPr>
          <w:rFonts w:ascii="Times New Roman" w:cs="Times New Roman" w:eastAsia="Times New Roman" w:hAnsi="Times New Roman"/>
          <w:sz w:val="16"/>
          <w:szCs w:val="16"/>
          <w:color w:val="auto"/>
        </w:rPr>
        <w:t>This Agreement supersedes all prior agreements whether written or oral between the parties concerning the specific subject matter hereof and no representations, inducements, promises or agreements, oral or otherwise, between the parties not embodied herein shall be of any force or effect. No change in this form shall be binding on either party unless initialled by a duly authorised officer or director thereof, and no amendment shall be binding on either party unless signed by such an officer or director. Paragraph headings are inserted for convenience only and shall not influence the interpretation. or construction of this Agreement.</w:t>
      </w:r>
    </w:p>
    <w:p>
      <w:pPr>
        <w:spacing w:after="0" w:line="223" w:lineRule="exact"/>
        <w:rPr>
          <w:sz w:val="20"/>
          <w:szCs w:val="20"/>
          <w:color w:val="auto"/>
        </w:rPr>
      </w:pPr>
    </w:p>
    <w:p>
      <w:pPr>
        <w:ind w:left="460" w:hanging="452"/>
        <w:spacing w:after="0"/>
        <w:tabs>
          <w:tab w:leader="none" w:pos="4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p>
    <w:p>
      <w:pPr>
        <w:spacing w:after="0" w:line="92" w:lineRule="exact"/>
        <w:rPr>
          <w:sz w:val="20"/>
          <w:szCs w:val="20"/>
          <w:color w:val="auto"/>
        </w:rPr>
      </w:pPr>
    </w:p>
    <w:p>
      <w:pPr>
        <w:ind w:right="940"/>
        <w:spacing w:after="0" w:line="275" w:lineRule="auto"/>
        <w:rPr>
          <w:sz w:val="20"/>
          <w:szCs w:val="20"/>
          <w:color w:val="auto"/>
        </w:rPr>
      </w:pPr>
      <w:r>
        <w:rPr>
          <w:rFonts w:ascii="Times New Roman" w:cs="Times New Roman" w:eastAsia="Times New Roman" w:hAnsi="Times New Roman"/>
          <w:sz w:val="18"/>
          <w:szCs w:val="18"/>
          <w:color w:val="auto"/>
        </w:rPr>
        <w:t>If any clause or condition or part thereof in this Agreement shall be found to be invalid ineffective or unenforceable the invalidity ineffectiveness or unenforceability of such condition shall not:</w:t>
      </w:r>
    </w:p>
    <w:p>
      <w:pPr>
        <w:spacing w:after="0" w:line="3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13.1 in the case of an invalid ineffective or unenforceable part of a condition, either affect the remainder of the condition of which such invalid ineffective or unenforceable part forms part or any other conditions; or</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13.2 in the case of an invalid ineffective or unenforceable condition affect any other condition and accordingly all such conditions or parts thereof not affected by such invalidity ineffectiveness or unenforceability shall remain in full force and effect.</w:t>
      </w:r>
    </w:p>
    <w:p>
      <w:pPr>
        <w:spacing w:after="0" w:line="239" w:lineRule="exact"/>
        <w:rPr>
          <w:sz w:val="20"/>
          <w:szCs w:val="20"/>
          <w:color w:val="auto"/>
        </w:rPr>
      </w:pPr>
    </w:p>
    <w:p>
      <w:pPr>
        <w:ind w:left="460" w:hanging="452"/>
        <w:spacing w:after="0"/>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written notices and other written communications to be served on or given to either party shall be sent or delivered addressed as follows: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Licensor: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System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Old Country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Garden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11530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272" w:right="3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HFS Incorporated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Sylvan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 07054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Licensee: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Europe plc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Station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Bracknell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Berks RG 121HZ.</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Company Secretary</w:t>
      </w:r>
    </w:p>
    <w:p>
      <w:pPr>
        <w:spacing w:after="0" w:line="171" w:lineRule="exact"/>
        <w:rPr>
          <w:sz w:val="20"/>
          <w:szCs w:val="20"/>
          <w:color w:val="auto"/>
        </w:rPr>
      </w:pPr>
    </w:p>
    <w:p>
      <w:pPr>
        <w:ind w:right="1020"/>
        <w:spacing w:after="0" w:line="275" w:lineRule="auto"/>
        <w:rPr>
          <w:sz w:val="20"/>
          <w:szCs w:val="20"/>
          <w:color w:val="auto"/>
        </w:rPr>
      </w:pPr>
      <w:r>
        <w:rPr>
          <w:rFonts w:ascii="Times New Roman" w:cs="Times New Roman" w:eastAsia="Times New Roman" w:hAnsi="Times New Roman"/>
          <w:sz w:val="18"/>
          <w:szCs w:val="18"/>
          <w:color w:val="auto"/>
        </w:rPr>
        <w:t>or to such other address as the addressee may by notice in writing have specified in the party sending such notice. Written notices and other written communications shall be treated as having been received upon actual receipt.</w:t>
      </w:r>
    </w:p>
    <w:p>
      <w:pPr>
        <w:spacing w:after="0" w:line="239" w:lineRule="exact"/>
        <w:rPr>
          <w:sz w:val="20"/>
          <w:szCs w:val="20"/>
          <w:color w:val="auto"/>
        </w:rPr>
      </w:pPr>
    </w:p>
    <w:p>
      <w:pPr>
        <w:ind w:left="460" w:hanging="452"/>
        <w:spacing w:after="0"/>
        <w:tabs>
          <w:tab w:leader="none" w:pos="4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15.1 This Agreement is personal to the parties and neither party may assign, sell, transfer, sub-contract or otherwise part with this Agreement or any right or obligation under it (“Assignment”) without the other party’s prior written consent except as provided in the Master Acquisition Agreement dated 7 February 1997 between Avis Europe plc, HFS Incorporated, Avis International Limited and Avis Rent A Car System, Inc. and the Trademark Licence Agreement dated the same date as this Agreement between Wizard Co., Inc. and Licensee.</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15.2 After the effective date of any Assignment in accordance with this Section 15, references in this Agreement to the assignor shall be read and construed as references to assignee, but without prejudice to the rights of either party in relation to any breach by the other party of any obligations under this Agreement prior to the date of assignment.</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6"/>
          <w:szCs w:val="16"/>
          <w:color w:val="auto"/>
        </w:rPr>
        <w:t>Any Assignment in respect of which the provisions of this Section are not complied with shall be void.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274" w:right="299" w:bottom="1440" w:gutter="0" w:footer="0" w:header="0"/>
        </w:sectPr>
      </w:pPr>
    </w:p>
    <w:bookmarkStart w:id="204" w:name="page205"/>
    <w:bookmarkEnd w:id="204"/>
    <w:p>
      <w:pPr>
        <w:ind w:left="460" w:hanging="452"/>
        <w:spacing w:after="0"/>
        <w:tabs>
          <w:tab w:leader="none" w:pos="4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92"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The construction, validity and performance of this Agreement is governed by the laws of New York. Any disputes arising out of or in relation to this Agreement shall be resolved in accordance with the Review and Arbitration Agreement between Licensor, Licensee and Wizard Co. Inc. dated the date as this Agreement.</w:t>
      </w:r>
    </w:p>
    <w:p>
      <w:pPr>
        <w:spacing w:after="0" w:line="194" w:lineRule="exact"/>
        <w:rPr>
          <w:sz w:val="20"/>
          <w:szCs w:val="20"/>
          <w:color w:val="auto"/>
        </w:rPr>
      </w:pPr>
    </w:p>
    <w:p>
      <w:pPr>
        <w:ind w:left="460" w:hanging="452"/>
        <w:spacing w:after="0"/>
        <w:tabs>
          <w:tab w:leader="none" w:pos="4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LOCAL TAXES</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the extent that any levy, impost, deduction or withholding imposed by the laws of any part of the Territory (a “Local Tax”) and paid on or with respect to any sum payable to Licensor hereunder exceeds the amount, if any, by which the income tax in the United States of Licensor or of a consolidated group including Licensor (“U.S. Tax of Licensor”) is reduced through a deduction from its gross income or a credit against U.S. Tax of Licensor of such Local Tax, Licensee will, on written demand, promptly pay to Licensor that sum which, after deduction of any and all taxes, imposts, levies, deductions or withholdings paid or payable on or with respect to that sum under or by virtue of the laws of any part of the Territory, is equal to the amount by which such Local Tax exceeds the amount by which the U.S.Tax of Licensor is reduced by reason of a deduction or credit for such tax. Licensee shall, immediately after payment by it of any Local Tax, transmit to Licensor a receipt duly executed by the appropriate local authorities evidencing such payment of a Local Tax or other documentary evidence of such payment satisfactory to Licensor.</w:t>
      </w:r>
    </w:p>
    <w:p>
      <w:pPr>
        <w:spacing w:after="0" w:line="258" w:lineRule="exact"/>
        <w:rPr>
          <w:sz w:val="20"/>
          <w:szCs w:val="20"/>
          <w:color w:val="auto"/>
        </w:rPr>
      </w:pPr>
    </w:p>
    <w:p>
      <w:pPr>
        <w:ind w:left="460" w:hanging="452"/>
        <w:spacing w:after="0"/>
        <w:tabs>
          <w:tab w:leader="none" w:pos="4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REGISTRATION</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18.1 Any provision of this Agreement or of any agreement or arrangement of which it forms part by virtue of which the agreement or arrangement constituted by all the foregoing is subject to registration under the English Restrictive Trade Practices Act 1976 shall not take effect until the day after that on which particulars of such agreement or arrangement shall have been delivered to the Director General of Fair Trading in accordance with the provisions of that Act. If such particulars are not so delivered within three months of the date of execution of this Agreement any such provision shall be void. The parties shall use their respective best efforts to comply with the requirements of such Act relating to the delivery of such particulars.</w:t>
      </w:r>
    </w:p>
    <w:p>
      <w:pPr>
        <w:spacing w:after="0" w:line="139"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18.2 The parties agree to cooperate to file promptly following signature hereof a joint notification to the Commission of the European Communities applying for negative clearance or, in the alternative, exemption for this Agreement. The parties agree each to use their best efforts to secure a negative clearance or, in the alternative, exemption for this Agreement and to reach joint agreement on all submissions to be made to the Commission in connection therewith.</w:t>
      </w:r>
    </w:p>
    <w:p>
      <w:pPr>
        <w:spacing w:after="0" w:line="217" w:lineRule="exact"/>
        <w:rPr>
          <w:sz w:val="20"/>
          <w:szCs w:val="20"/>
          <w:color w:val="auto"/>
        </w:rPr>
      </w:pPr>
    </w:p>
    <w:p>
      <w:pPr>
        <w:ind w:left="460" w:hanging="452"/>
        <w:spacing w:after="0"/>
        <w:tabs>
          <w:tab w:leader="none" w:pos="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 PRECEDENT</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Agreement is conditional upon the ordinary share capital of PLC being admitted to the Official List of The Stock Exchange, London and listing becoming effective by not later than 13th November 1986. In the event of such condition not being fulfilled by 13th November, 1986 all obligations of the parties hereunder shall cease and neither party shall have any claim against the other.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2" w:right="2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(LICENSOR)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Collins</w:t>
            </w:r>
          </w:p>
        </w:tc>
      </w:tr>
      <w:tr>
        <w:trPr>
          <w:trHeight w:val="2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1"/>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(AVIS EUROPE LIMITED)</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Alun Cathcar</w:t>
            </w:r>
          </w:p>
        </w:tc>
      </w:tr>
      <w:tr>
        <w:trPr>
          <w:trHeight w:val="2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Chairman &amp; Chief Executive Officer</w:t>
            </w:r>
          </w:p>
        </w:tc>
      </w:tr>
    </w:tbl>
    <w:p>
      <w:pPr>
        <w:spacing w:after="0" w:line="1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19"/>
          </w:cols>
          <w:pgMar w:left="240" w:top="272"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available to cover fixed charges:</w:t>
            </w:r>
          </w:p>
        </w:tc>
        <w:tc>
          <w:tcPr>
            <w:tcW w:w="1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2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8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2"/>
              </w:rPr>
              <w:t>(677)</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 (62)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$(263)</w:t>
            </w:r>
          </w:p>
        </w:tc>
        <w:tc>
          <w:tcPr>
            <w:tcW w:w="0" w:type="dxa"/>
            <w:vAlign w:val="bottom"/>
          </w:tcPr>
          <w:p>
            <w:pPr>
              <w:spacing w:after="0"/>
              <w:rPr>
                <w:sz w:val="1"/>
                <w:szCs w:val="1"/>
                <w:color w:val="auto"/>
              </w:rPr>
            </w:pPr>
          </w:p>
        </w:tc>
      </w:t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Plus: Fixed charges</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693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607</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Earnings available to cover fixed charges</w:t>
            </w:r>
          </w:p>
        </w:tc>
        <w:tc>
          <w:tcPr>
            <w:tcW w:w="19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(436</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including amortization of deferred</w:t>
            </w: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financing costs </w:t>
            </w:r>
            <w:r>
              <w:rPr>
                <w:rFonts w:ascii="Times New Roman" w:cs="Times New Roman" w:eastAsia="Times New Roman" w:hAnsi="Times New Roman"/>
                <w:sz w:val="22"/>
                <w:szCs w:val="22"/>
                <w:color w:val="auto"/>
                <w:vertAlign w:val="superscript"/>
              </w:rPr>
              <w:t>(a)</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$ 497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632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$512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portion of rental payment</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9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$ 556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Ratio of earnings to fixed charges </w:t>
            </w:r>
            <w:r>
              <w:rPr>
                <w:rFonts w:ascii="Times New Roman" w:cs="Times New Roman" w:eastAsia="Times New Roman" w:hAnsi="Times New Roman"/>
                <w:sz w:val="22"/>
                <w:szCs w:val="22"/>
                <w:b w:val="1"/>
                <w:bCs w:val="1"/>
                <w:color w:val="auto"/>
                <w:vertAlign w:val="superscript"/>
              </w:rPr>
              <w:t>(b)</w:t>
            </w: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380" w:type="dxa"/>
            <w:vAlign w:val="bottom"/>
            <w:vMerge w:val="continue"/>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1.01x</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140" w:hanging="332"/>
        <w:spacing w:after="0" w:line="259" w:lineRule="auto"/>
        <w:tabs>
          <w:tab w:leader="none" w:pos="340" w:val="left"/>
        </w:tabs>
        <w:numPr>
          <w:ilvl w:val="0"/>
          <w:numId w:val="1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2005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2003</w:t>
            </w:r>
          </w:p>
        </w:tc>
        <w:tc>
          <w:tcPr>
            <w:tcW w:w="20" w:type="dxa"/>
            <w:vAlign w:val="bottom"/>
          </w:tcPr>
          <w:p>
            <w:pPr>
              <w:spacing w:after="0"/>
              <w:rPr>
                <w:sz w:val="18"/>
                <w:szCs w:val="18"/>
                <w:color w:val="auto"/>
              </w:rPr>
            </w:pPr>
          </w:p>
        </w:tc>
      </w:tr>
      <w:tr>
        <w:trPr>
          <w:trHeight w:val="195"/>
        </w:trPr>
        <w:tc>
          <w:tcPr>
            <w:tcW w:w="82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Related to the debt under vehicle programs</w:t>
            </w:r>
          </w:p>
        </w:tc>
        <w:tc>
          <w:tcPr>
            <w:tcW w:w="2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4"/>
              </w:rPr>
              <w:t>$356</w:t>
            </w:r>
          </w:p>
        </w:tc>
        <w:tc>
          <w:tcPr>
            <w:tcW w:w="32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9"/>
              </w:rPr>
              <w:t>$361</w:t>
            </w:r>
          </w:p>
        </w:tc>
        <w:tc>
          <w:tcPr>
            <w:tcW w:w="34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4"/>
              </w:rPr>
              <w:t>$313</w:t>
            </w:r>
          </w:p>
        </w:tc>
        <w:tc>
          <w:tcPr>
            <w:tcW w:w="34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4"/>
              </w:rPr>
              <w:t>$263</w:t>
            </w:r>
          </w:p>
        </w:tc>
        <w:tc>
          <w:tcPr>
            <w:tcW w:w="34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4"/>
              </w:rPr>
              <w:t>$270</w:t>
            </w:r>
          </w:p>
        </w:tc>
        <w:tc>
          <w:tcPr>
            <w:tcW w:w="20" w:type="dxa"/>
            <w:vAlign w:val="bottom"/>
          </w:tcPr>
          <w:p>
            <w:pPr>
              <w:spacing w:after="0"/>
              <w:rPr>
                <w:sz w:val="16"/>
                <w:szCs w:val="16"/>
                <w:color w:val="auto"/>
              </w:rPr>
            </w:pPr>
          </w:p>
        </w:tc>
      </w:tr>
      <w:tr>
        <w:trPr>
          <w:trHeight w:val="229"/>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r>
      <w:tr>
        <w:trPr>
          <w:trHeight w:val="224"/>
        </w:trPr>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497</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632</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512</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553</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595</w:t>
            </w:r>
          </w:p>
        </w:tc>
        <w:tc>
          <w:tcPr>
            <w:tcW w:w="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48" w:lineRule="exact"/>
        <w:rPr>
          <w:sz w:val="20"/>
          <w:szCs w:val="20"/>
          <w:color w:val="auto"/>
        </w:rPr>
      </w:pPr>
    </w:p>
    <w:p>
      <w:pPr>
        <w:ind w:left="340" w:right="960"/>
        <w:spacing w:after="0" w:line="246" w:lineRule="auto"/>
        <w:rPr>
          <w:sz w:val="20"/>
          <w:szCs w:val="20"/>
          <w:color w:val="auto"/>
        </w:rPr>
      </w:pPr>
      <w:r>
        <w:rPr>
          <w:rFonts w:ascii="Times New Roman" w:cs="Times New Roman" w:eastAsia="Times New Roman" w:hAnsi="Times New Roman"/>
          <w:sz w:val="18"/>
          <w:szCs w:val="18"/>
          <w:color w:val="auto"/>
        </w:rPr>
        <w:t>Does not include interest expense from discontinued operations of $87 million, $163 million, $371 million and $268 million for the years ended December 31, 2006, 2005, 2004 and 2003, respectively.</w:t>
      </w:r>
    </w:p>
    <w:p>
      <w:pPr>
        <w:spacing w:after="0" w:line="1"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Earnings were not sufficient to cover fixed charges in 2007, 2006, 2005 and 2003.</w:t>
      </w:r>
    </w:p>
    <w:p>
      <w:pPr>
        <w:spacing w:after="0" w:line="137" w:lineRule="exact"/>
        <w:rPr>
          <w:rFonts w:ascii="Times New Roman" w:cs="Times New Roman" w:eastAsia="Times New Roman" w:hAnsi="Times New Roman"/>
          <w:sz w:val="11"/>
          <w:szCs w:val="11"/>
          <w:color w:val="auto"/>
        </w:rPr>
      </w:pPr>
    </w:p>
    <w:p>
      <w:pPr>
        <w:ind w:left="55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 * *</w:t>
      </w:r>
    </w:p>
    <w:p>
      <w:pPr>
        <w:sectPr>
          <w:pgSz w:w="11900" w:h="16838" w:orient="portrait"/>
          <w:cols w:equalWidth="0" w:num="1">
            <w:col w:w="11420"/>
          </w:cols>
          <w:pgMar w:left="240" w:top="123" w:right="2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ectPr>
          <w:pgSz w:w="11900" w:h="16838" w:orient="portrait"/>
          <w:cols w:equalWidth="0" w:num="1">
            <w:col w:w="11420"/>
          </w:cols>
          <w:pgMar w:left="240" w:top="124"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Jurisdiction of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18" w:lineRule="exact"/>
        <w:rPr>
          <w:sz w:val="20"/>
          <w:szCs w:val="20"/>
          <w:color w:val="auto"/>
        </w:rPr>
      </w:pPr>
    </w:p>
    <w:p>
      <w:pPr>
        <w:sectPr>
          <w:pgSz w:w="11900" w:h="16838" w:orient="portrait"/>
          <w:cols w:equalWidth="0" w:num="2">
            <w:col w:w="7520" w:space="720"/>
            <w:col w:w="3180"/>
          </w:cols>
          <w:pgMar w:left="240" w:top="12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AB Car Rental Services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 Funding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ABG Car Services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Intermediate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Ross Sub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AESOP Leasing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AESOP Leasing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ARAC Management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ARACS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Accident Consultants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Asia and Pacific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AvisBudget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Car Rental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Car Rental Canada ULC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Contact Centers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Finance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Group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Budget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Avis Budget Rental Car Funding (AESOP)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Car Rental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Caribbean,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Group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International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Leasing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Lube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Management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Management Service,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Operations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Sdn. Bhd.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Rent A Car System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Service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 Services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Aviscar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Car and Truck Rental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BGI Leasing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Funding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Budget Lease Management (Car Sales)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Locacao de Veiculos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Australia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De Puerto Rico,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Rent A Car Operations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 Scotia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ectPr>
          <w:pgSz w:w="11900" w:h="16838" w:orient="portrait"/>
          <w:cols w:equalWidth="0" w:num="2">
            <w:col w:w="7520" w:space="720"/>
            <w:col w:w="3180"/>
          </w:cols>
          <w:pgMar w:left="240" w:top="124" w:right="239" w:bottom="1440" w:gutter="0" w:footer="0" w:header="0"/>
          <w:type w:val="continuous"/>
        </w:sectPr>
      </w:pPr>
    </w:p>
    <w:bookmarkStart w:id="208" w:name="page209"/>
    <w:bookmarkEnd w:id="208"/>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Jurisdiction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-200025</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18" w:lineRule="exact"/>
        <w:rPr>
          <w:sz w:val="20"/>
          <w:szCs w:val="20"/>
          <w:color w:val="auto"/>
        </w:rPr>
      </w:pPr>
    </w:p>
    <w:p>
      <w:pPr>
        <w:sectPr>
          <w:pgSz w:w="11900" w:h="16838" w:orient="portrait"/>
          <w:cols w:equalWidth="0" w:num="2">
            <w:col w:w="7520" w:space="720"/>
            <w:col w:w="1979"/>
          </w:cols>
          <w:pgMar w:left="240" w:top="272"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Budget Rent A Car System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 Truck Rental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Budgetcar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Camfox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CCRG Servicos De Automoveis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 Intellectual Property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Cendant Car Rental Group Canada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Cendant Finance Holdings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Centre Point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Chaconne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Constellation Reinsurance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Excess &amp; Reinsurance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HFS Truck Funding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Mansions Auto Garage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Motorent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Pathfinder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 Claims Management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Holdco,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PV Holding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Quartx Fleet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Rent-A-Car Company,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Runabout,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Servicios Avis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Group Enterprises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Rent A Car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Fleet Financing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 Islands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Fleet Leasing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Try Harder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Wizard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Wizard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WTH Funding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Yourway Rent A Car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Virgin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ectPr>
          <w:pgSz w:w="11900" w:h="16838" w:orient="portrait"/>
          <w:cols w:equalWidth="0" w:num="2">
            <w:col w:w="7520" w:space="720"/>
            <w:col w:w="1979"/>
          </w:cols>
          <w:pgMar w:left="240" w:top="272" w:right="1440" w:bottom="1440" w:gutter="0" w:footer="0" w:header="0"/>
          <w:type w:val="continuous"/>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Nos. 333-11035, 333-17323, 333-17411, 333-20391, 333-23063, 333-26927, 333-35707, 333-45155, 333-45227, 333-49405, 333-78447, 333-51586, 333-59246, 333-65578, 333-65456, 333-65858, 333-83334, 333-84626, 333-86674, 333-87464, 333-35709, and 333-86469 on Form S-3 and Registration Statement Nos. 33-74066, 33-91658, 333-00475, 333-03237, 33-58896, 33-91656, 333-03241, 33-26875, 33-75682, 33-93322, 33-93372, 33-80834, 333-09633, 333-09637, 333-30649, 333-42503, 333-34517-2, 333-42549, 333-45183, 333-47537, 333-69505, 333-75303, 333-78475, 333-51544, 333-38638, 333-64738, 333-71250, 333-58670, 333-89686, 333-98933, 333-102059, 333-22003, 333-114744, 333-120557, 333-12495 and 333-144143 on Form S-8 of our reports dated February 27, 2008, relating to the financial statements of Avis Budget Group, Inc. (formerly Cendant Corporation) (which expresses an unqualified opinion and includes an explanatory paragraph relating to the Company’s adoption of Financial Accounting Standards Board Interpretation No. 48, </w:t>
      </w:r>
      <w:r>
        <w:rPr>
          <w:rFonts w:ascii="Times New Roman" w:cs="Times New Roman" w:eastAsia="Times New Roman" w:hAnsi="Times New Roman"/>
          <w:sz w:val="18"/>
          <w:szCs w:val="18"/>
          <w:i w:val="1"/>
          <w:iCs w:val="1"/>
          <w:color w:val="auto"/>
        </w:rPr>
        <w:t>Accounting for Uncertainty in Income Taxes - an interpretation of FASB Statement No. 109</w:t>
      </w:r>
      <w:r>
        <w:rPr>
          <w:rFonts w:ascii="Times New Roman" w:cs="Times New Roman" w:eastAsia="Times New Roman" w:hAnsi="Times New Roman"/>
          <w:sz w:val="18"/>
          <w:szCs w:val="18"/>
          <w:color w:val="auto"/>
        </w:rPr>
        <w:t xml:space="preserve"> on January 1, 2007) and financial statement schedule and the effectiveness of internal control over financial reporting appearing in this Annual Report on Form 10-K of Avis Budget Group, Inc. for the year ended December 31, 2007.</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2008</w:t>
      </w:r>
    </w:p>
    <w:p>
      <w:pPr>
        <w:sectPr>
          <w:pgSz w:w="11900" w:h="16838" w:orient="portrait"/>
          <w:cols w:equalWidth="0" w:num="1">
            <w:col w:w="11420"/>
          </w:cols>
          <w:pgMar w:left="240" w:top="123" w:right="2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L. Nelson, certify that:</w:t>
      </w:r>
    </w:p>
    <w:p>
      <w:pPr>
        <w:spacing w:after="0" w:line="212" w:lineRule="exact"/>
        <w:rPr>
          <w:sz w:val="20"/>
          <w:szCs w:val="20"/>
          <w:color w:val="auto"/>
        </w:rPr>
      </w:pPr>
    </w:p>
    <w:p>
      <w:pPr>
        <w:ind w:left="460" w:hanging="452"/>
        <w:spacing w:after="0"/>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Avis Budget Group,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1140" w:right="320" w:hanging="565"/>
        <w:spacing w:after="0" w:line="262" w:lineRule="auto"/>
        <w:tabs>
          <w:tab w:leader="none" w:pos="11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8"/>
          <w:szCs w:val="18"/>
          <w:color w:val="auto"/>
        </w:rPr>
      </w:pPr>
    </w:p>
    <w:p>
      <w:pPr>
        <w:ind w:left="1140" w:right="20" w:hanging="565"/>
        <w:spacing w:after="0" w:line="262" w:lineRule="auto"/>
        <w:tabs>
          <w:tab w:leader="none" w:pos="11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8"/>
          <w:szCs w:val="18"/>
          <w:color w:val="auto"/>
        </w:rPr>
      </w:pPr>
    </w:p>
    <w:p>
      <w:pPr>
        <w:jc w:val="both"/>
        <w:ind w:left="1140" w:right="780" w:hanging="565"/>
        <w:spacing w:after="0" w:line="339" w:lineRule="auto"/>
        <w:tabs>
          <w:tab w:leader="none" w:pos="1140"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6"/>
          <w:szCs w:val="16"/>
          <w:color w:val="auto"/>
        </w:rPr>
      </w:pPr>
    </w:p>
    <w:p>
      <w:pPr>
        <w:ind w:left="1140" w:right="40" w:hanging="565"/>
        <w:spacing w:after="0" w:line="262" w:lineRule="auto"/>
        <w:tabs>
          <w:tab w:leader="none" w:pos="11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1140" w:right="220" w:hanging="565"/>
        <w:spacing w:after="0" w:line="275" w:lineRule="auto"/>
        <w:tabs>
          <w:tab w:leader="none" w:pos="11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8"/>
          <w:szCs w:val="18"/>
          <w:color w:val="auto"/>
        </w:rPr>
      </w:pPr>
    </w:p>
    <w:p>
      <w:pPr>
        <w:ind w:left="1140" w:right="180" w:hanging="565"/>
        <w:spacing w:after="0" w:line="275" w:lineRule="auto"/>
        <w:tabs>
          <w:tab w:leader="none" w:pos="11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2008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40640</wp:posOffset>
            </wp:positionV>
            <wp:extent cx="18783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12" w:lineRule="exact"/>
        <w:rPr>
          <w:sz w:val="20"/>
          <w:szCs w:val="20"/>
          <w:color w:val="auto"/>
        </w:rPr>
      </w:pPr>
    </w:p>
    <w:p>
      <w:pPr>
        <w:ind w:left="460" w:hanging="452"/>
        <w:spacing w:after="0"/>
        <w:tabs>
          <w:tab w:leader="none" w:pos="4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Avis Budget Group, Inc.;</w:t>
      </w:r>
    </w:p>
    <w:p>
      <w:pPr>
        <w:spacing w:after="0" w:line="211" w:lineRule="exact"/>
        <w:rPr>
          <w:rFonts w:ascii="Times New Roman" w:cs="Times New Roman" w:eastAsia="Times New Roman" w:hAnsi="Times New Roman"/>
          <w:sz w:val="18"/>
          <w:szCs w:val="18"/>
          <w:color w:val="auto"/>
        </w:rPr>
      </w:pPr>
    </w:p>
    <w:p>
      <w:pPr>
        <w:ind w:left="460" w:right="260" w:hanging="452"/>
        <w:spacing w:after="0" w:line="339" w:lineRule="auto"/>
        <w:tabs>
          <w:tab w:leader="none" w:pos="46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Times New Roman" w:cs="Times New Roman" w:eastAsia="Times New Roman" w:hAnsi="Times New Roman"/>
          <w:sz w:val="18"/>
          <w:szCs w:val="18"/>
          <w:color w:val="auto"/>
        </w:rPr>
      </w:pPr>
    </w:p>
    <w:p>
      <w:pPr>
        <w:ind w:left="1120" w:right="320" w:hanging="437"/>
        <w:spacing w:after="0" w:line="262" w:lineRule="auto"/>
        <w:tabs>
          <w:tab w:leader="none" w:pos="1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20" w:right="20" w:hanging="437"/>
        <w:spacing w:after="0" w:line="262" w:lineRule="auto"/>
        <w:tabs>
          <w:tab w:leader="none" w:pos="1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120" w:right="800" w:hanging="437"/>
        <w:spacing w:after="0" w:line="334" w:lineRule="auto"/>
        <w:tabs>
          <w:tab w:leader="none" w:pos="1120"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120" w:right="40" w:hanging="437"/>
        <w:spacing w:after="0" w:line="262" w:lineRule="auto"/>
        <w:tabs>
          <w:tab w:leader="none" w:pos="1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120" w:right="240" w:hanging="437"/>
        <w:spacing w:after="0" w:line="275" w:lineRule="auto"/>
        <w:tabs>
          <w:tab w:leader="none" w:pos="1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1120" w:right="200" w:hanging="437"/>
        <w:spacing w:after="0" w:line="275" w:lineRule="auto"/>
        <w:tabs>
          <w:tab w:leader="none" w:pos="1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2008</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40640</wp:posOffset>
            </wp:positionV>
            <wp:extent cx="18783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Avis Budget Group, Inc. (the “Company”) on Form 10-K for the period ended December 31, 2007,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77" w:lineRule="exact"/>
        <w:rPr>
          <w:sz w:val="20"/>
          <w:szCs w:val="20"/>
          <w:color w:val="auto"/>
        </w:rPr>
      </w:pPr>
    </w:p>
    <w:p>
      <w:pPr>
        <w:ind w:left="900" w:hanging="446"/>
        <w:spacing w:after="0"/>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6073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L. Nelson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2008</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0731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Wyshner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2008</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1)"/>
      <w:numFmt w:val="lowerLetter"/>
      <w:start w:val="1"/>
    </w:lvl>
  </w:abstractNum>
  <w:abstractNum w:abstractNumId="23">
    <w:nsid w:val="7055A5F5"/>
    <w:multiLevelType w:val="hybridMultilevel"/>
    <w:lvl w:ilvl="0">
      <w:lvlJc w:val="left"/>
      <w:lvlText w:val="(%1)"/>
      <w:numFmt w:val="lowerLetter"/>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1)"/>
      <w:numFmt w:val="lowerLetter"/>
      <w:start w:val="1"/>
    </w:lvl>
  </w:abstractNum>
  <w:abstractNum w:abstractNumId="30">
    <w:nsid w:val="6FC75AF8"/>
    <w:multiLevelType w:val="hybridMultilevel"/>
    <w:lvl w:ilvl="0">
      <w:lvlJc w:val="left"/>
      <w:lvlText w:val="(%1)"/>
      <w:numFmt w:val="lowerLetter"/>
      <w:start w:val="2"/>
    </w:lvl>
  </w:abstractNum>
  <w:abstractNum w:abstractNumId="31">
    <w:nsid w:val="6A5F7029"/>
    <w:multiLevelType w:val="hybridMultilevel"/>
    <w:lvl w:ilvl="0">
      <w:lvlJc w:val="left"/>
      <w:lvlText w:val="(%1)"/>
      <w:numFmt w:val="lowerRoman"/>
      <w:start w:val="1"/>
    </w:lvl>
  </w:abstractNum>
  <w:abstractNum w:abstractNumId="32">
    <w:nsid w:val="7D5E18F8"/>
    <w:multiLevelType w:val="hybridMultilevel"/>
    <w:lvl w:ilvl="0">
      <w:lvlJc w:val="left"/>
      <w:lvlText w:val="(%1)"/>
      <w:numFmt w:val="lowerRoman"/>
      <w:start w:val="1"/>
    </w:lvl>
  </w:abstractNum>
  <w:abstractNum w:abstractNumId="33">
    <w:nsid w:val="5F3534A4"/>
    <w:multiLevelType w:val="hybridMultilevel"/>
    <w:lvl w:ilvl="0">
      <w:lvlJc w:val="left"/>
      <w:lvlText w:val="(%1)"/>
      <w:numFmt w:val="lowerRoman"/>
      <w:start w:val="2"/>
    </w:lvl>
  </w:abstractNum>
  <w:abstractNum w:abstractNumId="34">
    <w:nsid w:val="73A1821B"/>
    <w:multiLevelType w:val="hybridMultilevel"/>
    <w:lvl w:ilvl="0">
      <w:lvlJc w:val="left"/>
      <w:lvlText w:val="(%1)"/>
      <w:numFmt w:val="lowerLetter"/>
      <w:start w:val="1"/>
    </w:lvl>
  </w:abstractNum>
  <w:abstractNum w:abstractNumId="35">
    <w:nsid w:val="7DE67713"/>
    <w:multiLevelType w:val="hybridMultilevel"/>
    <w:lvl w:ilvl="0">
      <w:lvlJc w:val="left"/>
      <w:lvlText w:val="(%1)"/>
      <w:numFmt w:val="lowerRoman"/>
      <w:start w:val="2"/>
    </w:lvl>
  </w:abstractNum>
  <w:abstractNum w:abstractNumId="36">
    <w:nsid w:val="555C55B5"/>
    <w:multiLevelType w:val="hybridMultilevel"/>
    <w:lvl w:ilvl="0">
      <w:lvlJc w:val="left"/>
      <w:lvlText w:val="(%1)"/>
      <w:numFmt w:val="lowerLetter"/>
      <w:start w:val="1"/>
    </w:lvl>
  </w:abstractNum>
  <w:abstractNum w:abstractNumId="37">
    <w:nsid w:val="3FA62ACA"/>
    <w:multiLevelType w:val="hybridMultilevel"/>
    <w:lvl w:ilvl="0">
      <w:lvlJc w:val="left"/>
      <w:lvlText w:val="(%1)"/>
      <w:numFmt w:val="lowerLetter"/>
      <w:start w:val="1"/>
    </w:lvl>
  </w:abstractNum>
  <w:abstractNum w:abstractNumId="38">
    <w:nsid w:val="14FCE74E"/>
    <w:multiLevelType w:val="hybridMultilevel"/>
    <w:lvl w:ilvl="0">
      <w:lvlJc w:val="left"/>
      <w:lvlText w:val="(%1)"/>
      <w:numFmt w:val="lowerLetter"/>
      <w:start w:val="1"/>
    </w:lvl>
  </w:abstractNum>
  <w:abstractNum w:abstractNumId="39">
    <w:nsid w:val="6A3DD3E8"/>
    <w:multiLevelType w:val="hybridMultilevel"/>
    <w:lvl w:ilvl="0">
      <w:lvlJc w:val="left"/>
      <w:lvlText w:val="(%1)"/>
      <w:numFmt w:val="lowerLetter"/>
      <w:start w:val="1"/>
    </w:lvl>
  </w:abstractNum>
  <w:abstractNum w:abstractNumId="40">
    <w:nsid w:val="71C91298"/>
    <w:multiLevelType w:val="hybridMultilevel"/>
    <w:lvl w:ilvl="0">
      <w:lvlJc w:val="left"/>
      <w:lvlText w:val="(%1)"/>
      <w:numFmt w:val="lowerRoman"/>
      <w:start w:val="2"/>
    </w:lvl>
  </w:abstractNum>
  <w:abstractNum w:abstractNumId="41">
    <w:nsid w:val="9DAF632"/>
    <w:multiLevelType w:val="hybridMultilevel"/>
    <w:lvl w:ilvl="0">
      <w:lvlJc w:val="left"/>
      <w:lvlText w:val="(%1)"/>
      <w:numFmt w:val="lowerLetter"/>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
      <w:numFmt w:val="bullet"/>
      <w:start w:val="1"/>
    </w:lvl>
  </w:abstractNum>
  <w:abstractNum w:abstractNumId="45">
    <w:nsid w:val="1D545C4D"/>
    <w:multiLevelType w:val="hybridMultilevel"/>
    <w:lvl w:ilvl="0">
      <w:lvlJc w:val="left"/>
      <w:lvlText w:val="•"/>
      <w:numFmt w:val="bullet"/>
      <w:start w:val="1"/>
    </w:lvl>
  </w:abstractNum>
  <w:abstractNum w:abstractNumId="46">
    <w:nsid w:val="59ADEA3D"/>
    <w:multiLevelType w:val="hybridMultilevel"/>
    <w:lvl w:ilvl="0">
      <w:lvlJc w:val="left"/>
      <w:lvlText w:val="(%1)"/>
      <w:numFmt w:val="lowerLetter"/>
      <w:start w:val="1"/>
    </w:lvl>
  </w:abstractNum>
  <w:abstractNum w:abstractNumId="47">
    <w:nsid w:val="288F1A34"/>
    <w:multiLevelType w:val="hybridMultilevel"/>
    <w:lvl w:ilvl="0">
      <w:lvlJc w:val="left"/>
      <w:lvlText w:val="%1."/>
      <w:numFmt w:val="decimal"/>
      <w:start w:val="1"/>
    </w:lvl>
    <w:lvl w:ilvl="1">
      <w:lvlJc w:val="left"/>
      <w:lvlText w:val="•"/>
      <w:numFmt w:val="bullet"/>
      <w:start w:val="1"/>
    </w:lvl>
  </w:abstractNum>
  <w:abstractNum w:abstractNumId="48">
    <w:nsid w:val="2A155DBC"/>
    <w:multiLevelType w:val="hybridMultilevel"/>
    <w:lvl w:ilvl="0">
      <w:lvlJc w:val="left"/>
      <w:lvlText w:val="•"/>
      <w:numFmt w:val="bullet"/>
      <w:start w:val="1"/>
    </w:lvl>
  </w:abstractNum>
  <w:abstractNum w:abstractNumId="49">
    <w:nsid w:val="1D9F6E5F"/>
    <w:multiLevelType w:val="hybridMultilevel"/>
    <w:lvl w:ilvl="0">
      <w:lvlJc w:val="left"/>
      <w:lvlText w:val="•"/>
      <w:numFmt w:val="bullet"/>
      <w:start w:val="1"/>
    </w:lvl>
  </w:abstractNum>
  <w:abstractNum w:abstractNumId="50">
    <w:nsid w:val="97E1B4E"/>
    <w:multiLevelType w:val="hybridMultilevel"/>
    <w:lvl w:ilvl="0">
      <w:lvlJc w:val="left"/>
      <w:lvlText w:val="(%1)"/>
      <w:numFmt w:val="lowerLetter"/>
      <w:start w:val="1"/>
    </w:lvl>
  </w:abstractNum>
  <w:abstractNum w:abstractNumId="51">
    <w:nsid w:val="51088277"/>
    <w:multiLevelType w:val="hybridMultilevel"/>
    <w:lvl w:ilvl="0">
      <w:lvlJc w:val="left"/>
      <w:lvlText w:val="%1."/>
      <w:numFmt w:val="decimal"/>
      <w:start w:val="2"/>
    </w:lvl>
  </w:abstractNum>
  <w:abstractNum w:abstractNumId="52">
    <w:nsid w:val="1CA0C5FA"/>
    <w:multiLevelType w:val="hybridMultilevel"/>
    <w:lvl w:ilvl="0">
      <w:lvlJc w:val="left"/>
      <w:lvlText w:val="%1."/>
      <w:numFmt w:val="decimal"/>
      <w:start w:val="3"/>
    </w:lvl>
  </w:abstractNum>
  <w:abstractNum w:abstractNumId="53">
    <w:nsid w:val="53584BCB"/>
    <w:multiLevelType w:val="hybridMultilevel"/>
    <w:lvl w:ilvl="0">
      <w:lvlJc w:val="left"/>
      <w:lvlText w:val="(%1)"/>
      <w:numFmt w:val="lowerLetter"/>
      <w:start w:val="1"/>
    </w:lvl>
  </w:abstractNum>
  <w:abstractNum w:abstractNumId="54">
    <w:nsid w:val="415E286C"/>
    <w:multiLevelType w:val="hybridMultilevel"/>
    <w:lvl w:ilvl="0">
      <w:lvlJc w:val="left"/>
      <w:lvlText w:val="(%1)"/>
      <w:numFmt w:val="lowerLetter"/>
      <w:start w:val="1"/>
    </w:lvl>
  </w:abstractNum>
  <w:abstractNum w:abstractNumId="55">
    <w:nsid w:val="7C58FD05"/>
    <w:multiLevelType w:val="hybridMultilevel"/>
    <w:lvl w:ilvl="0">
      <w:lvlJc w:val="left"/>
      <w:lvlText w:val="%1."/>
      <w:numFmt w:val="decimal"/>
      <w:start w:val="4"/>
    </w:lvl>
  </w:abstractNum>
  <w:abstractNum w:abstractNumId="56">
    <w:nsid w:val="23D86AAC"/>
    <w:multiLevelType w:val="hybridMultilevel"/>
    <w:lvl w:ilvl="0">
      <w:lvlJc w:val="left"/>
      <w:lvlText w:val="(%1)"/>
      <w:numFmt w:val="lowerLetter"/>
      <w:start w:val="1"/>
    </w:lvl>
  </w:abstractNum>
  <w:abstractNum w:abstractNumId="57">
    <w:nsid w:val="45E6D486"/>
    <w:multiLevelType w:val="hybridMultilevel"/>
    <w:lvl w:ilvl="0">
      <w:lvlJc w:val="left"/>
      <w:lvlText w:val="%1"/>
      <w:numFmt w:val="decimal"/>
      <w:start w:val="1"/>
    </w:lvl>
    <w:lvl w:ilvl="1">
      <w:lvlJc w:val="left"/>
      <w:lvlText w:val="(%2)"/>
      <w:numFmt w:val="lowerLetter"/>
      <w:start w:val="1"/>
    </w:lvl>
  </w:abstractNum>
  <w:abstractNum w:abstractNumId="58">
    <w:nsid w:val="5C10FE21"/>
    <w:multiLevelType w:val="hybridMultilevel"/>
    <w:lvl w:ilvl="0">
      <w:lvlJc w:val="left"/>
      <w:lvlText w:val="%1."/>
      <w:numFmt w:val="decimal"/>
      <w:start w:val="5"/>
    </w:lvl>
    <w:lvl w:ilvl="1">
      <w:lvlJc w:val="left"/>
      <w:lvlText w:val="%2"/>
      <w:numFmt w:val="lowerLetter"/>
      <w:start w:val="1"/>
    </w:lvl>
  </w:abstractNum>
  <w:abstractNum w:abstractNumId="59">
    <w:nsid w:val="E7FFA2B"/>
    <w:multiLevelType w:val="hybridMultilevel"/>
    <w:lvl w:ilvl="0">
      <w:lvlJc w:val="left"/>
      <w:lvlText w:val="(%1)"/>
      <w:numFmt w:val="lowerLetter"/>
      <w:start w:val="1"/>
    </w:lvl>
  </w:abstractNum>
  <w:abstractNum w:abstractNumId="60">
    <w:nsid w:val="3C5991AA"/>
    <w:multiLevelType w:val="hybridMultilevel"/>
    <w:lvl w:ilvl="0">
      <w:lvlJc w:val="left"/>
      <w:lvlText w:val="%1."/>
      <w:numFmt w:val="decimal"/>
      <w:start w:val="6"/>
    </w:lvl>
  </w:abstractNum>
  <w:abstractNum w:abstractNumId="61">
    <w:nsid w:val="4BD8591A"/>
    <w:multiLevelType w:val="hybridMultilevel"/>
    <w:lvl w:ilvl="0">
      <w:lvlJc w:val="left"/>
      <w:lvlText w:val="%1."/>
      <w:numFmt w:val="decimal"/>
      <w:start w:val="7"/>
    </w:lvl>
  </w:abstractNum>
  <w:abstractNum w:abstractNumId="62">
    <w:nsid w:val="78DF6A55"/>
    <w:multiLevelType w:val="hybridMultilevel"/>
    <w:lvl w:ilvl="0">
      <w:lvlJc w:val="left"/>
      <w:lvlText w:val="%1."/>
      <w:numFmt w:val="decimal"/>
      <w:start w:val="8"/>
    </w:lvl>
  </w:abstractNum>
  <w:abstractNum w:abstractNumId="63">
    <w:nsid w:val="39B7AAA2"/>
    <w:multiLevelType w:val="hybridMultilevel"/>
    <w:lvl w:ilvl="0">
      <w:lvlJc w:val="left"/>
      <w:lvlText w:val="(%1)"/>
      <w:numFmt w:val="lowerLetter"/>
      <w:start w:val="1"/>
    </w:lvl>
  </w:abstractNum>
  <w:abstractNum w:abstractNumId="64">
    <w:nsid w:val="2B0D8DBE"/>
    <w:multiLevelType w:val="hybridMultilevel"/>
    <w:lvl w:ilvl="0">
      <w:lvlJc w:val="left"/>
      <w:lvlText w:val="(%1)"/>
      <w:numFmt w:val="lowerLetter"/>
      <w:start w:val="1"/>
    </w:lvl>
  </w:abstractNum>
  <w:abstractNum w:abstractNumId="65">
    <w:nsid w:val="6C80EC70"/>
    <w:multiLevelType w:val="hybridMultilevel"/>
    <w:lvl w:ilvl="0">
      <w:lvlJc w:val="left"/>
      <w:lvlText w:val="(*)"/>
      <w:numFmt w:val="bullet"/>
      <w:start w:val="1"/>
    </w:lvl>
  </w:abstractNum>
  <w:abstractNum w:abstractNumId="66">
    <w:nsid w:val="379E21B5"/>
    <w:multiLevelType w:val="hybridMultilevel"/>
    <w:lvl w:ilvl="0">
      <w:lvlJc w:val="left"/>
      <w:lvlText w:val="%1."/>
      <w:numFmt w:val="decimal"/>
      <w:start w:val="11"/>
    </w:lvl>
  </w:abstractNum>
  <w:abstractNum w:abstractNumId="67">
    <w:nsid w:val="69E373"/>
    <w:multiLevelType w:val="hybridMultilevel"/>
    <w:lvl w:ilvl="0">
      <w:lvlJc w:val="left"/>
      <w:lvlText w:val="(%1)"/>
      <w:numFmt w:val="lowerLetter"/>
      <w:start w:val="1"/>
    </w:lvl>
  </w:abstractNum>
  <w:abstractNum w:abstractNumId="68">
    <w:nsid w:val="2C27173B"/>
    <w:multiLevelType w:val="hybridMultilevel"/>
    <w:lvl w:ilvl="0">
      <w:lvlJc w:val="left"/>
      <w:lvlText w:val="%1."/>
      <w:numFmt w:val="decimal"/>
      <w:start w:val="13"/>
    </w:lvl>
  </w:abstractNum>
  <w:abstractNum w:abstractNumId="69">
    <w:nsid w:val="4C9B0904"/>
    <w:multiLevelType w:val="hybridMultilevel"/>
    <w:lvl w:ilvl="0">
      <w:lvlJc w:val="left"/>
      <w:lvlText w:val="%1"/>
      <w:numFmt w:val="decimal"/>
      <w:start w:val="1"/>
    </w:lvl>
    <w:lvl w:ilvl="1">
      <w:lvlJc w:val="left"/>
      <w:lvlText w:val="(%2)"/>
      <w:numFmt w:val="lowerLetter"/>
      <w:start w:val="1"/>
    </w:lvl>
  </w:abstractNum>
  <w:abstractNum w:abstractNumId="70">
    <w:nsid w:val="6AA7B75C"/>
    <w:multiLevelType w:val="hybridMultilevel"/>
    <w:lvl w:ilvl="0">
      <w:lvlJc w:val="left"/>
      <w:lvlText w:val="%1."/>
      <w:numFmt w:val="decimal"/>
      <w:start w:val="15"/>
    </w:lvl>
    <w:lvl w:ilvl="1">
      <w:lvlJc w:val="left"/>
      <w:lvlText w:val="%2"/>
      <w:numFmt w:val="lowerLetter"/>
      <w:start w:val="1"/>
    </w:lvl>
  </w:abstractNum>
  <w:abstractNum w:abstractNumId="71">
    <w:nsid w:val="1DF029D3"/>
    <w:multiLevelType w:val="hybridMultilevel"/>
    <w:lvl w:ilvl="0">
      <w:lvlJc w:val="left"/>
      <w:lvlText w:val="(%1)"/>
      <w:numFmt w:val="lowerLetter"/>
      <w:start w:val="1"/>
    </w:lvl>
  </w:abstractNum>
  <w:abstractNum w:abstractNumId="72">
    <w:nsid w:val="5675FF36"/>
    <w:multiLevelType w:val="hybridMultilevel"/>
    <w:lvl w:ilvl="0">
      <w:lvlJc w:val="left"/>
      <w:lvlText w:val="(%1)"/>
      <w:numFmt w:val="lowerLetter"/>
      <w:start w:val="1"/>
    </w:lvl>
  </w:abstractNum>
  <w:abstractNum w:abstractNumId="73">
    <w:nsid w:val="3DD15094"/>
    <w:multiLevelType w:val="hybridMultilevel"/>
    <w:lvl w:ilvl="0">
      <w:lvlJc w:val="left"/>
      <w:lvlText w:val="%1."/>
      <w:numFmt w:val="decimal"/>
      <w:start w:val="17"/>
    </w:lvl>
  </w:abstractNum>
  <w:abstractNum w:abstractNumId="74">
    <w:nsid w:val="3DB012B3"/>
    <w:multiLevelType w:val="hybridMultilevel"/>
    <w:lvl w:ilvl="0">
      <w:lvlJc w:val="left"/>
      <w:lvlText w:val="(%1)"/>
      <w:numFmt w:val="lowerLetter"/>
      <w:start w:val="1"/>
    </w:lvl>
  </w:abstractNum>
  <w:abstractNum w:abstractNumId="75">
    <w:nsid w:val="2708C9AF"/>
    <w:multiLevelType w:val="hybridMultilevel"/>
    <w:lvl w:ilvl="0">
      <w:lvlJc w:val="left"/>
      <w:lvlText w:val="%1."/>
      <w:numFmt w:val="decimal"/>
      <w:start w:val="18"/>
    </w:lvl>
  </w:abstractNum>
  <w:abstractNum w:abstractNumId="76">
    <w:nsid w:val="5B25ACE2"/>
    <w:multiLevelType w:val="hybridMultilevel"/>
    <w:lvl w:ilvl="0">
      <w:lvlJc w:val="left"/>
      <w:lvlText w:val="(%1)"/>
      <w:numFmt w:val="lowerRoman"/>
      <w:start w:val="1"/>
    </w:lvl>
  </w:abstractNum>
  <w:abstractNum w:abstractNumId="77">
    <w:nsid w:val="175DFCF0"/>
    <w:multiLevelType w:val="hybridMultilevel"/>
    <w:lvl w:ilvl="0">
      <w:lvlJc w:val="left"/>
      <w:lvlText w:val="%1."/>
      <w:numFmt w:val="decimal"/>
      <w:start w:val="19"/>
    </w:lvl>
  </w:abstractNum>
  <w:abstractNum w:abstractNumId="78">
    <w:nsid w:val="4F97E3E4"/>
    <w:multiLevelType w:val="hybridMultilevel"/>
    <w:lvl w:ilvl="0">
      <w:lvlJc w:val="left"/>
      <w:lvlText w:val="%1."/>
      <w:numFmt w:val="decimal"/>
      <w:start w:val="20"/>
    </w:lvl>
  </w:abstractNum>
  <w:abstractNum w:abstractNumId="79">
    <w:nsid w:val="53B0A9E"/>
    <w:multiLevelType w:val="hybridMultilevel"/>
    <w:lvl w:ilvl="0">
      <w:lvlJc w:val="left"/>
      <w:lvlText w:val="(*)"/>
      <w:numFmt w:val="bullet"/>
      <w:start w:val="1"/>
    </w:lvl>
  </w:abstractNum>
  <w:abstractNum w:abstractNumId="80">
    <w:nsid w:val="34FD6B4F"/>
    <w:multiLevelType w:val="hybridMultilevel"/>
    <w:lvl w:ilvl="0">
      <w:lvlJc w:val="left"/>
      <w:lvlText w:val="(%1)"/>
      <w:numFmt w:val="lowerLetter"/>
      <w:start w:val="1"/>
    </w:lvl>
  </w:abstractNum>
  <w:abstractNum w:abstractNumId="81">
    <w:nsid w:val="5915FF32"/>
    <w:multiLevelType w:val="hybridMultilevel"/>
    <w:lvl w:ilvl="0">
      <w:lvlJc w:val="left"/>
      <w:lvlText w:val="(%1)"/>
      <w:numFmt w:val="lowerLetter"/>
      <w:start w:val="3"/>
    </w:lvl>
  </w:abstractNum>
  <w:abstractNum w:abstractNumId="82">
    <w:nsid w:val="56438D15"/>
    <w:multiLevelType w:val="hybridMultilevel"/>
    <w:lvl w:ilvl="0">
      <w:lvlJc w:val="left"/>
      <w:lvlText w:val="%1."/>
      <w:numFmt w:val="decimal"/>
      <w:start w:val="21"/>
    </w:lvl>
  </w:abstractNum>
  <w:abstractNum w:abstractNumId="83">
    <w:nsid w:val="519E3149"/>
    <w:multiLevelType w:val="hybridMultilevel"/>
    <w:lvl w:ilvl="0">
      <w:lvlJc w:val="left"/>
      <w:lvlText w:val="%1."/>
      <w:numFmt w:val="decimal"/>
      <w:start w:val="22"/>
    </w:lvl>
  </w:abstractNum>
  <w:abstractNum w:abstractNumId="84">
    <w:nsid w:val="2C6E4AFD"/>
    <w:multiLevelType w:val="hybridMultilevel"/>
    <w:lvl w:ilvl="0">
      <w:lvlJc w:val="left"/>
      <w:lvlText w:val="(%1)"/>
      <w:numFmt w:val="lowerLetter"/>
      <w:start w:val="1"/>
    </w:lvl>
  </w:abstractNum>
  <w:abstractNum w:abstractNumId="85">
    <w:nsid w:val="17A1B582"/>
    <w:multiLevelType w:val="hybridMultilevel"/>
    <w:lvl w:ilvl="0">
      <w:lvlJc w:val="left"/>
      <w:lvlText w:val="(*)"/>
      <w:numFmt w:val="bullet"/>
      <w:start w:val="1"/>
    </w:lvl>
  </w:abstractNum>
  <w:abstractNum w:abstractNumId="86">
    <w:nsid w:val="4DF72E4E"/>
    <w:multiLevelType w:val="hybridMultilevel"/>
    <w:lvl w:ilvl="0">
      <w:lvlJc w:val="left"/>
      <w:lvlText w:val="%1."/>
      <w:numFmt w:val="decimal"/>
      <w:start w:val="23"/>
    </w:lvl>
  </w:abstractNum>
  <w:abstractNum w:abstractNumId="87">
    <w:nsid w:val="5046B5A9"/>
    <w:multiLevelType w:val="hybridMultilevel"/>
    <w:lvl w:ilvl="0">
      <w:lvlJc w:val="left"/>
      <w:lvlText w:val="(%1)"/>
      <w:numFmt w:val="lowerLetter"/>
      <w:start w:val="1"/>
    </w:lvl>
  </w:abstractNum>
  <w:abstractNum w:abstractNumId="88">
    <w:nsid w:val="5D888A08"/>
    <w:multiLevelType w:val="hybridMultilevel"/>
    <w:lvl w:ilvl="0">
      <w:lvlJc w:val="left"/>
      <w:lvlText w:val="%1."/>
      <w:numFmt w:val="decimal"/>
      <w:start w:val="24"/>
    </w:lvl>
  </w:abstractNum>
  <w:abstractNum w:abstractNumId="89">
    <w:nsid w:val="2A082C70"/>
    <w:multiLevelType w:val="hybridMultilevel"/>
    <w:lvl w:ilvl="0">
      <w:lvlJc w:val="left"/>
      <w:lvlText w:val="%1."/>
      <w:numFmt w:val="decimal"/>
      <w:start w:val="25"/>
    </w:lvl>
  </w:abstractNum>
  <w:abstractNum w:abstractNumId="90">
    <w:nsid w:val="5EC6AFD4"/>
    <w:multiLevelType w:val="hybridMultilevel"/>
    <w:lvl w:ilvl="0">
      <w:lvlJc w:val="left"/>
      <w:lvlText w:val="%1."/>
      <w:numFmt w:val="decimal"/>
      <w:start w:val="26"/>
    </w:lvl>
  </w:abstractNum>
  <w:abstractNum w:abstractNumId="91">
    <w:nsid w:val="19E21BB2"/>
    <w:multiLevelType w:val="hybridMultilevel"/>
    <w:lvl w:ilvl="0">
      <w:lvlJc w:val="left"/>
      <w:lvlText w:val="*"/>
      <w:numFmt w:val="bullet"/>
      <w:start w:val="1"/>
    </w:lvl>
  </w:abstractNum>
  <w:abstractNum w:abstractNumId="92">
    <w:nsid w:val="75E0858A"/>
    <w:multiLevelType w:val="hybridMultilevel"/>
    <w:lvl w:ilvl="0">
      <w:lvlJc w:val="left"/>
      <w:lvlText w:val="**"/>
      <w:numFmt w:val="bullet"/>
      <w:start w:val="1"/>
    </w:lvl>
  </w:abstractNum>
  <w:abstractNum w:abstractNumId="93">
    <w:nsid w:val="57A61A29"/>
    <w:multiLevelType w:val="hybridMultilevel"/>
    <w:lvl w:ilvl="0">
      <w:lvlJc w:val="left"/>
      <w:lvlText w:val="***"/>
      <w:numFmt w:val="bullet"/>
      <w:start w:val="1"/>
    </w:lvl>
  </w:abstractNum>
  <w:abstractNum w:abstractNumId="94">
    <w:nsid w:val="5399C654"/>
    <w:multiLevelType w:val="hybridMultilevel"/>
    <w:lvl w:ilvl="0">
      <w:lvlJc w:val="left"/>
      <w:lvlText w:val="****"/>
      <w:numFmt w:val="bullet"/>
      <w:start w:val="1"/>
    </w:lvl>
  </w:abstractNum>
  <w:abstractNum w:abstractNumId="95">
    <w:nsid w:val="20EE1348"/>
    <w:multiLevelType w:val="hybridMultilevel"/>
    <w:lvl w:ilvl="0">
      <w:lvlJc w:val="left"/>
      <w:lvlText w:val="†"/>
      <w:numFmt w:val="bullet"/>
      <w:start w:val="1"/>
    </w:lvl>
  </w:abstractNum>
  <w:abstractNum w:abstractNumId="96">
    <w:nsid w:val="4427069A"/>
    <w:multiLevelType w:val="hybridMultilevel"/>
    <w:lvl w:ilvl="0">
      <w:lvlJc w:val="left"/>
      <w:lvlText w:val="††"/>
      <w:numFmt w:val="bullet"/>
      <w:start w:val="1"/>
    </w:lvl>
  </w:abstractNum>
  <w:abstractNum w:abstractNumId="97">
    <w:nsid w:val="B37E80A"/>
    <w:multiLevelType w:val="hybridMultilevel"/>
    <w:lvl w:ilvl="0">
      <w:lvlJc w:val="left"/>
      <w:lvlText w:val="†††"/>
      <w:numFmt w:val="bullet"/>
      <w:start w:val="1"/>
    </w:lvl>
  </w:abstractNum>
  <w:abstractNum w:abstractNumId="98">
    <w:nsid w:val="2157F6BC"/>
    <w:multiLevelType w:val="hybridMultilevel"/>
    <w:lvl w:ilvl="0">
      <w:lvlJc w:val="left"/>
      <w:lvlText w:val="(%1)"/>
      <w:numFmt w:val="lowerLetter"/>
      <w:start w:val="1"/>
    </w:lvl>
  </w:abstractNum>
  <w:abstractNum w:abstractNumId="99">
    <w:nsid w:val="704E1DD5"/>
    <w:multiLevelType w:val="hybridMultilevel"/>
    <w:lvl w:ilvl="0">
      <w:lvlJc w:val="left"/>
      <w:lvlText w:val="(%1)"/>
      <w:numFmt w:val="lowerLetter"/>
      <w:start w:val="1"/>
    </w:lvl>
  </w:abstractNum>
  <w:abstractNum w:abstractNumId="100">
    <w:nsid w:val="57D2F10E"/>
    <w:multiLevelType w:val="hybridMultilevel"/>
    <w:lvl w:ilvl="0">
      <w:lvlJc w:val="left"/>
      <w:lvlText w:val="(%1)"/>
      <w:numFmt w:val="lowerRoman"/>
      <w:start w:val="1"/>
    </w:lvl>
  </w:abstractNum>
  <w:abstractNum w:abstractNumId="101">
    <w:nsid w:val="BFFAE18"/>
    <w:multiLevelType w:val="hybridMultilevel"/>
    <w:lvl w:ilvl="0">
      <w:lvlJc w:val="left"/>
      <w:lvlText w:val="(%1)"/>
      <w:numFmt w:val="lowerRoman"/>
      <w:start w:val="1"/>
    </w:lvl>
  </w:abstractNum>
  <w:abstractNum w:abstractNumId="102">
    <w:nsid w:val="E3E47A8"/>
    <w:multiLevelType w:val="hybridMultilevel"/>
    <w:lvl w:ilvl="0">
      <w:lvlJc w:val="left"/>
      <w:lvlText w:val="(%1)"/>
      <w:numFmt w:val="lowerLetter"/>
      <w:start w:val="2"/>
    </w:lvl>
  </w:abstractNum>
  <w:abstractNum w:abstractNumId="103">
    <w:nsid w:val="2E48F044"/>
    <w:multiLevelType w:val="hybridMultilevel"/>
    <w:lvl w:ilvl="0">
      <w:lvlJc w:val="left"/>
      <w:lvlText w:val="(%1)"/>
      <w:numFmt w:val="lowerLetter"/>
      <w:start w:val="4"/>
    </w:lvl>
  </w:abstractNum>
  <w:abstractNum w:abstractNumId="104">
    <w:nsid w:val="49D0FEAC"/>
    <w:multiLevelType w:val="hybridMultilevel"/>
    <w:lvl w:ilvl="0">
      <w:lvlJc w:val="left"/>
      <w:lvlText w:val="(%1)"/>
      <w:numFmt w:val="lowerLetter"/>
      <w:start w:val="3"/>
    </w:lvl>
  </w:abstractNum>
  <w:abstractNum w:abstractNumId="105">
    <w:nsid w:val="4BEE5A5B"/>
    <w:multiLevelType w:val="hybridMultilevel"/>
    <w:lvl w:ilvl="0">
      <w:lvlJc w:val="left"/>
      <w:lvlText w:val="(%1)"/>
      <w:numFmt w:val="lowerLetter"/>
      <w:start w:val="4"/>
    </w:lvl>
  </w:abstractNum>
  <w:abstractNum w:abstractNumId="106">
    <w:nsid w:val="5551B9F3"/>
    <w:multiLevelType w:val="hybridMultilevel"/>
    <w:lvl w:ilvl="0">
      <w:lvlJc w:val="left"/>
      <w:lvlText w:val="(%1)"/>
      <w:numFmt w:val="lowerLetter"/>
      <w:start w:val="1"/>
    </w:lvl>
    <w:lvl w:ilvl="1">
      <w:lvlJc w:val="left"/>
      <w:lvlText w:val="(%2)"/>
      <w:numFmt w:val="lowerLetter"/>
      <w:start w:val="4"/>
    </w:lvl>
  </w:abstractNum>
  <w:abstractNum w:abstractNumId="107">
    <w:nsid w:val="24F6AB8E"/>
    <w:multiLevelType w:val="hybridMultilevel"/>
    <w:lvl w:ilvl="0">
      <w:lvlJc w:val="left"/>
      <w:lvlText w:val="%1."/>
      <w:numFmt w:val="decimal"/>
      <w:start w:val="1"/>
    </w:lvl>
    <w:lvl w:ilvl="1">
      <w:lvlJc w:val="left"/>
      <w:lvlText w:val="(%2)"/>
      <w:numFmt w:val="lowerLetter"/>
      <w:start w:val="1"/>
    </w:lvl>
  </w:abstractNum>
  <w:abstractNum w:abstractNumId="108">
    <w:nsid w:val="634C574C"/>
    <w:multiLevelType w:val="hybridMultilevel"/>
    <w:lvl w:ilvl="0">
      <w:lvlJc w:val="left"/>
      <w:lvlText w:val="%1."/>
      <w:numFmt w:val="decimal"/>
      <w:start w:val="3"/>
    </w:lvl>
  </w:abstractNum>
  <w:abstractNum w:abstractNumId="109">
    <w:nsid w:val="24E99DD7"/>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10">
    <w:nsid w:val="2A31B62D"/>
    <w:multiLevelType w:val="hybridMultilevel"/>
    <w:lvl w:ilvl="0">
      <w:lvlJc w:val="left"/>
      <w:lvlText w:val="(%1)"/>
      <w:numFmt w:val="lowerLetter"/>
      <w:start w:val="3"/>
    </w:lvl>
    <w:lvl w:ilvl="1">
      <w:lvlJc w:val="left"/>
      <w:lvlText w:val="-"/>
      <w:numFmt w:val="bullet"/>
      <w:start w:val="1"/>
    </w:lvl>
  </w:abstractNum>
  <w:abstractNum w:abstractNumId="111">
    <w:nsid w:val="1849C29B"/>
    <w:multiLevelType w:val="hybridMultilevel"/>
    <w:lvl w:ilvl="0">
      <w:lvlJc w:val="left"/>
      <w:lvlText w:val="%1."/>
      <w:numFmt w:val="decimal"/>
      <w:start w:val="1"/>
    </w:lvl>
    <w:lvl w:ilvl="1">
      <w:lvlJc w:val="left"/>
      <w:lvlText w:val="(%2)"/>
      <w:numFmt w:val="lowerLetter"/>
      <w:start w:val="1"/>
    </w:lvl>
  </w:abstractNum>
  <w:abstractNum w:abstractNumId="112">
    <w:nsid w:val="7DFF9D09"/>
    <w:multiLevelType w:val="hybridMultilevel"/>
    <w:lvl w:ilvl="0">
      <w:lvlJc w:val="left"/>
      <w:lvlText w:val="%1."/>
      <w:numFmt w:val="decimal"/>
      <w:start w:val="3"/>
    </w:lvl>
  </w:abstractNum>
  <w:abstractNum w:abstractNumId="113">
    <w:nsid w:val="75434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14">
    <w:nsid w:val="69E7F3E5"/>
    <w:multiLevelType w:val="hybridMultilevel"/>
    <w:lvl w:ilvl="0">
      <w:lvlJc w:val="left"/>
      <w:lvlText w:val="%1."/>
      <w:numFmt w:val="decimal"/>
      <w:start w:val="2"/>
    </w:lvl>
  </w:abstractNum>
  <w:abstractNum w:abstractNumId="115">
    <w:nsid w:val="2A6DE806"/>
    <w:multiLevelType w:val="hybridMultilevel"/>
    <w:lvl w:ilvl="0">
      <w:lvlJc w:val="left"/>
      <w:lvlText w:val="%1."/>
      <w:numFmt w:val="decimal"/>
      <w:start w:val="3"/>
    </w:lvl>
  </w:abstractNum>
  <w:abstractNum w:abstractNumId="116">
    <w:nsid w:val="1816F8C4"/>
    <w:multiLevelType w:val="hybridMultilevel"/>
    <w:lvl w:ilvl="0">
      <w:lvlJc w:val="left"/>
      <w:lvlText w:val="%1."/>
      <w:numFmt w:val="decimal"/>
      <w:start w:val="7"/>
    </w:lvl>
  </w:abstractNum>
  <w:abstractNum w:abstractNumId="117">
    <w:nsid w:val="37DF2233"/>
    <w:multiLevelType w:val="hybridMultilevel"/>
    <w:lvl w:ilvl="0">
      <w:lvlJc w:val="left"/>
      <w:lvlText w:val="%1."/>
      <w:numFmt w:val="decimal"/>
      <w:start w:val="1"/>
    </w:lvl>
  </w:abstractNum>
  <w:abstractNum w:abstractNumId="118">
    <w:nsid w:val="7AB49DAF"/>
    <w:multiLevelType w:val="hybridMultilevel"/>
    <w:lvl w:ilvl="0">
      <w:lvlJc w:val="left"/>
      <w:lvlText w:val="%1."/>
      <w:numFmt w:val="decimal"/>
      <w:start w:val="2"/>
    </w:lvl>
  </w:abstractNum>
  <w:abstractNum w:abstractNumId="119">
    <w:nsid w:val="759F82CD"/>
    <w:multiLevelType w:val="hybridMultilevel"/>
    <w:lvl w:ilvl="0">
      <w:lvlJc w:val="left"/>
      <w:lvlText w:val="(%1)"/>
      <w:numFmt w:val="lowerLetter"/>
      <w:start w:val="4"/>
    </w:lvl>
  </w:abstractNum>
  <w:abstractNum w:abstractNumId="120">
    <w:nsid w:val="61E74EA3"/>
    <w:multiLevelType w:val="hybridMultilevel"/>
    <w:lvl w:ilvl="0">
      <w:lvlJc w:val="left"/>
      <w:lvlText w:val="%1."/>
      <w:numFmt w:val="decimal"/>
      <w:start w:val="3"/>
    </w:lvl>
  </w:abstractNum>
  <w:abstractNum w:abstractNumId="121">
    <w:nsid w:val="597B4D84"/>
    <w:multiLevelType w:val="hybridMultilevel"/>
    <w:lvl w:ilvl="0">
      <w:lvlJc w:val="left"/>
      <w:lvlText w:val="%1."/>
      <w:numFmt w:val="decimal"/>
      <w:start w:val="4"/>
    </w:lvl>
  </w:abstractNum>
  <w:abstractNum w:abstractNumId="122">
    <w:nsid w:val="F819E7F"/>
    <w:multiLevelType w:val="hybridMultilevel"/>
    <w:lvl w:ilvl="0">
      <w:lvlJc w:val="left"/>
      <w:lvlText w:val="%1."/>
      <w:numFmt w:val="decimal"/>
      <w:start w:val="5"/>
    </w:lvl>
  </w:abstractNum>
  <w:abstractNum w:abstractNumId="123">
    <w:nsid w:val="57C7D42D"/>
    <w:multiLevelType w:val="hybridMultilevel"/>
    <w:lvl w:ilvl="0">
      <w:lvlJc w:val="left"/>
      <w:lvlText w:val="%1."/>
      <w:numFmt w:val="decimal"/>
      <w:start w:val="6"/>
    </w:lvl>
    <w:lvl w:ilvl="1">
      <w:lvlJc w:val="left"/>
      <w:lvlText w:val="(%2)"/>
      <w:numFmt w:val="lowerLetter"/>
      <w:start w:val="1"/>
    </w:lvl>
  </w:abstractNum>
  <w:abstractNum w:abstractNumId="124">
    <w:nsid w:val="312167AD"/>
    <w:multiLevelType w:val="hybridMultilevel"/>
    <w:lvl w:ilvl="0">
      <w:lvlJc w:val="left"/>
      <w:lvlText w:val="%1."/>
      <w:numFmt w:val="decimal"/>
      <w:start w:val="7"/>
    </w:lvl>
  </w:abstractNum>
  <w:abstractNum w:abstractNumId="125">
    <w:nsid w:val="631B64D4"/>
    <w:multiLevelType w:val="hybridMultilevel"/>
    <w:lvl w:ilvl="0">
      <w:lvlJc w:val="left"/>
      <w:lvlText w:val="%1."/>
      <w:numFmt w:val="decimal"/>
      <w:start w:val="8"/>
    </w:lvl>
  </w:abstractNum>
  <w:abstractNum w:abstractNumId="126">
    <w:nsid w:val="78B5E776"/>
    <w:multiLevelType w:val="hybridMultilevel"/>
    <w:lvl w:ilvl="0">
      <w:lvlJc w:val="left"/>
      <w:lvlText w:val="(%1)"/>
      <w:numFmt w:val="decimal"/>
      <w:start w:val="30"/>
    </w:lvl>
  </w:abstractNum>
  <w:abstractNum w:abstractNumId="127">
    <w:nsid w:val="75486E47"/>
    <w:multiLevelType w:val="hybridMultilevel"/>
    <w:lvl w:ilvl="0">
      <w:lvlJc w:val="left"/>
      <w:lvlText w:val="(%1)"/>
      <w:numFmt w:val="decimal"/>
      <w:start w:val="30"/>
    </w:lvl>
  </w:abstractNum>
  <w:abstractNum w:abstractNumId="128">
    <w:nsid w:val="6E534CDE"/>
    <w:multiLevelType w:val="hybridMultilevel"/>
    <w:lvl w:ilvl="0">
      <w:lvlJc w:val="left"/>
      <w:lvlText w:val="%1."/>
      <w:numFmt w:val="decimal"/>
      <w:start w:val="9"/>
    </w:lvl>
  </w:abstractNum>
  <w:abstractNum w:abstractNumId="129">
    <w:nsid w:val="1A0DDE32"/>
    <w:multiLevelType w:val="hybridMultilevel"/>
    <w:lvl w:ilvl="0">
      <w:lvlJc w:val="left"/>
      <w:lvlText w:val="(%1)"/>
      <w:numFmt w:val="decimal"/>
      <w:start w:val="30"/>
    </w:lvl>
  </w:abstractNum>
  <w:abstractNum w:abstractNumId="130">
    <w:nsid w:val="65968C1C"/>
    <w:multiLevelType w:val="hybridMultilevel"/>
    <w:lvl w:ilvl="0">
      <w:lvlJc w:val="left"/>
      <w:lvlText w:val="%1."/>
      <w:numFmt w:val="decimal"/>
      <w:start w:val="10"/>
    </w:lvl>
  </w:abstractNum>
  <w:abstractNum w:abstractNumId="131">
    <w:nsid w:val="46263DEC"/>
    <w:multiLevelType w:val="hybridMultilevel"/>
    <w:lvl w:ilvl="0">
      <w:lvlJc w:val="left"/>
      <w:lvlText w:val="(%1)"/>
      <w:numFmt w:val="lowerRoman"/>
      <w:start w:val="1"/>
    </w:lvl>
  </w:abstractNum>
  <w:abstractNum w:abstractNumId="132">
    <w:nsid w:val="260D8C4A"/>
    <w:multiLevelType w:val="hybridMultilevel"/>
    <w:lvl w:ilvl="0">
      <w:lvlJc w:val="left"/>
      <w:lvlText w:val="(%1)"/>
      <w:numFmt w:val="lowerRoman"/>
      <w:start w:val="2"/>
    </w:lvl>
  </w:abstractNum>
  <w:abstractNum w:abstractNumId="133">
    <w:nsid w:val="73D4D3C4"/>
    <w:multiLevelType w:val="hybridMultilevel"/>
    <w:lvl w:ilvl="0">
      <w:lvlJc w:val="left"/>
      <w:lvlText w:val="(%1)"/>
      <w:numFmt w:val="lowerRoman"/>
      <w:start w:val="1"/>
    </w:lvl>
  </w:abstractNum>
  <w:abstractNum w:abstractNumId="134">
    <w:nsid w:val="746F2E30"/>
    <w:multiLevelType w:val="hybridMultilevel"/>
    <w:lvl w:ilvl="0">
      <w:lvlJc w:val="left"/>
      <w:lvlText w:val="(%1)"/>
      <w:numFmt w:val="lowerRoman"/>
      <w:start w:val="3"/>
    </w:lvl>
  </w:abstractNum>
  <w:abstractNum w:abstractNumId="135">
    <w:nsid w:val="6FDE8AF6"/>
    <w:multiLevelType w:val="hybridMultilevel"/>
    <w:lvl w:ilvl="0">
      <w:lvlJc w:val="left"/>
      <w:lvlText w:val="%1."/>
      <w:numFmt w:val="decimal"/>
      <w:start w:val="11"/>
    </w:lvl>
  </w:abstractNum>
  <w:abstractNum w:abstractNumId="136">
    <w:nsid w:val="3FC32E20"/>
    <w:multiLevelType w:val="hybridMultilevel"/>
    <w:lvl w:ilvl="0">
      <w:lvlJc w:val="left"/>
      <w:lvlText w:val="%1."/>
      <w:numFmt w:val="decimal"/>
      <w:start w:val="12"/>
    </w:lvl>
  </w:abstractNum>
  <w:abstractNum w:abstractNumId="137">
    <w:nsid w:val="49C0E823"/>
    <w:multiLevelType w:val="hybridMultilevel"/>
    <w:lvl w:ilvl="0">
      <w:lvlJc w:val="left"/>
      <w:lvlText w:val="%1."/>
      <w:numFmt w:val="decimal"/>
      <w:start w:val="13"/>
    </w:lvl>
  </w:abstractNum>
  <w:abstractNum w:abstractNumId="138">
    <w:nsid w:val="14D53685"/>
    <w:multiLevelType w:val="hybridMultilevel"/>
    <w:lvl w:ilvl="0">
      <w:lvlJc w:val="left"/>
      <w:lvlText w:val="%1."/>
      <w:numFmt w:val="decimal"/>
      <w:start w:val="14"/>
    </w:lvl>
  </w:abstractNum>
  <w:abstractNum w:abstractNumId="139">
    <w:nsid w:val="230F856C"/>
    <w:multiLevelType w:val="hybridMultilevel"/>
    <w:lvl w:ilvl="0">
      <w:lvlJc w:val="left"/>
      <w:lvlText w:val="%1."/>
      <w:numFmt w:val="decimal"/>
      <w:start w:val="15"/>
    </w:lvl>
  </w:abstractNum>
  <w:abstractNum w:abstractNumId="140">
    <w:nsid w:val="6EAA85FB"/>
    <w:multiLevelType w:val="hybridMultilevel"/>
    <w:lvl w:ilvl="0">
      <w:lvlJc w:val="left"/>
      <w:lvlText w:val="(%1)"/>
      <w:numFmt w:val="lowerRoman"/>
      <w:start w:val="1"/>
    </w:lvl>
  </w:abstractNum>
  <w:abstractNum w:abstractNumId="141">
    <w:nsid w:val="3F06ECB2"/>
    <w:multiLevelType w:val="hybridMultilevel"/>
    <w:lvl w:ilvl="0">
      <w:lvlJc w:val="left"/>
      <w:lvlText w:val="%1."/>
      <w:numFmt w:val="decimal"/>
      <w:start w:val="16"/>
    </w:lvl>
  </w:abstractNum>
  <w:abstractNum w:abstractNumId="142">
    <w:nsid w:val="3B594807"/>
    <w:multiLevelType w:val="hybridMultilevel"/>
    <w:lvl w:ilvl="0">
      <w:lvlJc w:val="left"/>
      <w:lvlText w:val="%1."/>
      <w:numFmt w:val="decimal"/>
      <w:start w:val="1"/>
    </w:lvl>
  </w:abstractNum>
  <w:abstractNum w:abstractNumId="143">
    <w:nsid w:val="6CAA2304"/>
    <w:multiLevelType w:val="hybridMultilevel"/>
    <w:lvl w:ilvl="0">
      <w:lvlJc w:val="left"/>
      <w:lvlText w:val="%1."/>
      <w:numFmt w:val="decimal"/>
      <w:start w:val="2"/>
    </w:lvl>
  </w:abstractNum>
  <w:abstractNum w:abstractNumId="144">
    <w:nsid w:val="3F7C2FF4"/>
    <w:multiLevelType w:val="hybridMultilevel"/>
    <w:lvl w:ilvl="0">
      <w:lvlJc w:val="left"/>
      <w:lvlText w:val="%1."/>
      <w:numFmt w:val="decimal"/>
      <w:start w:val="3"/>
    </w:lvl>
  </w:abstractNum>
  <w:abstractNum w:abstractNumId="145">
    <w:nsid w:val="25413BEC"/>
    <w:multiLevelType w:val="hybridMultilevel"/>
    <w:lvl w:ilvl="0">
      <w:lvlJc w:val="left"/>
      <w:lvlText w:val="%1."/>
      <w:numFmt w:val="decimal"/>
      <w:start w:val="4"/>
    </w:lvl>
    <w:lvl w:ilvl="1">
      <w:lvlJc w:val="left"/>
      <w:lvlText w:val="(%2)"/>
      <w:numFmt w:val="lowerLetter"/>
      <w:start w:val="1"/>
    </w:lvl>
  </w:abstractNum>
  <w:abstractNum w:abstractNumId="146">
    <w:nsid w:val="17180B0B"/>
    <w:multiLevelType w:val="hybridMultilevel"/>
    <w:lvl w:ilvl="0">
      <w:lvlJc w:val="left"/>
      <w:lvlText w:val="(%1)"/>
      <w:numFmt w:val="lowerLetter"/>
      <w:start w:val="3"/>
    </w:lvl>
  </w:abstractNum>
  <w:abstractNum w:abstractNumId="147">
    <w:nsid w:val="579328B9"/>
    <w:multiLevelType w:val="hybridMultilevel"/>
    <w:lvl w:ilvl="0">
      <w:lvlJc w:val="left"/>
      <w:lvlText w:val="%1."/>
      <w:numFmt w:val="decimal"/>
      <w:start w:val="5"/>
    </w:lvl>
  </w:abstractNum>
  <w:abstractNum w:abstractNumId="148">
    <w:nsid w:val="5D205E20"/>
    <w:multiLevelType w:val="hybridMultilevel"/>
    <w:lvl w:ilvl="0">
      <w:lvlJc w:val="left"/>
      <w:lvlText w:val="%1."/>
      <w:numFmt w:val="decimal"/>
      <w:start w:val="6"/>
    </w:lvl>
  </w:abstractNum>
  <w:abstractNum w:abstractNumId="149">
    <w:nsid w:val="11CCA8BA"/>
    <w:multiLevelType w:val="hybridMultilevel"/>
    <w:lvl w:ilvl="0">
      <w:lvlJc w:val="left"/>
      <w:lvlText w:val="%1."/>
      <w:numFmt w:val="decimal"/>
      <w:start w:val="7"/>
    </w:lvl>
  </w:abstractNum>
  <w:abstractNum w:abstractNumId="150">
    <w:nsid w:val="4D32AB86"/>
    <w:multiLevelType w:val="hybridMultilevel"/>
    <w:lvl w:ilvl="0">
      <w:lvlJc w:val="left"/>
      <w:lvlText w:val="%1"/>
      <w:numFmt w:val="decimal"/>
      <w:start w:val="1"/>
    </w:lvl>
    <w:lvl w:ilvl="1">
      <w:lvlJc w:val="left"/>
      <w:lvlText w:val="(%2)"/>
      <w:numFmt w:val="decimal"/>
      <w:start w:val="1"/>
    </w:lvl>
  </w:abstractNum>
  <w:abstractNum w:abstractNumId="151">
    <w:nsid w:val="3F07ACC3"/>
    <w:multiLevelType w:val="hybridMultilevel"/>
    <w:lvl w:ilvl="0">
      <w:lvlJc w:val="left"/>
      <w:lvlText w:val="%1."/>
      <w:numFmt w:val="decimal"/>
      <w:start w:val="8"/>
    </w:lvl>
    <w:lvl w:ilvl="1">
      <w:lvlJc w:val="left"/>
      <w:lvlText w:val="%2"/>
      <w:numFmt w:val="decimal"/>
      <w:start w:val="1"/>
    </w:lvl>
  </w:abstractNum>
  <w:abstractNum w:abstractNumId="152">
    <w:nsid w:val="6B47F63E"/>
    <w:multiLevelType w:val="hybridMultilevel"/>
    <w:lvl w:ilvl="0">
      <w:lvlJc w:val="left"/>
      <w:lvlText w:val="%1."/>
      <w:numFmt w:val="decimal"/>
      <w:start w:val="9"/>
    </w:lvl>
  </w:abstractNum>
  <w:abstractNum w:abstractNumId="153">
    <w:nsid w:val="5CB44A05"/>
    <w:multiLevelType w:val="hybridMultilevel"/>
    <w:lvl w:ilvl="0">
      <w:lvlJc w:val="left"/>
      <w:lvlText w:val="%1."/>
      <w:numFmt w:val="decimal"/>
      <w:start w:val="10"/>
    </w:lvl>
  </w:abstractNum>
  <w:abstractNum w:abstractNumId="154">
    <w:nsid w:val="16CF80F1"/>
    <w:multiLevelType w:val="hybridMultilevel"/>
    <w:lvl w:ilvl="0">
      <w:lvlJc w:val="left"/>
      <w:lvlText w:val="%1."/>
      <w:numFmt w:val="decimal"/>
      <w:start w:val="11"/>
    </w:lvl>
  </w:abstractNum>
  <w:abstractNum w:abstractNumId="155">
    <w:nsid w:val="1C695DEC"/>
    <w:multiLevelType w:val="hybridMultilevel"/>
    <w:lvl w:ilvl="0">
      <w:lvlJc w:val="left"/>
      <w:lvlText w:val="%1."/>
      <w:numFmt w:val="decimal"/>
      <w:start w:val="12"/>
    </w:lvl>
  </w:abstractNum>
  <w:abstractNum w:abstractNumId="156">
    <w:nsid w:val="3FCFAED9"/>
    <w:multiLevelType w:val="hybridMultilevel"/>
    <w:lvl w:ilvl="0">
      <w:lvlJc w:val="left"/>
      <w:lvlText w:val="%1."/>
      <w:numFmt w:val="decimal"/>
      <w:start w:val="13"/>
    </w:lvl>
  </w:abstractNum>
  <w:abstractNum w:abstractNumId="157">
    <w:nsid w:val="F856867"/>
    <w:multiLevelType w:val="hybridMultilevel"/>
    <w:lvl w:ilvl="0">
      <w:lvlJc w:val="left"/>
      <w:lvlText w:val="%1."/>
      <w:numFmt w:val="decimal"/>
      <w:start w:val="14"/>
    </w:lvl>
  </w:abstractNum>
  <w:abstractNum w:abstractNumId="158">
    <w:nsid w:val="11B1CC33"/>
    <w:multiLevelType w:val="hybridMultilevel"/>
    <w:lvl w:ilvl="0">
      <w:lvlJc w:val="left"/>
      <w:lvlText w:val="%1."/>
      <w:numFmt w:val="decimal"/>
      <w:start w:val="15"/>
    </w:lvl>
  </w:abstractNum>
  <w:abstractNum w:abstractNumId="159">
    <w:nsid w:val="2E22FBB7"/>
    <w:multiLevelType w:val="hybridMultilevel"/>
    <w:lvl w:ilvl="0">
      <w:lvlJc w:val="left"/>
      <w:lvlText w:val="%1."/>
      <w:numFmt w:val="decimal"/>
      <w:start w:val="16"/>
    </w:lvl>
  </w:abstractNum>
  <w:abstractNum w:abstractNumId="160">
    <w:nsid w:val="29934699"/>
    <w:multiLevelType w:val="hybridMultilevel"/>
    <w:lvl w:ilvl="0">
      <w:lvlJc w:val="left"/>
      <w:lvlText w:val="%1."/>
      <w:numFmt w:val="decimal"/>
      <w:start w:val="17"/>
    </w:lvl>
  </w:abstractNum>
  <w:abstractNum w:abstractNumId="161">
    <w:nsid w:val="77485850"/>
    <w:multiLevelType w:val="hybridMultilevel"/>
    <w:lvl w:ilvl="0">
      <w:lvlJc w:val="left"/>
      <w:lvlText w:val="%1."/>
      <w:numFmt w:val="decimal"/>
      <w:start w:val="18"/>
    </w:lvl>
  </w:abstractNum>
  <w:abstractNum w:abstractNumId="162">
    <w:nsid w:val="744939A3"/>
    <w:multiLevelType w:val="hybridMultilevel"/>
    <w:lvl w:ilvl="0">
      <w:lvlJc w:val="left"/>
      <w:lvlText w:val="%1."/>
      <w:numFmt w:val="decimal"/>
      <w:start w:val="19"/>
    </w:lvl>
  </w:abstractNum>
  <w:abstractNum w:abstractNumId="163">
    <w:nsid w:val="4FA0D2E3"/>
    <w:multiLevelType w:val="hybridMultilevel"/>
    <w:lvl w:ilvl="0">
      <w:lvlJc w:val="left"/>
      <w:lvlText w:val="(%1)"/>
      <w:numFmt w:val="lowerLetter"/>
      <w:start w:val="1"/>
    </w:lvl>
  </w:abstractNum>
  <w:abstractNum w:abstractNumId="164">
    <w:nsid w:val="6B1D2C14"/>
    <w:multiLevelType w:val="hybridMultilevel"/>
    <w:lvl w:ilvl="0">
      <w:lvlJc w:val="left"/>
      <w:lvlText w:val="(%1)"/>
      <w:numFmt w:val="lowerLetter"/>
      <w:start w:val="2"/>
    </w:lvl>
    <w:lvl w:ilvl="1">
      <w:lvlJc w:val="left"/>
      <w:lvlText w:val="*"/>
      <w:numFmt w:val="bullet"/>
      <w:start w:val="1"/>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lvl w:ilvl="1">
      <w:lvlJc w:val="left"/>
      <w:lvlText w:val="%2)"/>
      <w:numFmt w:val="lowerLetter"/>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2019-12-13T13:11:08Z</dcterms:created>
  <dcterms:modified xsi:type="dcterms:W3CDTF">2019-12-13T13:11:08Z</dcterms:modified>
</cp:coreProperties>
</file>