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208280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233680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2612390</wp:posOffset>
            </wp:positionH>
            <wp:positionV relativeFrom="paragraph">
              <wp:posOffset>113665</wp:posOffset>
            </wp:positionV>
            <wp:extent cx="20326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032635" cy="8890"/>
                    </a:xfrm>
                    <a:prstGeom prst="rect">
                      <a:avLst/>
                    </a:prstGeom>
                    <a:noFill/>
                  </pic:spPr>
                </pic:pic>
              </a:graphicData>
            </a:graphic>
          </wp:anchor>
        </w:drawing>
      </w:r>
    </w:p>
    <w:p>
      <w:pPr>
        <w:spacing w:after="0" w:line="20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FORM 10-K</w:t>
      </w:r>
    </w:p>
    <w:p>
      <w:pPr>
        <w:spacing w:after="0" w:line="109" w:lineRule="exact"/>
        <w:rPr>
          <w:sz w:val="24"/>
          <w:szCs w:val="24"/>
          <w:color w:val="auto"/>
        </w:rPr>
      </w:pPr>
    </w:p>
    <w:p>
      <w:pPr>
        <w:ind w:left="4100" w:right="2900" w:hanging="1145"/>
        <w:spacing w:after="0" w:line="277" w:lineRule="auto"/>
        <w:tabs>
          <w:tab w:leader="none" w:pos="3157"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ANNUAL REPORT PURSUANT TO SECTION 13 OR 15(d) OF THE SECURITIES EXCHANGE ACT OF 1934</w:t>
      </w:r>
    </w:p>
    <w:p>
      <w:pPr>
        <w:spacing w:after="0" w:line="3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For the fiscal year ended December 31, 2009</w:t>
      </w:r>
    </w:p>
    <w:p>
      <w:pPr>
        <w:spacing w:after="0" w:line="9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90" w:lineRule="exact"/>
        <w:rPr>
          <w:sz w:val="24"/>
          <w:szCs w:val="24"/>
          <w:color w:val="auto"/>
        </w:rPr>
      </w:pPr>
    </w:p>
    <w:p>
      <w:pPr>
        <w:ind w:left="4100" w:right="2720" w:hanging="1325"/>
        <w:spacing w:after="0" w:line="277" w:lineRule="auto"/>
        <w:tabs>
          <w:tab w:leader="none" w:pos="2976"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20"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6220" w:type="dxa"/>
            <w:vAlign w:val="bottom"/>
            <w:gridSpan w:val="2"/>
          </w:tcPr>
          <w:p>
            <w:pPr>
              <w:ind w:left="3920"/>
              <w:spacing w:after="0"/>
              <w:rPr>
                <w:sz w:val="20"/>
                <w:szCs w:val="20"/>
                <w:color w:val="auto"/>
              </w:rPr>
            </w:pPr>
            <w:r>
              <w:rPr>
                <w:rFonts w:ascii="Times New Roman" w:cs="Times New Roman" w:eastAsia="Times New Roman" w:hAnsi="Times New Roman"/>
                <w:sz w:val="18"/>
                <w:szCs w:val="18"/>
                <w:b w:val="1"/>
                <w:bCs w:val="1"/>
                <w:color w:val="auto"/>
                <w:w w:val="97"/>
              </w:rPr>
              <w:t>For the transition period from</w:t>
            </w:r>
          </w:p>
        </w:tc>
        <w:tc>
          <w:tcPr>
            <w:tcW w:w="26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to</w:t>
            </w:r>
          </w:p>
        </w:tc>
        <w:tc>
          <w:tcPr>
            <w:tcW w:w="3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440" w:type="dxa"/>
            <w:vAlign w:val="bottom"/>
          </w:tcPr>
          <w:p>
            <w:pPr>
              <w:spacing w:after="0"/>
              <w:rPr>
                <w:sz w:val="17"/>
                <w:szCs w:val="17"/>
                <w:color w:val="auto"/>
              </w:rPr>
            </w:pPr>
          </w:p>
        </w:tc>
      </w:tr>
      <w:tr>
        <w:trPr>
          <w:trHeight w:val="316"/>
        </w:trPr>
        <w:tc>
          <w:tcPr>
            <w:tcW w:w="4120" w:type="dxa"/>
            <w:vAlign w:val="bottom"/>
          </w:tcPr>
          <w:p>
            <w:pPr>
              <w:spacing w:after="0"/>
              <w:rPr>
                <w:sz w:val="24"/>
                <w:szCs w:val="24"/>
                <w:color w:val="auto"/>
              </w:rPr>
            </w:pPr>
          </w:p>
        </w:tc>
        <w:tc>
          <w:tcPr>
            <w:tcW w:w="5840" w:type="dxa"/>
            <w:vAlign w:val="bottom"/>
            <w:gridSpan w:val="7"/>
          </w:tcPr>
          <w:p>
            <w:pPr>
              <w:jc w:val="center"/>
              <w:ind w:right="2584"/>
              <w:spacing w:after="0"/>
              <w:rPr>
                <w:sz w:val="20"/>
                <w:szCs w:val="20"/>
                <w:color w:val="auto"/>
              </w:rPr>
            </w:pPr>
            <w:r>
              <w:rPr>
                <w:rFonts w:ascii="Times New Roman" w:cs="Times New Roman" w:eastAsia="Times New Roman" w:hAnsi="Times New Roman"/>
                <w:sz w:val="18"/>
                <w:szCs w:val="18"/>
                <w:b w:val="1"/>
                <w:bCs w:val="1"/>
                <w:color w:val="auto"/>
                <w:w w:val="97"/>
              </w:rPr>
              <w:t>COMMISSION FILE NO. 1-10308</w:t>
            </w:r>
          </w:p>
        </w:tc>
      </w:tr>
      <w:tr>
        <w:trPr>
          <w:trHeight w:val="164"/>
        </w:trPr>
        <w:tc>
          <w:tcPr>
            <w:tcW w:w="4120" w:type="dxa"/>
            <w:vAlign w:val="bottom"/>
          </w:tcPr>
          <w:p>
            <w:pPr>
              <w:spacing w:after="0"/>
              <w:rPr>
                <w:sz w:val="14"/>
                <w:szCs w:val="14"/>
                <w:color w:val="auto"/>
              </w:rPr>
            </w:pPr>
          </w:p>
        </w:tc>
        <w:tc>
          <w:tcPr>
            <w:tcW w:w="2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gridSpan w:val="2"/>
          </w:tcPr>
          <w:p>
            <w:pPr>
              <w:spacing w:after="0"/>
              <w:rPr>
                <w:sz w:val="14"/>
                <w:szCs w:val="14"/>
                <w:color w:val="auto"/>
              </w:rPr>
            </w:pPr>
          </w:p>
        </w:tc>
        <w:tc>
          <w:tcPr>
            <w:tcW w:w="560" w:type="dxa"/>
            <w:vAlign w:val="bottom"/>
            <w:tcBorders>
              <w:bottom w:val="single" w:sz="8" w:color="auto"/>
            </w:tcBorders>
            <w:gridSpan w:val="2"/>
          </w:tcPr>
          <w:p>
            <w:pPr>
              <w:spacing w:after="0"/>
              <w:rPr>
                <w:sz w:val="14"/>
                <w:szCs w:val="14"/>
                <w:color w:val="auto"/>
              </w:rPr>
            </w:pPr>
          </w:p>
        </w:tc>
        <w:tc>
          <w:tcPr>
            <w:tcW w:w="200" w:type="dxa"/>
            <w:vAlign w:val="bottom"/>
          </w:tcPr>
          <w:p>
            <w:pPr>
              <w:spacing w:after="0"/>
              <w:rPr>
                <w:sz w:val="14"/>
                <w:szCs w:val="14"/>
                <w:color w:val="auto"/>
              </w:rPr>
            </w:pPr>
          </w:p>
        </w:tc>
        <w:tc>
          <w:tcPr>
            <w:tcW w:w="2440" w:type="dxa"/>
            <w:vAlign w:val="bottom"/>
          </w:tcPr>
          <w:p>
            <w:pPr>
              <w:spacing w:after="0"/>
              <w:rPr>
                <w:sz w:val="14"/>
                <w:szCs w:val="14"/>
                <w:color w:val="auto"/>
              </w:rPr>
            </w:pPr>
          </w:p>
        </w:tc>
      </w:tr>
      <w:tr>
        <w:trPr>
          <w:trHeight w:val="422"/>
        </w:trPr>
        <w:tc>
          <w:tcPr>
            <w:tcW w:w="9960" w:type="dxa"/>
            <w:vAlign w:val="bottom"/>
            <w:gridSpan w:val="8"/>
          </w:tcPr>
          <w:p>
            <w:pPr>
              <w:jc w:val="center"/>
              <w:ind w:left="1374"/>
              <w:spacing w:after="0"/>
              <w:rPr>
                <w:sz w:val="20"/>
                <w:szCs w:val="20"/>
                <w:color w:val="auto"/>
              </w:rPr>
            </w:pPr>
            <w:r>
              <w:rPr>
                <w:rFonts w:ascii="Times New Roman" w:cs="Times New Roman" w:eastAsia="Times New Roman" w:hAnsi="Times New Roman"/>
                <w:sz w:val="32"/>
                <w:szCs w:val="32"/>
                <w:b w:val="1"/>
                <w:bCs w:val="1"/>
                <w:color w:val="auto"/>
                <w:w w:val="99"/>
              </w:rPr>
              <w:t>AVIS BUDGET GROUP, INC.</w:t>
            </w:r>
          </w:p>
        </w:tc>
      </w:tr>
      <w:tr>
        <w:trPr>
          <w:trHeight w:val="178"/>
        </w:trPr>
        <w:tc>
          <w:tcPr>
            <w:tcW w:w="4120" w:type="dxa"/>
            <w:vAlign w:val="bottom"/>
          </w:tcPr>
          <w:p>
            <w:pPr>
              <w:spacing w:after="0"/>
              <w:rPr>
                <w:sz w:val="15"/>
                <w:szCs w:val="15"/>
                <w:color w:val="auto"/>
              </w:rPr>
            </w:pPr>
          </w:p>
        </w:tc>
        <w:tc>
          <w:tcPr>
            <w:tcW w:w="5840" w:type="dxa"/>
            <w:vAlign w:val="bottom"/>
            <w:gridSpan w:val="7"/>
          </w:tcPr>
          <w:p>
            <w:pPr>
              <w:jc w:val="center"/>
              <w:ind w:right="2584"/>
              <w:spacing w:after="0"/>
              <w:rPr>
                <w:sz w:val="20"/>
                <w:szCs w:val="20"/>
                <w:color w:val="auto"/>
              </w:rPr>
            </w:pPr>
            <w:r>
              <w:rPr>
                <w:rFonts w:ascii="Times New Roman" w:cs="Times New Roman" w:eastAsia="Times New Roman" w:hAnsi="Times New Roman"/>
                <w:sz w:val="14"/>
                <w:szCs w:val="14"/>
                <w:b w:val="1"/>
                <w:bCs w:val="1"/>
                <w:color w:val="auto"/>
                <w:w w:val="96"/>
              </w:rPr>
              <w:t>(Exact name of Registrant as specified in its charter)</w:t>
            </w:r>
          </w:p>
        </w:tc>
      </w:tr>
      <w:tr>
        <w:trPr>
          <w:trHeight w:val="267"/>
        </w:trPr>
        <w:tc>
          <w:tcPr>
            <w:tcW w:w="6480" w:type="dxa"/>
            <w:vAlign w:val="bottom"/>
            <w:gridSpan w:val="3"/>
          </w:tcPr>
          <w:p>
            <w:pPr>
              <w:jc w:val="center"/>
              <w:ind w:right="860"/>
              <w:spacing w:after="0"/>
              <w:rPr>
                <w:sz w:val="20"/>
                <w:szCs w:val="20"/>
                <w:color w:val="auto"/>
              </w:rPr>
            </w:pPr>
            <w:r>
              <w:rPr>
                <w:rFonts w:ascii="Times New Roman" w:cs="Times New Roman" w:eastAsia="Times New Roman" w:hAnsi="Times New Roman"/>
                <w:sz w:val="18"/>
                <w:szCs w:val="18"/>
                <w:b w:val="1"/>
                <w:bCs w:val="1"/>
                <w:color w:val="auto"/>
                <w:w w:val="92"/>
              </w:rPr>
              <w:t>DELAWARE</w:t>
            </w:r>
          </w:p>
        </w:tc>
        <w:tc>
          <w:tcPr>
            <w:tcW w:w="2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980" w:type="dxa"/>
            <w:vAlign w:val="bottom"/>
            <w:gridSpan w:val="3"/>
          </w:tcPr>
          <w:p>
            <w:pPr>
              <w:jc w:val="right"/>
              <w:ind w:right="724"/>
              <w:spacing w:after="0"/>
              <w:rPr>
                <w:sz w:val="20"/>
                <w:szCs w:val="20"/>
                <w:color w:val="auto"/>
              </w:rPr>
            </w:pPr>
            <w:r>
              <w:rPr>
                <w:rFonts w:ascii="Times New Roman" w:cs="Times New Roman" w:eastAsia="Times New Roman" w:hAnsi="Times New Roman"/>
                <w:sz w:val="18"/>
                <w:szCs w:val="18"/>
                <w:b w:val="1"/>
                <w:bCs w:val="1"/>
                <w:color w:val="auto"/>
              </w:rPr>
              <w:t>06-0918165</w:t>
            </w:r>
          </w:p>
        </w:tc>
      </w:tr>
      <w:tr>
        <w:trPr>
          <w:trHeight w:val="178"/>
        </w:trPr>
        <w:tc>
          <w:tcPr>
            <w:tcW w:w="6480" w:type="dxa"/>
            <w:vAlign w:val="bottom"/>
            <w:gridSpan w:val="3"/>
          </w:tcPr>
          <w:p>
            <w:pPr>
              <w:jc w:val="center"/>
              <w:ind w:right="860"/>
              <w:spacing w:after="0"/>
              <w:rPr>
                <w:sz w:val="20"/>
                <w:szCs w:val="20"/>
                <w:color w:val="auto"/>
              </w:rPr>
            </w:pPr>
            <w:r>
              <w:rPr>
                <w:rFonts w:ascii="Times New Roman" w:cs="Times New Roman" w:eastAsia="Times New Roman" w:hAnsi="Times New Roman"/>
                <w:sz w:val="14"/>
                <w:szCs w:val="14"/>
                <w:b w:val="1"/>
                <w:bCs w:val="1"/>
                <w:color w:val="auto"/>
                <w:w w:val="96"/>
              </w:rPr>
              <w:t>(State or other jurisdiction of incorporation or organization)</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(I.R.S. Employer Identification Number)</w:t>
            </w:r>
          </w:p>
        </w:tc>
      </w:tr>
      <w:tr>
        <w:trPr>
          <w:trHeight w:val="295"/>
        </w:trPr>
        <w:tc>
          <w:tcPr>
            <w:tcW w:w="6480" w:type="dxa"/>
            <w:vAlign w:val="bottom"/>
            <w:gridSpan w:val="3"/>
          </w:tcPr>
          <w:p>
            <w:pPr>
              <w:jc w:val="center"/>
              <w:ind w:right="860"/>
              <w:spacing w:after="0"/>
              <w:rPr>
                <w:sz w:val="20"/>
                <w:szCs w:val="20"/>
                <w:color w:val="auto"/>
              </w:rPr>
            </w:pPr>
            <w:r>
              <w:rPr>
                <w:rFonts w:ascii="Times New Roman" w:cs="Times New Roman" w:eastAsia="Times New Roman" w:hAnsi="Times New Roman"/>
                <w:sz w:val="18"/>
                <w:szCs w:val="18"/>
                <w:b w:val="1"/>
                <w:bCs w:val="1"/>
                <w:color w:val="auto"/>
                <w:w w:val="92"/>
              </w:rPr>
              <w:t>6 SYLVAN WAY</w:t>
            </w: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40" w:type="dxa"/>
            <w:vAlign w:val="bottom"/>
          </w:tcPr>
          <w:p>
            <w:pPr>
              <w:spacing w:after="0"/>
              <w:rPr>
                <w:sz w:val="24"/>
                <w:szCs w:val="24"/>
                <w:color w:val="auto"/>
              </w:rPr>
            </w:pPr>
          </w:p>
        </w:tc>
      </w:tr>
      <w:tr>
        <w:trPr>
          <w:trHeight w:val="229"/>
        </w:trPr>
        <w:tc>
          <w:tcPr>
            <w:tcW w:w="6480" w:type="dxa"/>
            <w:vAlign w:val="bottom"/>
            <w:gridSpan w:val="3"/>
          </w:tcPr>
          <w:p>
            <w:pPr>
              <w:jc w:val="center"/>
              <w:ind w:right="860"/>
              <w:spacing w:after="0"/>
              <w:rPr>
                <w:sz w:val="20"/>
                <w:szCs w:val="20"/>
                <w:color w:val="auto"/>
              </w:rPr>
            </w:pPr>
            <w:r>
              <w:rPr>
                <w:rFonts w:ascii="Times New Roman" w:cs="Times New Roman" w:eastAsia="Times New Roman" w:hAnsi="Times New Roman"/>
                <w:sz w:val="18"/>
                <w:szCs w:val="18"/>
                <w:b w:val="1"/>
                <w:bCs w:val="1"/>
                <w:color w:val="auto"/>
                <w:w w:val="94"/>
              </w:rPr>
              <w:t>PARSIPPANY, NJ</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980" w:type="dxa"/>
            <w:vAlign w:val="bottom"/>
            <w:gridSpan w:val="3"/>
          </w:tcPr>
          <w:p>
            <w:pPr>
              <w:jc w:val="right"/>
              <w:ind w:right="924"/>
              <w:spacing w:after="0"/>
              <w:rPr>
                <w:sz w:val="20"/>
                <w:szCs w:val="20"/>
                <w:color w:val="auto"/>
              </w:rPr>
            </w:pPr>
            <w:r>
              <w:rPr>
                <w:rFonts w:ascii="Times New Roman" w:cs="Times New Roman" w:eastAsia="Times New Roman" w:hAnsi="Times New Roman"/>
                <w:sz w:val="18"/>
                <w:szCs w:val="18"/>
                <w:b w:val="1"/>
                <w:bCs w:val="1"/>
                <w:color w:val="auto"/>
              </w:rPr>
              <w:t>07054</w:t>
            </w:r>
          </w:p>
        </w:tc>
      </w:tr>
      <w:tr>
        <w:trPr>
          <w:trHeight w:val="178"/>
        </w:trPr>
        <w:tc>
          <w:tcPr>
            <w:tcW w:w="6480" w:type="dxa"/>
            <w:vAlign w:val="bottom"/>
            <w:gridSpan w:val="3"/>
          </w:tcPr>
          <w:p>
            <w:pPr>
              <w:jc w:val="center"/>
              <w:ind w:right="860"/>
              <w:spacing w:after="0"/>
              <w:rPr>
                <w:sz w:val="20"/>
                <w:szCs w:val="20"/>
                <w:color w:val="auto"/>
              </w:rPr>
            </w:pPr>
            <w:r>
              <w:rPr>
                <w:rFonts w:ascii="Times New Roman" w:cs="Times New Roman" w:eastAsia="Times New Roman" w:hAnsi="Times New Roman"/>
                <w:sz w:val="14"/>
                <w:szCs w:val="14"/>
                <w:b w:val="1"/>
                <w:bCs w:val="1"/>
                <w:color w:val="auto"/>
                <w:w w:val="95"/>
              </w:rPr>
              <w:t>(Address of principal executive offices)</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(Zip Code)</w:t>
            </w:r>
          </w:p>
        </w:tc>
      </w:tr>
      <w:tr>
        <w:trPr>
          <w:trHeight w:val="267"/>
        </w:trPr>
        <w:tc>
          <w:tcPr>
            <w:tcW w:w="6220" w:type="dxa"/>
            <w:vAlign w:val="bottom"/>
            <w:gridSpan w:val="2"/>
          </w:tcPr>
          <w:p>
            <w:pPr>
              <w:jc w:val="center"/>
              <w:ind w:left="5134"/>
              <w:spacing w:after="0"/>
              <w:rPr>
                <w:sz w:val="20"/>
                <w:szCs w:val="20"/>
                <w:color w:val="auto"/>
              </w:rPr>
            </w:pPr>
            <w:r>
              <w:rPr>
                <w:rFonts w:ascii="Times New Roman" w:cs="Times New Roman" w:eastAsia="Times New Roman" w:hAnsi="Times New Roman"/>
                <w:sz w:val="18"/>
                <w:szCs w:val="18"/>
                <w:b w:val="1"/>
                <w:bCs w:val="1"/>
                <w:color w:val="auto"/>
                <w:w w:val="98"/>
              </w:rPr>
              <w:t>973-496-4700</w:t>
            </w:r>
          </w:p>
        </w:tc>
        <w:tc>
          <w:tcPr>
            <w:tcW w:w="2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440" w:type="dxa"/>
            <w:vAlign w:val="bottom"/>
          </w:tcPr>
          <w:p>
            <w:pPr>
              <w:spacing w:after="0"/>
              <w:rPr>
                <w:sz w:val="23"/>
                <w:szCs w:val="23"/>
                <w:color w:val="auto"/>
              </w:rPr>
            </w:pPr>
          </w:p>
        </w:tc>
      </w:tr>
      <w:tr>
        <w:trPr>
          <w:trHeight w:val="178"/>
        </w:trPr>
        <w:tc>
          <w:tcPr>
            <w:tcW w:w="4120" w:type="dxa"/>
            <w:vAlign w:val="bottom"/>
          </w:tcPr>
          <w:p>
            <w:pPr>
              <w:spacing w:after="0"/>
              <w:rPr>
                <w:sz w:val="15"/>
                <w:szCs w:val="15"/>
                <w:color w:val="auto"/>
              </w:rPr>
            </w:pPr>
          </w:p>
        </w:tc>
        <w:tc>
          <w:tcPr>
            <w:tcW w:w="5840" w:type="dxa"/>
            <w:vAlign w:val="bottom"/>
            <w:gridSpan w:val="7"/>
          </w:tcPr>
          <w:p>
            <w:pPr>
              <w:jc w:val="center"/>
              <w:ind w:right="2584"/>
              <w:spacing w:after="0"/>
              <w:rPr>
                <w:sz w:val="20"/>
                <w:szCs w:val="20"/>
                <w:color w:val="auto"/>
              </w:rPr>
            </w:pPr>
            <w:r>
              <w:rPr>
                <w:rFonts w:ascii="Times New Roman" w:cs="Times New Roman" w:eastAsia="Times New Roman" w:hAnsi="Times New Roman"/>
                <w:sz w:val="14"/>
                <w:szCs w:val="14"/>
                <w:b w:val="1"/>
                <w:bCs w:val="1"/>
                <w:color w:val="auto"/>
                <w:w w:val="96"/>
              </w:rPr>
              <w:t>(Registrant’s telephone number, including area code)</w:t>
            </w:r>
          </w:p>
        </w:tc>
      </w:tr>
      <w:tr>
        <w:trPr>
          <w:trHeight w:val="282"/>
        </w:trPr>
        <w:tc>
          <w:tcPr>
            <w:tcW w:w="9960" w:type="dxa"/>
            <w:vAlign w:val="bottom"/>
            <w:gridSpan w:val="8"/>
          </w:tcPr>
          <w:p>
            <w:pPr>
              <w:jc w:val="center"/>
              <w:ind w:left="1374"/>
              <w:spacing w:after="0"/>
              <w:rPr>
                <w:sz w:val="20"/>
                <w:szCs w:val="20"/>
                <w:color w:val="auto"/>
              </w:rPr>
            </w:pPr>
            <w:r>
              <w:rPr>
                <w:rFonts w:ascii="Times New Roman" w:cs="Times New Roman" w:eastAsia="Times New Roman" w:hAnsi="Times New Roman"/>
                <w:sz w:val="18"/>
                <w:szCs w:val="18"/>
                <w:b w:val="1"/>
                <w:bCs w:val="1"/>
                <w:color w:val="auto"/>
                <w:w w:val="97"/>
              </w:rPr>
              <w:t>SECURITIES REGISTERED PURSUANT TO SECTION 12(b) OF THE ACT:</w:t>
            </w:r>
          </w:p>
        </w:tc>
      </w:tr>
      <w:tr>
        <w:trPr>
          <w:trHeight w:val="283"/>
        </w:trPr>
        <w:tc>
          <w:tcPr>
            <w:tcW w:w="41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NAME OF EACH EXCHANGE</w:t>
            </w:r>
          </w:p>
        </w:tc>
      </w:tr>
      <w:tr>
        <w:trPr>
          <w:trHeight w:val="229"/>
        </w:trPr>
        <w:tc>
          <w:tcPr>
            <w:tcW w:w="6480" w:type="dxa"/>
            <w:vAlign w:val="bottom"/>
            <w:gridSpan w:val="3"/>
          </w:tcPr>
          <w:p>
            <w:pPr>
              <w:jc w:val="center"/>
              <w:ind w:right="860"/>
              <w:spacing w:after="0"/>
              <w:rPr>
                <w:sz w:val="20"/>
                <w:szCs w:val="20"/>
                <w:color w:val="auto"/>
              </w:rPr>
            </w:pPr>
            <w:r>
              <w:rPr>
                <w:rFonts w:ascii="Times New Roman" w:cs="Times New Roman" w:eastAsia="Times New Roman" w:hAnsi="Times New Roman"/>
                <w:sz w:val="18"/>
                <w:szCs w:val="18"/>
                <w:b w:val="1"/>
                <w:bCs w:val="1"/>
                <w:color w:val="auto"/>
                <w:w w:val="97"/>
              </w:rPr>
              <w:t>TITLE OF EACH CLASS</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ON WHICH REGISTERED</w:t>
            </w:r>
          </w:p>
        </w:tc>
      </w:tr>
      <w:tr>
        <w:trPr>
          <w:trHeight w:val="178"/>
        </w:trPr>
        <w:tc>
          <w:tcPr>
            <w:tcW w:w="6480" w:type="dxa"/>
            <w:vAlign w:val="bottom"/>
            <w:gridSpan w:val="3"/>
          </w:tcPr>
          <w:p>
            <w:pPr>
              <w:jc w:val="center"/>
              <w:ind w:right="860"/>
              <w:spacing w:after="0"/>
              <w:rPr>
                <w:sz w:val="20"/>
                <w:szCs w:val="20"/>
                <w:color w:val="auto"/>
              </w:rPr>
            </w:pPr>
            <w:r>
              <w:rPr>
                <w:rFonts w:ascii="Times New Roman" w:cs="Times New Roman" w:eastAsia="Times New Roman" w:hAnsi="Times New Roman"/>
                <w:sz w:val="14"/>
                <w:szCs w:val="14"/>
                <w:b w:val="1"/>
                <w:bCs w:val="1"/>
                <w:color w:val="auto"/>
                <w:w w:val="94"/>
              </w:rPr>
              <w:t>Common Stock, Par Value $.01</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New York Stock Exchange</w:t>
            </w:r>
          </w:p>
        </w:tc>
      </w:tr>
      <w:tr>
        <w:trPr>
          <w:trHeight w:val="282"/>
        </w:trPr>
        <w:tc>
          <w:tcPr>
            <w:tcW w:w="9960" w:type="dxa"/>
            <w:vAlign w:val="bottom"/>
            <w:gridSpan w:val="8"/>
          </w:tcPr>
          <w:p>
            <w:pPr>
              <w:jc w:val="center"/>
              <w:ind w:left="1374"/>
              <w:spacing w:after="0"/>
              <w:rPr>
                <w:sz w:val="20"/>
                <w:szCs w:val="20"/>
                <w:color w:val="auto"/>
              </w:rPr>
            </w:pPr>
            <w:r>
              <w:rPr>
                <w:rFonts w:ascii="Times New Roman" w:cs="Times New Roman" w:eastAsia="Times New Roman" w:hAnsi="Times New Roman"/>
                <w:sz w:val="18"/>
                <w:szCs w:val="18"/>
                <w:b w:val="1"/>
                <w:bCs w:val="1"/>
                <w:color w:val="auto"/>
                <w:w w:val="97"/>
              </w:rPr>
              <w:t>SECURITIES REGISTERED PURSUANT TO SECTION 12(g) OF THE ACT:</w:t>
            </w:r>
          </w:p>
        </w:tc>
      </w:tr>
      <w:tr>
        <w:trPr>
          <w:trHeight w:val="297"/>
        </w:trPr>
        <w:tc>
          <w:tcPr>
            <w:tcW w:w="4120" w:type="dxa"/>
            <w:vAlign w:val="bottom"/>
          </w:tcPr>
          <w:p>
            <w:pPr>
              <w:spacing w:after="0"/>
              <w:rPr>
                <w:sz w:val="24"/>
                <w:szCs w:val="24"/>
                <w:color w:val="auto"/>
              </w:rPr>
            </w:pPr>
          </w:p>
        </w:tc>
        <w:tc>
          <w:tcPr>
            <w:tcW w:w="2360" w:type="dxa"/>
            <w:vAlign w:val="bottom"/>
            <w:gridSpan w:val="2"/>
          </w:tcPr>
          <w:p>
            <w:pPr>
              <w:jc w:val="center"/>
              <w:ind w:left="742"/>
              <w:spacing w:after="0"/>
              <w:rPr>
                <w:sz w:val="20"/>
                <w:szCs w:val="20"/>
                <w:color w:val="auto"/>
              </w:rPr>
            </w:pPr>
            <w:r>
              <w:rPr>
                <w:rFonts w:ascii="Times New Roman" w:cs="Times New Roman" w:eastAsia="Times New Roman" w:hAnsi="Times New Roman"/>
                <w:sz w:val="18"/>
                <w:szCs w:val="18"/>
                <w:b w:val="1"/>
                <w:bCs w:val="1"/>
                <w:color w:val="auto"/>
                <w:w w:val="94"/>
              </w:rPr>
              <w:t>None</w:t>
            </w: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40" w:type="dxa"/>
            <w:vAlign w:val="bottom"/>
          </w:tcPr>
          <w:p>
            <w:pPr>
              <w:spacing w:after="0"/>
              <w:rPr>
                <w:sz w:val="24"/>
                <w:szCs w:val="24"/>
                <w:color w:val="auto"/>
              </w:rPr>
            </w:pPr>
          </w:p>
        </w:tc>
      </w:tr>
      <w:tr>
        <w:trPr>
          <w:trHeight w:val="259"/>
        </w:trPr>
        <w:tc>
          <w:tcPr>
            <w:tcW w:w="6480" w:type="dxa"/>
            <w:vAlign w:val="bottom"/>
            <w:gridSpan w:val="3"/>
          </w:tcPr>
          <w:p>
            <w:pPr>
              <w:spacing w:after="0"/>
              <w:rPr>
                <w:sz w:val="20"/>
                <w:szCs w:val="20"/>
                <w:color w:val="auto"/>
              </w:rPr>
            </w:pPr>
            <w:r>
              <w:rPr>
                <w:rFonts w:ascii="Times New Roman" w:cs="Times New Roman" w:eastAsia="Times New Roman" w:hAnsi="Times New Roman"/>
                <w:sz w:val="14"/>
                <w:szCs w:val="14"/>
                <w:color w:val="auto"/>
                <w:w w:val="98"/>
              </w:rPr>
              <w:t>Indicate by check mark if the registrant is a well-known seasoned issuer, as defined in Rule 405 of the Securities Act.</w:t>
            </w:r>
          </w:p>
        </w:tc>
        <w:tc>
          <w:tcPr>
            <w:tcW w:w="500" w:type="dxa"/>
            <w:vAlign w:val="bottom"/>
            <w:gridSpan w:val="2"/>
          </w:tcPr>
          <w:p>
            <w:pPr>
              <w:spacing w:after="0" w:line="161" w:lineRule="exact"/>
              <w:rPr>
                <w:sz w:val="20"/>
                <w:szCs w:val="20"/>
                <w:color w:val="auto"/>
              </w:rPr>
            </w:pPr>
            <w:r>
              <w:rPr>
                <w:rFonts w:ascii="Times New Roman" w:cs="Times New Roman" w:eastAsia="Times New Roman" w:hAnsi="Times New Roman"/>
                <w:sz w:val="14"/>
                <w:szCs w:val="14"/>
                <w:color w:val="auto"/>
              </w:rPr>
              <w:t xml:space="preserve">Yes </w:t>
            </w:r>
            <w:r>
              <w:rPr>
                <w:rFonts w:ascii="MS PGothic" w:cs="MS PGothic" w:eastAsia="MS PGothic" w:hAnsi="MS PGothic"/>
                <w:sz w:val="14"/>
                <w:szCs w:val="14"/>
                <w:color w:val="auto"/>
              </w:rPr>
              <w:t>☑</w:t>
            </w:r>
          </w:p>
        </w:tc>
        <w:tc>
          <w:tcPr>
            <w:tcW w:w="2980" w:type="dxa"/>
            <w:vAlign w:val="bottom"/>
            <w:gridSpan w:val="3"/>
          </w:tcPr>
          <w:p>
            <w:pPr>
              <w:ind w:left="20"/>
              <w:spacing w:after="0" w:line="161" w:lineRule="exact"/>
              <w:rPr>
                <w:sz w:val="20"/>
                <w:szCs w:val="20"/>
                <w:color w:val="auto"/>
              </w:rPr>
            </w:pPr>
            <w:r>
              <w:rPr>
                <w:rFonts w:ascii="Times New Roman" w:cs="Times New Roman" w:eastAsia="Times New Roman" w:hAnsi="Times New Roman"/>
                <w:sz w:val="14"/>
                <w:szCs w:val="14"/>
                <w:color w:val="auto"/>
              </w:rPr>
              <w:t xml:space="preserve">No </w:t>
            </w:r>
            <w:r>
              <w:rPr>
                <w:rFonts w:ascii="MS PGothic" w:cs="MS PGothic" w:eastAsia="MS PGothic" w:hAnsi="MS PGothic"/>
                <w:sz w:val="14"/>
                <w:szCs w:val="14"/>
                <w:color w:val="auto"/>
              </w:rPr>
              <w:t>☐</w:t>
            </w:r>
          </w:p>
        </w:tc>
      </w:tr>
      <w:tr>
        <w:trPr>
          <w:trHeight w:val="230"/>
        </w:trPr>
        <w:tc>
          <w:tcPr>
            <w:tcW w:w="6480" w:type="dxa"/>
            <w:vAlign w:val="bottom"/>
            <w:gridSpan w:val="3"/>
          </w:tcPr>
          <w:p>
            <w:pPr>
              <w:spacing w:after="0"/>
              <w:rPr>
                <w:sz w:val="20"/>
                <w:szCs w:val="20"/>
                <w:color w:val="auto"/>
              </w:rPr>
            </w:pPr>
            <w:r>
              <w:rPr>
                <w:rFonts w:ascii="Times New Roman" w:cs="Times New Roman" w:eastAsia="Times New Roman" w:hAnsi="Times New Roman"/>
                <w:sz w:val="14"/>
                <w:szCs w:val="14"/>
                <w:color w:val="auto"/>
                <w:w w:val="96"/>
              </w:rPr>
              <w:t>Indicate by check mark if the registrant is not required to file reports pursuant to Section 13 or Section 15(d) of the Act.</w:t>
            </w:r>
          </w:p>
        </w:tc>
        <w:tc>
          <w:tcPr>
            <w:tcW w:w="500" w:type="dxa"/>
            <w:vAlign w:val="bottom"/>
            <w:gridSpan w:val="2"/>
          </w:tcPr>
          <w:p>
            <w:pPr>
              <w:ind w:left="120"/>
              <w:spacing w:after="0" w:line="161" w:lineRule="exact"/>
              <w:rPr>
                <w:sz w:val="20"/>
                <w:szCs w:val="20"/>
                <w:color w:val="auto"/>
              </w:rPr>
            </w:pPr>
            <w:r>
              <w:rPr>
                <w:rFonts w:ascii="Times New Roman" w:cs="Times New Roman" w:eastAsia="Times New Roman" w:hAnsi="Times New Roman"/>
                <w:sz w:val="14"/>
                <w:szCs w:val="14"/>
                <w:color w:val="auto"/>
                <w:w w:val="91"/>
              </w:rPr>
              <w:t xml:space="preserve">Yes </w:t>
            </w:r>
            <w:r>
              <w:rPr>
                <w:rFonts w:ascii="MS PGothic" w:cs="MS PGothic" w:eastAsia="MS PGothic" w:hAnsi="MS PGothic"/>
                <w:sz w:val="14"/>
                <w:szCs w:val="14"/>
                <w:color w:val="auto"/>
                <w:w w:val="91"/>
              </w:rPr>
              <w:t>☐</w:t>
            </w:r>
          </w:p>
        </w:tc>
        <w:tc>
          <w:tcPr>
            <w:tcW w:w="2980" w:type="dxa"/>
            <w:vAlign w:val="bottom"/>
            <w:gridSpan w:val="3"/>
          </w:tcPr>
          <w:p>
            <w:pPr>
              <w:ind w:left="140"/>
              <w:spacing w:after="0" w:line="161" w:lineRule="exact"/>
              <w:rPr>
                <w:sz w:val="20"/>
                <w:szCs w:val="20"/>
                <w:color w:val="auto"/>
              </w:rPr>
            </w:pPr>
            <w:r>
              <w:rPr>
                <w:rFonts w:ascii="Times New Roman" w:cs="Times New Roman" w:eastAsia="Times New Roman" w:hAnsi="Times New Roman"/>
                <w:sz w:val="14"/>
                <w:szCs w:val="14"/>
                <w:color w:val="auto"/>
              </w:rPr>
              <w:t xml:space="preserve">No </w:t>
            </w:r>
            <w:r>
              <w:rPr>
                <w:rFonts w:ascii="MS PGothic" w:cs="MS PGothic" w:eastAsia="MS PGothic" w:hAnsi="MS PGothic"/>
                <w:sz w:val="14"/>
                <w:szCs w:val="14"/>
                <w:color w:val="auto"/>
              </w:rPr>
              <w:t>☑</w:t>
            </w:r>
          </w:p>
        </w:tc>
      </w:tr>
    </w:tbl>
    <w:p>
      <w:pPr>
        <w:spacing w:after="0" w:line="41" w:lineRule="exact"/>
        <w:rPr>
          <w:sz w:val="24"/>
          <w:szCs w:val="24"/>
          <w:color w:val="auto"/>
        </w:rPr>
      </w:pPr>
    </w:p>
    <w:p>
      <w:pPr>
        <w:ind w:right="60"/>
        <w:spacing w:after="0" w:line="169"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and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41" w:lineRule="exact"/>
        <w:rPr>
          <w:sz w:val="24"/>
          <w:szCs w:val="24"/>
          <w:color w:val="auto"/>
        </w:rPr>
      </w:pPr>
    </w:p>
    <w:p>
      <w:pPr>
        <w:ind w:right="200"/>
        <w:spacing w:after="0" w:line="169"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41" w:lineRule="exact"/>
        <w:rPr>
          <w:sz w:val="24"/>
          <w:szCs w:val="24"/>
          <w:color w:val="auto"/>
        </w:rPr>
      </w:pPr>
    </w:p>
    <w:p>
      <w:pPr>
        <w:ind w:right="600"/>
        <w:spacing w:after="0" w:line="169" w:lineRule="exact"/>
        <w:rPr>
          <w:sz w:val="20"/>
          <w:szCs w:val="20"/>
          <w:color w:val="auto"/>
        </w:rPr>
      </w:pPr>
      <w:r>
        <w:rPr>
          <w:rFonts w:ascii="Times New Roman" w:cs="Times New Roman" w:eastAsia="Times New Roman" w:hAnsi="Times New Roman"/>
          <w:sz w:val="14"/>
          <w:szCs w:val="14"/>
          <w:color w:val="auto"/>
        </w:rPr>
        <w:t xml:space="preserve">Indicate by check mark if disclosure of delinquent filers pursuant to Item 405 of Regulation S-K (§229.405 of this chapter)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4"/>
          <w:szCs w:val="14"/>
          <w:color w:val="auto"/>
        </w:rPr>
        <w:t>☐</w:t>
      </w:r>
    </w:p>
    <w:p>
      <w:pPr>
        <w:spacing w:after="0" w:line="41" w:lineRule="exact"/>
        <w:rPr>
          <w:sz w:val="24"/>
          <w:szCs w:val="24"/>
          <w:color w:val="auto"/>
        </w:rPr>
      </w:pPr>
    </w:p>
    <w:p>
      <w:pPr>
        <w:ind w:right="60"/>
        <w:spacing w:after="0" w:line="241"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or a smaller reporting company. See definition of “large accelerated filer”, “accelerated filer” and “smaller reporting company” in Rule 12b-2 of the Exchange Act.</w:t>
      </w:r>
    </w:p>
    <w:p>
      <w:pPr>
        <w:sectPr>
          <w:pgSz w:w="11900" w:h="16838" w:orient="portrait"/>
          <w:cols w:equalWidth="0" w:num="1">
            <w:col w:w="11380"/>
          </w:cols>
          <w:pgMar w:left="240" w:top="226" w:right="279" w:bottom="1440" w:gutter="0" w:footer="0" w:header="0"/>
        </w:sectPr>
      </w:pPr>
    </w:p>
    <w:p>
      <w:pPr>
        <w:spacing w:after="0" w:line="55"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Large accelerated filer</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35"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Accelerated filer</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35"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Non-accelerated filer</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35"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Smaller reporting company</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109" w:lineRule="exact"/>
        <w:rPr>
          <w:sz w:val="24"/>
          <w:szCs w:val="24"/>
          <w:color w:val="auto"/>
        </w:rPr>
      </w:pPr>
    </w:p>
    <w:p>
      <w:pPr>
        <w:sectPr>
          <w:pgSz w:w="11900" w:h="16838" w:orient="portrait"/>
          <w:cols w:equalWidth="0" w:num="8">
            <w:col w:w="1220" w:space="60"/>
            <w:col w:w="980" w:space="720"/>
            <w:col w:w="900" w:space="80"/>
            <w:col w:w="1160" w:space="720"/>
            <w:col w:w="1140" w:space="80"/>
            <w:col w:w="1020" w:space="720"/>
            <w:col w:w="1480" w:space="60"/>
            <w:col w:w="1040"/>
          </w:cols>
          <w:pgMar w:left="240" w:top="226" w:right="279" w:bottom="1440" w:gutter="0" w:footer="0" w:header="0"/>
          <w:type w:val="continuous"/>
        </w:sectPr>
      </w:pP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Indicate by check mark whether the registrant is a shell company (as defined in Rule 12b-2 of the Act).</w:t>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Yes</w:t>
      </w:r>
    </w:p>
    <w:p>
      <w:pPr>
        <w:spacing w:after="0" w:line="20" w:lineRule="exact"/>
        <w:rPr>
          <w:sz w:val="24"/>
          <w:szCs w:val="24"/>
          <w:color w:val="auto"/>
        </w:rPr>
      </w:pPr>
      <w:r>
        <w:rPr>
          <w:sz w:val="24"/>
          <w:szCs w:val="24"/>
          <w:color w:val="auto"/>
        </w:rPr>
        <w:br w:type="column"/>
      </w:r>
    </w:p>
    <w:p>
      <w:pPr>
        <w:spacing w:after="0" w:line="10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No</w:t>
      </w:r>
    </w:p>
    <w:p>
      <w:pPr>
        <w:spacing w:after="0" w:line="20" w:lineRule="exact"/>
        <w:rPr>
          <w:sz w:val="24"/>
          <w:szCs w:val="24"/>
          <w:color w:val="auto"/>
        </w:rPr>
      </w:pPr>
      <w:r>
        <w:rPr>
          <w:sz w:val="24"/>
          <w:szCs w:val="24"/>
          <w:color w:val="auto"/>
        </w:rPr>
        <w:br w:type="column"/>
      </w:r>
    </w:p>
    <w:p>
      <w:pPr>
        <w:spacing w:after="0" w:line="101" w:lineRule="exact"/>
        <w:rPr>
          <w:sz w:val="20"/>
          <w:szCs w:val="20"/>
          <w:color w:val="auto"/>
        </w:rPr>
      </w:pPr>
      <w:r>
        <w:rPr>
          <w:rFonts w:ascii="MS PGothic" w:cs="MS PGothic" w:eastAsia="MS PGothic" w:hAnsi="MS PGothic"/>
          <w:sz w:val="12"/>
          <w:szCs w:val="12"/>
          <w:color w:val="auto"/>
        </w:rPr>
        <w:t>☑</w:t>
      </w:r>
    </w:p>
    <w:p>
      <w:pPr>
        <w:spacing w:after="0" w:line="132" w:lineRule="exact"/>
        <w:rPr>
          <w:sz w:val="24"/>
          <w:szCs w:val="24"/>
          <w:color w:val="auto"/>
        </w:rPr>
      </w:pPr>
    </w:p>
    <w:p>
      <w:pPr>
        <w:sectPr>
          <w:pgSz w:w="11900" w:h="16838" w:orient="portrait"/>
          <w:cols w:equalWidth="0" w:num="5">
            <w:col w:w="5580" w:space="120"/>
            <w:col w:w="200" w:space="80"/>
            <w:col w:w="120" w:space="120"/>
            <w:col w:w="180" w:space="60"/>
            <w:col w:w="4920"/>
          </w:cols>
          <w:pgMar w:left="240" w:top="226" w:right="279" w:bottom="1440" w:gutter="0" w:footer="0" w:header="0"/>
          <w:type w:val="continuous"/>
        </w:sectPr>
      </w:pPr>
    </w:p>
    <w:p>
      <w:pPr>
        <w:spacing w:after="0" w:line="241" w:lineRule="auto"/>
        <w:rPr>
          <w:sz w:val="20"/>
          <w:szCs w:val="20"/>
          <w:color w:val="auto"/>
        </w:rPr>
      </w:pPr>
      <w:r>
        <w:rPr>
          <w:rFonts w:ascii="Times New Roman" w:cs="Times New Roman" w:eastAsia="Times New Roman" w:hAnsi="Times New Roman"/>
          <w:sz w:val="14"/>
          <w:szCs w:val="14"/>
          <w:color w:val="auto"/>
        </w:rPr>
        <w:t>The aggregate market value of the Registrant’s common stock held by non-affiliates of the Registrant on June 30, 2009 was $571,868,094. All executive officers and directors of the registrant have been deemed, solely for the purpose of the foregoing calculation, to be “affiliates” of the registrant.</w:t>
      </w:r>
    </w:p>
    <w:p>
      <w:pPr>
        <w:spacing w:after="0" w:line="55"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The number of shares outstanding of the Registrant’s common stock was 101,998,891 as of January 29, 2010.</w:t>
      </w:r>
    </w:p>
    <w:p>
      <w:pPr>
        <w:spacing w:after="0" w:line="6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DOCUMENTS INCORPORATED BY REFERENCE</w:t>
      </w:r>
    </w:p>
    <w:p>
      <w:pPr>
        <w:spacing w:after="0" w:line="94" w:lineRule="exact"/>
        <w:rPr>
          <w:sz w:val="24"/>
          <w:szCs w:val="24"/>
          <w:color w:val="auto"/>
        </w:rPr>
      </w:pPr>
    </w:p>
    <w:p>
      <w:pPr>
        <w:ind w:right="180"/>
        <w:spacing w:after="0" w:line="241" w:lineRule="auto"/>
        <w:rPr>
          <w:sz w:val="20"/>
          <w:szCs w:val="20"/>
          <w:color w:val="auto"/>
        </w:rPr>
      </w:pPr>
      <w:r>
        <w:rPr>
          <w:rFonts w:ascii="Times New Roman" w:cs="Times New Roman" w:eastAsia="Times New Roman" w:hAnsi="Times New Roman"/>
          <w:sz w:val="14"/>
          <w:szCs w:val="14"/>
          <w:color w:val="auto"/>
        </w:rPr>
        <w:t>Portions of the Registrant’s definitive proxy statement to be mailed to stockholders in connection with the Registrant’s annual stockholders’ meeting scheduled to be held on May 26, 2010 (the “Annual Proxy Statement”) are incorporated by reference into Part III hereof.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68580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226" w:right="279" w:bottom="1440" w:gutter="0" w:footer="0" w:header="0"/>
          <w:type w:val="continuous"/>
        </w:sectPr>
      </w:pPr>
    </w:p>
    <w:bookmarkStart w:id="1" w:name="page2"/>
    <w:bookmarkEnd w:id="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860" w:type="dxa"/>
            <w:vAlign w:val="bottom"/>
            <w:gridSpan w:val="4"/>
          </w:tcPr>
          <w:p>
            <w:pPr>
              <w:ind w:left="158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9"/>
        </w:trPr>
        <w:tc>
          <w:tcPr>
            <w:tcW w:w="12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w:t>
            </w:r>
          </w:p>
        </w:tc>
        <w:tc>
          <w:tcPr>
            <w:tcW w:w="4360" w:type="dxa"/>
            <w:vAlign w:val="bottom"/>
            <w:gridSpan w:val="8"/>
            <w:vMerge w:val="restart"/>
          </w:tcPr>
          <w:p>
            <w:pPr>
              <w:spacing w:after="0"/>
              <w:rPr>
                <w:rFonts w:ascii="Times New Roman" w:cs="Times New Roman" w:eastAsia="Times New Roman" w:hAnsi="Times New Roman"/>
                <w:sz w:val="18"/>
                <w:szCs w:val="18"/>
                <w:b w:val="1"/>
                <w:bCs w:val="1"/>
                <w:color w:val="0000EE"/>
              </w:rPr>
            </w:pPr>
            <w:hyperlink w:anchor="page5">
              <w:r>
                <w:rPr>
                  <w:rFonts w:ascii="Times New Roman" w:cs="Times New Roman" w:eastAsia="Times New Roman" w:hAnsi="Times New Roman"/>
                  <w:sz w:val="18"/>
                  <w:szCs w:val="18"/>
                  <w:b w:val="1"/>
                  <w:bCs w:val="1"/>
                  <w:color w:val="0000EE"/>
                </w:rPr>
                <w:t>PART I</w:t>
              </w:r>
            </w:hyperlink>
          </w:p>
        </w:tc>
        <w:tc>
          <w:tcPr>
            <w:tcW w:w="54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1"/>
              </w:rPr>
              <w:t>Page</w:t>
            </w:r>
          </w:p>
        </w:tc>
        <w:tc>
          <w:tcPr>
            <w:tcW w:w="0" w:type="dxa"/>
            <w:vAlign w:val="bottom"/>
          </w:tcPr>
          <w:p>
            <w:pPr>
              <w:spacing w:after="0"/>
              <w:rPr>
                <w:sz w:val="1"/>
                <w:szCs w:val="1"/>
                <w:color w:val="auto"/>
              </w:rPr>
            </w:pPr>
          </w:p>
        </w:tc>
      </w:tr>
      <w:tr>
        <w:trPr>
          <w:trHeight w:val="171"/>
        </w:trPr>
        <w:tc>
          <w:tcPr>
            <w:tcW w:w="380" w:type="dxa"/>
            <w:vAlign w:val="bottom"/>
            <w:tcBorders>
              <w:top w:val="single" w:sz="8" w:color="auto"/>
            </w:tcBorders>
          </w:tcPr>
          <w:p>
            <w:pPr>
              <w:spacing w:after="0"/>
              <w:rPr>
                <w:sz w:val="14"/>
                <w:szCs w:val="14"/>
                <w:color w:val="auto"/>
              </w:rPr>
            </w:pPr>
          </w:p>
        </w:tc>
        <w:tc>
          <w:tcPr>
            <w:tcW w:w="840" w:type="dxa"/>
            <w:vAlign w:val="bottom"/>
          </w:tcPr>
          <w:p>
            <w:pPr>
              <w:spacing w:after="0"/>
              <w:rPr>
                <w:sz w:val="14"/>
                <w:szCs w:val="14"/>
                <w:color w:val="auto"/>
              </w:rPr>
            </w:pPr>
          </w:p>
        </w:tc>
        <w:tc>
          <w:tcPr>
            <w:tcW w:w="4360" w:type="dxa"/>
            <w:vAlign w:val="bottom"/>
            <w:gridSpan w:val="8"/>
            <w:vMerge w:val="continue"/>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4600" w:type="dxa"/>
            <w:vAlign w:val="bottom"/>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20" w:type="dxa"/>
            <w:vAlign w:val="bottom"/>
            <w:gridSpan w:val="2"/>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18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20" w:type="dxa"/>
            <w:vAlign w:val="bottom"/>
            <w:gridSpan w:val="2"/>
          </w:tcPr>
          <w:p>
            <w:pPr>
              <w:ind w:left="420"/>
              <w:spacing w:after="0" w:line="196" w:lineRule="exact"/>
              <w:rPr>
                <w:sz w:val="20"/>
                <w:szCs w:val="20"/>
                <w:color w:val="auto"/>
              </w:rPr>
            </w:pPr>
            <w:r>
              <w:rPr>
                <w:rFonts w:ascii="Times New Roman" w:cs="Times New Roman" w:eastAsia="Times New Roman" w:hAnsi="Times New Roman"/>
                <w:sz w:val="18"/>
                <w:szCs w:val="18"/>
                <w:color w:val="auto"/>
              </w:rPr>
              <w:t>1</w:t>
            </w:r>
          </w:p>
        </w:tc>
        <w:tc>
          <w:tcPr>
            <w:tcW w:w="62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3"/>
              </w:rPr>
            </w:pPr>
            <w:hyperlink w:anchor="page5">
              <w:r>
                <w:rPr>
                  <w:rFonts w:ascii="Times New Roman" w:cs="Times New Roman" w:eastAsia="Times New Roman" w:hAnsi="Times New Roman"/>
                  <w:sz w:val="18"/>
                  <w:szCs w:val="18"/>
                  <w:color w:val="0000EE"/>
                  <w:w w:val="93"/>
                </w:rPr>
                <w:t>Business</w:t>
              </w:r>
            </w:hyperlink>
          </w:p>
        </w:tc>
        <w:tc>
          <w:tcPr>
            <w:tcW w:w="9220" w:type="dxa"/>
            <w:vAlign w:val="bottom"/>
            <w:gridSpan w:val="8"/>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840" w:type="dxa"/>
            <w:vAlign w:val="bottom"/>
          </w:tcPr>
          <w:p>
            <w:pPr>
              <w:ind w:left="40"/>
              <w:spacing w:after="0" w:line="196" w:lineRule="exact"/>
              <w:rPr>
                <w:sz w:val="20"/>
                <w:szCs w:val="20"/>
                <w:color w:val="auto"/>
              </w:rPr>
            </w:pPr>
            <w:r>
              <w:rPr>
                <w:rFonts w:ascii="Times New Roman" w:cs="Times New Roman" w:eastAsia="Times New Roman" w:hAnsi="Times New Roman"/>
                <w:sz w:val="18"/>
                <w:szCs w:val="18"/>
                <w:color w:val="auto"/>
              </w:rPr>
              <w:t>1A</w:t>
            </w:r>
          </w:p>
        </w:tc>
        <w:tc>
          <w:tcPr>
            <w:tcW w:w="88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4"/>
              </w:rPr>
            </w:pPr>
            <w:hyperlink w:anchor="page22">
              <w:r>
                <w:rPr>
                  <w:rFonts w:ascii="Times New Roman" w:cs="Times New Roman" w:eastAsia="Times New Roman" w:hAnsi="Times New Roman"/>
                  <w:sz w:val="18"/>
                  <w:szCs w:val="18"/>
                  <w:color w:val="0000EE"/>
                  <w:w w:val="94"/>
                </w:rPr>
                <w:t>Risk Factors</w:t>
              </w:r>
            </w:hyperlink>
          </w:p>
        </w:tc>
        <w:tc>
          <w:tcPr>
            <w:tcW w:w="8960" w:type="dxa"/>
            <w:vAlign w:val="bottom"/>
            <w:gridSpan w:val="6"/>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840" w:type="dxa"/>
            <w:vAlign w:val="bottom"/>
          </w:tcPr>
          <w:p>
            <w:pPr>
              <w:ind w:left="40"/>
              <w:spacing w:after="0" w:line="196" w:lineRule="exact"/>
              <w:rPr>
                <w:sz w:val="20"/>
                <w:szCs w:val="20"/>
                <w:color w:val="auto"/>
              </w:rPr>
            </w:pPr>
            <w:r>
              <w:rPr>
                <w:rFonts w:ascii="Times New Roman" w:cs="Times New Roman" w:eastAsia="Times New Roman" w:hAnsi="Times New Roman"/>
                <w:sz w:val="18"/>
                <w:szCs w:val="18"/>
                <w:color w:val="auto"/>
              </w:rPr>
              <w:t>1B</w:t>
            </w:r>
          </w:p>
        </w:tc>
        <w:tc>
          <w:tcPr>
            <w:tcW w:w="9840" w:type="dxa"/>
            <w:vAlign w:val="bottom"/>
            <w:gridSpan w:val="10"/>
          </w:tcPr>
          <w:p>
            <w:pPr>
              <w:spacing w:after="0" w:line="196" w:lineRule="exact"/>
              <w:rPr>
                <w:rFonts w:ascii="Times New Roman" w:cs="Times New Roman" w:eastAsia="Times New Roman" w:hAnsi="Times New Roman"/>
                <w:sz w:val="18"/>
                <w:szCs w:val="18"/>
                <w:color w:val="0000EE"/>
              </w:rPr>
            </w:pPr>
            <w:hyperlink w:anchor="page34">
              <w:r>
                <w:rPr>
                  <w:rFonts w:ascii="Times New Roman" w:cs="Times New Roman" w:eastAsia="Times New Roman" w:hAnsi="Times New Roman"/>
                  <w:sz w:val="18"/>
                  <w:szCs w:val="18"/>
                  <w:color w:val="0000EE"/>
                </w:rPr>
                <w:t>Unresolved Staff Comments</w:t>
              </w:r>
            </w:hyperlink>
          </w:p>
        </w:tc>
        <w:tc>
          <w:tcPr>
            <w:tcW w:w="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196"/>
        </w:trPr>
        <w:tc>
          <w:tcPr>
            <w:tcW w:w="1220" w:type="dxa"/>
            <w:vAlign w:val="bottom"/>
            <w:gridSpan w:val="2"/>
          </w:tcPr>
          <w:p>
            <w:pPr>
              <w:ind w:left="420"/>
              <w:spacing w:after="0" w:line="196" w:lineRule="exact"/>
              <w:rPr>
                <w:sz w:val="20"/>
                <w:szCs w:val="20"/>
                <w:color w:val="auto"/>
              </w:rPr>
            </w:pPr>
            <w:r>
              <w:rPr>
                <w:rFonts w:ascii="Times New Roman" w:cs="Times New Roman" w:eastAsia="Times New Roman" w:hAnsi="Times New Roman"/>
                <w:sz w:val="18"/>
                <w:szCs w:val="18"/>
                <w:color w:val="auto"/>
              </w:rPr>
              <w:t>2</w:t>
            </w:r>
          </w:p>
        </w:tc>
        <w:tc>
          <w:tcPr>
            <w:tcW w:w="1980" w:type="dxa"/>
            <w:vAlign w:val="bottom"/>
            <w:tcBorders>
              <w:top w:val="single" w:sz="8" w:color="0000EE"/>
            </w:tcBorders>
            <w:gridSpan w:val="6"/>
          </w:tcPr>
          <w:p>
            <w:pPr>
              <w:spacing w:after="0" w:line="196" w:lineRule="exact"/>
              <w:rPr>
                <w:rFonts w:ascii="Times New Roman" w:cs="Times New Roman" w:eastAsia="Times New Roman" w:hAnsi="Times New Roman"/>
                <w:sz w:val="18"/>
                <w:szCs w:val="18"/>
                <w:color w:val="0000EE"/>
              </w:rPr>
            </w:pPr>
            <w:hyperlink w:anchor="page34">
              <w:r>
                <w:rPr>
                  <w:rFonts w:ascii="Times New Roman" w:cs="Times New Roman" w:eastAsia="Times New Roman" w:hAnsi="Times New Roman"/>
                  <w:sz w:val="18"/>
                  <w:szCs w:val="18"/>
                  <w:color w:val="0000EE"/>
                </w:rPr>
                <w:t>Properties</w:t>
              </w:r>
            </w:hyperlink>
          </w:p>
        </w:tc>
        <w:tc>
          <w:tcPr>
            <w:tcW w:w="7860" w:type="dxa"/>
            <w:vAlign w:val="bottom"/>
            <w:gridSpan w:val="4"/>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0"/>
        </w:trPr>
        <w:tc>
          <w:tcPr>
            <w:tcW w:w="1220" w:type="dxa"/>
            <w:vAlign w:val="bottom"/>
            <w:gridSpan w:val="2"/>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360" w:type="dxa"/>
            <w:vAlign w:val="bottom"/>
            <w:gridSpan w:val="2"/>
          </w:tcPr>
          <w:p>
            <w:pPr>
              <w:spacing w:after="0" w:line="20" w:lineRule="exact"/>
              <w:rPr>
                <w:sz w:val="1"/>
                <w:szCs w:val="1"/>
                <w:color w:val="auto"/>
              </w:rPr>
            </w:pPr>
          </w:p>
        </w:tc>
        <w:tc>
          <w:tcPr>
            <w:tcW w:w="618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20" w:type="dxa"/>
            <w:vAlign w:val="bottom"/>
            <w:gridSpan w:val="2"/>
          </w:tcPr>
          <w:p>
            <w:pPr>
              <w:ind w:left="420"/>
              <w:spacing w:after="0" w:line="196" w:lineRule="exact"/>
              <w:rPr>
                <w:sz w:val="20"/>
                <w:szCs w:val="20"/>
                <w:color w:val="auto"/>
              </w:rPr>
            </w:pPr>
            <w:r>
              <w:rPr>
                <w:rFonts w:ascii="Times New Roman" w:cs="Times New Roman" w:eastAsia="Times New Roman" w:hAnsi="Times New Roman"/>
                <w:sz w:val="18"/>
                <w:szCs w:val="18"/>
                <w:color w:val="auto"/>
              </w:rPr>
              <w:t>3</w:t>
            </w:r>
          </w:p>
        </w:tc>
        <w:tc>
          <w:tcPr>
            <w:tcW w:w="130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5"/>
              </w:rPr>
            </w:pPr>
            <w:hyperlink w:anchor="page34">
              <w:r>
                <w:rPr>
                  <w:rFonts w:ascii="Times New Roman" w:cs="Times New Roman" w:eastAsia="Times New Roman" w:hAnsi="Times New Roman"/>
                  <w:sz w:val="18"/>
                  <w:szCs w:val="18"/>
                  <w:color w:val="0000EE"/>
                  <w:w w:val="95"/>
                </w:rPr>
                <w:t>Legal Proceedings</w:t>
              </w:r>
            </w:hyperlink>
          </w:p>
        </w:tc>
        <w:tc>
          <w:tcPr>
            <w:tcW w:w="8540" w:type="dxa"/>
            <w:vAlign w:val="bottom"/>
            <w:gridSpan w:val="5"/>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196"/>
        </w:trPr>
        <w:tc>
          <w:tcPr>
            <w:tcW w:w="1220" w:type="dxa"/>
            <w:vAlign w:val="bottom"/>
            <w:gridSpan w:val="2"/>
          </w:tcPr>
          <w:p>
            <w:pPr>
              <w:ind w:left="420"/>
              <w:spacing w:after="0" w:line="196" w:lineRule="exact"/>
              <w:rPr>
                <w:sz w:val="20"/>
                <w:szCs w:val="20"/>
                <w:color w:val="auto"/>
              </w:rPr>
            </w:pPr>
            <w:r>
              <w:rPr>
                <w:rFonts w:ascii="Times New Roman" w:cs="Times New Roman" w:eastAsia="Times New Roman" w:hAnsi="Times New Roman"/>
                <w:sz w:val="18"/>
                <w:szCs w:val="18"/>
                <w:color w:val="auto"/>
              </w:rPr>
              <w:t>4</w:t>
            </w:r>
          </w:p>
        </w:tc>
        <w:tc>
          <w:tcPr>
            <w:tcW w:w="9840" w:type="dxa"/>
            <w:vAlign w:val="bottom"/>
            <w:gridSpan w:val="10"/>
          </w:tcPr>
          <w:p>
            <w:pPr>
              <w:spacing w:after="0" w:line="196" w:lineRule="exact"/>
              <w:rPr>
                <w:rFonts w:ascii="Times New Roman" w:cs="Times New Roman" w:eastAsia="Times New Roman" w:hAnsi="Times New Roman"/>
                <w:sz w:val="18"/>
                <w:szCs w:val="18"/>
                <w:color w:val="0000EE"/>
              </w:rPr>
            </w:pPr>
            <w:hyperlink w:anchor="page36">
              <w:r>
                <w:rPr>
                  <w:rFonts w:ascii="Times New Roman" w:cs="Times New Roman" w:eastAsia="Times New Roman" w:hAnsi="Times New Roman"/>
                  <w:sz w:val="18"/>
                  <w:szCs w:val="18"/>
                  <w:color w:val="0000EE"/>
                </w:rPr>
                <w:t>Submission of Matters to a Vote of Security Holders</w:t>
              </w:r>
            </w:hyperlink>
          </w:p>
        </w:tc>
        <w:tc>
          <w:tcPr>
            <w:tcW w:w="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68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2" w:lineRule="exact"/>
        <w:rPr>
          <w:sz w:val="20"/>
          <w:szCs w:val="20"/>
          <w:color w:val="auto"/>
        </w:rPr>
      </w:pPr>
    </w:p>
    <w:tbl>
      <w:tblPr>
        <w:tblLayout w:type="fixed"/>
        <w:tblInd w:w="420" w:type="dxa"/>
        <w:tblCellMar>
          <w:top w:w="0" w:type="dxa"/>
          <w:left w:w="0" w:type="dxa"/>
          <w:bottom w:w="0" w:type="dxa"/>
          <w:right w:w="0" w:type="dxa"/>
        </w:tblCellMar>
      </w:tblPr>
      <w:tr>
        <w:trPr>
          <w:trHeight w:val="207"/>
        </w:trPr>
        <w:tc>
          <w:tcPr>
            <w:tcW w:w="800" w:type="dxa"/>
            <w:vAlign w:val="bottom"/>
          </w:tcPr>
          <w:p>
            <w:pPr>
              <w:spacing w:after="0"/>
              <w:rPr>
                <w:sz w:val="17"/>
                <w:szCs w:val="17"/>
                <w:color w:val="auto"/>
              </w:rPr>
            </w:pPr>
          </w:p>
        </w:tc>
        <w:tc>
          <w:tcPr>
            <w:tcW w:w="8940" w:type="dxa"/>
            <w:vAlign w:val="bottom"/>
            <w:gridSpan w:val="10"/>
          </w:tcPr>
          <w:p>
            <w:pPr>
              <w:spacing w:after="0"/>
              <w:rPr>
                <w:rFonts w:ascii="Times New Roman" w:cs="Times New Roman" w:eastAsia="Times New Roman" w:hAnsi="Times New Roman"/>
                <w:sz w:val="18"/>
                <w:szCs w:val="18"/>
                <w:b w:val="1"/>
                <w:bCs w:val="1"/>
                <w:color w:val="0000EE"/>
              </w:rPr>
            </w:pPr>
            <w:hyperlink w:anchor="page37">
              <w:r>
                <w:rPr>
                  <w:rFonts w:ascii="Times New Roman" w:cs="Times New Roman" w:eastAsia="Times New Roman" w:hAnsi="Times New Roman"/>
                  <w:sz w:val="18"/>
                  <w:szCs w:val="18"/>
                  <w:b w:val="1"/>
                  <w:bCs w:val="1"/>
                  <w:color w:val="0000EE"/>
                </w:rPr>
                <w:t>PART II</w:t>
              </w:r>
            </w:hyperlink>
          </w:p>
        </w:tc>
        <w:tc>
          <w:tcPr>
            <w:tcW w:w="1260" w:type="dxa"/>
            <w:vAlign w:val="bottom"/>
          </w:tcPr>
          <w:p>
            <w:pPr>
              <w:spacing w:after="0"/>
              <w:rPr>
                <w:sz w:val="17"/>
                <w:szCs w:val="17"/>
                <w:color w:val="auto"/>
              </w:rPr>
            </w:pPr>
          </w:p>
        </w:tc>
      </w:tr>
      <w:tr>
        <w:trPr>
          <w:trHeight w:val="20"/>
        </w:trPr>
        <w:tc>
          <w:tcPr>
            <w:tcW w:w="80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196"/>
        </w:trPr>
        <w:tc>
          <w:tcPr>
            <w:tcW w:w="8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5</w:t>
            </w:r>
          </w:p>
        </w:tc>
        <w:tc>
          <w:tcPr>
            <w:tcW w:w="8940" w:type="dxa"/>
            <w:vAlign w:val="bottom"/>
            <w:gridSpan w:val="10"/>
          </w:tcPr>
          <w:p>
            <w:pPr>
              <w:spacing w:after="0" w:line="196" w:lineRule="exact"/>
              <w:rPr>
                <w:rFonts w:ascii="Times New Roman" w:cs="Times New Roman" w:eastAsia="Times New Roman" w:hAnsi="Times New Roman"/>
                <w:sz w:val="18"/>
                <w:szCs w:val="18"/>
                <w:color w:val="0000EE"/>
              </w:rPr>
            </w:pPr>
            <w:hyperlink w:anchor="page37">
              <w:r>
                <w:rPr>
                  <w:rFonts w:ascii="Times New Roman" w:cs="Times New Roman" w:eastAsia="Times New Roman" w:hAnsi="Times New Roman"/>
                  <w:sz w:val="18"/>
                  <w:szCs w:val="18"/>
                  <w:color w:val="0000EE"/>
                </w:rPr>
                <w:t>Market for Registrant’s Common Equity, Related Stockholder Matters and Issuer Purchases of Equity Securities</w:t>
              </w:r>
            </w:hyperlink>
          </w:p>
        </w:tc>
        <w:tc>
          <w:tcPr>
            <w:tcW w:w="12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33</w:t>
            </w:r>
          </w:p>
        </w:tc>
      </w:tr>
      <w:tr>
        <w:trPr>
          <w:trHeight w:val="196"/>
        </w:trPr>
        <w:tc>
          <w:tcPr>
            <w:tcW w:w="8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6</w:t>
            </w:r>
          </w:p>
        </w:tc>
        <w:tc>
          <w:tcPr>
            <w:tcW w:w="1660" w:type="dxa"/>
            <w:vAlign w:val="bottom"/>
            <w:tcBorders>
              <w:top w:val="single" w:sz="8" w:color="0000EE"/>
              <w:bottom w:val="single" w:sz="8" w:color="0000EE"/>
            </w:tcBorders>
            <w:gridSpan w:val="3"/>
          </w:tcPr>
          <w:p>
            <w:pPr>
              <w:spacing w:after="0" w:line="196" w:lineRule="exact"/>
              <w:rPr>
                <w:rFonts w:ascii="Times New Roman" w:cs="Times New Roman" w:eastAsia="Times New Roman" w:hAnsi="Times New Roman"/>
                <w:sz w:val="18"/>
                <w:szCs w:val="18"/>
                <w:color w:val="0000EE"/>
                <w:w w:val="95"/>
              </w:rPr>
            </w:pPr>
            <w:hyperlink w:anchor="page41">
              <w:r>
                <w:rPr>
                  <w:rFonts w:ascii="Times New Roman" w:cs="Times New Roman" w:eastAsia="Times New Roman" w:hAnsi="Times New Roman"/>
                  <w:sz w:val="18"/>
                  <w:szCs w:val="18"/>
                  <w:color w:val="0000EE"/>
                  <w:w w:val="95"/>
                </w:rPr>
                <w:t>Selected Financial Data</w:t>
              </w:r>
            </w:hyperlink>
          </w:p>
        </w:tc>
        <w:tc>
          <w:tcPr>
            <w:tcW w:w="6200" w:type="dxa"/>
            <w:vAlign w:val="bottom"/>
            <w:tcBorders>
              <w:top w:val="single" w:sz="8" w:color="0000EE"/>
            </w:tcBorders>
            <w:gridSpan w:val="6"/>
          </w:tcPr>
          <w:p>
            <w:pPr>
              <w:spacing w:after="0"/>
              <w:rPr>
                <w:sz w:val="17"/>
                <w:szCs w:val="17"/>
                <w:color w:val="auto"/>
              </w:rPr>
            </w:pPr>
          </w:p>
        </w:tc>
        <w:tc>
          <w:tcPr>
            <w:tcW w:w="1080" w:type="dxa"/>
            <w:vAlign w:val="bottom"/>
          </w:tcPr>
          <w:p>
            <w:pPr>
              <w:spacing w:after="0"/>
              <w:rPr>
                <w:sz w:val="17"/>
                <w:szCs w:val="17"/>
                <w:color w:val="auto"/>
              </w:rPr>
            </w:pPr>
          </w:p>
        </w:tc>
        <w:tc>
          <w:tcPr>
            <w:tcW w:w="12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37</w:t>
            </w:r>
          </w:p>
        </w:tc>
      </w:tr>
      <w:tr>
        <w:trPr>
          <w:trHeight w:val="196"/>
        </w:trPr>
        <w:tc>
          <w:tcPr>
            <w:tcW w:w="8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7</w:t>
            </w:r>
          </w:p>
        </w:tc>
        <w:tc>
          <w:tcPr>
            <w:tcW w:w="8940" w:type="dxa"/>
            <w:vAlign w:val="bottom"/>
            <w:gridSpan w:val="10"/>
          </w:tcPr>
          <w:p>
            <w:pPr>
              <w:spacing w:after="0" w:line="196" w:lineRule="exact"/>
              <w:rPr>
                <w:rFonts w:ascii="Times New Roman" w:cs="Times New Roman" w:eastAsia="Times New Roman" w:hAnsi="Times New Roman"/>
                <w:sz w:val="18"/>
                <w:szCs w:val="18"/>
                <w:color w:val="0000EE"/>
              </w:rPr>
            </w:pPr>
            <w:hyperlink w:anchor="page43">
              <w:r>
                <w:rPr>
                  <w:rFonts w:ascii="Times New Roman" w:cs="Times New Roman" w:eastAsia="Times New Roman" w:hAnsi="Times New Roman"/>
                  <w:sz w:val="18"/>
                  <w:szCs w:val="18"/>
                  <w:color w:val="0000EE"/>
                </w:rPr>
                <w:t>Management’s Discussion and Analysis of Financial Condition and Results of Operations</w:t>
              </w:r>
            </w:hyperlink>
          </w:p>
        </w:tc>
        <w:tc>
          <w:tcPr>
            <w:tcW w:w="12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39</w:t>
            </w:r>
          </w:p>
        </w:tc>
      </w:tr>
      <w:tr>
        <w:trPr>
          <w:trHeight w:val="196"/>
        </w:trPr>
        <w:tc>
          <w:tcPr>
            <w:tcW w:w="8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7A</w:t>
            </w:r>
          </w:p>
        </w:tc>
        <w:tc>
          <w:tcPr>
            <w:tcW w:w="4200" w:type="dxa"/>
            <w:vAlign w:val="bottom"/>
            <w:tcBorders>
              <w:top w:val="single" w:sz="8" w:color="0000EE"/>
              <w:bottom w:val="single" w:sz="8" w:color="0000EE"/>
            </w:tcBorders>
            <w:gridSpan w:val="6"/>
          </w:tcPr>
          <w:p>
            <w:pPr>
              <w:spacing w:after="0" w:line="196" w:lineRule="exact"/>
              <w:rPr>
                <w:rFonts w:ascii="Times New Roman" w:cs="Times New Roman" w:eastAsia="Times New Roman" w:hAnsi="Times New Roman"/>
                <w:sz w:val="18"/>
                <w:szCs w:val="18"/>
                <w:color w:val="0000EE"/>
                <w:w w:val="96"/>
              </w:rPr>
            </w:pPr>
            <w:hyperlink w:anchor="page57">
              <w:r>
                <w:rPr>
                  <w:rFonts w:ascii="Times New Roman" w:cs="Times New Roman" w:eastAsia="Times New Roman" w:hAnsi="Times New Roman"/>
                  <w:sz w:val="18"/>
                  <w:szCs w:val="18"/>
                  <w:color w:val="0000EE"/>
                  <w:w w:val="96"/>
                </w:rPr>
                <w:t>Quantitative and Qualitative Disclosures about Market Risk</w:t>
              </w:r>
            </w:hyperlink>
          </w:p>
        </w:tc>
        <w:tc>
          <w:tcPr>
            <w:tcW w:w="2080" w:type="dxa"/>
            <w:vAlign w:val="bottom"/>
            <w:tcBorders>
              <w:top w:val="single" w:sz="8" w:color="0000EE"/>
            </w:tcBorders>
          </w:tcPr>
          <w:p>
            <w:pPr>
              <w:spacing w:after="0"/>
              <w:rPr>
                <w:sz w:val="17"/>
                <w:szCs w:val="17"/>
                <w:color w:val="auto"/>
              </w:rPr>
            </w:pPr>
          </w:p>
        </w:tc>
        <w:tc>
          <w:tcPr>
            <w:tcW w:w="2660" w:type="dxa"/>
            <w:vAlign w:val="bottom"/>
            <w:gridSpan w:val="3"/>
          </w:tcPr>
          <w:p>
            <w:pPr>
              <w:spacing w:after="0"/>
              <w:rPr>
                <w:sz w:val="17"/>
                <w:szCs w:val="17"/>
                <w:color w:val="auto"/>
              </w:rPr>
            </w:pPr>
          </w:p>
        </w:tc>
        <w:tc>
          <w:tcPr>
            <w:tcW w:w="12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53</w:t>
            </w:r>
          </w:p>
        </w:tc>
      </w:tr>
      <w:tr>
        <w:trPr>
          <w:trHeight w:val="196"/>
        </w:trPr>
        <w:tc>
          <w:tcPr>
            <w:tcW w:w="8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8</w:t>
            </w:r>
          </w:p>
        </w:tc>
        <w:tc>
          <w:tcPr>
            <w:tcW w:w="324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6"/>
              </w:rPr>
            </w:pPr>
            <w:hyperlink w:anchor="page58">
              <w:r>
                <w:rPr>
                  <w:rFonts w:ascii="Times New Roman" w:cs="Times New Roman" w:eastAsia="Times New Roman" w:hAnsi="Times New Roman"/>
                  <w:sz w:val="18"/>
                  <w:szCs w:val="18"/>
                  <w:color w:val="0000EE"/>
                  <w:w w:val="96"/>
                </w:rPr>
                <w:t>Financial Statements and Supplementary Data</w:t>
              </w:r>
            </w:hyperlink>
          </w:p>
        </w:tc>
        <w:tc>
          <w:tcPr>
            <w:tcW w:w="5700" w:type="dxa"/>
            <w:vAlign w:val="bottom"/>
            <w:gridSpan w:val="5"/>
          </w:tcPr>
          <w:p>
            <w:pPr>
              <w:spacing w:after="0"/>
              <w:rPr>
                <w:sz w:val="17"/>
                <w:szCs w:val="17"/>
                <w:color w:val="auto"/>
              </w:rPr>
            </w:pPr>
          </w:p>
        </w:tc>
        <w:tc>
          <w:tcPr>
            <w:tcW w:w="12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54</w:t>
            </w:r>
          </w:p>
        </w:tc>
      </w:tr>
      <w:tr>
        <w:trPr>
          <w:trHeight w:val="196"/>
        </w:trPr>
        <w:tc>
          <w:tcPr>
            <w:tcW w:w="8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9</w:t>
            </w:r>
          </w:p>
        </w:tc>
        <w:tc>
          <w:tcPr>
            <w:tcW w:w="8940" w:type="dxa"/>
            <w:vAlign w:val="bottom"/>
            <w:gridSpan w:val="10"/>
          </w:tcPr>
          <w:p>
            <w:pPr>
              <w:spacing w:after="0" w:line="196" w:lineRule="exact"/>
              <w:rPr>
                <w:rFonts w:ascii="Times New Roman" w:cs="Times New Roman" w:eastAsia="Times New Roman" w:hAnsi="Times New Roman"/>
                <w:sz w:val="18"/>
                <w:szCs w:val="18"/>
                <w:color w:val="0000EE"/>
              </w:rPr>
            </w:pPr>
            <w:hyperlink w:anchor="page58">
              <w:r>
                <w:rPr>
                  <w:rFonts w:ascii="Times New Roman" w:cs="Times New Roman" w:eastAsia="Times New Roman" w:hAnsi="Times New Roman"/>
                  <w:sz w:val="18"/>
                  <w:szCs w:val="18"/>
                  <w:color w:val="0000EE"/>
                </w:rPr>
                <w:t>Changes in and Disagreements with Accountants on Accounting and Financial Disclosure</w:t>
              </w:r>
            </w:hyperlink>
          </w:p>
        </w:tc>
        <w:tc>
          <w:tcPr>
            <w:tcW w:w="12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54</w:t>
            </w:r>
          </w:p>
        </w:tc>
      </w:tr>
      <w:tr>
        <w:trPr>
          <w:trHeight w:val="196"/>
        </w:trPr>
        <w:tc>
          <w:tcPr>
            <w:tcW w:w="8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9A</w:t>
            </w:r>
          </w:p>
        </w:tc>
        <w:tc>
          <w:tcPr>
            <w:tcW w:w="1720" w:type="dxa"/>
            <w:vAlign w:val="bottom"/>
            <w:tcBorders>
              <w:top w:val="single" w:sz="8" w:color="0000EE"/>
              <w:bottom w:val="single" w:sz="8" w:color="0000EE"/>
            </w:tcBorders>
            <w:gridSpan w:val="4"/>
          </w:tcPr>
          <w:p>
            <w:pPr>
              <w:spacing w:after="0" w:line="196" w:lineRule="exact"/>
              <w:rPr>
                <w:rFonts w:ascii="Times New Roman" w:cs="Times New Roman" w:eastAsia="Times New Roman" w:hAnsi="Times New Roman"/>
                <w:sz w:val="18"/>
                <w:szCs w:val="18"/>
                <w:color w:val="0000EE"/>
                <w:w w:val="96"/>
              </w:rPr>
            </w:pPr>
            <w:hyperlink w:anchor="page58">
              <w:r>
                <w:rPr>
                  <w:rFonts w:ascii="Times New Roman" w:cs="Times New Roman" w:eastAsia="Times New Roman" w:hAnsi="Times New Roman"/>
                  <w:sz w:val="18"/>
                  <w:szCs w:val="18"/>
                  <w:color w:val="0000EE"/>
                  <w:w w:val="96"/>
                </w:rPr>
                <w:t>Controls and Procedures</w:t>
              </w:r>
            </w:hyperlink>
          </w:p>
        </w:tc>
        <w:tc>
          <w:tcPr>
            <w:tcW w:w="4580" w:type="dxa"/>
            <w:vAlign w:val="bottom"/>
            <w:tcBorders>
              <w:top w:val="single" w:sz="8" w:color="0000EE"/>
            </w:tcBorders>
            <w:gridSpan w:val="4"/>
          </w:tcPr>
          <w:p>
            <w:pPr>
              <w:spacing w:after="0"/>
              <w:rPr>
                <w:sz w:val="17"/>
                <w:szCs w:val="17"/>
                <w:color w:val="auto"/>
              </w:rPr>
            </w:pPr>
          </w:p>
        </w:tc>
        <w:tc>
          <w:tcPr>
            <w:tcW w:w="2640" w:type="dxa"/>
            <w:vAlign w:val="bottom"/>
            <w:gridSpan w:val="2"/>
          </w:tcPr>
          <w:p>
            <w:pPr>
              <w:spacing w:after="0"/>
              <w:rPr>
                <w:sz w:val="17"/>
                <w:szCs w:val="17"/>
                <w:color w:val="auto"/>
              </w:rPr>
            </w:pPr>
          </w:p>
        </w:tc>
        <w:tc>
          <w:tcPr>
            <w:tcW w:w="12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54</w:t>
            </w:r>
          </w:p>
        </w:tc>
      </w:tr>
      <w:tr>
        <w:trPr>
          <w:trHeight w:val="196"/>
        </w:trPr>
        <w:tc>
          <w:tcPr>
            <w:tcW w:w="8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9B</w:t>
            </w:r>
          </w:p>
        </w:tc>
        <w:tc>
          <w:tcPr>
            <w:tcW w:w="128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5"/>
              </w:rPr>
            </w:pPr>
            <w:hyperlink w:anchor="page60">
              <w:r>
                <w:rPr>
                  <w:rFonts w:ascii="Times New Roman" w:cs="Times New Roman" w:eastAsia="Times New Roman" w:hAnsi="Times New Roman"/>
                  <w:sz w:val="18"/>
                  <w:szCs w:val="18"/>
                  <w:color w:val="0000EE"/>
                  <w:w w:val="95"/>
                </w:rPr>
                <w:t>Other Information</w:t>
              </w:r>
            </w:hyperlink>
          </w:p>
        </w:tc>
        <w:tc>
          <w:tcPr>
            <w:tcW w:w="7660" w:type="dxa"/>
            <w:vAlign w:val="bottom"/>
            <w:gridSpan w:val="8"/>
          </w:tcPr>
          <w:p>
            <w:pPr>
              <w:spacing w:after="0"/>
              <w:rPr>
                <w:sz w:val="17"/>
                <w:szCs w:val="17"/>
                <w:color w:val="auto"/>
              </w:rPr>
            </w:pPr>
          </w:p>
        </w:tc>
        <w:tc>
          <w:tcPr>
            <w:tcW w:w="12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56</w:t>
            </w:r>
          </w:p>
        </w:tc>
      </w:tr>
    </w:tbl>
    <w:p>
      <w:pPr>
        <w:spacing w:after="0" w:line="212" w:lineRule="exact"/>
        <w:rPr>
          <w:sz w:val="20"/>
          <w:szCs w:val="20"/>
          <w:color w:val="auto"/>
        </w:rPr>
      </w:pPr>
    </w:p>
    <w:tbl>
      <w:tblPr>
        <w:tblLayout w:type="fixed"/>
        <w:tblInd w:w="420" w:type="dxa"/>
        <w:tblCellMar>
          <w:top w:w="0" w:type="dxa"/>
          <w:left w:w="0" w:type="dxa"/>
          <w:bottom w:w="0" w:type="dxa"/>
          <w:right w:w="0" w:type="dxa"/>
        </w:tblCellMar>
      </w:tblPr>
      <w:tr>
        <w:trPr>
          <w:trHeight w:val="207"/>
        </w:trPr>
        <w:tc>
          <w:tcPr>
            <w:tcW w:w="800" w:type="dxa"/>
            <w:vAlign w:val="bottom"/>
          </w:tcPr>
          <w:p>
            <w:pPr>
              <w:spacing w:after="0"/>
              <w:rPr>
                <w:sz w:val="17"/>
                <w:szCs w:val="17"/>
                <w:color w:val="auto"/>
              </w:rPr>
            </w:pPr>
          </w:p>
        </w:tc>
        <w:tc>
          <w:tcPr>
            <w:tcW w:w="700" w:type="dxa"/>
            <w:vAlign w:val="bottom"/>
            <w:tcBorders>
              <w:bottom w:val="single" w:sz="8" w:color="0000EE"/>
            </w:tcBorders>
          </w:tcPr>
          <w:p>
            <w:pPr>
              <w:spacing w:after="0"/>
              <w:rPr>
                <w:rFonts w:ascii="Times New Roman" w:cs="Times New Roman" w:eastAsia="Times New Roman" w:hAnsi="Times New Roman"/>
                <w:sz w:val="18"/>
                <w:szCs w:val="18"/>
                <w:b w:val="1"/>
                <w:bCs w:val="1"/>
                <w:color w:val="0000EE"/>
                <w:w w:val="91"/>
              </w:rPr>
            </w:pPr>
            <w:hyperlink w:anchor="page60">
              <w:r>
                <w:rPr>
                  <w:rFonts w:ascii="Times New Roman" w:cs="Times New Roman" w:eastAsia="Times New Roman" w:hAnsi="Times New Roman"/>
                  <w:sz w:val="18"/>
                  <w:szCs w:val="18"/>
                  <w:b w:val="1"/>
                  <w:bCs w:val="1"/>
                  <w:color w:val="0000EE"/>
                  <w:w w:val="91"/>
                </w:rPr>
                <w:t>PART III</w:t>
              </w:r>
            </w:hyperlink>
          </w:p>
        </w:tc>
        <w:tc>
          <w:tcPr>
            <w:tcW w:w="7860" w:type="dxa"/>
            <w:vAlign w:val="bottom"/>
            <w:gridSpan w:val="6"/>
          </w:tcPr>
          <w:p>
            <w:pPr>
              <w:spacing w:after="0"/>
              <w:rPr>
                <w:sz w:val="17"/>
                <w:szCs w:val="17"/>
                <w:color w:val="auto"/>
              </w:rPr>
            </w:pPr>
          </w:p>
        </w:tc>
        <w:tc>
          <w:tcPr>
            <w:tcW w:w="1640" w:type="dxa"/>
            <w:vAlign w:val="bottom"/>
          </w:tcPr>
          <w:p>
            <w:pPr>
              <w:spacing w:after="0"/>
              <w:rPr>
                <w:sz w:val="17"/>
                <w:szCs w:val="17"/>
                <w:color w:val="auto"/>
              </w:rPr>
            </w:pPr>
          </w:p>
        </w:tc>
      </w:tr>
      <w:tr>
        <w:trPr>
          <w:trHeight w:val="196"/>
        </w:trPr>
        <w:tc>
          <w:tcPr>
            <w:tcW w:w="800" w:type="dxa"/>
            <w:vAlign w:val="bottom"/>
          </w:tcPr>
          <w:p>
            <w:pPr>
              <w:jc w:val="right"/>
              <w:ind w:right="532"/>
              <w:spacing w:after="0" w:line="196" w:lineRule="exact"/>
              <w:rPr>
                <w:sz w:val="20"/>
                <w:szCs w:val="20"/>
                <w:color w:val="auto"/>
              </w:rPr>
            </w:pPr>
            <w:r>
              <w:rPr>
                <w:rFonts w:ascii="Times New Roman" w:cs="Times New Roman" w:eastAsia="Times New Roman" w:hAnsi="Times New Roman"/>
                <w:sz w:val="18"/>
                <w:szCs w:val="18"/>
                <w:color w:val="auto"/>
                <w:w w:val="88"/>
              </w:rPr>
              <w:t>10</w:t>
            </w:r>
          </w:p>
        </w:tc>
        <w:tc>
          <w:tcPr>
            <w:tcW w:w="8560" w:type="dxa"/>
            <w:vAlign w:val="bottom"/>
            <w:gridSpan w:val="7"/>
          </w:tcPr>
          <w:p>
            <w:pPr>
              <w:spacing w:after="0" w:line="196" w:lineRule="exact"/>
              <w:rPr>
                <w:rFonts w:ascii="Times New Roman" w:cs="Times New Roman" w:eastAsia="Times New Roman" w:hAnsi="Times New Roman"/>
                <w:sz w:val="18"/>
                <w:szCs w:val="18"/>
                <w:color w:val="0000EE"/>
              </w:rPr>
            </w:pPr>
            <w:hyperlink w:anchor="page60">
              <w:r>
                <w:rPr>
                  <w:rFonts w:ascii="Times New Roman" w:cs="Times New Roman" w:eastAsia="Times New Roman" w:hAnsi="Times New Roman"/>
                  <w:sz w:val="18"/>
                  <w:szCs w:val="18"/>
                  <w:color w:val="0000EE"/>
                </w:rPr>
                <w:t>Directors, Executive Officers and Corporate Governance</w:t>
              </w:r>
            </w:hyperlink>
          </w:p>
        </w:tc>
        <w:tc>
          <w:tcPr>
            <w:tcW w:w="1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56</w:t>
            </w:r>
          </w:p>
        </w:tc>
      </w:tr>
      <w:tr>
        <w:trPr>
          <w:trHeight w:val="196"/>
        </w:trPr>
        <w:tc>
          <w:tcPr>
            <w:tcW w:w="800" w:type="dxa"/>
            <w:vAlign w:val="bottom"/>
          </w:tcPr>
          <w:p>
            <w:pPr>
              <w:jc w:val="right"/>
              <w:ind w:right="532"/>
              <w:spacing w:after="0" w:line="196" w:lineRule="exact"/>
              <w:rPr>
                <w:sz w:val="20"/>
                <w:szCs w:val="20"/>
                <w:color w:val="auto"/>
              </w:rPr>
            </w:pPr>
            <w:r>
              <w:rPr>
                <w:rFonts w:ascii="Times New Roman" w:cs="Times New Roman" w:eastAsia="Times New Roman" w:hAnsi="Times New Roman"/>
                <w:sz w:val="18"/>
                <w:szCs w:val="18"/>
                <w:color w:val="auto"/>
                <w:w w:val="88"/>
              </w:rPr>
              <w:t>11</w:t>
            </w:r>
          </w:p>
        </w:tc>
        <w:tc>
          <w:tcPr>
            <w:tcW w:w="176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w w:val="96"/>
              </w:rPr>
            </w:pPr>
            <w:hyperlink w:anchor="page60">
              <w:r>
                <w:rPr>
                  <w:rFonts w:ascii="Times New Roman" w:cs="Times New Roman" w:eastAsia="Times New Roman" w:hAnsi="Times New Roman"/>
                  <w:sz w:val="18"/>
                  <w:szCs w:val="18"/>
                  <w:color w:val="0000EE"/>
                  <w:w w:val="96"/>
                </w:rPr>
                <w:t>Executive Compensation</w:t>
              </w:r>
            </w:hyperlink>
          </w:p>
        </w:tc>
        <w:tc>
          <w:tcPr>
            <w:tcW w:w="2220" w:type="dxa"/>
            <w:vAlign w:val="bottom"/>
            <w:tcBorders>
              <w:top w:val="single" w:sz="8" w:color="0000EE"/>
            </w:tcBorders>
            <w:gridSpan w:val="2"/>
          </w:tcPr>
          <w:p>
            <w:pPr>
              <w:spacing w:after="0"/>
              <w:rPr>
                <w:sz w:val="17"/>
                <w:szCs w:val="17"/>
                <w:color w:val="auto"/>
              </w:rPr>
            </w:pPr>
          </w:p>
        </w:tc>
        <w:tc>
          <w:tcPr>
            <w:tcW w:w="4580" w:type="dxa"/>
            <w:vAlign w:val="bottom"/>
            <w:gridSpan w:val="3"/>
          </w:tcPr>
          <w:p>
            <w:pPr>
              <w:spacing w:after="0"/>
              <w:rPr>
                <w:sz w:val="17"/>
                <w:szCs w:val="17"/>
                <w:color w:val="auto"/>
              </w:rPr>
            </w:pPr>
          </w:p>
        </w:tc>
        <w:tc>
          <w:tcPr>
            <w:tcW w:w="1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56</w:t>
            </w:r>
          </w:p>
        </w:tc>
      </w:tr>
      <w:tr>
        <w:trPr>
          <w:trHeight w:val="196"/>
        </w:trPr>
        <w:tc>
          <w:tcPr>
            <w:tcW w:w="800" w:type="dxa"/>
            <w:vAlign w:val="bottom"/>
          </w:tcPr>
          <w:p>
            <w:pPr>
              <w:jc w:val="right"/>
              <w:ind w:right="532"/>
              <w:spacing w:after="0" w:line="196" w:lineRule="exact"/>
              <w:rPr>
                <w:sz w:val="20"/>
                <w:szCs w:val="20"/>
                <w:color w:val="auto"/>
              </w:rPr>
            </w:pPr>
            <w:r>
              <w:rPr>
                <w:rFonts w:ascii="Times New Roman" w:cs="Times New Roman" w:eastAsia="Times New Roman" w:hAnsi="Times New Roman"/>
                <w:sz w:val="18"/>
                <w:szCs w:val="18"/>
                <w:color w:val="auto"/>
                <w:w w:val="88"/>
              </w:rPr>
              <w:t>12</w:t>
            </w:r>
          </w:p>
        </w:tc>
        <w:tc>
          <w:tcPr>
            <w:tcW w:w="8560" w:type="dxa"/>
            <w:vAlign w:val="bottom"/>
            <w:gridSpan w:val="7"/>
          </w:tcPr>
          <w:p>
            <w:pPr>
              <w:spacing w:after="0" w:line="196" w:lineRule="exact"/>
              <w:rPr>
                <w:rFonts w:ascii="Times New Roman" w:cs="Times New Roman" w:eastAsia="Times New Roman" w:hAnsi="Times New Roman"/>
                <w:sz w:val="18"/>
                <w:szCs w:val="18"/>
                <w:color w:val="0000EE"/>
              </w:rPr>
            </w:pPr>
            <w:hyperlink w:anchor="page60">
              <w:r>
                <w:rPr>
                  <w:rFonts w:ascii="Times New Roman" w:cs="Times New Roman" w:eastAsia="Times New Roman" w:hAnsi="Times New Roman"/>
                  <w:sz w:val="18"/>
                  <w:szCs w:val="18"/>
                  <w:color w:val="0000EE"/>
                </w:rPr>
                <w:t xml:space="preserve">Security Ownership of Certain Beneficial Owners and Management and </w:t>
              </w:r>
            </w:hyperlink>
            <w:r>
              <w:rPr>
                <w:rFonts w:ascii="Times New Roman" w:cs="Times New Roman" w:eastAsia="Times New Roman" w:hAnsi="Times New Roman"/>
                <w:sz w:val="18"/>
                <w:szCs w:val="18"/>
                <w:color w:val="000000"/>
              </w:rPr>
              <w:t>Related</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Stockholder Matters</w:t>
            </w:r>
          </w:p>
        </w:tc>
        <w:tc>
          <w:tcPr>
            <w:tcW w:w="1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56</w:t>
            </w:r>
          </w:p>
        </w:tc>
      </w:tr>
      <w:tr>
        <w:trPr>
          <w:trHeight w:val="20"/>
        </w:trPr>
        <w:tc>
          <w:tcPr>
            <w:tcW w:w="800" w:type="dxa"/>
            <w:vAlign w:val="bottom"/>
          </w:tcPr>
          <w:p>
            <w:pPr>
              <w:spacing w:after="0" w:line="20" w:lineRule="exact"/>
              <w:rPr>
                <w:sz w:val="1"/>
                <w:szCs w:val="1"/>
                <w:color w:val="auto"/>
              </w:rPr>
            </w:pPr>
          </w:p>
        </w:tc>
        <w:tc>
          <w:tcPr>
            <w:tcW w:w="2780" w:type="dxa"/>
            <w:vAlign w:val="bottom"/>
            <w:gridSpan w:val="3"/>
            <w:shd w:val="clear" w:color="auto" w:fill="0000EE"/>
          </w:tcPr>
          <w:p>
            <w:pPr>
              <w:spacing w:after="0" w:line="20" w:lineRule="exact"/>
              <w:rPr>
                <w:sz w:val="1"/>
                <w:szCs w:val="1"/>
                <w:color w:val="auto"/>
              </w:rPr>
            </w:pPr>
          </w:p>
        </w:tc>
        <w:tc>
          <w:tcPr>
            <w:tcW w:w="2280" w:type="dxa"/>
            <w:vAlign w:val="bottom"/>
            <w:gridSpan w:val="2"/>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r>
        <w:trPr>
          <w:trHeight w:val="196"/>
        </w:trPr>
        <w:tc>
          <w:tcPr>
            <w:tcW w:w="800" w:type="dxa"/>
            <w:vAlign w:val="bottom"/>
          </w:tcPr>
          <w:p>
            <w:pPr>
              <w:jc w:val="right"/>
              <w:ind w:right="532"/>
              <w:spacing w:after="0" w:line="196" w:lineRule="exact"/>
              <w:rPr>
                <w:sz w:val="20"/>
                <w:szCs w:val="20"/>
                <w:color w:val="auto"/>
              </w:rPr>
            </w:pPr>
            <w:r>
              <w:rPr>
                <w:rFonts w:ascii="Times New Roman" w:cs="Times New Roman" w:eastAsia="Times New Roman" w:hAnsi="Times New Roman"/>
                <w:sz w:val="18"/>
                <w:szCs w:val="18"/>
                <w:color w:val="auto"/>
                <w:w w:val="88"/>
              </w:rPr>
              <w:t>13</w:t>
            </w:r>
          </w:p>
        </w:tc>
        <w:tc>
          <w:tcPr>
            <w:tcW w:w="8560" w:type="dxa"/>
            <w:vAlign w:val="bottom"/>
            <w:gridSpan w:val="7"/>
          </w:tcPr>
          <w:p>
            <w:pPr>
              <w:spacing w:after="0" w:line="196" w:lineRule="exact"/>
              <w:rPr>
                <w:rFonts w:ascii="Times New Roman" w:cs="Times New Roman" w:eastAsia="Times New Roman" w:hAnsi="Times New Roman"/>
                <w:sz w:val="18"/>
                <w:szCs w:val="18"/>
                <w:color w:val="0000EE"/>
              </w:rPr>
            </w:pPr>
            <w:hyperlink w:anchor="page60">
              <w:r>
                <w:rPr>
                  <w:rFonts w:ascii="Times New Roman" w:cs="Times New Roman" w:eastAsia="Times New Roman" w:hAnsi="Times New Roman"/>
                  <w:sz w:val="18"/>
                  <w:szCs w:val="18"/>
                  <w:color w:val="0000EE"/>
                </w:rPr>
                <w:t>Certain Relationships and Related Transactions, and Director Independence</w:t>
              </w:r>
            </w:hyperlink>
          </w:p>
        </w:tc>
        <w:tc>
          <w:tcPr>
            <w:tcW w:w="1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56</w:t>
            </w:r>
          </w:p>
        </w:tc>
      </w:tr>
      <w:tr>
        <w:trPr>
          <w:trHeight w:val="196"/>
        </w:trPr>
        <w:tc>
          <w:tcPr>
            <w:tcW w:w="800" w:type="dxa"/>
            <w:vAlign w:val="bottom"/>
          </w:tcPr>
          <w:p>
            <w:pPr>
              <w:jc w:val="right"/>
              <w:ind w:right="532"/>
              <w:spacing w:after="0" w:line="196" w:lineRule="exact"/>
              <w:rPr>
                <w:sz w:val="20"/>
                <w:szCs w:val="20"/>
                <w:color w:val="auto"/>
              </w:rPr>
            </w:pPr>
            <w:r>
              <w:rPr>
                <w:rFonts w:ascii="Times New Roman" w:cs="Times New Roman" w:eastAsia="Times New Roman" w:hAnsi="Times New Roman"/>
                <w:sz w:val="18"/>
                <w:szCs w:val="18"/>
                <w:color w:val="auto"/>
                <w:w w:val="88"/>
              </w:rPr>
              <w:t>14</w:t>
            </w:r>
          </w:p>
        </w:tc>
        <w:tc>
          <w:tcPr>
            <w:tcW w:w="2780" w:type="dxa"/>
            <w:vAlign w:val="bottom"/>
            <w:tcBorders>
              <w:top w:val="single" w:sz="8" w:color="0000EE"/>
              <w:bottom w:val="single" w:sz="8" w:color="0000EE"/>
            </w:tcBorders>
            <w:gridSpan w:val="3"/>
          </w:tcPr>
          <w:p>
            <w:pPr>
              <w:spacing w:after="0" w:line="196" w:lineRule="exact"/>
              <w:rPr>
                <w:rFonts w:ascii="Times New Roman" w:cs="Times New Roman" w:eastAsia="Times New Roman" w:hAnsi="Times New Roman"/>
                <w:sz w:val="18"/>
                <w:szCs w:val="18"/>
                <w:color w:val="0000EE"/>
                <w:w w:val="96"/>
              </w:rPr>
            </w:pPr>
            <w:hyperlink w:anchor="page60">
              <w:r>
                <w:rPr>
                  <w:rFonts w:ascii="Times New Roman" w:cs="Times New Roman" w:eastAsia="Times New Roman" w:hAnsi="Times New Roman"/>
                  <w:sz w:val="18"/>
                  <w:szCs w:val="18"/>
                  <w:color w:val="0000EE"/>
                  <w:w w:val="96"/>
                </w:rPr>
                <w:t>Principal Accountant Fees and Services</w:t>
              </w:r>
            </w:hyperlink>
          </w:p>
        </w:tc>
        <w:tc>
          <w:tcPr>
            <w:tcW w:w="2520" w:type="dxa"/>
            <w:vAlign w:val="bottom"/>
            <w:tcBorders>
              <w:top w:val="single" w:sz="8" w:color="0000EE"/>
            </w:tcBorders>
            <w:gridSpan w:val="3"/>
          </w:tcPr>
          <w:p>
            <w:pPr>
              <w:spacing w:after="0"/>
              <w:rPr>
                <w:sz w:val="17"/>
                <w:szCs w:val="17"/>
                <w:color w:val="auto"/>
              </w:rPr>
            </w:pPr>
          </w:p>
        </w:tc>
        <w:tc>
          <w:tcPr>
            <w:tcW w:w="3260" w:type="dxa"/>
            <w:vAlign w:val="bottom"/>
          </w:tcPr>
          <w:p>
            <w:pPr>
              <w:spacing w:after="0"/>
              <w:rPr>
                <w:sz w:val="17"/>
                <w:szCs w:val="17"/>
                <w:color w:val="auto"/>
              </w:rPr>
            </w:pPr>
          </w:p>
        </w:tc>
        <w:tc>
          <w:tcPr>
            <w:tcW w:w="1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56</w:t>
            </w:r>
          </w:p>
        </w:tc>
      </w:tr>
    </w:tbl>
    <w:p>
      <w:pPr>
        <w:spacing w:after="0" w:line="212" w:lineRule="exact"/>
        <w:rPr>
          <w:sz w:val="20"/>
          <w:szCs w:val="20"/>
          <w:color w:val="auto"/>
        </w:rPr>
      </w:pPr>
    </w:p>
    <w:tbl>
      <w:tblPr>
        <w:tblLayout w:type="fixed"/>
        <w:tblInd w:w="420" w:type="dxa"/>
        <w:tblCellMar>
          <w:top w:w="0" w:type="dxa"/>
          <w:left w:w="0" w:type="dxa"/>
          <w:bottom w:w="0" w:type="dxa"/>
          <w:right w:w="0" w:type="dxa"/>
        </w:tblCellMar>
      </w:tblPr>
      <w:tr>
        <w:trPr>
          <w:trHeight w:val="207"/>
        </w:trPr>
        <w:tc>
          <w:tcPr>
            <w:tcW w:w="800" w:type="dxa"/>
            <w:vAlign w:val="bottom"/>
          </w:tcPr>
          <w:p>
            <w:pPr>
              <w:spacing w:after="0"/>
              <w:rPr>
                <w:sz w:val="18"/>
                <w:szCs w:val="18"/>
                <w:color w:val="auto"/>
              </w:rPr>
            </w:pPr>
          </w:p>
        </w:tc>
        <w:tc>
          <w:tcPr>
            <w:tcW w:w="6540" w:type="dxa"/>
            <w:vAlign w:val="bottom"/>
            <w:gridSpan w:val="4"/>
          </w:tcPr>
          <w:p>
            <w:pPr>
              <w:spacing w:after="0"/>
              <w:rPr>
                <w:rFonts w:ascii="Times New Roman" w:cs="Times New Roman" w:eastAsia="Times New Roman" w:hAnsi="Times New Roman"/>
                <w:sz w:val="18"/>
                <w:szCs w:val="18"/>
                <w:b w:val="1"/>
                <w:bCs w:val="1"/>
                <w:color w:val="0000EE"/>
              </w:rPr>
            </w:pPr>
            <w:hyperlink w:anchor="page60">
              <w:r>
                <w:rPr>
                  <w:rFonts w:ascii="Times New Roman" w:cs="Times New Roman" w:eastAsia="Times New Roman" w:hAnsi="Times New Roman"/>
                  <w:sz w:val="18"/>
                  <w:szCs w:val="18"/>
                  <w:b w:val="1"/>
                  <w:bCs w:val="1"/>
                  <w:color w:val="0000EE"/>
                </w:rPr>
                <w:t>PART IV</w:t>
              </w:r>
            </w:hyperlink>
          </w:p>
        </w:tc>
        <w:tc>
          <w:tcPr>
            <w:tcW w:w="3660" w:type="dxa"/>
            <w:vAlign w:val="bottom"/>
          </w:tcPr>
          <w:p>
            <w:pPr>
              <w:spacing w:after="0"/>
              <w:rPr>
                <w:sz w:val="18"/>
                <w:szCs w:val="18"/>
                <w:color w:val="auto"/>
              </w:rPr>
            </w:pPr>
          </w:p>
        </w:tc>
      </w:tr>
      <w:tr>
        <w:trPr>
          <w:trHeight w:val="20"/>
        </w:trPr>
        <w:tc>
          <w:tcPr>
            <w:tcW w:w="80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r>
      <w:tr>
        <w:trPr>
          <w:trHeight w:val="196"/>
        </w:trPr>
        <w:tc>
          <w:tcPr>
            <w:tcW w:w="800" w:type="dxa"/>
            <w:vAlign w:val="bottom"/>
          </w:tcPr>
          <w:p>
            <w:pPr>
              <w:jc w:val="right"/>
              <w:ind w:right="532"/>
              <w:spacing w:after="0" w:line="196" w:lineRule="exact"/>
              <w:rPr>
                <w:sz w:val="20"/>
                <w:szCs w:val="20"/>
                <w:color w:val="auto"/>
              </w:rPr>
            </w:pPr>
            <w:r>
              <w:rPr>
                <w:rFonts w:ascii="Times New Roman" w:cs="Times New Roman" w:eastAsia="Times New Roman" w:hAnsi="Times New Roman"/>
                <w:sz w:val="18"/>
                <w:szCs w:val="18"/>
                <w:color w:val="auto"/>
                <w:w w:val="88"/>
              </w:rPr>
              <w:t>15</w:t>
            </w:r>
          </w:p>
        </w:tc>
        <w:tc>
          <w:tcPr>
            <w:tcW w:w="308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6"/>
              </w:rPr>
            </w:pPr>
            <w:hyperlink w:anchor="page60">
              <w:r>
                <w:rPr>
                  <w:rFonts w:ascii="Times New Roman" w:cs="Times New Roman" w:eastAsia="Times New Roman" w:hAnsi="Times New Roman"/>
                  <w:sz w:val="18"/>
                  <w:szCs w:val="18"/>
                  <w:color w:val="0000EE"/>
                  <w:w w:val="96"/>
                </w:rPr>
                <w:t>Exhibits and Financial Statement Schedules</w:t>
              </w:r>
            </w:hyperlink>
          </w:p>
        </w:tc>
        <w:tc>
          <w:tcPr>
            <w:tcW w:w="3460" w:type="dxa"/>
            <w:vAlign w:val="bottom"/>
          </w:tcPr>
          <w:p>
            <w:pPr>
              <w:spacing w:after="0"/>
              <w:rPr>
                <w:sz w:val="17"/>
                <w:szCs w:val="17"/>
                <w:color w:val="auto"/>
              </w:rPr>
            </w:pPr>
          </w:p>
        </w:tc>
        <w:tc>
          <w:tcPr>
            <w:tcW w:w="3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56</w:t>
            </w:r>
          </w:p>
        </w:tc>
      </w:tr>
      <w:tr>
        <w:trPr>
          <w:trHeight w:val="196"/>
        </w:trPr>
        <w:tc>
          <w:tcPr>
            <w:tcW w:w="800" w:type="dxa"/>
            <w:vAlign w:val="bottom"/>
          </w:tcPr>
          <w:p>
            <w:pPr>
              <w:spacing w:after="0"/>
              <w:rPr>
                <w:sz w:val="17"/>
                <w:szCs w:val="17"/>
                <w:color w:val="auto"/>
              </w:rPr>
            </w:pPr>
          </w:p>
        </w:tc>
        <w:tc>
          <w:tcPr>
            <w:tcW w:w="74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4"/>
              </w:rPr>
            </w:pPr>
            <w:hyperlink w:anchor="page61">
              <w:r>
                <w:rPr>
                  <w:rFonts w:ascii="Times New Roman" w:cs="Times New Roman" w:eastAsia="Times New Roman" w:hAnsi="Times New Roman"/>
                  <w:sz w:val="18"/>
                  <w:szCs w:val="18"/>
                  <w:color w:val="0000EE"/>
                  <w:w w:val="94"/>
                </w:rPr>
                <w:t>Signatures</w:t>
              </w:r>
            </w:hyperlink>
          </w:p>
        </w:tc>
        <w:tc>
          <w:tcPr>
            <w:tcW w:w="5800" w:type="dxa"/>
            <w:vAlign w:val="bottom"/>
            <w:gridSpan w:val="2"/>
          </w:tcPr>
          <w:p>
            <w:pPr>
              <w:spacing w:after="0"/>
              <w:rPr>
                <w:sz w:val="17"/>
                <w:szCs w:val="17"/>
                <w:color w:val="auto"/>
              </w:rPr>
            </w:pPr>
          </w:p>
        </w:tc>
        <w:tc>
          <w:tcPr>
            <w:tcW w:w="3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57</w:t>
            </w:r>
          </w:p>
        </w:tc>
      </w:tr>
    </w:tbl>
    <w:p>
      <w:pPr>
        <w:sectPr>
          <w:pgSz w:w="11900" w:h="16838" w:orient="portrait"/>
          <w:cols w:equalWidth="0" w:num="1">
            <w:col w:w="11420"/>
          </w:cols>
          <w:pgMar w:left="240" w:top="455" w:right="239" w:bottom="1440" w:gutter="0" w:footer="0" w:header="0"/>
        </w:sectPr>
      </w:pPr>
    </w:p>
    <w:bookmarkStart w:id="2" w:name="page3"/>
    <w:bookmarkEnd w:id="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73"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The forward-looking statements contained herein are subject to known and unknown risks, uncertainties and other factors which may cause our actual results, performance or achievements to be materially different from any future results, performance or achievements expressed or implied by such forward-looking statements. These forward-looking statements are based on various facts and were derived utilizing numerous important assumptions and other important factors that could cause actual results to differ materially from those in the forward-looking statements. Forward-looking statements include the information concerning our future financial performance, business strategy, projected plans and objectives. Statements preceded by, followed by or that otherwise include the words “believes”, “expects”, “anticipates”, “intends”, “projects”, “estimates”, “plans”, “may increase”, “may fluctuate” and similar expressions or future or conditional verbs such as “will”, “should”, “would”, “may” and “could” are generally forward-looking in nature and not historical facts. You should understand that the following important factors and assumptions could affect our future results and could cause actual results to differ materially from those expressed in such forward-looking statements:</w:t>
      </w:r>
    </w:p>
    <w:p>
      <w:pPr>
        <w:spacing w:after="0" w:line="184" w:lineRule="exact"/>
        <w:rPr>
          <w:sz w:val="20"/>
          <w:szCs w:val="20"/>
          <w:color w:val="auto"/>
        </w:rPr>
      </w:pPr>
    </w:p>
    <w:p>
      <w:pPr>
        <w:ind w:left="780" w:hanging="326"/>
        <w:spacing w:after="0"/>
        <w:tabs>
          <w:tab w:leader="none" w:pos="7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high level of competition in the vehicle rental industry and the impact such competition may have on pricing and rental volume;</w:t>
      </w:r>
    </w:p>
    <w:p>
      <w:pPr>
        <w:spacing w:after="0" w:line="211" w:lineRule="exact"/>
        <w:rPr>
          <w:rFonts w:ascii="Times New Roman" w:cs="Times New Roman" w:eastAsia="Times New Roman" w:hAnsi="Times New Roman"/>
          <w:sz w:val="18"/>
          <w:szCs w:val="18"/>
          <w:color w:val="auto"/>
        </w:rPr>
      </w:pPr>
    </w:p>
    <w:p>
      <w:pPr>
        <w:ind w:left="780" w:right="220" w:hanging="326"/>
        <w:spacing w:after="0" w:line="275" w:lineRule="auto"/>
        <w:tabs>
          <w:tab w:leader="none" w:pos="7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our fleet costs as a result of an increase in the cost of new vehicles and/or a decrease in the price at which we dispose of used vehicles either in the used vehicle market or under repurchase or guaranteed depreciation programs;</w:t>
      </w:r>
    </w:p>
    <w:p>
      <w:pPr>
        <w:spacing w:after="0" w:line="160" w:lineRule="exact"/>
        <w:rPr>
          <w:rFonts w:ascii="Times New Roman" w:cs="Times New Roman" w:eastAsia="Times New Roman" w:hAnsi="Times New Roman"/>
          <w:sz w:val="18"/>
          <w:szCs w:val="18"/>
          <w:color w:val="auto"/>
        </w:rPr>
      </w:pPr>
    </w:p>
    <w:p>
      <w:pPr>
        <w:ind w:left="780" w:right="60" w:hanging="326"/>
        <w:spacing w:after="0" w:line="262" w:lineRule="auto"/>
        <w:tabs>
          <w:tab w:leader="none" w:pos="7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operations or financial condition of the manufacturers of our cars, which could impact their ability to perform their payment obligations under repurchase and/or guaranteed depreciation arrangements they have with us, and/or their willingness or ability to make cars available to us or the rental car industry as a whole on commercially reasonable terms or at all;</w:t>
      </w:r>
    </w:p>
    <w:p>
      <w:pPr>
        <w:spacing w:after="0" w:line="172"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weakness in travel demand, including reduced airline passenger traffic in the United States and in the other international locations in which we operate;</w:t>
      </w:r>
    </w:p>
    <w:p>
      <w:pPr>
        <w:spacing w:after="0" w:line="234" w:lineRule="exact"/>
        <w:rPr>
          <w:rFonts w:ascii="Times New Roman" w:cs="Times New Roman" w:eastAsia="Times New Roman" w:hAnsi="Times New Roman"/>
          <w:sz w:val="16"/>
          <w:szCs w:val="16"/>
          <w:color w:val="auto"/>
        </w:rPr>
      </w:pPr>
    </w:p>
    <w:p>
      <w:pPr>
        <w:ind w:left="780" w:right="100" w:hanging="326"/>
        <w:spacing w:after="0" w:line="275" w:lineRule="auto"/>
        <w:tabs>
          <w:tab w:leader="none" w:pos="7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the economic recession and weakness in the housing market, which continued to contribute to a decline in rental activity, and the impact such decline may continue to have on us, particularly during our peak season or in key market segments;</w:t>
      </w:r>
    </w:p>
    <w:p>
      <w:pPr>
        <w:spacing w:after="0" w:line="160" w:lineRule="exact"/>
        <w:rPr>
          <w:rFonts w:ascii="Times New Roman" w:cs="Times New Roman" w:eastAsia="Times New Roman" w:hAnsi="Times New Roman"/>
          <w:sz w:val="18"/>
          <w:szCs w:val="18"/>
          <w:color w:val="auto"/>
        </w:rPr>
      </w:pPr>
    </w:p>
    <w:p>
      <w:pPr>
        <w:ind w:left="780" w:right="260" w:hanging="326"/>
        <w:spacing w:after="0" w:line="339" w:lineRule="auto"/>
        <w:tabs>
          <w:tab w:leader="none" w:pos="78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obtain financing for our operations, including the funding of our vehicle fleet via the asset-backed securities and lending market at the same or similar cost, and the financial condition of financial-guaranty firms that have insured a portion of our outstanding vehicle-backed debt;</w:t>
      </w:r>
    </w:p>
    <w:p>
      <w:pPr>
        <w:spacing w:after="0" w:line="114" w:lineRule="exact"/>
        <w:rPr>
          <w:rFonts w:ascii="Times New Roman" w:cs="Times New Roman" w:eastAsia="Times New Roman" w:hAnsi="Times New Roman"/>
          <w:sz w:val="16"/>
          <w:szCs w:val="16"/>
          <w:color w:val="auto"/>
        </w:rPr>
      </w:pPr>
    </w:p>
    <w:p>
      <w:pPr>
        <w:ind w:left="780" w:hanging="326"/>
        <w:spacing w:after="0"/>
        <w:tabs>
          <w:tab w:leader="none" w:pos="7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occurrence or threat of terrorism, pandemic disease, natural disasters or military conflict in the locations in which we operate;</w:t>
      </w:r>
    </w:p>
    <w:p>
      <w:pPr>
        <w:spacing w:after="0" w:line="211"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third-party distribution channels;</w:t>
      </w:r>
    </w:p>
    <w:p>
      <w:pPr>
        <w:spacing w:after="0" w:line="211" w:lineRule="exact"/>
        <w:rPr>
          <w:rFonts w:ascii="Times New Roman" w:cs="Times New Roman" w:eastAsia="Times New Roman" w:hAnsi="Times New Roman"/>
          <w:sz w:val="18"/>
          <w:szCs w:val="18"/>
          <w:color w:val="auto"/>
        </w:rPr>
      </w:pPr>
    </w:p>
    <w:p>
      <w:pPr>
        <w:ind w:left="780" w:right="420" w:hanging="326"/>
        <w:spacing w:after="0" w:line="275" w:lineRule="auto"/>
        <w:tabs>
          <w:tab w:leader="none" w:pos="7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control costs through our cost-savings and efficiency improvement initiatives or otherwise and successfully implement our business strategy;</w:t>
      </w:r>
    </w:p>
    <w:p>
      <w:pPr>
        <w:spacing w:after="0" w:line="16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our derivative instruments, which can be affected by fluctuations in interest rates and other factors;</w:t>
      </w:r>
    </w:p>
    <w:p>
      <w:pPr>
        <w:spacing w:after="0" w:line="211"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accurately estimate our future results;</w:t>
      </w:r>
    </w:p>
    <w:p>
      <w:pPr>
        <w:spacing w:after="0" w:line="211"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major disruption in our communication or centralized information networks;</w:t>
      </w:r>
    </w:p>
    <w:p>
      <w:pPr>
        <w:spacing w:after="0" w:line="211"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exposure to uninsured claims in excess of historical levels;</w:t>
      </w:r>
    </w:p>
    <w:p>
      <w:pPr>
        <w:sectPr>
          <w:pgSz w:w="11900" w:h="16838" w:orient="portrait"/>
          <w:cols w:equalWidth="0" w:num="1">
            <w:col w:w="11400"/>
          </w:cols>
          <w:pgMar w:left="240" w:top="455" w:right="259" w:bottom="1440" w:gutter="0" w:footer="0" w:header="0"/>
        </w:sectPr>
      </w:pPr>
    </w:p>
    <w:bookmarkStart w:id="3" w:name="page4"/>
    <w:bookmarkEnd w:id="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780" w:right="240" w:hanging="326"/>
        <w:spacing w:after="0" w:line="275" w:lineRule="auto"/>
        <w:tabs>
          <w:tab w:leader="none" w:pos="7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or inability to comply with regulations or contractual obligations or any changes in regulations or contractual obligations, including with respect to personally identifiable information;</w:t>
      </w:r>
    </w:p>
    <w:p>
      <w:pPr>
        <w:spacing w:after="0" w:line="16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impact on us from the actions of our licensees, dealers and independent contractors;</w:t>
      </w:r>
    </w:p>
    <w:p>
      <w:pPr>
        <w:spacing w:after="0" w:line="211" w:lineRule="exact"/>
        <w:rPr>
          <w:rFonts w:ascii="Times New Roman" w:cs="Times New Roman" w:eastAsia="Times New Roman" w:hAnsi="Times New Roman"/>
          <w:sz w:val="18"/>
          <w:szCs w:val="18"/>
          <w:color w:val="auto"/>
        </w:rPr>
      </w:pPr>
    </w:p>
    <w:p>
      <w:pPr>
        <w:ind w:left="780" w:right="620" w:hanging="326"/>
        <w:spacing w:after="0" w:line="275" w:lineRule="auto"/>
        <w:tabs>
          <w:tab w:leader="none" w:pos="7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increases in the cost, or decreases in the supply, of fuel, vehicle parts, energy or other resources on which we depend to operate our business;</w:t>
      </w:r>
    </w:p>
    <w:p>
      <w:pPr>
        <w:spacing w:after="0" w:line="16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our indebtedness, including our substantial amount of debt and our ability to incur substantially more debt;</w:t>
      </w:r>
    </w:p>
    <w:p>
      <w:pPr>
        <w:spacing w:after="0" w:line="211" w:lineRule="exact"/>
        <w:rPr>
          <w:rFonts w:ascii="Times New Roman" w:cs="Times New Roman" w:eastAsia="Times New Roman" w:hAnsi="Times New Roman"/>
          <w:sz w:val="18"/>
          <w:szCs w:val="18"/>
          <w:color w:val="auto"/>
        </w:rPr>
      </w:pPr>
    </w:p>
    <w:p>
      <w:pPr>
        <w:ind w:left="780" w:right="120" w:hanging="326"/>
        <w:spacing w:after="0" w:line="275" w:lineRule="auto"/>
        <w:tabs>
          <w:tab w:leader="none" w:pos="7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meet the financial and other covenants contained in our senior credit facilities, our outstanding unsecured senior notes and certain asset-backed funding arrangements;</w:t>
      </w:r>
    </w:p>
    <w:p>
      <w:pPr>
        <w:spacing w:after="0" w:line="160" w:lineRule="exact"/>
        <w:rPr>
          <w:rFonts w:ascii="Times New Roman" w:cs="Times New Roman" w:eastAsia="Times New Roman" w:hAnsi="Times New Roman"/>
          <w:sz w:val="18"/>
          <w:szCs w:val="18"/>
          <w:color w:val="auto"/>
        </w:rPr>
      </w:pPr>
    </w:p>
    <w:p>
      <w:pPr>
        <w:ind w:left="780" w:right="40" w:hanging="326"/>
        <w:spacing w:after="0" w:line="256" w:lineRule="auto"/>
        <w:tabs>
          <w:tab w:leader="none" w:pos="7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agreements among us and the former real estate, hospitality and travel distribution businesses following the separation of those businesses from us during third quarter 2006, when we were known as Cendant Corporation, particularly with respect to the allocation of assets and liabilities, including contingent liabilities and guarantees, commercial arrangements, the ability of each of the separated companies to perform its obligations, including its indemnification obligations, under these agreements, and the former real estate business’ right to control the process for resolving disputes related to contingent liabilities and assets;</w:t>
      </w:r>
    </w:p>
    <w:p>
      <w:pPr>
        <w:spacing w:after="0" w:line="179"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litigation involving the Company;</w:t>
      </w:r>
    </w:p>
    <w:p>
      <w:pPr>
        <w:spacing w:after="0" w:line="211"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exposure to fluctuations in foreign exchange rates; and</w:t>
      </w:r>
    </w:p>
    <w:p>
      <w:pPr>
        <w:spacing w:after="0" w:line="211"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business, economic, competitive, governmental, regulatory, political or technological factors affecting our operations, pricing or services.</w:t>
      </w:r>
    </w:p>
    <w:p>
      <w:pPr>
        <w:spacing w:after="0" w:line="171" w:lineRule="exact"/>
        <w:rPr>
          <w:sz w:val="20"/>
          <w:szCs w:val="20"/>
          <w:color w:val="auto"/>
        </w:rPr>
      </w:pPr>
    </w:p>
    <w:p>
      <w:pPr>
        <w:ind w:right="140"/>
        <w:spacing w:after="0" w:line="262" w:lineRule="auto"/>
        <w:rPr>
          <w:sz w:val="20"/>
          <w:szCs w:val="20"/>
          <w:color w:val="auto"/>
        </w:rPr>
      </w:pPr>
      <w:r>
        <w:rPr>
          <w:rFonts w:ascii="Times New Roman" w:cs="Times New Roman" w:eastAsia="Times New Roman" w:hAnsi="Times New Roman"/>
          <w:sz w:val="18"/>
          <w:szCs w:val="18"/>
          <w:color w:val="auto"/>
        </w:rPr>
        <w:t>Other factors and assumptions not identified above, including those described under “Risk Factors” set forth in Item 1A herein, were also involved in the derivation of these forward-looking statements, and the failure of such other assumptions to be realized, as well as other factors, may also cause actual results to differ materially from those projected. Most of these factors are difficult to predict accurately and are generally beyond our control.</w:t>
      </w:r>
    </w:p>
    <w:p>
      <w:pPr>
        <w:spacing w:after="0" w:line="132" w:lineRule="exact"/>
        <w:rPr>
          <w:sz w:val="20"/>
          <w:szCs w:val="20"/>
          <w:color w:val="auto"/>
        </w:rPr>
      </w:pPr>
    </w:p>
    <w:p>
      <w:pPr>
        <w:spacing w:after="0" w:line="296" w:lineRule="auto"/>
        <w:rPr>
          <w:sz w:val="20"/>
          <w:szCs w:val="20"/>
          <w:color w:val="auto"/>
        </w:rPr>
      </w:pPr>
      <w:r>
        <w:rPr>
          <w:rFonts w:ascii="Times New Roman" w:cs="Times New Roman" w:eastAsia="Times New Roman" w:hAnsi="Times New Roman"/>
          <w:sz w:val="16"/>
          <w:szCs w:val="16"/>
          <w:color w:val="auto"/>
        </w:rPr>
        <w:t>You should consider the areas of risk described above, as well as those described under “Risk Factors” set forth in Item 1A herein and those that may be disclosed from time to time in filings with the Securities and Exchange Commission (the “Commission”), in connection with any forward-looking statements that may be made by us and our businesses generally. Except to the extent our obligations under the federal securities laws, we undertake no obligation to release any revisions to any forward-looking statements, to report events or to report the occurrence of unanticipated events. For any forward-looking statements contained in any document, we claim the protection of the safe harbor for forward-looking statements contained in the Private Securities Litigation Reform Act of 1995.</w:t>
      </w:r>
    </w:p>
    <w:p>
      <w:pPr>
        <w:sectPr>
          <w:pgSz w:w="11900" w:h="16838" w:orient="portrait"/>
          <w:cols w:equalWidth="0" w:num="1">
            <w:col w:w="11400"/>
          </w:cols>
          <w:pgMar w:left="240" w:top="455" w:right="259" w:bottom="1440" w:gutter="0" w:footer="0" w:header="0"/>
        </w:sectPr>
      </w:pPr>
    </w:p>
    <w:bookmarkStart w:id="4" w:name="page5"/>
    <w:bookmarkEnd w:id="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171"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i w:val="1"/>
          <w:iCs w:val="1"/>
          <w:color w:val="auto"/>
        </w:rPr>
        <w:t>Except as expressly indicated or unless the context otherwise requires, the “Company”, “Avis Budget”, “we”, “our” or “us” means Avis Budget Group, Inc., and its subsidiaries and “Avis Budget Car Rental” or “ABCR” means Avis Budget Car Rental, LLC, and its subsidiaries, the companies that comprise our vehicle rental operations. “Avis” and “Budget” refer to our Avis and Budget operations, respectively, and do not include the operations of Avis Europe and its affiliates, as further discussed below.</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73"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We operate two of the most recognized brands in the global vehicle rental industry through Avis and Budget. Avis is a leading rental car supplier to the premium commercial and leisure segments of the travel industry and Budget is a leading rental car supplier to the value-conscious segments of the industry. We are a leading vehicle rental operator in North America, Australia, New Zealand and certain other regions we serve, based on published airport statistics. We maintain a leading share of airport car rental revenue and operate one of the leading consumer truck rental businesses in the United States.</w:t>
      </w:r>
    </w:p>
    <w:p>
      <w:pPr>
        <w:spacing w:after="0" w:line="136"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Our car rental business enjoys significant benefits from operating two distinct brands that target different industry segments but share the same fleet, maintenance facilities, systems, technology and administrative infrastructure. We believe that Avis and Budget both enjoy complementary demand patterns with mid-week commercial demand balanced by weekend leisure demand. In 2009, we generated total revenues of $5,131 million. The Avis, Budget and Budget Truck brands accounted for approximately 61%, 32% and 7% of our revenue, respectively, in 2009.</w:t>
      </w:r>
    </w:p>
    <w:p>
      <w:pPr>
        <w:spacing w:after="0" w:line="136" w:lineRule="exact"/>
        <w:rPr>
          <w:sz w:val="20"/>
          <w:szCs w:val="20"/>
          <w:color w:val="auto"/>
        </w:rPr>
      </w:pPr>
    </w:p>
    <w:p>
      <w:pPr>
        <w:ind w:right="240"/>
        <w:spacing w:after="0" w:line="254" w:lineRule="auto"/>
        <w:rPr>
          <w:sz w:val="20"/>
          <w:szCs w:val="20"/>
          <w:color w:val="auto"/>
        </w:rPr>
      </w:pPr>
      <w:r>
        <w:rPr>
          <w:rFonts w:ascii="Times New Roman" w:cs="Times New Roman" w:eastAsia="Times New Roman" w:hAnsi="Times New Roman"/>
          <w:sz w:val="18"/>
          <w:szCs w:val="18"/>
          <w:color w:val="auto"/>
        </w:rPr>
        <w:t>Our operations have an extended global reach that includes approximately 6,500 car and truck rental locations in the United States, Canada, Australia, New Zealand, Latin America, the Caribbean and parts of Asia. On average, our global rental fleet totaled more than 350,000 vehicles, and we completed more than 23 million vehicle rental transactions worldwide in 2009. Domestically, in 2009, we derived approximately 81% of our nearly $4.0 billion in total car rental revenue from on-airport locations and approximately 19% of our domestic car rental revenue from off-airport locations, which we refer to as our local market business. We rent our fleet of approximately 29,000 Budget trucks through a network of approximately 2,300 dealer-operated and 250 company-operated locations throughout the continental United States. We also license the use of the Avis and Budget trademarks to multiple licensees in areas in which we do not operate. The Avis and/or Budget vehicle rental systems in Europe, Africa, the Middle East and parts of Asia are operated at approximately 3,800 locations by subsidiaries and sub-licensees of an independent third party primarily under royalty-free trademark license agreements.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Information</w:t>
      </w:r>
    </w:p>
    <w:p>
      <w:pPr>
        <w:spacing w:after="0" w:line="173" w:lineRule="exact"/>
        <w:rPr>
          <w:sz w:val="20"/>
          <w:szCs w:val="20"/>
          <w:color w:val="auto"/>
        </w:rPr>
      </w:pPr>
    </w:p>
    <w:p>
      <w:pPr>
        <w:ind w:right="240"/>
        <w:spacing w:after="0" w:line="262" w:lineRule="auto"/>
        <w:rPr>
          <w:sz w:val="20"/>
          <w:szCs w:val="20"/>
          <w:color w:val="auto"/>
        </w:rPr>
      </w:pPr>
      <w:r>
        <w:rPr>
          <w:rFonts w:ascii="Times New Roman" w:cs="Times New Roman" w:eastAsia="Times New Roman" w:hAnsi="Times New Roman"/>
          <w:sz w:val="18"/>
          <w:szCs w:val="18"/>
          <w:color w:val="auto"/>
        </w:rPr>
        <w:t>We categorize our operations in three operating segments: domestic car rental, consisting of our Avis and Budget U.S. car rental operations; international car rental, consisting of our international Avis and Budget vehicle rental operations; and truck rental, consisting of our Budget truck rental operations in the United States. In 2009:</w:t>
      </w:r>
    </w:p>
    <w:p>
      <w:pPr>
        <w:spacing w:after="0" w:line="171" w:lineRule="exact"/>
        <w:rPr>
          <w:sz w:val="20"/>
          <w:szCs w:val="20"/>
          <w:color w:val="auto"/>
        </w:rPr>
      </w:pPr>
    </w:p>
    <w:p>
      <w:pPr>
        <w:ind w:left="780" w:right="160" w:hanging="326"/>
        <w:spacing w:after="0" w:line="277" w:lineRule="auto"/>
        <w:tabs>
          <w:tab w:leader="none" w:pos="7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Domestic car rental. </w:t>
      </w:r>
      <w:r>
        <w:rPr>
          <w:rFonts w:ascii="Times New Roman" w:cs="Times New Roman" w:eastAsia="Times New Roman" w:hAnsi="Times New Roman"/>
          <w:sz w:val="18"/>
          <w:szCs w:val="18"/>
          <w:color w:val="auto"/>
        </w:rPr>
        <w:t>Our domestic car rental segment generated approximately 73 million rental days and average time and mileage revenue per day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$42.22 with an average rental fleet of approximately 270,200 vehicles;</w:t>
      </w:r>
    </w:p>
    <w:p>
      <w:pPr>
        <w:spacing w:after="0" w:line="156" w:lineRule="exact"/>
        <w:rPr>
          <w:rFonts w:ascii="Times New Roman" w:cs="Times New Roman" w:eastAsia="Times New Roman" w:hAnsi="Times New Roman"/>
          <w:sz w:val="18"/>
          <w:szCs w:val="18"/>
          <w:color w:val="auto"/>
        </w:rPr>
      </w:pPr>
    </w:p>
    <w:p>
      <w:pPr>
        <w:ind w:left="780" w:right="200" w:hanging="326"/>
        <w:spacing w:after="0" w:line="277" w:lineRule="auto"/>
        <w:tabs>
          <w:tab w:leader="none" w:pos="7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International car rental. </w:t>
      </w:r>
      <w:r>
        <w:rPr>
          <w:rFonts w:ascii="Times New Roman" w:cs="Times New Roman" w:eastAsia="Times New Roman" w:hAnsi="Times New Roman"/>
          <w:sz w:val="18"/>
          <w:szCs w:val="18"/>
          <w:color w:val="auto"/>
        </w:rPr>
        <w:t>Our international car rental segment generated approximately 13 million rental days and average time and mileage revenue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 day of $42.36 with an average rental fleet of approximately 51,100 vehicles; and</w:t>
      </w:r>
    </w:p>
    <w:p>
      <w:pPr>
        <w:spacing w:after="0" w:line="156" w:lineRule="exact"/>
        <w:rPr>
          <w:rFonts w:ascii="Times New Roman" w:cs="Times New Roman" w:eastAsia="Times New Roman" w:hAnsi="Times New Roman"/>
          <w:sz w:val="18"/>
          <w:szCs w:val="18"/>
          <w:color w:val="auto"/>
        </w:rPr>
      </w:pPr>
    </w:p>
    <w:p>
      <w:pPr>
        <w:ind w:left="780" w:right="40" w:hanging="326"/>
        <w:spacing w:after="0" w:line="277" w:lineRule="auto"/>
        <w:tabs>
          <w:tab w:leader="none" w:pos="7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Truck rental. </w:t>
      </w:r>
      <w:r>
        <w:rPr>
          <w:rFonts w:ascii="Times New Roman" w:cs="Times New Roman" w:eastAsia="Times New Roman" w:hAnsi="Times New Roman"/>
          <w:sz w:val="18"/>
          <w:szCs w:val="18"/>
          <w:color w:val="auto"/>
        </w:rPr>
        <w:t>Our truck rental segment generated approximately 4 million rental days and average time and mileage revenue per day of $73.08 with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average rental fleet of approximately 29,000 trucks.</w:t>
      </w:r>
    </w:p>
    <w:p>
      <w:pPr>
        <w:spacing w:after="0" w:line="1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420"/>
          </w:cols>
          <w:pgMar w:left="240" w:top="455" w:right="239" w:bottom="1440" w:gutter="0" w:footer="0" w:header="0"/>
        </w:sectPr>
      </w:pPr>
    </w:p>
    <w:bookmarkStart w:id="5" w:name="page6"/>
    <w:bookmarkEnd w:id="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360"/>
        <w:spacing w:after="0" w:line="262" w:lineRule="auto"/>
        <w:rPr>
          <w:sz w:val="20"/>
          <w:szCs w:val="20"/>
          <w:color w:val="auto"/>
        </w:rPr>
      </w:pPr>
      <w:r>
        <w:rPr>
          <w:rFonts w:ascii="Times New Roman" w:cs="Times New Roman" w:eastAsia="Times New Roman" w:hAnsi="Times New Roman"/>
          <w:sz w:val="18"/>
          <w:szCs w:val="18"/>
          <w:color w:val="auto"/>
        </w:rPr>
        <w:t>In 2009, our business continued to be impacted by the economic recession. As a result, we continued the implementation of our five-point cost-reduction and efficiency-improvement plan, which we introduced in November 2008, and our Performance Excellence process improvement initiative to reduce annual expenses. The five-point plan enabled us to realize cost savings in 2009 through:</w:t>
      </w:r>
    </w:p>
    <w:p>
      <w:pPr>
        <w:spacing w:after="0" w:line="173" w:lineRule="exact"/>
        <w:rPr>
          <w:sz w:val="20"/>
          <w:szCs w:val="20"/>
          <w:color w:val="auto"/>
        </w:rPr>
      </w:pPr>
    </w:p>
    <w:p>
      <w:pPr>
        <w:ind w:left="780" w:right="40" w:hanging="326"/>
        <w:spacing w:after="0" w:line="275" w:lineRule="auto"/>
        <w:tabs>
          <w:tab w:leader="none" w:pos="7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Reductions in operating and selling, general and administrative expenses including the elimination of 3,000 positions in late 2008 and 2,250 additional positions in 2009, the majority of which were trimmed from fixed and semi-fixed overhead;</w:t>
      </w:r>
    </w:p>
    <w:p>
      <w:pPr>
        <w:spacing w:after="0" w:line="160" w:lineRule="exact"/>
        <w:rPr>
          <w:rFonts w:ascii="Times New Roman" w:cs="Times New Roman" w:eastAsia="Times New Roman" w:hAnsi="Times New Roman"/>
          <w:sz w:val="18"/>
          <w:szCs w:val="18"/>
          <w:color w:val="auto"/>
        </w:rPr>
      </w:pPr>
    </w:p>
    <w:p>
      <w:pPr>
        <w:ind w:left="780" w:right="680" w:hanging="326"/>
        <w:spacing w:after="0" w:line="275" w:lineRule="auto"/>
        <w:tabs>
          <w:tab w:leader="none" w:pos="7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review of station, segment and customer profitability to identify and respond appropriately to unprofitable aspects of our businesses, which positively impacted our profit per transaction and our overall profitability but negatively impacted volume;</w:t>
      </w:r>
    </w:p>
    <w:p>
      <w:pPr>
        <w:spacing w:after="0" w:line="16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Targeted price increases and changes to our sales, marketing and affinity programs in order to improve revenue per day and overall profitability;</w:t>
      </w:r>
    </w:p>
    <w:p>
      <w:pPr>
        <w:spacing w:after="0" w:line="211"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Further consolidation of purchasing programs; and</w:t>
      </w:r>
    </w:p>
    <w:p>
      <w:pPr>
        <w:spacing w:after="0" w:line="211" w:lineRule="exact"/>
        <w:rPr>
          <w:rFonts w:ascii="Times New Roman" w:cs="Times New Roman" w:eastAsia="Times New Roman" w:hAnsi="Times New Roman"/>
          <w:sz w:val="18"/>
          <w:szCs w:val="18"/>
          <w:color w:val="auto"/>
        </w:rPr>
      </w:pPr>
    </w:p>
    <w:p>
      <w:pPr>
        <w:ind w:left="780" w:right="340" w:hanging="326"/>
        <w:spacing w:after="0" w:line="275" w:lineRule="auto"/>
        <w:tabs>
          <w:tab w:leader="none" w:pos="7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Further consolidation of customer-facing and back-office functions and locations across our operations, including closing approximately 125 local business locations in 2009.</w:t>
      </w:r>
    </w:p>
    <w:p>
      <w:pPr>
        <w:spacing w:after="0" w:line="120"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 xml:space="preserve">In 2009, we not only completed more than 23 million rental transactions worldwide, but also made significant progress toward our strategic objectives. We retained approximately 99% of our commercial contracts and maintained or expanded our marketing alliances with key marketing partners. In 2009, Avis was also named North America’s Leading Car Hire for the fourth consecutive year and World’s Leading Business Car Rental Company by the World Travel Awards. Budget was named “Car Rental Supplier of the Year” by Travel Leaders, one of the world’s largest leisure and corporate managed business travel agency networks. We are an “approved” or “preferred” provider for customers of a majority of the largest auto insurance companies in the United States. In 2009, as a result of our heightened focus on car class upgrades, sales of ancillary products and services, we increased the revenues per rental day that we generate from upgrades, </w:t>
      </w:r>
      <w:r>
        <w:rPr>
          <w:rFonts w:ascii="Times New Roman" w:cs="Times New Roman" w:eastAsia="Times New Roman" w:hAnsi="Times New Roman"/>
          <w:sz w:val="18"/>
          <w:szCs w:val="18"/>
          <w:i w:val="1"/>
          <w:iCs w:val="1"/>
          <w:color w:val="auto"/>
        </w:rPr>
        <w:t>where2</w:t>
      </w:r>
      <w:r>
        <w:rPr>
          <w:rFonts w:ascii="Times New Roman" w:cs="Times New Roman" w:eastAsia="Times New Roman" w:hAnsi="Times New Roman"/>
          <w:sz w:val="18"/>
          <w:szCs w:val="18"/>
          <w:color w:val="auto"/>
        </w:rPr>
        <w:t xml:space="preserve"> GPS navigation system units, loss damage waivers and insurance products, and other ancillary services.</w:t>
      </w:r>
    </w:p>
    <w:p>
      <w:pPr>
        <w:spacing w:after="0" w:line="14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2009, we diversified our fleet purchases, reduced our overall fleet size and implemented strategic price increases to offset lower demand for travel services. We continue to utilize sophisticated yield-management technology to optimize our pricing and fleet planning, and we continue to analyze and streamline our operations to gain efficiencies. In addition, our more than 22,000 employees continue to provide reliable, high-quality vehicle rental services that foster customer satisfaction and customer loyalty.</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Conditions and Outlook</w:t>
      </w:r>
    </w:p>
    <w:p>
      <w:pPr>
        <w:spacing w:after="0" w:line="173" w:lineRule="exact"/>
        <w:rPr>
          <w:sz w:val="20"/>
          <w:szCs w:val="20"/>
          <w:color w:val="auto"/>
        </w:rPr>
      </w:pPr>
    </w:p>
    <w:p>
      <w:pPr>
        <w:jc w:val="both"/>
        <w:ind w:right="100"/>
        <w:spacing w:after="0" w:line="262" w:lineRule="auto"/>
        <w:rPr>
          <w:sz w:val="20"/>
          <w:szCs w:val="20"/>
          <w:color w:val="auto"/>
        </w:rPr>
      </w:pPr>
      <w:r>
        <w:rPr>
          <w:rFonts w:ascii="Times New Roman" w:cs="Times New Roman" w:eastAsia="Times New Roman" w:hAnsi="Times New Roman"/>
          <w:sz w:val="18"/>
          <w:szCs w:val="18"/>
          <w:color w:val="auto"/>
        </w:rPr>
        <w:t>For 2010, our objective is to continue to focus on profitability and our position as a leading provider of vehicle rental services as well as to maintain cost savings and efficiencies achieved through process improvement and other actions. We expect to achieve our goals by focusing our efforts on the following core strategic initiatives:</w:t>
      </w:r>
    </w:p>
    <w:p>
      <w:pPr>
        <w:spacing w:after="0" w:line="171" w:lineRule="exact"/>
        <w:rPr>
          <w:sz w:val="20"/>
          <w:szCs w:val="20"/>
          <w:color w:val="auto"/>
        </w:rPr>
      </w:pPr>
    </w:p>
    <w:p>
      <w:pPr>
        <w:ind w:left="780" w:right="40" w:hanging="326"/>
        <w:spacing w:after="0" w:line="255" w:lineRule="auto"/>
        <w:tabs>
          <w:tab w:leader="none" w:pos="7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Optimizing Our Two-Brand Strategy. </w:t>
      </w:r>
      <w:r>
        <w:rPr>
          <w:rFonts w:ascii="Times New Roman" w:cs="Times New Roman" w:eastAsia="Times New Roman" w:hAnsi="Times New Roman"/>
          <w:sz w:val="18"/>
          <w:szCs w:val="18"/>
          <w:color w:val="auto"/>
        </w:rPr>
        <w:t>We plan to continue to position our two distinct and well-recognized brands to capture different segments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customer demand. With Avis as a premium brand preferred by corporate and upscale leisure travelers, and Budget as a value brand preferred by value-conscious travelers, we believe we are able to target a broad range of demand, particularly since the two brands share the same operational and administrative infrastructure while providing differentiated though consistently high levels of customer service. We aim to provide products, service and pricing, and to maintain marketing affiliations and corporate account contracts, which complement each brand’s positioning. In addition, we use various marketing channels appropriate to each of our brands and seek</w:t>
      </w:r>
    </w:p>
    <w:p>
      <w:pPr>
        <w:spacing w:after="0" w:line="12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00"/>
          </w:cols>
          <w:pgMar w:left="240" w:top="455" w:right="259" w:bottom="1440" w:gutter="0" w:footer="0" w:header="0"/>
        </w:sectPr>
      </w:pPr>
    </w:p>
    <w:bookmarkStart w:id="6" w:name="page7"/>
    <w:bookmarkEnd w:id="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800" w:right="240"/>
        <w:spacing w:after="0" w:line="275" w:lineRule="auto"/>
        <w:rPr>
          <w:sz w:val="20"/>
          <w:szCs w:val="20"/>
          <w:color w:val="auto"/>
        </w:rPr>
      </w:pPr>
      <w:r>
        <w:rPr>
          <w:rFonts w:ascii="Times New Roman" w:cs="Times New Roman" w:eastAsia="Times New Roman" w:hAnsi="Times New Roman"/>
          <w:sz w:val="18"/>
          <w:szCs w:val="18"/>
          <w:color w:val="auto"/>
        </w:rPr>
        <w:t>to continue to increase the share of our reservations that we generate through our avis.com and budget.com websites, which are our least-expensive sources of advance bookings.</w:t>
      </w:r>
    </w:p>
    <w:p>
      <w:pPr>
        <w:spacing w:after="0" w:line="172" w:lineRule="exact"/>
        <w:rPr>
          <w:sz w:val="20"/>
          <w:szCs w:val="20"/>
          <w:color w:val="auto"/>
        </w:rPr>
      </w:pPr>
    </w:p>
    <w:p>
      <w:pPr>
        <w:ind w:left="780" w:right="20" w:hanging="326"/>
        <w:spacing w:after="0" w:line="255" w:lineRule="auto"/>
        <w:tabs>
          <w:tab w:leader="none" w:pos="7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Expanding Our Revenue Sources</w:t>
      </w:r>
      <w:r>
        <w:rPr>
          <w:rFonts w:ascii="Times New Roman" w:cs="Times New Roman" w:eastAsia="Times New Roman" w:hAnsi="Times New Roman"/>
          <w:sz w:val="18"/>
          <w:szCs w:val="18"/>
          <w:color w:val="auto"/>
        </w:rPr>
        <w:t>. We plan to continue to focus on car class upgrades and expand our ancillary revenues by offering additional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products and services to on- and off-airport customers and by increasing, where appropriate, our recovery from our customers of costs imposed on us by third parties. Opportunities for ancillary revenue growth include adding sales of additional insurance coverages and insurance-related and other ancillary products and services, such as electronic toll collection services, satellite radio and our w</w:t>
      </w:r>
      <w:r>
        <w:rPr>
          <w:rFonts w:ascii="Times New Roman" w:cs="Times New Roman" w:eastAsia="Times New Roman" w:hAnsi="Times New Roman"/>
          <w:sz w:val="18"/>
          <w:szCs w:val="18"/>
          <w:i w:val="1"/>
          <w:iCs w:val="1"/>
          <w:color w:val="auto"/>
        </w:rPr>
        <w:t>here2</w:t>
      </w:r>
      <w:r>
        <w:rPr>
          <w:rFonts w:ascii="Times New Roman" w:cs="Times New Roman" w:eastAsia="Times New Roman" w:hAnsi="Times New Roman"/>
          <w:sz w:val="18"/>
          <w:szCs w:val="18"/>
          <w:color w:val="auto"/>
        </w:rPr>
        <w:t xml:space="preserve"> GPS navigation product, to the rental transactions of an increasing percentage of our renters. In addition, we seek to grow off-airport revenue by continuing our efforts to identify and attract local demand and increasing our revenues in the insurance replacement sector.</w:t>
      </w:r>
    </w:p>
    <w:p>
      <w:pPr>
        <w:spacing w:after="0" w:line="179" w:lineRule="exact"/>
        <w:rPr>
          <w:rFonts w:ascii="Times New Roman" w:cs="Times New Roman" w:eastAsia="Times New Roman" w:hAnsi="Times New Roman"/>
          <w:sz w:val="18"/>
          <w:szCs w:val="18"/>
          <w:color w:val="auto"/>
        </w:rPr>
      </w:pPr>
    </w:p>
    <w:p>
      <w:pPr>
        <w:ind w:left="780" w:right="260" w:hanging="326"/>
        <w:spacing w:after="0" w:line="255" w:lineRule="auto"/>
        <w:tabs>
          <w:tab w:leader="none" w:pos="7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Capturing Incremental Profit Opportunities. </w:t>
      </w:r>
      <w:r>
        <w:rPr>
          <w:rFonts w:ascii="Times New Roman" w:cs="Times New Roman" w:eastAsia="Times New Roman" w:hAnsi="Times New Roman"/>
          <w:sz w:val="18"/>
          <w:szCs w:val="18"/>
          <w:color w:val="auto"/>
        </w:rPr>
        <w:t>We plan to continue our focus on yield management and pricing optimization and seek to increase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time and mileage rental fees we earn per rental day. We have implemented technology that strengthens our yield management and that enables us to tailor our product/price offerings to specific customer segments. In 2009, we also implemented retail price increases, and we expect to continue to adjust our pricing to match changes in demand and as conditions warrant. In addition, we believe the expansion of our revenue sources (discussed above) should permit us to generate incremental profits from our customer base, while at the same time enhancing our customers’ vehicle rental experience.</w:t>
      </w:r>
    </w:p>
    <w:p>
      <w:pPr>
        <w:spacing w:after="0" w:line="179" w:lineRule="exact"/>
        <w:rPr>
          <w:rFonts w:ascii="Times New Roman" w:cs="Times New Roman" w:eastAsia="Times New Roman" w:hAnsi="Times New Roman"/>
          <w:sz w:val="18"/>
          <w:szCs w:val="18"/>
          <w:color w:val="auto"/>
        </w:rPr>
      </w:pPr>
    </w:p>
    <w:p>
      <w:pPr>
        <w:ind w:left="780" w:hanging="326"/>
        <w:spacing w:after="0" w:line="257" w:lineRule="auto"/>
        <w:tabs>
          <w:tab w:leader="none" w:pos="7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Controlling Costs and Promoting Efficiencies. </w:t>
      </w:r>
      <w:r>
        <w:rPr>
          <w:rFonts w:ascii="Times New Roman" w:cs="Times New Roman" w:eastAsia="Times New Roman" w:hAnsi="Times New Roman"/>
          <w:sz w:val="18"/>
          <w:szCs w:val="18"/>
          <w:color w:val="auto"/>
        </w:rPr>
        <w:t>We have continued our efforts to rigorously control costs. We developed and implemented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Performance Excellence process improvement initiative to increase efficiencies, reduce operating costs and create sustainable cost savings. This initiative generated substantial savings in 2009 and should continue to provide benefits in 2010. In addition to the Performance Excellence initiative, in 2009 we took aggressive action to reduce expenses throughout the organization, in large part through a five-point strategy for realizing cost savings as described above. We believe such steps will continue to impact our financial performance.</w:t>
      </w:r>
    </w:p>
    <w:p>
      <w:pPr>
        <w:spacing w:after="0" w:line="174" w:lineRule="exact"/>
        <w:rPr>
          <w:rFonts w:ascii="Times New Roman" w:cs="Times New Roman" w:eastAsia="Times New Roman" w:hAnsi="Times New Roman"/>
          <w:sz w:val="18"/>
          <w:szCs w:val="18"/>
          <w:color w:val="auto"/>
        </w:rPr>
      </w:pPr>
    </w:p>
    <w:p>
      <w:pPr>
        <w:ind w:left="780" w:right="80" w:hanging="326"/>
        <w:spacing w:after="0" w:line="259" w:lineRule="auto"/>
        <w:tabs>
          <w:tab w:leader="none" w:pos="7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Mitigating Risks. </w:t>
      </w:r>
      <w:r>
        <w:rPr>
          <w:rFonts w:ascii="Times New Roman" w:cs="Times New Roman" w:eastAsia="Times New Roman" w:hAnsi="Times New Roman"/>
          <w:sz w:val="18"/>
          <w:szCs w:val="18"/>
          <w:color w:val="auto"/>
        </w:rPr>
        <w:t>We expect to continue to face a challenging operating environment in 2010 as demand for travel services is likely to remain below</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2007 and 2008 levels. We seek to mitigate our exposure to these risks in numerous ways, including the actions described above, continued adjustment of fleet levels to reflect changes in demand for vehicle rentals, maintenance of ample liquidity to fund our fleet and our operations, and adjustments in the size, nature and terms of our relationships with vehicle manufacturers.</w:t>
      </w:r>
    </w:p>
    <w:p>
      <w:pPr>
        <w:spacing w:after="0" w:line="132"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 *</w:t>
      </w:r>
    </w:p>
    <w:p>
      <w:pPr>
        <w:spacing w:after="0" w:line="159" w:lineRule="exact"/>
        <w:rPr>
          <w:rFonts w:ascii="Times New Roman" w:cs="Times New Roman" w:eastAsia="Times New Roman" w:hAnsi="Times New Roman"/>
          <w:sz w:val="18"/>
          <w:szCs w:val="18"/>
          <w:color w:val="auto"/>
        </w:rPr>
      </w:pPr>
    </w:p>
    <w:p>
      <w:pPr>
        <w:ind w:left="56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w:t>
      </w:r>
    </w:p>
    <w:p>
      <w:pPr>
        <w:sectPr>
          <w:pgSz w:w="11900" w:h="16838" w:orient="portrait"/>
          <w:cols w:equalWidth="0" w:num="1">
            <w:col w:w="11400"/>
          </w:cols>
          <w:pgMar w:left="240" w:top="455" w:right="259" w:bottom="1440" w:gutter="0" w:footer="0" w:header="0"/>
        </w:sectPr>
      </w:pPr>
    </w:p>
    <w:bookmarkStart w:id="7" w:name="page8"/>
    <w:bookmarkEnd w:id="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History</w:t>
      </w:r>
    </w:p>
    <w:p>
      <w:pPr>
        <w:spacing w:after="0" w:line="173"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Avis Budget Group’s operations consist of two of the most recognized brands in the global vehicle rental industry through Avis Budget Car Rental, LLC, the parent of Avis Rent A Car System, LLC, Budget Rent A Car System, Inc. and Budget Truck Rental, LLC. Founded in 1946, Avis is believed to be the first company to rent cars from airport locations. Avis expanded its geographic reach throughout the United States in the 1950s and 1960s. In 1963, Avis introduced its award winning “We try harder” advertising campaign, which is considered one of the top ten advertising campaigns of the 20th century by Advertising Age magazine. Budget was founded in 1958. The company name was chosen to appeal to the “budget-minded” or “value-conscious” vehicle rental customer. Avis possesses a long history of using proprietary information technology systems in its business, and its established, but continually updated, Wizard System remains the backbone of our operations.</w:t>
      </w:r>
    </w:p>
    <w:p>
      <w:pPr>
        <w:spacing w:after="0" w:line="141" w:lineRule="exact"/>
        <w:rPr>
          <w:sz w:val="20"/>
          <w:szCs w:val="20"/>
          <w:color w:val="auto"/>
        </w:rPr>
      </w:pPr>
    </w:p>
    <w:p>
      <w:pPr>
        <w:spacing w:after="0" w:line="293" w:lineRule="auto"/>
        <w:rPr>
          <w:sz w:val="20"/>
          <w:szCs w:val="20"/>
          <w:color w:val="auto"/>
        </w:rPr>
      </w:pPr>
      <w:r>
        <w:rPr>
          <w:rFonts w:ascii="Times New Roman" w:cs="Times New Roman" w:eastAsia="Times New Roman" w:hAnsi="Times New Roman"/>
          <w:sz w:val="16"/>
          <w:szCs w:val="16"/>
          <w:color w:val="auto"/>
        </w:rPr>
        <w:t>We acquired the Avis brand in 1996, Avis’ capital stock in 2001, and the Budget brand and substantially all of the domestic and certain international assets of Budget’s predecessor in 2002. We were created through a merger with HFS Incorporated in December 1997 with the resultant corporation being renamed Cendant Corporation. On August 23, 2006, Cendant completed a separation into four separate companies (the “Cendant Separation”), one for each of its former Real Estate Services businesses (Realogy Corporation), its former Hospitality Services businesses (Wyndham Worldwide Corporation), its former Travel Distribution Services businesses (Travelport) and its Vehicle Rental businesses (Cendant, now Avis Budget Group). Following completion of the Cendant Separation, Cendant changed its name to Avis Budget Group, Inc. and our common stock began to trade on the New York Stock Exchange under the symbol “CAR”.</w:t>
      </w:r>
    </w:p>
    <w:p>
      <w:pPr>
        <w:spacing w:after="0" w:line="111"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In addition to our vehicle rental operations, we continue to manage the administration of certain legacy items which remain following the completion of the Cendant Separation. In connection with the Cendant Separation, we entered into certain agreements, including the Separation and Distribution Agreement dated as of July 27, 2006 (the “Separation Agreement”), with Realogy, Wyndham and Travelport governing our relationships following the separation, including the assumption by Realogy and Wyndham of 62.5% and 37.5%, respectively, of certain contingent and other liabilities of Cendant.</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Car rental business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Operations—Avis</w:t>
      </w:r>
    </w:p>
    <w:p>
      <w:pPr>
        <w:spacing w:after="0" w:line="175" w:lineRule="exact"/>
        <w:rPr>
          <w:sz w:val="20"/>
          <w:szCs w:val="20"/>
          <w:color w:val="auto"/>
        </w:rPr>
      </w:pPr>
    </w:p>
    <w:p>
      <w:pPr>
        <w:ind w:right="20"/>
        <w:spacing w:after="0" w:line="296" w:lineRule="auto"/>
        <w:rPr>
          <w:sz w:val="20"/>
          <w:szCs w:val="20"/>
          <w:color w:val="auto"/>
        </w:rPr>
      </w:pPr>
      <w:r>
        <w:rPr>
          <w:rFonts w:ascii="Times New Roman" w:cs="Times New Roman" w:eastAsia="Times New Roman" w:hAnsi="Times New Roman"/>
          <w:sz w:val="16"/>
          <w:szCs w:val="16"/>
          <w:color w:val="auto"/>
        </w:rPr>
        <w:t>We operate or franchise approximately 2,200 of the approximately 5,100 rental locations that comprise the Avis car rental system (the “Avis System”) throughout the world, which represents one of the largest car rental systems in the world, based on total revenue and number of locations. The Avis System encompasses locations at most of the largest airports and cities in the United States and internationally. The Avis System in Europe, Africa, the Middle East and parts of Asia is primarily operated under royalty-free license agreements with Avis Europe Holdings, Limited (“Avis Europe”), an independent third party, which generally expire in 2036, and is comprised of approximately 2,900 locations (as disclosed by Avis Europe) operated by Avis Europe and its sub-licensees.</w:t>
      </w:r>
    </w:p>
    <w:p>
      <w:pPr>
        <w:spacing w:after="0" w:line="108"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We operate approximately 1,300 Avis car rental locations in both the on-airport and local rental segments in North America, Australia, New Zealand, Latin America and the Caribbean. In 2009, Avis generated total revenue of approximately $3.1 billion, of which approximately 84% (or $2.6 billion) was derived from U.S. operations, including locations which are operated by our third party agency-operators. In addition, we franchise the Avis System to independent business owners in approximately 900 locations throughout the United States, Canada, Latin America, Australia, New Zealand and parts of Asia. In 2009, approximately 95% of the Avis System total domestic revenue was generated by our locations and the remainder was generated by locations operated by independent franchisees. Independent franchisees generally pay royalty fees to us based on a percentage of applicable revenue.</w:t>
      </w:r>
    </w:p>
    <w:p>
      <w:pPr>
        <w:spacing w:after="0" w:line="1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20"/>
          </w:cols>
          <w:pgMar w:left="240" w:top="455" w:right="239" w:bottom="1440" w:gutter="0" w:footer="0" w:header="0"/>
        </w:sectPr>
      </w:pPr>
    </w:p>
    <w:bookmarkStart w:id="8" w:name="page9"/>
    <w:bookmarkEnd w:id="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table below presents the approximate number of locations that make up the Avis System:</w:t>
            </w:r>
          </w:p>
        </w:tc>
        <w:tc>
          <w:tcPr>
            <w:tcW w:w="6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378"/>
        </w:trPr>
        <w:tc>
          <w:tcPr>
            <w:tcW w:w="75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Avis System Locations</w:t>
            </w:r>
            <w:r>
              <w:rPr>
                <w:rFonts w:ascii="Times New Roman" w:cs="Times New Roman" w:eastAsia="Times New Roman" w:hAnsi="Times New Roman"/>
                <w:sz w:val="11"/>
                <w:szCs w:val="11"/>
                <w:b w:val="1"/>
                <w:bCs w:val="1"/>
                <w:color w:val="auto"/>
              </w:rPr>
              <w:t>*</w:t>
            </w:r>
          </w:p>
        </w:tc>
        <w:tc>
          <w:tcPr>
            <w:tcW w:w="6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19"/>
        </w:trPr>
        <w:tc>
          <w:tcPr>
            <w:tcW w:w="1160" w:type="dxa"/>
            <w:vAlign w:val="bottom"/>
          </w:tcPr>
          <w:p>
            <w:pPr>
              <w:spacing w:after="0"/>
              <w:rPr>
                <w:sz w:val="24"/>
                <w:szCs w:val="24"/>
                <w:color w:val="auto"/>
              </w:rPr>
            </w:pPr>
          </w:p>
        </w:tc>
        <w:tc>
          <w:tcPr>
            <w:tcW w:w="6420" w:type="dxa"/>
            <w:vAlign w:val="bottom"/>
          </w:tcPr>
          <w:p>
            <w:pPr>
              <w:spacing w:after="0"/>
              <w:rPr>
                <w:sz w:val="24"/>
                <w:szCs w:val="24"/>
                <w:color w:val="auto"/>
              </w:rPr>
            </w:pPr>
          </w:p>
        </w:tc>
        <w:tc>
          <w:tcPr>
            <w:tcW w:w="660" w:type="dxa"/>
            <w:vAlign w:val="bottom"/>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U.S.</w:t>
            </w:r>
          </w:p>
        </w:tc>
        <w:tc>
          <w:tcPr>
            <w:tcW w:w="720" w:type="dxa"/>
            <w:vAlign w:val="bottom"/>
          </w:tcPr>
          <w:p>
            <w:pPr>
              <w:spacing w:after="0"/>
              <w:rPr>
                <w:sz w:val="24"/>
                <w:szCs w:val="24"/>
                <w:color w:val="auto"/>
              </w:rPr>
            </w:pPr>
          </w:p>
        </w:tc>
        <w:tc>
          <w:tcPr>
            <w:tcW w:w="172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b w:val="1"/>
                <w:bCs w:val="1"/>
                <w:color w:val="auto"/>
                <w:w w:val="96"/>
              </w:rPr>
              <w:t>International</w:t>
            </w: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197"/>
        </w:trPr>
        <w:tc>
          <w:tcPr>
            <w:tcW w:w="7580" w:type="dxa"/>
            <w:vAlign w:val="bottom"/>
            <w:gridSpan w:val="2"/>
          </w:tcPr>
          <w:p>
            <w:pPr>
              <w:spacing w:after="0" w:line="197" w:lineRule="exact"/>
              <w:rPr>
                <w:sz w:val="20"/>
                <w:szCs w:val="20"/>
                <w:color w:val="auto"/>
              </w:rPr>
            </w:pPr>
            <w:r>
              <w:rPr>
                <w:rFonts w:ascii="Times New Roman" w:cs="Times New Roman" w:eastAsia="Times New Roman" w:hAnsi="Times New Roman"/>
                <w:sz w:val="18"/>
                <w:szCs w:val="18"/>
                <w:color w:val="auto"/>
              </w:rPr>
              <w:t>Our Avis company-owned locations</w:t>
            </w:r>
          </w:p>
        </w:tc>
        <w:tc>
          <w:tcPr>
            <w:tcW w:w="660" w:type="dxa"/>
            <w:vAlign w:val="bottom"/>
            <w:tcBorders>
              <w:top w:val="single" w:sz="8" w:color="auto"/>
            </w:tcBorders>
          </w:tcPr>
          <w:p>
            <w:pPr>
              <w:spacing w:after="0"/>
              <w:rPr>
                <w:sz w:val="17"/>
                <w:szCs w:val="17"/>
                <w:color w:val="auto"/>
              </w:rPr>
            </w:pPr>
          </w:p>
        </w:tc>
        <w:tc>
          <w:tcPr>
            <w:tcW w:w="720" w:type="dxa"/>
            <w:vAlign w:val="bottom"/>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720" w:type="dxa"/>
            <w:vAlign w:val="bottom"/>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r>
      <w:tr>
        <w:trPr>
          <w:trHeight w:val="230"/>
        </w:trPr>
        <w:tc>
          <w:tcPr>
            <w:tcW w:w="7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(includes agency-operated locations)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440" w:type="dxa"/>
            <w:vAlign w:val="bottom"/>
            <w:gridSpan w:val="3"/>
          </w:tcPr>
          <w:p>
            <w:pPr>
              <w:jc w:val="right"/>
              <w:ind w:right="720"/>
              <w:spacing w:after="0"/>
              <w:rPr>
                <w:sz w:val="20"/>
                <w:szCs w:val="20"/>
                <w:color w:val="auto"/>
              </w:rPr>
            </w:pPr>
            <w:r>
              <w:rPr>
                <w:rFonts w:ascii="Times New Roman" w:cs="Times New Roman" w:eastAsia="Times New Roman" w:hAnsi="Times New Roman"/>
                <w:sz w:val="18"/>
                <w:szCs w:val="18"/>
                <w:color w:val="auto"/>
              </w:rPr>
              <w:t>300</w:t>
            </w: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1,300</w:t>
            </w:r>
          </w:p>
        </w:tc>
      </w:tr>
      <w:tr>
        <w:trPr>
          <w:trHeight w:val="228"/>
        </w:trPr>
        <w:tc>
          <w:tcPr>
            <w:tcW w:w="7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Our Avis franchisee locations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2440" w:type="dxa"/>
            <w:vAlign w:val="bottom"/>
            <w:gridSpan w:val="3"/>
          </w:tcPr>
          <w:p>
            <w:pPr>
              <w:jc w:val="right"/>
              <w:ind w:right="720"/>
              <w:spacing w:after="0"/>
              <w:rPr>
                <w:sz w:val="20"/>
                <w:szCs w:val="20"/>
                <w:color w:val="auto"/>
              </w:rPr>
            </w:pPr>
            <w:r>
              <w:rPr>
                <w:rFonts w:ascii="Times New Roman" w:cs="Times New Roman" w:eastAsia="Times New Roman" w:hAnsi="Times New Roman"/>
                <w:sz w:val="18"/>
                <w:szCs w:val="18"/>
                <w:color w:val="auto"/>
              </w:rPr>
              <w:t>600</w:t>
            </w: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900</w:t>
            </w:r>
          </w:p>
        </w:tc>
      </w:tr>
      <w:tr>
        <w:trPr>
          <w:trHeight w:val="211"/>
        </w:trPr>
        <w:tc>
          <w:tcPr>
            <w:tcW w:w="758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Our total Avis company-owned and franchisee locations</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1,300</w:t>
            </w:r>
          </w:p>
        </w:tc>
        <w:tc>
          <w:tcPr>
            <w:tcW w:w="720" w:type="dxa"/>
            <w:vAlign w:val="bottom"/>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900</w:t>
            </w:r>
          </w:p>
        </w:tc>
        <w:tc>
          <w:tcPr>
            <w:tcW w:w="720" w:type="dxa"/>
            <w:vAlign w:val="bottom"/>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2,200</w:t>
            </w:r>
          </w:p>
        </w:tc>
        <w:tc>
          <w:tcPr>
            <w:tcW w:w="20" w:type="dxa"/>
            <w:vAlign w:val="bottom"/>
          </w:tcPr>
          <w:p>
            <w:pPr>
              <w:spacing w:after="0"/>
              <w:rPr>
                <w:sz w:val="18"/>
                <w:szCs w:val="18"/>
                <w:color w:val="auto"/>
              </w:rPr>
            </w:pPr>
          </w:p>
        </w:tc>
      </w:tr>
      <w:tr>
        <w:trPr>
          <w:trHeight w:val="228"/>
        </w:trPr>
        <w:tc>
          <w:tcPr>
            <w:tcW w:w="7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Avis Europe locations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40" w:type="dxa"/>
            <w:vAlign w:val="bottom"/>
            <w:gridSpan w:val="3"/>
          </w:tcPr>
          <w:p>
            <w:pPr>
              <w:jc w:val="right"/>
              <w:ind w:right="720"/>
              <w:spacing w:after="0"/>
              <w:rPr>
                <w:sz w:val="20"/>
                <w:szCs w:val="20"/>
                <w:color w:val="auto"/>
              </w:rPr>
            </w:pPr>
            <w:r>
              <w:rPr>
                <w:rFonts w:ascii="Times New Roman" w:cs="Times New Roman" w:eastAsia="Times New Roman" w:hAnsi="Times New Roman"/>
                <w:sz w:val="18"/>
                <w:szCs w:val="18"/>
                <w:color w:val="auto"/>
              </w:rPr>
              <w:t>2,900</w:t>
            </w: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2,900</w:t>
            </w:r>
          </w:p>
        </w:tc>
      </w:tr>
      <w:tr>
        <w:trPr>
          <w:trHeight w:val="225"/>
        </w:trPr>
        <w:tc>
          <w:tcPr>
            <w:tcW w:w="7580" w:type="dxa"/>
            <w:vAlign w:val="bottom"/>
            <w:gridSpan w:val="2"/>
          </w:tcPr>
          <w:p>
            <w:pPr>
              <w:ind w:left="440"/>
              <w:spacing w:after="0"/>
              <w:rPr>
                <w:sz w:val="20"/>
                <w:szCs w:val="20"/>
                <w:color w:val="auto"/>
              </w:rPr>
            </w:pPr>
            <w:r>
              <w:rPr>
                <w:rFonts w:ascii="Times New Roman" w:cs="Times New Roman" w:eastAsia="Times New Roman" w:hAnsi="Times New Roman"/>
                <w:sz w:val="18"/>
                <w:szCs w:val="18"/>
                <w:b w:val="1"/>
                <w:bCs w:val="1"/>
                <w:color w:val="auto"/>
              </w:rPr>
              <w:t>Total Avis System Locations</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1,300</w:t>
            </w:r>
          </w:p>
        </w:tc>
        <w:tc>
          <w:tcPr>
            <w:tcW w:w="72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3,800</w:t>
            </w:r>
          </w:p>
        </w:tc>
        <w:tc>
          <w:tcPr>
            <w:tcW w:w="72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5,100</w:t>
            </w:r>
          </w:p>
        </w:tc>
        <w:tc>
          <w:tcPr>
            <w:tcW w:w="20" w:type="dxa"/>
            <w:vAlign w:val="bottom"/>
          </w:tcPr>
          <w:p>
            <w:pPr>
              <w:spacing w:after="0"/>
              <w:rPr>
                <w:sz w:val="19"/>
                <w:szCs w:val="19"/>
                <w:color w:val="auto"/>
              </w:rPr>
            </w:pPr>
          </w:p>
        </w:tc>
      </w:tr>
      <w:tr>
        <w:trPr>
          <w:trHeight w:val="20"/>
        </w:trPr>
        <w:tc>
          <w:tcPr>
            <w:tcW w:w="1160" w:type="dxa"/>
            <w:vAlign w:val="bottom"/>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02"/>
        </w:trPr>
        <w:tc>
          <w:tcPr>
            <w:tcW w:w="1160" w:type="dxa"/>
            <w:vAlign w:val="bottom"/>
            <w:tcBorders>
              <w:bottom w:val="single" w:sz="8" w:color="auto"/>
            </w:tcBorders>
          </w:tcPr>
          <w:p>
            <w:pPr>
              <w:spacing w:after="0"/>
              <w:rPr>
                <w:sz w:val="8"/>
                <w:szCs w:val="8"/>
                <w:color w:val="auto"/>
              </w:rPr>
            </w:pPr>
          </w:p>
        </w:tc>
        <w:tc>
          <w:tcPr>
            <w:tcW w:w="6420" w:type="dxa"/>
            <w:vAlign w:val="bottom"/>
          </w:tcPr>
          <w:p>
            <w:pPr>
              <w:spacing w:after="0"/>
              <w:rPr>
                <w:sz w:val="8"/>
                <w:szCs w:val="8"/>
                <w:color w:val="auto"/>
              </w:rPr>
            </w:pPr>
          </w:p>
        </w:tc>
        <w:tc>
          <w:tcPr>
            <w:tcW w:w="66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7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r>
    </w:tbl>
    <w:p>
      <w:pPr>
        <w:spacing w:after="0" w:line="13"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color w:val="auto"/>
        </w:rPr>
        <w:t>*</w:t>
        <w:tab/>
        <w:t>Location counts are approximate.</w:t>
      </w:r>
    </w:p>
    <w:p>
      <w:pPr>
        <w:spacing w:after="0" w:line="171" w:lineRule="exact"/>
        <w:rPr>
          <w:sz w:val="20"/>
          <w:szCs w:val="20"/>
          <w:color w:val="auto"/>
        </w:rPr>
      </w:pPr>
    </w:p>
    <w:p>
      <w:pPr>
        <w:ind w:right="120"/>
        <w:spacing w:after="0" w:line="275" w:lineRule="auto"/>
        <w:rPr>
          <w:sz w:val="20"/>
          <w:szCs w:val="20"/>
          <w:color w:val="auto"/>
        </w:rPr>
      </w:pPr>
      <w:r>
        <w:rPr>
          <w:rFonts w:ascii="Times New Roman" w:cs="Times New Roman" w:eastAsia="Times New Roman" w:hAnsi="Times New Roman"/>
          <w:sz w:val="18"/>
          <w:szCs w:val="18"/>
          <w:color w:val="auto"/>
        </w:rPr>
        <w:t>In 2009, Avis derived approximately 60% and 40% of its domestic time and mileage revenue from commercial and leisure customers, respectively, and 79% and 21% of its domestic revenue from customers renting at airports and locally, respectively.</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Avis brand provides high-quality car rental services at price points generally above non-branded and value-branded national car rental companies. We offer</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Avis customers a variety of premium services, including:</w:t>
      </w:r>
    </w:p>
    <w:p>
      <w:pPr>
        <w:spacing w:after="0" w:line="199" w:lineRule="exact"/>
        <w:rPr>
          <w:sz w:val="20"/>
          <w:szCs w:val="20"/>
          <w:color w:val="auto"/>
        </w:rPr>
      </w:pPr>
    </w:p>
    <w:p>
      <w:pPr>
        <w:ind w:left="780" w:hanging="326"/>
        <w:spacing w:after="0"/>
        <w:tabs>
          <w:tab w:leader="none" w:pos="7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Avis Preferred, a counter bypass program, which is available at major airport locations;</w:t>
      </w:r>
    </w:p>
    <w:p>
      <w:pPr>
        <w:spacing w:after="0" w:line="209"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where2</w:t>
      </w:r>
      <w:r>
        <w:rPr>
          <w:rFonts w:ascii="Times New Roman" w:cs="Times New Roman" w:eastAsia="Times New Roman" w:hAnsi="Times New Roman"/>
          <w:sz w:val="18"/>
          <w:szCs w:val="18"/>
          <w:color w:val="auto"/>
        </w:rPr>
        <w:t>, a navigation system that features Bluetooth hands-free calling and MP3 playback capability;</w:t>
      </w:r>
    </w:p>
    <w:p>
      <w:pPr>
        <w:spacing w:after="0" w:line="213" w:lineRule="exact"/>
        <w:rPr>
          <w:rFonts w:ascii="Times New Roman" w:cs="Times New Roman" w:eastAsia="Times New Roman" w:hAnsi="Times New Roman"/>
          <w:sz w:val="18"/>
          <w:szCs w:val="18"/>
          <w:color w:val="auto"/>
        </w:rPr>
      </w:pPr>
    </w:p>
    <w:p>
      <w:pPr>
        <w:ind w:left="780" w:right="180" w:hanging="326"/>
        <w:spacing w:after="0" w:line="275" w:lineRule="auto"/>
        <w:tabs>
          <w:tab w:leader="none" w:pos="7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Avis Cool Cars, a line of fun-to-drive vehicles such as the Chevrolet Camaro, Ford Mustang, Cadillac CTS, Chevrolet Corvette, as well as a range of eco-friendly “hybrid” vehicles;</w:t>
      </w:r>
    </w:p>
    <w:p>
      <w:pPr>
        <w:spacing w:after="0" w:line="160" w:lineRule="exact"/>
        <w:rPr>
          <w:rFonts w:ascii="Times New Roman" w:cs="Times New Roman" w:eastAsia="Times New Roman" w:hAnsi="Times New Roman"/>
          <w:sz w:val="18"/>
          <w:szCs w:val="18"/>
          <w:color w:val="auto"/>
        </w:rPr>
      </w:pPr>
    </w:p>
    <w:p>
      <w:pPr>
        <w:ind w:left="780" w:right="20" w:hanging="326"/>
        <w:spacing w:after="0" w:line="275" w:lineRule="auto"/>
        <w:tabs>
          <w:tab w:leader="none" w:pos="7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Roving Rapid Return, wireless technology which permits customers who are returning vehicles to obtain a printed charge record from service agents at the vehicle as it is being returned;</w:t>
      </w:r>
    </w:p>
    <w:p>
      <w:pPr>
        <w:spacing w:after="0" w:line="16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new non-smoking policy and a 100% smoke-free car rental fleet, and other vehicle amenities such as satellite radio available in some models;</w:t>
      </w:r>
    </w:p>
    <w:p>
      <w:pPr>
        <w:spacing w:after="0" w:line="211"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Avis Access, a full range of special products and services for drivers and passengers with disabilities;</w:t>
      </w:r>
    </w:p>
    <w:p>
      <w:pPr>
        <w:spacing w:after="0" w:line="211" w:lineRule="exact"/>
        <w:rPr>
          <w:rFonts w:ascii="Times New Roman" w:cs="Times New Roman" w:eastAsia="Times New Roman" w:hAnsi="Times New Roman"/>
          <w:sz w:val="18"/>
          <w:szCs w:val="18"/>
          <w:color w:val="auto"/>
        </w:rPr>
      </w:pPr>
    </w:p>
    <w:p>
      <w:pPr>
        <w:ind w:left="780" w:right="400" w:hanging="326"/>
        <w:spacing w:after="0" w:line="275" w:lineRule="auto"/>
        <w:tabs>
          <w:tab w:leader="none" w:pos="7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Avis Interactive, a proprietary management tool that allows select corporate clients to easily view and analyze their rental activity via the Internet, permitting these clients to better manage their travel budgets and monitor employee compliance with applicable travel policies; and</w:t>
      </w:r>
    </w:p>
    <w:p>
      <w:pPr>
        <w:spacing w:after="0" w:line="16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Avis First Program, a customer loyalty program that rewards customers with additional benefits for frequent rentals.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Operations—Budget</w:t>
      </w:r>
    </w:p>
    <w:p>
      <w:pPr>
        <w:spacing w:after="0" w:line="175"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The Budget vehicle rental system (the “Budget System”) is one of the largest car rental systems in the world, based on total revenue and number of locations. We operate or franchise approximately 1,800 of the approximately 2,700 car rental locations in the Budget System throughout the world, including locations at most of the largest airports and cities in the United States and certain other regions. The Budget System in Europe, Africa and the Middle East is operated under a royalty-free trademark license agreement, which generally expire in 2036, with an independent third party that is an affiliate of Avis Europe, and is comprised of approximately 900 company-operated and sub-licensee locations (as disclosed by Avis Europe).</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20"/>
          </w:cols>
          <w:pgMar w:left="240" w:top="455" w:right="239" w:bottom="1440" w:gutter="0" w:footer="0" w:header="0"/>
        </w:sectPr>
      </w:pPr>
    </w:p>
    <w:bookmarkStart w:id="9" w:name="page10"/>
    <w:bookmarkEnd w:id="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We operate approximately 770 Budget car rental locations in the United States, Canada, Puerto Rico, Australia and New Zealand. In 2009, our Budget car rental operations generated total revenue of approximately $1.6 billion, of which 88% (or $1.4 billion) was derived from U.S. operations, including locations which are operated by our third party agency-operators. We also franchise the Budget System to independent business owners who operate approximately 1,030 locations throughout the United States, Canada, Latin America, the Caribbean and parts of Asia. In 2009, approximately 89% of the Budget System domestic total revenue was generated by our locations with the remainder generated by locations operated by independent franchisees. Independent franchisees generally pay royalty fees to us based on a percentage of revenues.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table below presents the approximate number of locations that make up the Budget System:</w:t>
            </w: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378"/>
        </w:trPr>
        <w:tc>
          <w:tcPr>
            <w:tcW w:w="7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Budget System Locations</w:t>
            </w:r>
            <w:r>
              <w:rPr>
                <w:rFonts w:ascii="Times New Roman" w:cs="Times New Roman" w:eastAsia="Times New Roman" w:hAnsi="Times New Roman"/>
                <w:sz w:val="11"/>
                <w:szCs w:val="11"/>
                <w:b w:val="1"/>
                <w:bCs w:val="1"/>
                <w:color w:val="auto"/>
              </w:rPr>
              <w:t>*</w:t>
            </w: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19"/>
        </w:trPr>
        <w:tc>
          <w:tcPr>
            <w:tcW w:w="1160" w:type="dxa"/>
            <w:vAlign w:val="bottom"/>
          </w:tcPr>
          <w:p>
            <w:pPr>
              <w:spacing w:after="0"/>
              <w:rPr>
                <w:sz w:val="24"/>
                <w:szCs w:val="24"/>
                <w:color w:val="auto"/>
              </w:rPr>
            </w:pPr>
          </w:p>
        </w:tc>
        <w:tc>
          <w:tcPr>
            <w:tcW w:w="6440" w:type="dxa"/>
            <w:vAlign w:val="bottom"/>
          </w:tcPr>
          <w:p>
            <w:pPr>
              <w:spacing w:after="0"/>
              <w:rPr>
                <w:sz w:val="24"/>
                <w:szCs w:val="24"/>
                <w:color w:val="auto"/>
              </w:rPr>
            </w:pPr>
          </w:p>
        </w:tc>
        <w:tc>
          <w:tcPr>
            <w:tcW w:w="680" w:type="dxa"/>
            <w:vAlign w:val="bottom"/>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U.S.</w:t>
            </w:r>
          </w:p>
        </w:tc>
        <w:tc>
          <w:tcPr>
            <w:tcW w:w="7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International</w:t>
            </w:r>
          </w:p>
        </w:tc>
        <w:tc>
          <w:tcPr>
            <w:tcW w:w="700" w:type="dxa"/>
            <w:vAlign w:val="bottom"/>
          </w:tcPr>
          <w:p>
            <w:pPr>
              <w:spacing w:after="0"/>
              <w:rPr>
                <w:sz w:val="24"/>
                <w:szCs w:val="24"/>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197"/>
        </w:trPr>
        <w:tc>
          <w:tcPr>
            <w:tcW w:w="7600" w:type="dxa"/>
            <w:vAlign w:val="bottom"/>
            <w:gridSpan w:val="2"/>
          </w:tcPr>
          <w:p>
            <w:pPr>
              <w:spacing w:after="0" w:line="197" w:lineRule="exact"/>
              <w:rPr>
                <w:sz w:val="20"/>
                <w:szCs w:val="20"/>
                <w:color w:val="auto"/>
              </w:rPr>
            </w:pPr>
            <w:r>
              <w:rPr>
                <w:rFonts w:ascii="Times New Roman" w:cs="Times New Roman" w:eastAsia="Times New Roman" w:hAnsi="Times New Roman"/>
                <w:sz w:val="18"/>
                <w:szCs w:val="18"/>
                <w:color w:val="auto"/>
              </w:rPr>
              <w:t>Our Budget company-owned locations</w:t>
            </w:r>
          </w:p>
        </w:tc>
        <w:tc>
          <w:tcPr>
            <w:tcW w:w="680" w:type="dxa"/>
            <w:vAlign w:val="bottom"/>
            <w:tcBorders>
              <w:top w:val="single" w:sz="8" w:color="auto"/>
            </w:tcBorders>
          </w:tcPr>
          <w:p>
            <w:pPr>
              <w:spacing w:after="0"/>
              <w:rPr>
                <w:sz w:val="17"/>
                <w:szCs w:val="17"/>
                <w:color w:val="auto"/>
              </w:rPr>
            </w:pPr>
          </w:p>
        </w:tc>
        <w:tc>
          <w:tcPr>
            <w:tcW w:w="700" w:type="dxa"/>
            <w:vAlign w:val="bottom"/>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700" w:type="dxa"/>
            <w:vAlign w:val="bottom"/>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r>
      <w:tr>
        <w:trPr>
          <w:trHeight w:val="230"/>
        </w:trPr>
        <w:tc>
          <w:tcPr>
            <w:tcW w:w="7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(includes agency-operated locations)</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4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770</w:t>
            </w:r>
          </w:p>
        </w:tc>
      </w:tr>
      <w:tr>
        <w:trPr>
          <w:trHeight w:val="228"/>
        </w:trPr>
        <w:tc>
          <w:tcPr>
            <w:tcW w:w="7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Our Budget franchisee locations</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810</w:t>
            </w:r>
          </w:p>
        </w:tc>
        <w:tc>
          <w:tcPr>
            <w:tcW w:w="14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1,030</w:t>
            </w:r>
          </w:p>
        </w:tc>
      </w:tr>
      <w:tr>
        <w:trPr>
          <w:trHeight w:val="211"/>
        </w:trPr>
        <w:tc>
          <w:tcPr>
            <w:tcW w:w="760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Our total Budget company-owned and franchisee locations</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820</w:t>
            </w:r>
          </w:p>
        </w:tc>
        <w:tc>
          <w:tcPr>
            <w:tcW w:w="700" w:type="dxa"/>
            <w:vAlign w:val="bottom"/>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980</w:t>
            </w:r>
          </w:p>
        </w:tc>
        <w:tc>
          <w:tcPr>
            <w:tcW w:w="700" w:type="dxa"/>
            <w:vAlign w:val="bottom"/>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1,800</w:t>
            </w:r>
          </w:p>
        </w:tc>
        <w:tc>
          <w:tcPr>
            <w:tcW w:w="20" w:type="dxa"/>
            <w:vAlign w:val="bottom"/>
          </w:tcPr>
          <w:p>
            <w:pPr>
              <w:spacing w:after="0"/>
              <w:rPr>
                <w:sz w:val="18"/>
                <w:szCs w:val="18"/>
                <w:color w:val="auto"/>
              </w:rPr>
            </w:pPr>
          </w:p>
        </w:tc>
      </w:tr>
      <w:tr>
        <w:trPr>
          <w:trHeight w:val="228"/>
        </w:trPr>
        <w:tc>
          <w:tcPr>
            <w:tcW w:w="7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Avis Europe locations</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14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900</w:t>
            </w:r>
          </w:p>
        </w:tc>
      </w:tr>
      <w:tr>
        <w:trPr>
          <w:trHeight w:val="225"/>
        </w:trPr>
        <w:tc>
          <w:tcPr>
            <w:tcW w:w="7600" w:type="dxa"/>
            <w:vAlign w:val="bottom"/>
            <w:gridSpan w:val="2"/>
          </w:tcPr>
          <w:p>
            <w:pPr>
              <w:ind w:left="440"/>
              <w:spacing w:after="0"/>
              <w:rPr>
                <w:sz w:val="20"/>
                <w:szCs w:val="20"/>
                <w:color w:val="auto"/>
              </w:rPr>
            </w:pPr>
            <w:r>
              <w:rPr>
                <w:rFonts w:ascii="Times New Roman" w:cs="Times New Roman" w:eastAsia="Times New Roman" w:hAnsi="Times New Roman"/>
                <w:sz w:val="18"/>
                <w:szCs w:val="18"/>
                <w:b w:val="1"/>
                <w:bCs w:val="1"/>
                <w:color w:val="auto"/>
              </w:rPr>
              <w:t>Total Budget System Locations</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820</w:t>
            </w:r>
          </w:p>
        </w:tc>
        <w:tc>
          <w:tcPr>
            <w:tcW w:w="70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1,880</w:t>
            </w:r>
          </w:p>
        </w:tc>
        <w:tc>
          <w:tcPr>
            <w:tcW w:w="70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2,700</w:t>
            </w:r>
          </w:p>
        </w:tc>
        <w:tc>
          <w:tcPr>
            <w:tcW w:w="20" w:type="dxa"/>
            <w:vAlign w:val="bottom"/>
          </w:tcPr>
          <w:p>
            <w:pPr>
              <w:spacing w:after="0"/>
              <w:rPr>
                <w:sz w:val="19"/>
                <w:szCs w:val="19"/>
                <w:color w:val="auto"/>
              </w:rPr>
            </w:pPr>
          </w:p>
        </w:tc>
      </w:tr>
      <w:tr>
        <w:trPr>
          <w:trHeight w:val="20"/>
        </w:trPr>
        <w:tc>
          <w:tcPr>
            <w:tcW w:w="116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02"/>
        </w:trPr>
        <w:tc>
          <w:tcPr>
            <w:tcW w:w="1160" w:type="dxa"/>
            <w:vAlign w:val="bottom"/>
            <w:tcBorders>
              <w:bottom w:val="single" w:sz="8" w:color="auto"/>
            </w:tcBorders>
          </w:tcPr>
          <w:p>
            <w:pPr>
              <w:spacing w:after="0"/>
              <w:rPr>
                <w:sz w:val="8"/>
                <w:szCs w:val="8"/>
                <w:color w:val="auto"/>
              </w:rPr>
            </w:pPr>
          </w:p>
        </w:tc>
        <w:tc>
          <w:tcPr>
            <w:tcW w:w="6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r>
    </w:tbl>
    <w:p>
      <w:pPr>
        <w:spacing w:after="0" w:line="13"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color w:val="auto"/>
        </w:rPr>
        <w:t>*</w:t>
        <w:tab/>
        <w:t>Location counts are approximate.</w:t>
      </w:r>
    </w:p>
    <w:p>
      <w:pPr>
        <w:spacing w:after="0" w:line="171" w:lineRule="exact"/>
        <w:rPr>
          <w:sz w:val="20"/>
          <w:szCs w:val="20"/>
          <w:color w:val="auto"/>
        </w:rPr>
      </w:pPr>
    </w:p>
    <w:p>
      <w:pPr>
        <w:ind w:right="300"/>
        <w:spacing w:after="0" w:line="275" w:lineRule="auto"/>
        <w:rPr>
          <w:sz w:val="20"/>
          <w:szCs w:val="20"/>
          <w:color w:val="auto"/>
        </w:rPr>
      </w:pPr>
      <w:r>
        <w:rPr>
          <w:rFonts w:ascii="Times New Roman" w:cs="Times New Roman" w:eastAsia="Times New Roman" w:hAnsi="Times New Roman"/>
          <w:sz w:val="18"/>
          <w:szCs w:val="18"/>
          <w:color w:val="auto"/>
        </w:rPr>
        <w:t>In 2009, Budget derived 29% and 71% of its domestic time and mileage car rental revenue from commercial and leisure customers, respectively, and 79% and 21% of its domestic car rental revenue from customers renting at airports and locally, respectively.</w:t>
      </w:r>
    </w:p>
    <w:p>
      <w:pPr>
        <w:spacing w:after="0" w:line="120" w:lineRule="exact"/>
        <w:rPr>
          <w:sz w:val="20"/>
          <w:szCs w:val="20"/>
          <w:color w:val="auto"/>
        </w:rPr>
      </w:pPr>
    </w:p>
    <w:p>
      <w:pPr>
        <w:ind w:right="340"/>
        <w:spacing w:after="0" w:line="258" w:lineRule="auto"/>
        <w:rPr>
          <w:sz w:val="20"/>
          <w:szCs w:val="20"/>
          <w:color w:val="auto"/>
        </w:rPr>
      </w:pPr>
      <w:r>
        <w:rPr>
          <w:rFonts w:ascii="Times New Roman" w:cs="Times New Roman" w:eastAsia="Times New Roman" w:hAnsi="Times New Roman"/>
          <w:sz w:val="18"/>
          <w:szCs w:val="18"/>
          <w:color w:val="auto"/>
        </w:rPr>
        <w:t xml:space="preserve">Budget is a leading rental car supplier to the value-conscious segments of the industry. Budget offers its customers Fastbreak, an expedited rental service for frequent travelers, which operates much like Avis Preferred, as well as </w:t>
      </w:r>
      <w:r>
        <w:rPr>
          <w:rFonts w:ascii="Times New Roman" w:cs="Times New Roman" w:eastAsia="Times New Roman" w:hAnsi="Times New Roman"/>
          <w:sz w:val="18"/>
          <w:szCs w:val="18"/>
          <w:i w:val="1"/>
          <w:iCs w:val="1"/>
          <w:color w:val="auto"/>
        </w:rPr>
        <w:t>where2</w:t>
      </w:r>
      <w:r>
        <w:rPr>
          <w:rFonts w:ascii="Times New Roman" w:cs="Times New Roman" w:eastAsia="Times New Roman" w:hAnsi="Times New Roman"/>
          <w:sz w:val="18"/>
          <w:szCs w:val="18"/>
          <w:color w:val="auto"/>
        </w:rPr>
        <w:t xml:space="preserve"> navigation systems and Roving Rapid Return, as described above. Budget also offers the Budget Small Business Program, a program for small businesses that offers discounted rates and central billing options, and Unlimited Budget, a loyalty program for travel professionals established by Budget over ten years ago.</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Reservations</w:t>
      </w:r>
    </w:p>
    <w:p>
      <w:pPr>
        <w:spacing w:after="0" w:line="175"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Customers can make Avis and Budget reservations through our Avis and Budget websites at avis.com and budget.com, through our reservation centers (also referred to as contact centers) toll-free at 1-888-777-AVIS and 1-800-BUDGET7, respectively, through online travel portals, through selected partners, including many major airlines utilizing direct connect technology, through their travel agent, or by calling a location directly. Travel agents can access our reservation systems through all major global distribution systems (GDSs) and can obtain information with respect to rental locations, vehicle availability and applicable rate structures through these systems. Customers booking multiple vehicles also have the option to book through our car rental booking engine on Groople, an online travel booking resource tailored to customers traveling in groups. In 2009, we launched a mobile iPhone application, a free interactive tool that allows customers to book reservations via an Apple iPhone, which is designed to save our customers time and enhance their rental experience, and also introduced Pay Now on the Budget website, which allows customers to prepay for certain vehicle rentals at discounted rates.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Marketing</w:t>
      </w:r>
    </w:p>
    <w:p>
      <w:pPr>
        <w:spacing w:after="0" w:line="175" w:lineRule="exact"/>
        <w:rPr>
          <w:sz w:val="20"/>
          <w:szCs w:val="20"/>
          <w:color w:val="auto"/>
        </w:rPr>
      </w:pPr>
    </w:p>
    <w:p>
      <w:pPr>
        <w:ind w:right="360"/>
        <w:spacing w:after="0" w:line="275" w:lineRule="auto"/>
        <w:rPr>
          <w:sz w:val="20"/>
          <w:szCs w:val="20"/>
          <w:color w:val="auto"/>
        </w:rPr>
      </w:pPr>
      <w:r>
        <w:rPr>
          <w:rFonts w:ascii="Times New Roman" w:cs="Times New Roman" w:eastAsia="Times New Roman" w:hAnsi="Times New Roman"/>
          <w:sz w:val="18"/>
          <w:szCs w:val="18"/>
          <w:color w:val="auto"/>
        </w:rPr>
        <w:t>Avis and Budget support their premium and value brand positions through a range of marketing channels and campaigns, including traditional media, such as television, radio and print advertising, as well as Internet and</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20"/>
          </w:cols>
          <w:pgMar w:left="240" w:top="455" w:right="239" w:bottom="1440" w:gutter="0" w:footer="0" w:header="0"/>
        </w:sectPr>
      </w:pPr>
    </w:p>
    <w:bookmarkStart w:id="10" w:name="page11"/>
    <w:bookmarkEnd w:id="1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280"/>
        <w:spacing w:after="0" w:line="275" w:lineRule="auto"/>
        <w:rPr>
          <w:sz w:val="20"/>
          <w:szCs w:val="20"/>
          <w:color w:val="auto"/>
        </w:rPr>
      </w:pPr>
      <w:r>
        <w:rPr>
          <w:rFonts w:ascii="Times New Roman" w:cs="Times New Roman" w:eastAsia="Times New Roman" w:hAnsi="Times New Roman"/>
          <w:sz w:val="18"/>
          <w:szCs w:val="18"/>
          <w:color w:val="auto"/>
        </w:rPr>
        <w:t>direct marketing. Avis focuses its marketing around its industry-leading customer loyalty and its award-winning “We try harder” marketing campaign. Budget builds its marketing around retail advertising, key partnerships and online marketing campaigns.</w:t>
      </w:r>
    </w:p>
    <w:p>
      <w:pPr>
        <w:spacing w:after="0" w:line="120" w:lineRule="exact"/>
        <w:rPr>
          <w:sz w:val="20"/>
          <w:szCs w:val="20"/>
          <w:color w:val="auto"/>
        </w:rPr>
      </w:pPr>
    </w:p>
    <w:p>
      <w:pPr>
        <w:ind w:right="320"/>
        <w:spacing w:after="0" w:line="296" w:lineRule="auto"/>
        <w:rPr>
          <w:sz w:val="20"/>
          <w:szCs w:val="20"/>
          <w:color w:val="auto"/>
        </w:rPr>
      </w:pPr>
      <w:r>
        <w:rPr>
          <w:rFonts w:ascii="Times New Roman" w:cs="Times New Roman" w:eastAsia="Times New Roman" w:hAnsi="Times New Roman"/>
          <w:sz w:val="16"/>
          <w:szCs w:val="16"/>
          <w:color w:val="auto"/>
        </w:rPr>
        <w:t>We maintain strong links to the travel industry. Avis and Budget offer customers the ability to earn frequent traveler points with most major airlines’ frequent traveler programs. Avis and Budget are also affiliated with the frequency programs of major hotel companies, including Hilton Hotels Corporation, Hyatt Corporation, Starwood Hotels and Resorts Worldwide, Inc. and Wyndham Worldwide. These arrangements provide incentives to program participants and cooperative marketing opportunities, including call transfer programs and online links with various partners’ websites. Avis has an agreement with Wyndham Worldwide’s lodging brands whereby lodging customers making reservations by telephone may be transferred to Avis if they desire to rent a vehicle.</w:t>
      </w:r>
    </w:p>
    <w:p>
      <w:pPr>
        <w:spacing w:after="0" w:line="108" w:lineRule="exact"/>
        <w:rPr>
          <w:sz w:val="20"/>
          <w:szCs w:val="20"/>
          <w:color w:val="auto"/>
        </w:rPr>
      </w:pPr>
    </w:p>
    <w:p>
      <w:pPr>
        <w:ind w:right="20"/>
        <w:spacing w:after="0" w:line="291" w:lineRule="auto"/>
        <w:rPr>
          <w:sz w:val="20"/>
          <w:szCs w:val="20"/>
          <w:color w:val="auto"/>
        </w:rPr>
      </w:pPr>
      <w:r>
        <w:rPr>
          <w:rFonts w:ascii="Times New Roman" w:cs="Times New Roman" w:eastAsia="Times New Roman" w:hAnsi="Times New Roman"/>
          <w:sz w:val="16"/>
          <w:szCs w:val="16"/>
          <w:color w:val="auto"/>
        </w:rPr>
        <w:t>In 2009, approximately 82% of domestic vehicle rental transactions from our owned and operated Avis locations in the United States were generated by travelers who rented from Avis under contracts between Avis and the travelers’ employers or through membership in an organization with whom Avis has a contractual affiliation (such as AARP). Avis also has marketing relationships with organizations such as American Express Company and Sears, Roebuck &amp; Co., through which we are able to provide customers of these entities with incentives to rent from Avis. Avis franchisees also have the option to participate in these affiliations. For commercial and leisure travelers who are unaffiliated with any of the employers or organizations that we contract with, Avis solicits business through media, direct mail, e-mail and Internet advertising. Avis conducts various loyalty programs through direct marketing campaigns, including Avis Preferred, which allows customers to bypass the rental counter when renting a vehicle, and Avis First, which offers our customers enhanced benefits for frequent rentals.</w:t>
      </w:r>
    </w:p>
    <w:p>
      <w:pPr>
        <w:spacing w:after="0" w:line="113"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Additionally, Budget offers “Unlimited Budget”, a loyalty incentive program for travel agents, which had approximately 19,000 travel agents actively enrolled as of December 31, 2009, and the Budget Small Business Program, a program for small businesses that offers discounted rates and central billing options. Budget also has contractual arrangements with American Express Company and other organizations, which offer members of these groups incentives to rent from Budget. In connection with its focus on value-conscious customers, Budget primarily relies on retail advertising, including Internet advertising, and on value pricing to drive customers to our Budget website, our call centers and other distribution channels. Budget also offers proprietary marketing programs such as Fastbreak, an expedited rental service for frequent renters. Our international Avis and Budget operations maintain close relationships with the travel industry through participation in several non-U.S. based frequent traveler programs with airlines such as Qantas Airways Limited and Air Canada, and have been selected as Air Canada’s preferred worldwide car rental supplier, and also through participation in Avis Europe’s programs with British Airways Plc, Deutsche Lufthansa AG and other carriers.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Franchising</w:t>
      </w:r>
    </w:p>
    <w:p>
      <w:pPr>
        <w:spacing w:after="0" w:line="17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Of the approximately 2,200 Avis and approximately 1,800 Budget car rental locations we operated and/or franchised at December 31, 2009, approximately 42% and 57%, respectively, were owned and operated by franchisees. Revenue derived from our car rental franchisees in 2009 totaled approximately $29 million. Franchised locations range from large operations at major airport locations to franchise territories encompassing an entire country to relatively small operations in suburban locations. Fleets of our franchisees range from in excess of 3,000 vehicles to fewer than 50 vehicles. Franchising provides us with a source of high margin revenue because there are relatively limited additional fixed costs associated with fees paid by franchisees to us. Although franchised locations represent approximately 49% of the locations that we own or franchise, they represent only approximately 7% of total domestic revenue generated by the Avis and Budget Systems, because the average franchised operation is significantly smaller than the average corporate owned location. Generally, we do not actively seek new franchisees in the United States or Canada.</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00"/>
          </w:cols>
          <w:pgMar w:left="240" w:top="455" w:right="259" w:bottom="1440" w:gutter="0" w:footer="0" w:header="0"/>
        </w:sectPr>
      </w:pPr>
    </w:p>
    <w:bookmarkStart w:id="11" w:name="page12"/>
    <w:bookmarkEnd w:id="1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We generally enjoy good relationships with our franchisees and meet regularly with them at regional, national and international meetings. Our relationships with Avis and/or Budget franchisees are governed by franchise agreements that grant the franchisees the right to operate Avis and/or Budget vehicle rental businesses in certain exclusive territories. These franchise agreements impose obligations on the franchisee regarding the operations of each franchise and most restrict the franchisee’s ability to transfer its franchise agreement and the franchisee’s capital stock. Each franchisee is required to adhere to our system standards for each brand as updated and supplemented by our policy bulletins, brand manuals and service programs.</w:t>
      </w:r>
    </w:p>
    <w:p>
      <w:pPr>
        <w:spacing w:after="0" w:line="139" w:lineRule="exact"/>
        <w:rPr>
          <w:sz w:val="20"/>
          <w:szCs w:val="20"/>
          <w:color w:val="auto"/>
        </w:rPr>
      </w:pPr>
    </w:p>
    <w:p>
      <w:pPr>
        <w:ind w:right="180"/>
        <w:spacing w:after="0" w:line="262" w:lineRule="auto"/>
        <w:rPr>
          <w:sz w:val="20"/>
          <w:szCs w:val="20"/>
          <w:color w:val="auto"/>
        </w:rPr>
      </w:pPr>
      <w:r>
        <w:rPr>
          <w:rFonts w:ascii="Times New Roman" w:cs="Times New Roman" w:eastAsia="Times New Roman" w:hAnsi="Times New Roman"/>
          <w:sz w:val="18"/>
          <w:szCs w:val="18"/>
          <w:color w:val="auto"/>
        </w:rPr>
        <w:t>We maintain the right to monitor the operations of franchisees and, when applicable, can declare a franchisee to be in default under its franchise agreements, which default may or may not be curable. We can terminate these franchise agreements for certain defaults, including failure to pay franchise fees and failure to adhere to our operational standards.</w:t>
      </w:r>
    </w:p>
    <w:p>
      <w:pPr>
        <w:spacing w:after="0" w:line="132"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Our franchise agreements grant the franchisees the exclusive right to operate an Avis and/or Budget car and/or truck rental business in a particular geographic area. Under agreements that predate our ownership of Avis or Budget, a limited number of franchisees in the United States are also separately franchised exclusively to sell used cars under the Avis and/or Budget brand. Our current domestic franchise agreements provide for a 20-year term and renewal terms, for no additional fee, so long as the franchisee is not in default and provided that certain conditions are met. Certain existing franchise agreements do not contain a fixed term, or provide for renewal terms for no additional fee so long as the franchisee is not in default. Upon renewal, the terms and conditions of the franchise agreement may generally be amended from those contained in the expiring franchise agreements, while language in certain older franchise agreements may limit our ability to do so. The car rental royalty fee payable to us under franchise agreements is generally 5% to 8% of gross rental revenue but certain franchisees of each brand, both internationally and domestically, have franchise agreements with different royalty fee structures.</w:t>
      </w:r>
    </w:p>
    <w:p>
      <w:pPr>
        <w:spacing w:after="0" w:line="138"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Pursuant to their franchise agreements, some franchisees must meet certain requirements relating to the number of rental locations in their franchised territory, the number of vehicles available for rental and the amount of their advertising and promotional expenditures. In general, each franchise agreement provides that the franchisee must not engage in any other vehicle rental business within the franchised territory during the term of such agreement and, in the Budget franchise agreement, for 12 months thereafter. Upon termination of a franchise, the franchisee is also prohibited from using the Avis or Budget name and related marks in any business.</w:t>
      </w:r>
    </w:p>
    <w:p>
      <w:pPr>
        <w:spacing w:after="0" w:line="13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As part of our cost-reduction and efficiency improvement initiatives, at the end of 2009 we terminated a long-standing agreement under which we have operated the Budget car rental brand at Los Angeles International Airport (LAX) pursuant to a sub-license from a company affiliated with one of Budget’s founders. This company, which already sub-licenses the Budget brand at San Diego International airport, is expected to operate Budget at LAX. We expect the transition to be seamless from our customers’ perspective. In 2009, our Budget LAX location generated revenue of approximately $45 million; however, we determined as part of our review of station, segment and customer profitability that the agreement under which we operated the Budget brand at LAX was not sufficiently profitable for us to continue the agreement.</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Revenue</w:t>
      </w:r>
    </w:p>
    <w:p>
      <w:pPr>
        <w:spacing w:after="0" w:line="175"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In addition to revenue from vehicle rentals and franchisee royalties, we generate revenue from Avis and Budget customers through the sale and/or rental of optional products and services such as supplemental equipment, including child seats and ski racks, loss damage waivers, additional/supplemental liability insurance, personal accident/effects insurance, fuel service options, fuel service charges, optional emergency roadside assistance, satellite radio, electronic toll collection and other ancillary products and services as described above, such as rentals of where2 GPS navigation units which in 2009 contributed more than $60 million to revenue. In 2009, approximately 4% of our domestic vehicle rental operations revenue was generated by the sale of loss damage waivers under which we agree to relieve a customer from financial responsibility arising from vehicle damage</w:t>
      </w:r>
    </w:p>
    <w:p>
      <w:pPr>
        <w:spacing w:after="0" w:line="1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20"/>
          </w:cols>
          <w:pgMar w:left="240" w:top="455" w:right="239" w:bottom="1440" w:gutter="0" w:footer="0" w:header="0"/>
        </w:sectPr>
      </w:pPr>
    </w:p>
    <w:bookmarkStart w:id="12" w:name="page13"/>
    <w:bookmarkEnd w:id="1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color w:val="auto"/>
        </w:rPr>
        <w:t>incurred during the rental period if the customer has not breached the rental agreement. In addition, we receive reimbursement from our customers for certain operating expenses we incur, including gasoline and vehicle licensing fees, as well as airport concession fees, which we pay in exchange for the right to operate at airports and other locations.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Websites</w:t>
      </w:r>
    </w:p>
    <w:p>
      <w:pPr>
        <w:spacing w:after="0" w:line="175" w:lineRule="exact"/>
        <w:rPr>
          <w:sz w:val="20"/>
          <w:szCs w:val="20"/>
          <w:color w:val="auto"/>
        </w:rPr>
      </w:pPr>
    </w:p>
    <w:p>
      <w:pPr>
        <w:ind w:right="60"/>
        <w:spacing w:after="0" w:line="296" w:lineRule="auto"/>
        <w:rPr>
          <w:sz w:val="20"/>
          <w:szCs w:val="20"/>
          <w:color w:val="auto"/>
        </w:rPr>
      </w:pPr>
      <w:r>
        <w:rPr>
          <w:rFonts w:ascii="Times New Roman" w:cs="Times New Roman" w:eastAsia="Times New Roman" w:hAnsi="Times New Roman"/>
          <w:sz w:val="16"/>
          <w:szCs w:val="16"/>
          <w:color w:val="auto"/>
        </w:rPr>
        <w:t>Avis and Budget have strong brand presence on the Internet through their websites, avis.com and budget.com, as well as third-party websites. In March 2009, Avis launched a redesigned version of its avis.com website, which provides faster navigation, increased functionality and a more streamlined reservation process. In addition, both Avis and Budget have agreements to promote their car rental services with major Internet portals and have a strong advertising presence on various search engines. Bookings over the Internet accounted for 51% of Budget’s 2009 domestic reservations, with 31% of reservations derived from bookings on budget.com. Bookings over the Internet accounted for 34% of Avis’ 2009 domestic reservations, with 26% derived from bookings on avis.com.</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Wizard System</w:t>
      </w:r>
    </w:p>
    <w:p>
      <w:pPr>
        <w:spacing w:after="0" w:line="175"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We own the Wizard System, our worldwide reservation, rental, data processing and information management system. The Wizard System enables us to process millions of incoming customer inquiries each day, providing our customers with accurate and timely information about our locations, rental rates and vehicle availability, as well as the ability to place or modify reservations. Additionally, the Wizard System is linked to all major travel distribution networks worldwide and provides real-time processing for travel agents, travel industry partners (such as airlines), corporate travel departments and individual consumers through our websites or calls to our contact centers. The Wizard System also provides personal profile information to our reservation and rental agents to better service our customers. Among the principal features of the Wizard System are:</w:t>
      </w:r>
    </w:p>
    <w:p>
      <w:pPr>
        <w:spacing w:after="0" w:line="180" w:lineRule="exact"/>
        <w:rPr>
          <w:sz w:val="20"/>
          <w:szCs w:val="20"/>
          <w:color w:val="auto"/>
        </w:rPr>
      </w:pPr>
    </w:p>
    <w:p>
      <w:pPr>
        <w:ind w:left="780" w:hanging="326"/>
        <w:spacing w:after="0" w:line="275" w:lineRule="auto"/>
        <w:tabs>
          <w:tab w:leader="none" w:pos="7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Roving Rapid Return, wireless technology which permits customers who are returning vehicles to obtain a printed charge record from service agents at the vehicle as it is being returned;</w:t>
      </w:r>
    </w:p>
    <w:p>
      <w:pPr>
        <w:spacing w:after="0" w:line="160" w:lineRule="exact"/>
        <w:rPr>
          <w:rFonts w:ascii="Times New Roman" w:cs="Times New Roman" w:eastAsia="Times New Roman" w:hAnsi="Times New Roman"/>
          <w:sz w:val="18"/>
          <w:szCs w:val="18"/>
          <w:color w:val="auto"/>
        </w:rPr>
      </w:pPr>
    </w:p>
    <w:p>
      <w:pPr>
        <w:ind w:left="780" w:right="140" w:hanging="326"/>
        <w:spacing w:after="0" w:line="275" w:lineRule="auto"/>
        <w:tabs>
          <w:tab w:leader="none" w:pos="7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Preferred Service, Avis’ expedited rental service that provides enrolled customers with a printed rental record in their pre-assigned vehicle and a fast, convenient check-out;</w:t>
      </w:r>
    </w:p>
    <w:p>
      <w:pPr>
        <w:spacing w:after="0" w:line="16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Fastbreak, Budget’s expedited rental service which allows for a faster processing of rentals and service for enrolled customers;</w:t>
      </w:r>
    </w:p>
    <w:p>
      <w:pPr>
        <w:spacing w:after="0" w:line="211" w:lineRule="exact"/>
        <w:rPr>
          <w:rFonts w:ascii="Times New Roman" w:cs="Times New Roman" w:eastAsia="Times New Roman" w:hAnsi="Times New Roman"/>
          <w:sz w:val="18"/>
          <w:szCs w:val="18"/>
          <w:color w:val="auto"/>
        </w:rPr>
      </w:pPr>
    </w:p>
    <w:p>
      <w:pPr>
        <w:ind w:left="780" w:right="420" w:hanging="326"/>
        <w:spacing w:after="0" w:line="275" w:lineRule="auto"/>
        <w:tabs>
          <w:tab w:leader="none" w:pos="7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web-based functionality that supports the booking and processing of reservations from the insurance, fleet and dealership replacement industries;</w:t>
      </w:r>
    </w:p>
    <w:p>
      <w:pPr>
        <w:spacing w:after="0" w:line="16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Wizard on Wheels, which enables us to assign vehicles and complete rental agreements while customers are being transported to the rental vehicle;</w:t>
      </w:r>
    </w:p>
    <w:p>
      <w:pPr>
        <w:spacing w:after="0" w:line="211" w:lineRule="exact"/>
        <w:rPr>
          <w:rFonts w:ascii="Times New Roman" w:cs="Times New Roman" w:eastAsia="Times New Roman" w:hAnsi="Times New Roman"/>
          <w:sz w:val="18"/>
          <w:szCs w:val="18"/>
          <w:color w:val="auto"/>
        </w:rPr>
      </w:pPr>
    </w:p>
    <w:p>
      <w:pPr>
        <w:ind w:left="780" w:right="360" w:hanging="326"/>
        <w:spacing w:after="0" w:line="275" w:lineRule="auto"/>
        <w:tabs>
          <w:tab w:leader="none" w:pos="7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Flight Arrival Notification, a system that alerts rental locations when flights have arrived so that vehicles can be assigned and paperwork prepared automatically;</w:t>
      </w:r>
    </w:p>
    <w:p>
      <w:pPr>
        <w:spacing w:after="0" w:line="160" w:lineRule="exact"/>
        <w:rPr>
          <w:rFonts w:ascii="Times New Roman" w:cs="Times New Roman" w:eastAsia="Times New Roman" w:hAnsi="Times New Roman"/>
          <w:sz w:val="18"/>
          <w:szCs w:val="18"/>
          <w:color w:val="auto"/>
        </w:rPr>
      </w:pPr>
    </w:p>
    <w:p>
      <w:pPr>
        <w:ind w:left="780" w:right="120" w:hanging="326"/>
        <w:spacing w:after="0" w:line="262" w:lineRule="auto"/>
        <w:tabs>
          <w:tab w:leader="none" w:pos="7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Avis Link, which automatically identifies when a customer with a profile on record is entitled to special rental rates and conditions, and therefore sharply reduces the number of instances in which we inadvertently fail to give Avis renters the benefits of negotiated rate arrangements to which they are entitled;</w:t>
      </w:r>
    </w:p>
    <w:p>
      <w:pPr>
        <w:spacing w:after="0" w:line="172"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Credit Card Link, which allows both brands to verify all major credit cards through a real-time connection during the rental processing;</w:t>
      </w:r>
    </w:p>
    <w:p>
      <w:pPr>
        <w:spacing w:after="0" w:line="211"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Interactive interfaces through third-party computerized reservation systems such as Amadeus, Galileo, Sabre and Worldspan;</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400"/>
          </w:cols>
          <w:pgMar w:left="240" w:top="455" w:right="259" w:bottom="1440" w:gutter="0" w:footer="0" w:header="0"/>
        </w:sectPr>
      </w:pPr>
    </w:p>
    <w:bookmarkStart w:id="13" w:name="page14"/>
    <w:bookmarkEnd w:id="1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780" w:right="120" w:hanging="326"/>
        <w:spacing w:after="0" w:line="275" w:lineRule="auto"/>
        <w:tabs>
          <w:tab w:leader="none" w:pos="7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Avis Interactive, which allows select corporate clients to easily view and analyze their rental activity via the Internet, permitting these clients to better manage their travel budgets and monitor employee compliance with applicable travel policies;</w:t>
      </w:r>
    </w:p>
    <w:p>
      <w:pPr>
        <w:spacing w:after="0" w:line="160" w:lineRule="exact"/>
        <w:rPr>
          <w:rFonts w:ascii="Times New Roman" w:cs="Times New Roman" w:eastAsia="Times New Roman" w:hAnsi="Times New Roman"/>
          <w:sz w:val="18"/>
          <w:szCs w:val="18"/>
          <w:color w:val="auto"/>
        </w:rPr>
      </w:pPr>
    </w:p>
    <w:p>
      <w:pPr>
        <w:ind w:left="780" w:right="20" w:hanging="326"/>
        <w:spacing w:after="0" w:line="275" w:lineRule="auto"/>
        <w:tabs>
          <w:tab w:leader="none" w:pos="7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 Connect, a service offered to business-to-business partners that allows them to easily connect their electronic systems to the Wizard System, and to obtain Avis or Budget rate, location and fleet information as well as book reservations for their customers; and</w:t>
      </w:r>
    </w:p>
    <w:p>
      <w:pPr>
        <w:spacing w:after="0" w:line="16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Operations management programs that, among other things, enable field personnel to manage which vehicles will be rented next.</w:t>
      </w:r>
    </w:p>
    <w:p>
      <w:pPr>
        <w:spacing w:after="0" w:line="171" w:lineRule="exact"/>
        <w:rPr>
          <w:sz w:val="20"/>
          <w:szCs w:val="20"/>
          <w:color w:val="auto"/>
        </w:rPr>
      </w:pPr>
    </w:p>
    <w:p>
      <w:pPr>
        <w:jc w:val="both"/>
        <w:ind w:right="40"/>
        <w:spacing w:after="0" w:line="262" w:lineRule="auto"/>
        <w:rPr>
          <w:sz w:val="20"/>
          <w:szCs w:val="20"/>
          <w:color w:val="auto"/>
        </w:rPr>
      </w:pPr>
      <w:r>
        <w:rPr>
          <w:rFonts w:ascii="Times New Roman" w:cs="Times New Roman" w:eastAsia="Times New Roman" w:hAnsi="Times New Roman"/>
          <w:sz w:val="18"/>
          <w:szCs w:val="18"/>
          <w:color w:val="auto"/>
        </w:rPr>
        <w:t>We also use data supplied from the Wizard System and airline reservation systems in certain proprietary information management systems to maintain centralized control of major business processes such as fleet acquisition and logistics, sales to corporate accounts and determination of rental rates. The principal components of the systems we employ include:</w:t>
      </w:r>
    </w:p>
    <w:p>
      <w:pPr>
        <w:spacing w:after="0" w:line="171" w:lineRule="exact"/>
        <w:rPr>
          <w:sz w:val="20"/>
          <w:szCs w:val="20"/>
          <w:color w:val="auto"/>
        </w:rPr>
      </w:pPr>
    </w:p>
    <w:p>
      <w:pPr>
        <w:ind w:left="780" w:right="200" w:hanging="326"/>
        <w:spacing w:after="0" w:line="259" w:lineRule="auto"/>
        <w:tabs>
          <w:tab w:leader="none" w:pos="7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Fleet planning model</w:t>
      </w:r>
      <w:r>
        <w:rPr>
          <w:rFonts w:ascii="Times New Roman" w:cs="Times New Roman" w:eastAsia="Times New Roman" w:hAnsi="Times New Roman"/>
          <w:sz w:val="18"/>
          <w:szCs w:val="18"/>
          <w:color w:val="auto"/>
        </w:rPr>
        <w:t>. We have created a comprehensive decision tool to develop fleet plans and schedules for the acquisition and disposition of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fleet, along with fleet age, mix, mileage and cost reports based upon these plans and schedules. This tool allows management to monitor and change fleet volume and composition on a daily basis and to optimize our fleet plan based on estimated business levels and available repurchase and guaranteed depreciation programs.</w:t>
      </w:r>
    </w:p>
    <w:p>
      <w:pPr>
        <w:spacing w:after="0" w:line="173" w:lineRule="exact"/>
        <w:rPr>
          <w:rFonts w:ascii="Times New Roman" w:cs="Times New Roman" w:eastAsia="Times New Roman" w:hAnsi="Times New Roman"/>
          <w:sz w:val="18"/>
          <w:szCs w:val="18"/>
          <w:color w:val="auto"/>
        </w:rPr>
      </w:pPr>
    </w:p>
    <w:p>
      <w:pPr>
        <w:ind w:left="780" w:right="80" w:hanging="326"/>
        <w:spacing w:after="0" w:line="257" w:lineRule="auto"/>
        <w:tabs>
          <w:tab w:leader="none" w:pos="7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Yield management</w:t>
      </w:r>
      <w:r>
        <w:rPr>
          <w:rFonts w:ascii="Times New Roman" w:cs="Times New Roman" w:eastAsia="Times New Roman" w:hAnsi="Times New Roman"/>
          <w:sz w:val="18"/>
          <w:szCs w:val="18"/>
          <w:color w:val="auto"/>
        </w:rPr>
        <w:t>. We have created a yield management system which is designed to enhance profits by providing greater control of vehicle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availability and rate availability changes at our rental locations. The system monitors and forecasts supply and demand to support our efforts to optimize volume and rate at each location. Integrated into this yield management system is a fleet distribution module that takes into consideration the costs as well as the potential benefits associated with distributing vehicles to various rental locations within a geographic area to accommodate rental demand at these locations. The fleet distribution module makes specific recommendations for movement of vehicles between locations.</w:t>
      </w:r>
    </w:p>
    <w:p>
      <w:pPr>
        <w:spacing w:after="0" w:line="174" w:lineRule="exact"/>
        <w:rPr>
          <w:rFonts w:ascii="Times New Roman" w:cs="Times New Roman" w:eastAsia="Times New Roman" w:hAnsi="Times New Roman"/>
          <w:sz w:val="18"/>
          <w:szCs w:val="18"/>
          <w:color w:val="auto"/>
        </w:rPr>
      </w:pPr>
    </w:p>
    <w:p>
      <w:pPr>
        <w:ind w:left="780" w:right="80" w:hanging="326"/>
        <w:spacing w:after="0" w:line="302" w:lineRule="auto"/>
        <w:tabs>
          <w:tab w:leader="none" w:pos="78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Pricing decision support system</w:t>
      </w:r>
      <w:r>
        <w:rPr>
          <w:rFonts w:ascii="Times New Roman" w:cs="Times New Roman" w:eastAsia="Times New Roman" w:hAnsi="Times New Roman"/>
          <w:sz w:val="16"/>
          <w:szCs w:val="16"/>
          <w:color w:val="auto"/>
        </w:rPr>
        <w:t>. Pricing in the vehicle rental industry is highly competitive and complex. To improve our ability to respond to rental</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rate changes in the marketplace, we have developed sophisticated systems to gather and report competitive industry rental rate changes every day. The system, using data from third-party reservation systems as its source of information, automatically scans rate movements and reports significant changes to a staff of pricing analysts for evaluation. The system greatly enhances our ability to gather and respond to rate changes in the marketplace.</w:t>
      </w:r>
    </w:p>
    <w:p>
      <w:pPr>
        <w:spacing w:after="0" w:line="140" w:lineRule="exact"/>
        <w:rPr>
          <w:rFonts w:ascii="Times New Roman" w:cs="Times New Roman" w:eastAsia="Times New Roman" w:hAnsi="Times New Roman"/>
          <w:sz w:val="16"/>
          <w:szCs w:val="16"/>
          <w:color w:val="auto"/>
        </w:rPr>
      </w:pPr>
    </w:p>
    <w:p>
      <w:pPr>
        <w:ind w:left="780" w:hanging="326"/>
        <w:spacing w:after="0" w:line="259" w:lineRule="auto"/>
        <w:tabs>
          <w:tab w:leader="none" w:pos="7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Business mix model</w:t>
      </w:r>
      <w:r>
        <w:rPr>
          <w:rFonts w:ascii="Times New Roman" w:cs="Times New Roman" w:eastAsia="Times New Roman" w:hAnsi="Times New Roman"/>
          <w:sz w:val="18"/>
          <w:szCs w:val="18"/>
          <w:color w:val="auto"/>
        </w:rPr>
        <w:t>. We have developed a strategic planning model to evaluate discrete components of our business relative to each other. The model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considers revenue and costs to determine the potential margin contribution of each discrete segment. The model develops business mix and fleet optimization recommendations by using data from our financial systems, the Wizard System and the fleet and revenue management systems along with management’s objectives and targets.</w:t>
      </w:r>
    </w:p>
    <w:p>
      <w:pPr>
        <w:spacing w:after="0" w:line="173" w:lineRule="exact"/>
        <w:rPr>
          <w:rFonts w:ascii="Times New Roman" w:cs="Times New Roman" w:eastAsia="Times New Roman" w:hAnsi="Times New Roman"/>
          <w:sz w:val="18"/>
          <w:szCs w:val="18"/>
          <w:color w:val="auto"/>
        </w:rPr>
      </w:pPr>
    </w:p>
    <w:p>
      <w:pPr>
        <w:ind w:left="780" w:right="120" w:hanging="326"/>
        <w:spacing w:after="0" w:line="264" w:lineRule="auto"/>
        <w:tabs>
          <w:tab w:leader="none" w:pos="7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Enterprise data warehouse</w:t>
      </w:r>
      <w:r>
        <w:rPr>
          <w:rFonts w:ascii="Times New Roman" w:cs="Times New Roman" w:eastAsia="Times New Roman" w:hAnsi="Times New Roman"/>
          <w:sz w:val="18"/>
          <w:szCs w:val="18"/>
          <w:color w:val="auto"/>
        </w:rPr>
        <w:t>. We have developed a sophisticated and comprehensive electronic data storage and retrieval system which retains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information related to various aspects of our business. This data warehouse allows us to take advantage of comprehensive management reports, query capability and easy access to data for strategic decision making for both brands.</w:t>
      </w:r>
    </w:p>
    <w:p>
      <w:pPr>
        <w:spacing w:after="0" w:line="167" w:lineRule="exact"/>
        <w:rPr>
          <w:rFonts w:ascii="Times New Roman" w:cs="Times New Roman" w:eastAsia="Times New Roman" w:hAnsi="Times New Roman"/>
          <w:sz w:val="18"/>
          <w:szCs w:val="18"/>
          <w:color w:val="auto"/>
        </w:rPr>
      </w:pPr>
    </w:p>
    <w:p>
      <w:pPr>
        <w:ind w:left="780" w:right="180" w:hanging="326"/>
        <w:spacing w:after="0" w:line="259" w:lineRule="auto"/>
        <w:tabs>
          <w:tab w:leader="none" w:pos="7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Sales and marketing systems</w:t>
      </w:r>
      <w:r>
        <w:rPr>
          <w:rFonts w:ascii="Times New Roman" w:cs="Times New Roman" w:eastAsia="Times New Roman" w:hAnsi="Times New Roman"/>
          <w:sz w:val="18"/>
          <w:szCs w:val="18"/>
          <w:color w:val="auto"/>
        </w:rPr>
        <w:t>. We have developed a sophisticated system of online data screens which enables our sales force to analyze key account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information of our corporate customers including historical and current rental activity, revenue and booking sources, top renting locations, rate usage categories and customer satisfaction data. We use this information, which is updated weekly and captured on a country-by-country basis, to assess opportunities for revenue growth, profitability and improvement.</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20"/>
          </w:cols>
          <w:pgMar w:left="240" w:top="455" w:right="239" w:bottom="1440" w:gutter="0" w:footer="0" w:header="0"/>
        </w:sectPr>
      </w:pPr>
    </w:p>
    <w:bookmarkStart w:id="14" w:name="page15"/>
    <w:bookmarkEnd w:id="1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780" w:right="240" w:hanging="326"/>
        <w:spacing w:after="0" w:line="264" w:lineRule="auto"/>
        <w:tabs>
          <w:tab w:leader="none" w:pos="7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Interactive adjustments</w:t>
      </w:r>
      <w:r>
        <w:rPr>
          <w:rFonts w:ascii="Times New Roman" w:cs="Times New Roman" w:eastAsia="Times New Roman" w:hAnsi="Times New Roman"/>
          <w:sz w:val="18"/>
          <w:szCs w:val="18"/>
          <w:color w:val="auto"/>
        </w:rPr>
        <w:t>. We have developed a multi-linked customer data system which allows us to easily retrieve pertinent customer information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make needed adjustments to completed rental transactions online for superior customer service. This data system links with other accounting systems to handle any charge card transaction automatically.</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Fleet</w:t>
      </w:r>
    </w:p>
    <w:p>
      <w:pPr>
        <w:spacing w:after="0" w:line="173" w:lineRule="exact"/>
        <w:rPr>
          <w:sz w:val="20"/>
          <w:szCs w:val="20"/>
          <w:color w:val="auto"/>
        </w:rPr>
      </w:pPr>
    </w:p>
    <w:p>
      <w:pPr>
        <w:spacing w:after="0" w:line="291" w:lineRule="auto"/>
        <w:rPr>
          <w:sz w:val="20"/>
          <w:szCs w:val="20"/>
          <w:color w:val="auto"/>
        </w:rPr>
      </w:pPr>
      <w:r>
        <w:rPr>
          <w:rFonts w:ascii="Times New Roman" w:cs="Times New Roman" w:eastAsia="Times New Roman" w:hAnsi="Times New Roman"/>
          <w:sz w:val="16"/>
          <w:szCs w:val="16"/>
          <w:i w:val="1"/>
          <w:iCs w:val="1"/>
          <w:color w:val="auto"/>
        </w:rPr>
        <w:t>General</w:t>
      </w:r>
      <w:r>
        <w:rPr>
          <w:rFonts w:ascii="Times New Roman" w:cs="Times New Roman" w:eastAsia="Times New Roman" w:hAnsi="Times New Roman"/>
          <w:sz w:val="16"/>
          <w:szCs w:val="16"/>
          <w:color w:val="auto"/>
        </w:rPr>
        <w:t>. We maintain a single fleet of vehicles for Avis and Budget. We rent a wide variety of vehicles, including luxury and specialty vehicles. Our fleet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consists primarily of vehicles from the current and immediately preceding model year. Rentals are generally made on a daily, weekly or monthly basis. Rental charges are computed on the basis of the length of the rental or, in some cases, on the length of the rental plus a mileage charge. Rates vary at different locations depending on the type of vehicle rented, the local marketplace and competitive and cost factors. Rentals are made utilizing rate plans under which the customer is responsible for gasoline used during the rental. We also generally offer our customers the convenience of leaving a rented vehicle at a location in a city other than the one in which it was rented, although, consistent with industry practices, a drop-off charge or special intercity rate may be imposed. We facilitate one-way car rentals between corporate-owned and franchised locations in the United States that enable us to operate as an integrated network of locations.</w:t>
      </w:r>
    </w:p>
    <w:p>
      <w:pPr>
        <w:spacing w:after="0" w:line="113" w:lineRule="exact"/>
        <w:rPr>
          <w:sz w:val="20"/>
          <w:szCs w:val="20"/>
          <w:color w:val="auto"/>
        </w:rPr>
      </w:pPr>
    </w:p>
    <w:p>
      <w:pPr>
        <w:ind w:right="40"/>
        <w:spacing w:after="0" w:line="293" w:lineRule="auto"/>
        <w:rPr>
          <w:sz w:val="20"/>
          <w:szCs w:val="20"/>
          <w:color w:val="auto"/>
        </w:rPr>
      </w:pPr>
      <w:r>
        <w:rPr>
          <w:rFonts w:ascii="Times New Roman" w:cs="Times New Roman" w:eastAsia="Times New Roman" w:hAnsi="Times New Roman"/>
          <w:sz w:val="16"/>
          <w:szCs w:val="16"/>
          <w:i w:val="1"/>
          <w:iCs w:val="1"/>
          <w:color w:val="auto"/>
        </w:rPr>
        <w:t>Vehicle purchasing</w:t>
      </w:r>
      <w:r>
        <w:rPr>
          <w:rFonts w:ascii="Times New Roman" w:cs="Times New Roman" w:eastAsia="Times New Roman" w:hAnsi="Times New Roman"/>
          <w:sz w:val="16"/>
          <w:szCs w:val="16"/>
          <w:color w:val="auto"/>
        </w:rPr>
        <w:t>. We participate in a variety of vehicle purchase programs with major domestic and foreign vehicle manufacturers. General Motors is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featured supplier for Avis, and Ford is the featured supplier for Budget. During 2009, approximately 32%, 20% and 14% of the cars acquired for our U.S. car rental fleet were manufactured by General Motors, Ford and Hyundai, respectively, compared to 32%, 23% and 14% manufactured by General Motors, Ford and Chrysler, respectively, in 2008. During 2009, we also purchased Chrysler, Kia, Mitsubishi, Nissan, Subaru, Suzuki, Toyota and Volkswagen vehicles. We have continued to decrease the total portion of our overall fleet sourced from domestic manufacturers in our effort to diversify our fleet, and we decreased the number of vehicles purchased for our fleet by approximately 15% in 2009 compared to 2008, to reduce fleet costs and keep fleet levels aligned with rental demand.</w:t>
      </w:r>
    </w:p>
    <w:p>
      <w:pPr>
        <w:spacing w:after="0" w:line="11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i w:val="1"/>
          <w:iCs w:val="1"/>
          <w:color w:val="auto"/>
        </w:rPr>
        <w:t>Vehicle disposition</w:t>
      </w:r>
      <w:r>
        <w:rPr>
          <w:rFonts w:ascii="Times New Roman" w:cs="Times New Roman" w:eastAsia="Times New Roman" w:hAnsi="Times New Roman"/>
          <w:sz w:val="18"/>
          <w:szCs w:val="18"/>
          <w:color w:val="auto"/>
        </w:rPr>
        <w:t>. We generally hold a vehicle in our domestic fleet for a term of four to 16 months. For 2009 and 2008, approximately 55% and 58%,</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respectively, of the rental cars purchased for our domestic car fleet were subject to agreements requiring automobile manufacturers to repurchase them or guarantee our rate of depreciation during a specified period of time. Cars subject to these agreements are sometimes referred to as “program” cars and cars not subject to these agreements are sometimes referred to as “risk” cars. The programs in which we participate currently require that the program vehicles be maintained in our fleet for a minimum number of months (typically four to 11 months) and impose return conditions, including those related to mileage and condition. At the time of return to the manufacturer, we receive the price guaranteed at the time of purchase and are thus protected from fluctuations in the prices of previously-owned vehicles in the wholesale market at the time of disposition. The future percentages of program and risk vehicles in our fleet will be dependent on the availability and attractiveness of manufacturers’ repurchase and guaranteed depreciation programs. We dispose of our risk vehicles largely through automobile auctions, including auctions that enable dealers to purchase vehicles online more quickly than through traditional auctions.</w:t>
      </w:r>
    </w:p>
    <w:p>
      <w:pPr>
        <w:spacing w:after="0" w:line="145" w:lineRule="exact"/>
        <w:rPr>
          <w:sz w:val="20"/>
          <w:szCs w:val="20"/>
          <w:color w:val="auto"/>
        </w:rPr>
      </w:pPr>
    </w:p>
    <w:p>
      <w:pPr>
        <w:ind w:right="120"/>
        <w:spacing w:after="0" w:line="301" w:lineRule="auto"/>
        <w:rPr>
          <w:sz w:val="20"/>
          <w:szCs w:val="20"/>
          <w:color w:val="auto"/>
        </w:rPr>
      </w:pPr>
      <w:r>
        <w:rPr>
          <w:rFonts w:ascii="Times New Roman" w:cs="Times New Roman" w:eastAsia="Times New Roman" w:hAnsi="Times New Roman"/>
          <w:sz w:val="16"/>
          <w:szCs w:val="16"/>
          <w:color w:val="auto"/>
        </w:rPr>
        <w:t>Of the approximately 348,000 cars from our rental car fleet that we sold in 2009 (compared to 373,000 that we sold in 2008), we sold approximately 48% to the manufacturers pursuant to repurchase programs or received guaranteed depreciation payments following disposition and the rest were sold through third-party channels such as wholesale auctions. The percentage of vehicles we sell back to the manufacturers in 2010 will vary depending on the terms offered by manufacturers, and the number of risk vehicles we sell in 2010 will vary depending on rental demand and conditions in the market for used vehicles.</w:t>
      </w:r>
    </w:p>
    <w:p>
      <w:pPr>
        <w:spacing w:after="0" w:line="101" w:lineRule="exact"/>
        <w:rPr>
          <w:sz w:val="20"/>
          <w:szCs w:val="20"/>
          <w:color w:val="auto"/>
        </w:rPr>
      </w:pPr>
    </w:p>
    <w:p>
      <w:pPr>
        <w:ind w:right="40"/>
        <w:spacing w:after="0" w:line="277" w:lineRule="auto"/>
        <w:rPr>
          <w:sz w:val="20"/>
          <w:szCs w:val="20"/>
          <w:color w:val="auto"/>
        </w:rPr>
      </w:pPr>
      <w:r>
        <w:rPr>
          <w:rFonts w:ascii="Times New Roman" w:cs="Times New Roman" w:eastAsia="Times New Roman" w:hAnsi="Times New Roman"/>
          <w:sz w:val="18"/>
          <w:szCs w:val="18"/>
          <w:i w:val="1"/>
          <w:iCs w:val="1"/>
          <w:color w:val="auto"/>
        </w:rPr>
        <w:t>Utilization and seasonality</w:t>
      </w:r>
      <w:r>
        <w:rPr>
          <w:rFonts w:ascii="Times New Roman" w:cs="Times New Roman" w:eastAsia="Times New Roman" w:hAnsi="Times New Roman"/>
          <w:sz w:val="18"/>
          <w:szCs w:val="18"/>
          <w:color w:val="auto"/>
        </w:rPr>
        <w:t>. Our car rental business is subject to seasonal variations in customer demand, with the summer vacation period representing the peak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season. The general seasonal variation in demand, along with</w:t>
      </w:r>
    </w:p>
    <w:p>
      <w:pPr>
        <w:spacing w:after="0" w:line="10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360"/>
          </w:cols>
          <w:pgMar w:left="240" w:top="455" w:right="299" w:bottom="1440" w:gutter="0" w:footer="0" w:header="0"/>
        </w:sectPr>
      </w:pPr>
    </w:p>
    <w:bookmarkStart w:id="15" w:name="page16"/>
    <w:bookmarkEnd w:id="1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more localized changes in demand at each of our locations, causes us to vary our fleet size over the course of the year. For 2009, our average monthly car rental fleet size in the U.S. ranged from a low of approximately 227,000 vehicles in December to a high of approximately 296,000 vehicles in July. Compared to 2008, our average fleet size decreased approximately 19% in 2009. Average domestic fleet utilization for 2009, which is based on the number of rental days (or portion thereof) that vehicles are rented compared to the total amount of time that vehicles are available for rent, ranged from 78% in June to 65% in December and averaged 74% for 2009, which was similar to 2008 levels. Our calculation of utilization may not be comparable to other companies’ calculation of similarly titled statistics.</w:t>
      </w:r>
    </w:p>
    <w:p>
      <w:pPr>
        <w:spacing w:after="0" w:line="137" w:lineRule="exact"/>
        <w:rPr>
          <w:sz w:val="20"/>
          <w:szCs w:val="20"/>
          <w:color w:val="auto"/>
        </w:rPr>
      </w:pPr>
    </w:p>
    <w:p>
      <w:pPr>
        <w:ind w:right="20"/>
        <w:spacing w:after="0" w:line="293" w:lineRule="auto"/>
        <w:rPr>
          <w:sz w:val="20"/>
          <w:szCs w:val="20"/>
          <w:color w:val="auto"/>
        </w:rPr>
      </w:pPr>
      <w:r>
        <w:rPr>
          <w:rFonts w:ascii="Times New Roman" w:cs="Times New Roman" w:eastAsia="Times New Roman" w:hAnsi="Times New Roman"/>
          <w:sz w:val="16"/>
          <w:szCs w:val="16"/>
          <w:i w:val="1"/>
          <w:iCs w:val="1"/>
          <w:color w:val="auto"/>
        </w:rPr>
        <w:t>Maintenance</w:t>
      </w:r>
      <w:r>
        <w:rPr>
          <w:rFonts w:ascii="Times New Roman" w:cs="Times New Roman" w:eastAsia="Times New Roman" w:hAnsi="Times New Roman"/>
          <w:sz w:val="16"/>
          <w:szCs w:val="16"/>
          <w:color w:val="auto"/>
        </w:rPr>
        <w:t>. We place a strong emphasis on vehicle maintenance for customer safety and customer satisfaction reasons, as well as because quick and proper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repairs are critical to fleet utilization. To accomplish this task we employ a fully-certified National Institute for Automotive Service Excellence (“ASE”) technician instructor at our headquarters. This instructor has developed a specialized training program for our 388 technicians who operate in approximately 85 maintenance and damage repair centers for both Avis and Budget. We use advanced diagnostic equipment, including General Motors’ Global Diagnostic System, Ford’s Integrated Diagnostic System, Hyundai’s Global Diagnostic System and Toyota’s Techstream scan tool. Our technician training department also prepares its own technical service bulletins that can be retrieved electronically at all of our repair locations. Approximately 79% of our technicians are ASE-certified.</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Customer Service</w:t>
      </w:r>
    </w:p>
    <w:p>
      <w:pPr>
        <w:spacing w:after="0" w:line="175"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Our commitment to delivering a consistently high level of customer service is a critical element of our success and strategy. We conduct daily location-specific customer satisfaction tracking by sending web-based surveys to recent customers. In 2009, we received over 400,000 responses to our online customer satisfaction survey (the Voice of the Customer Survey). The Voice of the Customer Survey asks customers to evaluate their overall satisfaction with their rental experience. Results are analyzed generally and by location to help further enhance our service levels to our customers. In addition, we utilize a toll-free “800” number and a dedicated customer service e-mail address to allow customers of both Avis and Budget to report problems directly to our customer relations department. Location associates and managers also receive training and are empowered to resolve most customer issues at the location level. We prepare weekly and monthly reports on the types and number of complaints received for use by location management in conjunction with the customer satisfaction reports as feedback regarding customer service delivery.</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Environmental Initiatives</w:t>
      </w:r>
    </w:p>
    <w:p>
      <w:pPr>
        <w:spacing w:after="0" w:line="175"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Over the past several years, we have launched a number of initiatives to manage the environmental aspects of our business. We have focused on and expect to continue to focus on the environmental profile of our car rental fleet, as measured using the United States Environmental Protection Agency SmartWay Certification program. Sixty-two percent of the 2010 model year rental cars in our fleet met the standards for U.S. EPA SmartWay Certification. We also offer gas/electric hybrid cars for rent in three different car classes and flex fuel cars for rent for those seeking to minimize environmental impact through use of E-85 ethanol fuel. We also offer a significant number of vehicles equipped for electronic toll collection, which published research indicates reduces hydrocarbons and carbon monoxide emissions as well as emissions of nitrogen oxides.</w:t>
      </w:r>
    </w:p>
    <w:p>
      <w:pPr>
        <w:spacing w:after="0" w:line="139"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We have begun the process of creating formal Environmental Management Systems (EMS) for key airport locations in accordance with ISO 14001 international standards. We use these standards to quantify the various environmental aspects of our business operations, and to manage these aspects, reducing our impact when and where practicable. For example, new car washes installed at our Avis and Budget facilities now recycle and reuse at least 80% of their wastewater. We have also made the puraDYN</w:t>
      </w:r>
      <w:r>
        <w:rPr>
          <w:rFonts w:ascii="Times New Roman" w:cs="Times New Roman" w:eastAsia="Times New Roman" w:hAnsi="Times New Roman"/>
          <w:sz w:val="11"/>
          <w:szCs w:val="11"/>
          <w:color w:val="auto"/>
        </w:rPr>
        <w:t>®</w:t>
      </w:r>
      <w:r>
        <w:rPr>
          <w:rFonts w:ascii="Times New Roman" w:cs="Times New Roman" w:eastAsia="Times New Roman" w:hAnsi="Times New Roman"/>
          <w:sz w:val="18"/>
          <w:szCs w:val="18"/>
          <w:color w:val="auto"/>
        </w:rPr>
        <w:t xml:space="preserve"> Oil Filtration System standard equipment on our fleet of nearly 300 heavy duty buses; this equipment upgrade is expected to reduce our use of motor oil significantly.</w:t>
      </w:r>
    </w:p>
    <w:p>
      <w:pPr>
        <w:spacing w:after="0" w:line="1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360"/>
          </w:cols>
          <w:pgMar w:left="240" w:top="455" w:right="299" w:bottom="1440" w:gutter="0" w:footer="0" w:header="0"/>
        </w:sectPr>
      </w:pPr>
    </w:p>
    <w:bookmarkStart w:id="16" w:name="page17"/>
    <w:bookmarkEnd w:id="1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We also offer corporate customers a carbon footprint calculator designed to work with our data warehouse and compute the emissions from their rental car use. We then offer our corporate customers a program to help them reduce their impact, including driver education, and the use of carbon offset credits aimed at making their rental car use carbon neutral. We also have an alliance with Carbonfund.org, a leading non-profit provider of carbon offset credits, to enable both renters and corporate customers to offset the emissions from their rental car use. Renters can offset emissions on a daily, weekly or monthly basis on avis.com or budget.com.</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Airport Concession Fees</w:t>
      </w:r>
    </w:p>
    <w:p>
      <w:pPr>
        <w:spacing w:after="0" w:line="17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general, concession fees for on-airport locations are based on a percentage of total commissionable revenue (as defined by each airport authority), subject to minimum annual guaranteed amounts. Concessions are typically awarded by airport authorities every three to five years based upon competitive bids. Our concession agreements with the various airport authorities generally impose certain minimum operating requirements, provide for relocation in the event of future construction and provide for abatement of the minimum annual guarantee in the event of extended low passenger volume.</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Competition</w:t>
      </w:r>
    </w:p>
    <w:p>
      <w:pPr>
        <w:spacing w:after="0" w:line="175"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The car rental industry is characterized by intense price and service competition. Competition in our vehicle rental operations is based primarily upon price, reliability, vehicle availability, national distribution, usability of booking systems, ease of rental and return, and other elements of customer service. In addition, competition is influenced strongly by advertising, marketing and brand reputation. We compete primarily with the following car rental companies: Hertz Global Holdings, Inc., which operates the Hertz and Advantage brands; Dollar Thrifty Automotive Group; Enterprise Rent-A-Car Company, which also operates the National Car Rental and Alamo brands; and Europcar.</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Truck rental business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Operations</w:t>
      </w:r>
    </w:p>
    <w:p>
      <w:pPr>
        <w:spacing w:after="0" w:line="175"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Budget’s truck rental business is one of the largest local and one-way truck rental businesses in the United States. The Budget truck rental business has a combined fleet of approximately 29,000 trucks, with an average truck age of four years, which is rented through a network of approximately 2,300 dealers and 250 company-operated locations throughout the continental United States. A certain number of our dealer locations are operated by our Budget car rental franchisees. The Budget truck rental business serves both the consumer and light commercial sectors. The consumer sector consists primarily of individuals who rent trucks to move household goods on either a one-way or local basis. The light commercial sector consists of a wide range of businesses that rent light- to medium-duty trucks, which we define as trucks having a gross vehicle weight of less than 26,000 pounds, for a variety of commercial applications. In 2009, the Budget truck rental business generated total revenue of approximately $354 million.</w:t>
      </w:r>
    </w:p>
    <w:p>
      <w:pPr>
        <w:spacing w:after="0" w:line="141" w:lineRule="exact"/>
        <w:rPr>
          <w:sz w:val="20"/>
          <w:szCs w:val="20"/>
          <w:color w:val="auto"/>
        </w:rPr>
      </w:pPr>
    </w:p>
    <w:p>
      <w:pPr>
        <w:ind w:right="580"/>
        <w:spacing w:after="0" w:line="262" w:lineRule="auto"/>
        <w:rPr>
          <w:sz w:val="20"/>
          <w:szCs w:val="20"/>
          <w:color w:val="auto"/>
        </w:rPr>
      </w:pPr>
      <w:r>
        <w:rPr>
          <w:rFonts w:ascii="Times New Roman" w:cs="Times New Roman" w:eastAsia="Times New Roman" w:hAnsi="Times New Roman"/>
          <w:sz w:val="18"/>
          <w:szCs w:val="18"/>
          <w:color w:val="auto"/>
        </w:rPr>
        <w:t>We primarily advertise in “yellow pages” telephone directories and online to promote our truck rental business to potential customers. Budget truck rental customers can make reservations through the Budget truck rental reservation center at 1-800-GO-BUDGET, through our Budget truck rental website at budgettruck.com, through the truck link on our budget.com website or by calling a location directly.</w:t>
      </w:r>
    </w:p>
    <w:p>
      <w:pPr>
        <w:spacing w:after="0" w:line="132"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We also partner with businesses and websites like moving.com to help reach our targeted audience. We maintain a co-branding agreement with Public Storage, a leading operator of self-storage units, whereby we are an exclusive third-party provider of rental trucks at select Public Storage locations, and engage in certain cross-promotional efforts. We also maintain a strategic partnership agreement with Pep Boys, a leading automotive aftermarket service and retail chain, to promote Budget’s truck rental business and a relationship with AARP offering reduced rates to members.</w:t>
      </w:r>
    </w:p>
    <w:p>
      <w:pPr>
        <w:spacing w:after="0" w:line="1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400"/>
          </w:cols>
          <w:pgMar w:left="240" w:top="455" w:right="259" w:bottom="1440" w:gutter="0" w:footer="0" w:header="0"/>
        </w:sectPr>
      </w:pPr>
    </w:p>
    <w:bookmarkStart w:id="17" w:name="page18"/>
    <w:bookmarkEnd w:id="1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Distribution</w:t>
      </w:r>
    </w:p>
    <w:p>
      <w:pPr>
        <w:spacing w:after="0" w:line="17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Budget’s truck rental business is offered through a national network, which included approximately 2,300 dealers as of December 31, 2009. These independently-owned dealers primarily operate self-storage facilities, rental centers, hardware stores, service stations and other similar retail service businesses. In addition to their principal businesses, the dealers rent our light- and medium-duty trucks to consumers and to our commercial accounts and are responsible for collecting payments on our behalf. The dealers receive a commission on all truck rentals and ancillary equipment rentals. Generally, dealership agreements may be terminated by either party upon 30 to 90 days’ prior written notice.</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Competition</w:t>
      </w:r>
    </w:p>
    <w:p>
      <w:pPr>
        <w:spacing w:after="0" w:line="175" w:lineRule="exact"/>
        <w:rPr>
          <w:sz w:val="20"/>
          <w:szCs w:val="20"/>
          <w:color w:val="auto"/>
        </w:rPr>
      </w:pPr>
    </w:p>
    <w:p>
      <w:pPr>
        <w:ind w:right="320"/>
        <w:spacing w:after="0" w:line="339" w:lineRule="auto"/>
        <w:rPr>
          <w:sz w:val="20"/>
          <w:szCs w:val="20"/>
          <w:color w:val="auto"/>
        </w:rPr>
      </w:pPr>
      <w:r>
        <w:rPr>
          <w:rFonts w:ascii="Times New Roman" w:cs="Times New Roman" w:eastAsia="Times New Roman" w:hAnsi="Times New Roman"/>
          <w:sz w:val="16"/>
          <w:szCs w:val="16"/>
          <w:color w:val="auto"/>
        </w:rPr>
        <w:t>The truck rental industry is characterized by intense price and service competition. We compete with a large number of truck rental companies throughout the country, including U-Haul International, Inc., Penske Truck Leasing Corporation, Ryder System, Inc., Enterprise Rent-A-Car Company and many others.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Seasonality</w:t>
      </w:r>
    </w:p>
    <w:p>
      <w:pPr>
        <w:spacing w:after="0" w:line="175" w:lineRule="exact"/>
        <w:rPr>
          <w:sz w:val="20"/>
          <w:szCs w:val="20"/>
          <w:color w:val="auto"/>
        </w:rPr>
      </w:pPr>
    </w:p>
    <w:p>
      <w:pPr>
        <w:ind w:right="120"/>
        <w:spacing w:after="0" w:line="262" w:lineRule="auto"/>
        <w:rPr>
          <w:sz w:val="20"/>
          <w:szCs w:val="20"/>
          <w:color w:val="auto"/>
        </w:rPr>
      </w:pPr>
      <w:r>
        <w:rPr>
          <w:rFonts w:ascii="Times New Roman" w:cs="Times New Roman" w:eastAsia="Times New Roman" w:hAnsi="Times New Roman"/>
          <w:sz w:val="18"/>
          <w:szCs w:val="18"/>
          <w:color w:val="auto"/>
        </w:rPr>
        <w:t>Our truck rental operations are subject to seasonal demand patterns, with generally higher levels of demand occurring during the late spring and summer months when most self-moves occur, with the third quarter typically being our busiest quarter. Generally, December is also a strong month due to increased retail sales activity and package deliveries.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Ancillary Products and Insurance Coverages</w:t>
      </w:r>
    </w:p>
    <w:p>
      <w:pPr>
        <w:spacing w:after="0" w:line="175" w:lineRule="exact"/>
        <w:rPr>
          <w:sz w:val="20"/>
          <w:szCs w:val="20"/>
          <w:color w:val="auto"/>
        </w:rPr>
      </w:pPr>
    </w:p>
    <w:p>
      <w:pPr>
        <w:ind w:right="280"/>
        <w:spacing w:after="0" w:line="301" w:lineRule="auto"/>
        <w:rPr>
          <w:sz w:val="20"/>
          <w:szCs w:val="20"/>
          <w:color w:val="auto"/>
        </w:rPr>
      </w:pPr>
      <w:r>
        <w:rPr>
          <w:rFonts w:ascii="Times New Roman" w:cs="Times New Roman" w:eastAsia="Times New Roman" w:hAnsi="Times New Roman"/>
          <w:sz w:val="16"/>
          <w:szCs w:val="16"/>
          <w:color w:val="auto"/>
        </w:rPr>
        <w:t xml:space="preserve">We supplement our daily truck rental revenue by offering customers a range of ancillary optional products. We rent automobile towing equipment and other moving accessories such as hand trucks, furniture pads and moving supplies, as well as </w:t>
      </w:r>
      <w:r>
        <w:rPr>
          <w:rFonts w:ascii="Times New Roman" w:cs="Times New Roman" w:eastAsia="Times New Roman" w:hAnsi="Times New Roman"/>
          <w:sz w:val="16"/>
          <w:szCs w:val="16"/>
          <w:i w:val="1"/>
          <w:iCs w:val="1"/>
          <w:color w:val="auto"/>
        </w:rPr>
        <w:t>where2</w:t>
      </w:r>
      <w:r>
        <w:rPr>
          <w:rFonts w:ascii="Times New Roman" w:cs="Times New Roman" w:eastAsia="Times New Roman" w:hAnsi="Times New Roman"/>
          <w:sz w:val="16"/>
          <w:szCs w:val="16"/>
          <w:color w:val="auto"/>
        </w:rPr>
        <w:t xml:space="preserve"> GPS navigation units. We also make available to customers a range of optional liability-limiting products and coverages such as physical damage waivers, automobile towing protection, personal accident and cargo insurance, and supplemental liability insurance. These ancillary products enhance our appeal to consumers by offering customers “one-stop” moving services.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INSURANCE</w:t>
      </w:r>
    </w:p>
    <w:p>
      <w:pPr>
        <w:spacing w:after="0" w:line="17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generally assume the risk of liability to third parties arising from vehicle rental services in the United States, Canada, Puerto Rico and the U.S. Virgin Islands, in accordance with the minimum financial responsibility requirements and primacy of coverage laws of the relevant jurisdiction. Our general coverage typically extends up to $1 million per occurrence in the event of a negligent act on the part of the Company and this coverage is comprised of a combination of self-insurance and insurance coverage secured from an unaffiliated domestic insurance carrier. We retain exposure for up to $9 million per occurrence, in excess of the previously described $1 million level, through an unaffiliated fronting carrier that is reinsured by our offshore captive insurance company, Constellation Reinsurance Co., Ltd. We also purchase additional excess insurance coverage from a combination of unaffiliated excess carriers. When a customer elects to purchase optional additional and/or supplemental liability coverage, we generally assume the risk of liability up to either $1 million or $ 2 million, depending on the amount of the coverage purchased.</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insure the risk of liability to third parties in Argentina, Australia and New Zealand through a combination of unaffiliated carriers and one of our affiliates.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carriers provide coverage supplemental to minimum local requirements.</w:t>
      </w:r>
    </w:p>
    <w:p>
      <w:pPr>
        <w:spacing w:after="0" w:line="1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400"/>
          </w:cols>
          <w:pgMar w:left="240" w:top="455" w:right="259" w:bottom="1440" w:gutter="0" w:footer="0" w:header="0"/>
        </w:sectPr>
      </w:pPr>
    </w:p>
    <w:bookmarkStart w:id="18" w:name="page19"/>
    <w:bookmarkEnd w:id="1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IN CAREY HOLDINGS, INC.</w:t>
      </w:r>
    </w:p>
    <w:p>
      <w:pPr>
        <w:spacing w:after="0" w:line="173" w:lineRule="exact"/>
        <w:rPr>
          <w:sz w:val="20"/>
          <w:szCs w:val="20"/>
          <w:color w:val="auto"/>
        </w:rPr>
      </w:pPr>
    </w:p>
    <w:p>
      <w:pPr>
        <w:ind w:right="500"/>
        <w:spacing w:after="0" w:line="262" w:lineRule="auto"/>
        <w:rPr>
          <w:sz w:val="20"/>
          <w:szCs w:val="20"/>
          <w:color w:val="auto"/>
        </w:rPr>
      </w:pPr>
      <w:r>
        <w:rPr>
          <w:rFonts w:ascii="Times New Roman" w:cs="Times New Roman" w:eastAsia="Times New Roman" w:hAnsi="Times New Roman"/>
          <w:sz w:val="18"/>
          <w:szCs w:val="18"/>
          <w:color w:val="auto"/>
        </w:rPr>
        <w:t>We own a 47.9% interest in Carey Holdings, Inc., the parent company of Carey International, Inc., a leading worldwide provider of chauffeured ground transportation services. Carey operates in approximately 550 cities and 60 countries through a network of franchisees and alliance partners. Carey recorded operating losses in 2009, and we have reduced the carrying value of our investment to zero.</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TRADEMARKS AND INTELLECTUAL PROPERTY</w:t>
      </w:r>
    </w:p>
    <w:p>
      <w:pPr>
        <w:spacing w:after="0" w:line="173"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service marks “Avis” and “Budget”, related marks incorporating the words “Avis” or “Budget”, and related logos and marks such as “We try harder” are material to our vehicle rental business. Our subsidiaries, licensees and franchisees actively use these marks. All of the material marks used by the Avis and Budget Systems are registered (or have applications pending for registration) with the United States Patent and Trademark Office as well as all countries worldwide where Avis and Budget have operations. Our subsidiaries own the marks, patents and other intellectual property, including the Wizard System, used in our business.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DATA OF SEGMENTS AND GEOGRAPHIC AREAS</w:t>
      </w:r>
    </w:p>
    <w:p>
      <w:pPr>
        <w:spacing w:after="0" w:line="173" w:lineRule="exact"/>
        <w:rPr>
          <w:sz w:val="20"/>
          <w:szCs w:val="20"/>
          <w:color w:val="auto"/>
        </w:rPr>
      </w:pPr>
    </w:p>
    <w:p>
      <w:pPr>
        <w:ind w:right="60"/>
        <w:spacing w:after="0" w:line="275" w:lineRule="auto"/>
        <w:rPr>
          <w:sz w:val="20"/>
          <w:szCs w:val="20"/>
          <w:color w:val="auto"/>
        </w:rPr>
      </w:pPr>
      <w:r>
        <w:rPr>
          <w:rFonts w:ascii="Times New Roman" w:cs="Times New Roman" w:eastAsia="Times New Roman" w:hAnsi="Times New Roman"/>
          <w:sz w:val="18"/>
          <w:szCs w:val="18"/>
          <w:color w:val="auto"/>
        </w:rPr>
        <w:t>Financial data for our segments and geographic areas are reported in Note 24—Segment Information to our Consolidated Financial Statements included in Item 8 of this Annual Report on Form 10-K.</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w:t>
      </w:r>
    </w:p>
    <w:p>
      <w:pPr>
        <w:spacing w:after="0" w:line="173" w:lineRule="exact"/>
        <w:rPr>
          <w:sz w:val="20"/>
          <w:szCs w:val="20"/>
          <w:color w:val="auto"/>
        </w:rPr>
      </w:pPr>
    </w:p>
    <w:p>
      <w:pPr>
        <w:ind w:right="40"/>
        <w:spacing w:after="0" w:line="275" w:lineRule="auto"/>
        <w:rPr>
          <w:sz w:val="20"/>
          <w:szCs w:val="20"/>
          <w:color w:val="auto"/>
        </w:rPr>
      </w:pPr>
      <w:r>
        <w:rPr>
          <w:rFonts w:ascii="Times New Roman" w:cs="Times New Roman" w:eastAsia="Times New Roman" w:hAnsi="Times New Roman"/>
          <w:sz w:val="18"/>
          <w:szCs w:val="18"/>
          <w:color w:val="auto"/>
        </w:rPr>
        <w:t>We are subject to federal, state and local laws and regulations, including those relating to taxing and licensing of vehicles, franchising, consumer credit, consumer protection, environmental protection, insurance, privacy and labor matters.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Environmental</w:t>
      </w:r>
    </w:p>
    <w:p>
      <w:pPr>
        <w:spacing w:after="0" w:line="17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principal environmental regulatory requirements applicable to our vehicle rental operations relate to the ownership or use of tanks for the storage of petroleum products, such as gasoline, diesel fuel and waste oils; the treatment or discharge of waste waters; and the generation, storage, transportation and off-site treatment or disposal of solid or liquid wastes. We operate 428 Avis and Budget locations worldwide at which petroleum products are stored in underground or above-ground tanks. We have instituted an environmental compliance program designed to ensure that these tanks are in compliance with applicable technical and operational requirements, including the replacement and upgrade of underground tanks to comply with the December 1998 U.S. Environmental Protection Agency upgrade mandate and periodic testing and leak monitoring of underground storage tanks. We believe that the locations where we currently operate are in compliance, in all material respects, with such regulatory requirements.</w:t>
      </w:r>
    </w:p>
    <w:p>
      <w:pPr>
        <w:spacing w:after="0" w:line="141" w:lineRule="exact"/>
        <w:rPr>
          <w:sz w:val="20"/>
          <w:szCs w:val="20"/>
          <w:color w:val="auto"/>
        </w:rPr>
      </w:pPr>
    </w:p>
    <w:p>
      <w:pPr>
        <w:ind w:right="160"/>
        <w:spacing w:after="0" w:line="262" w:lineRule="auto"/>
        <w:rPr>
          <w:sz w:val="20"/>
          <w:szCs w:val="20"/>
          <w:color w:val="auto"/>
        </w:rPr>
      </w:pPr>
      <w:r>
        <w:rPr>
          <w:rFonts w:ascii="Times New Roman" w:cs="Times New Roman" w:eastAsia="Times New Roman" w:hAnsi="Times New Roman"/>
          <w:sz w:val="18"/>
          <w:szCs w:val="18"/>
          <w:color w:val="auto"/>
        </w:rPr>
        <w:t>We may also be subject to requirements related to the remediation of, or the liability for remediation of, substances that have been released into the environment at properties owned or operated by us or at properties to which we send substances for treatment or disposal. Such remediation requirements may be imposed without regard to fault, and liability for environmental remediation can be substantial.</w:t>
      </w:r>
    </w:p>
    <w:p>
      <w:pPr>
        <w:spacing w:after="0" w:line="132"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18"/>
          <w:szCs w:val="18"/>
          <w:color w:val="auto"/>
        </w:rPr>
        <w:t>We may be eligible for reimbursement or payment of remediation costs associated with future releases from regulated underground storage tanks and have established funds to assist in the payment of remediation costs for releases from certain registered underground tanks. Subject to certain deductibles, the availability of funds, compliance status of the tanks and the nature of the release, these tank funds may be available to us for use in remediating future releases from our tank systems.</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420"/>
          </w:cols>
          <w:pgMar w:left="240" w:top="455" w:right="239" w:bottom="1440" w:gutter="0" w:footer="0" w:header="0"/>
        </w:sectPr>
      </w:pPr>
    </w:p>
    <w:bookmarkStart w:id="19" w:name="page20"/>
    <w:bookmarkEnd w:id="1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 Damage Waivers</w:t>
      </w:r>
    </w:p>
    <w:p>
      <w:pPr>
        <w:spacing w:after="0" w:line="175"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A traditional revenue source for the vehicle rental industry has been the sale of loss damage waivers, by which rental companies agree to relieve a customer from financial responsibility arising from vehicle damage incurred during the rental period if there has been no breach of the rental agreement. Approximately 4% of our domestic car rental revenue during 2009 was generated by the sale of loss damage waivers. To date, 24 states have enacted legislation which requires disclosure to each customer at the time of rental that damage to the rented vehicle may be covered to some extent by the customer’s personal automobile insurance and that loss damage waivers may not be necessary. In addition, four states have statutes which establish or cap the daily rate that can be charged for loss damage waivers.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Insurance</w:t>
      </w:r>
    </w:p>
    <w:p>
      <w:pPr>
        <w:spacing w:after="0" w:line="175"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As a result of our reinsurance of the optional insurance coverages that we offer through an unaffiliated third party insurance company as well as other insurance obligations, we are subject to regulation under the insurance statutes, including insurance holding company statutes, of the jurisdictions in which our insurance company subsidiaries are domiciled. These regulations vary from jurisdiction to jurisdiction, but generally require insurance holding companies and insurers that are subsidiaries of insurance holding companies to register and file certain reports, including information concerning their capital structure, ownership, financial condition and general business operations with the regulatory authority of the applicable jurisdiction, and require prior regulatory agency approval of changes in control of an insurer and intra-corporate transfers of assets within the holding company structure. Such insurance statutes may also require that we obtain limited licenses to sell optional insurance coverage to our customers at the time of rental.</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Franchise Regulation</w:t>
      </w:r>
    </w:p>
    <w:p>
      <w:pPr>
        <w:spacing w:after="0" w:line="17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sale of franchises is regulated by various state laws, as well as by the Federal Trade Commission (the “FTC”). The FTC requires that franchisors make extensive disclosure to prospective franchisees but does not require registration. A number of states require registration or disclosure in connection with franchise offers and sales. In addition, several states have “franchise relationship laws” or “business opportunity laws” that limit the ability of the franchisor to terminate franchise agreements or to withhold consent to the renewal or transfer of these agreements. Although our franchising operations have not been materially adversely affected by such existing regulations, we cannot predict the effect of any future federal, state or local legislation or regulation.</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Privacy</w:t>
      </w:r>
    </w:p>
    <w:p>
      <w:pPr>
        <w:spacing w:after="0" w:line="175" w:lineRule="exact"/>
        <w:rPr>
          <w:sz w:val="20"/>
          <w:szCs w:val="20"/>
          <w:color w:val="auto"/>
        </w:rPr>
      </w:pPr>
    </w:p>
    <w:p>
      <w:pPr>
        <w:spacing w:after="0" w:line="293" w:lineRule="auto"/>
        <w:rPr>
          <w:sz w:val="20"/>
          <w:szCs w:val="20"/>
          <w:color w:val="auto"/>
        </w:rPr>
      </w:pPr>
      <w:r>
        <w:rPr>
          <w:rFonts w:ascii="Times New Roman" w:cs="Times New Roman" w:eastAsia="Times New Roman" w:hAnsi="Times New Roman"/>
          <w:sz w:val="16"/>
          <w:szCs w:val="16"/>
          <w:color w:val="auto"/>
        </w:rPr>
        <w:t>Laws in some countries and jurisdictions limit the types of information we may collect about individuals with whom we deal or propose to deal, as well as how we collect, retain and use the information that we are permitted to collect, some of which is non-public personally identifiable information. The centralized nature of our information systems requires the routine flow of information about customers and potential customers across national borders, particularly into the United States. If this flow of information were to become illegal, or subject to onerous restrictions, our ability to serve our customers could be seriously impaired for an extended period of time. In addition, our failure to maintain the security of the data we hold, whether as a result of our own error or the actions of others, could harm our reputation or give rise to legal liabilities leading to lower revenue, increased costs and otherwise adversely impact our results of operations.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w:t>
      </w:r>
    </w:p>
    <w:p>
      <w:pPr>
        <w:spacing w:after="0" w:line="173" w:lineRule="exact"/>
        <w:rPr>
          <w:sz w:val="20"/>
          <w:szCs w:val="20"/>
          <w:color w:val="auto"/>
        </w:rPr>
      </w:pPr>
    </w:p>
    <w:p>
      <w:pPr>
        <w:ind w:right="140"/>
        <w:spacing w:after="0" w:line="262" w:lineRule="auto"/>
        <w:rPr>
          <w:sz w:val="20"/>
          <w:szCs w:val="20"/>
          <w:color w:val="auto"/>
        </w:rPr>
      </w:pPr>
      <w:r>
        <w:rPr>
          <w:rFonts w:ascii="Times New Roman" w:cs="Times New Roman" w:eastAsia="Times New Roman" w:hAnsi="Times New Roman"/>
          <w:sz w:val="18"/>
          <w:szCs w:val="18"/>
          <w:color w:val="auto"/>
        </w:rPr>
        <w:t>As of December 31, 2009, we employed approximately 22,700 employees, of which approximately 8,000 were employed on a part-time basis. Approximately 26% of our employees are covered by collective bargaining agreements. We believe our employee relations are satisfactory. We have never experienced a large-scale work stoppage.</w:t>
      </w:r>
    </w:p>
    <w:p>
      <w:pPr>
        <w:spacing w:after="0" w:line="1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380"/>
          </w:cols>
          <w:pgMar w:left="240" w:top="455" w:right="279" w:bottom="1440" w:gutter="0" w:footer="0" w:header="0"/>
        </w:sectPr>
      </w:pPr>
    </w:p>
    <w:bookmarkStart w:id="20" w:name="page21"/>
    <w:bookmarkEnd w:id="2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INFORMATION</w:t>
      </w:r>
    </w:p>
    <w:p>
      <w:pPr>
        <w:spacing w:after="0" w:line="173" w:lineRule="exact"/>
        <w:rPr>
          <w:sz w:val="20"/>
          <w:szCs w:val="20"/>
          <w:color w:val="auto"/>
        </w:rPr>
      </w:pPr>
    </w:p>
    <w:p>
      <w:pPr>
        <w:ind w:right="80"/>
        <w:spacing w:after="0" w:line="284" w:lineRule="auto"/>
        <w:rPr>
          <w:sz w:val="20"/>
          <w:szCs w:val="20"/>
          <w:color w:val="auto"/>
        </w:rPr>
      </w:pPr>
      <w:r>
        <w:rPr>
          <w:rFonts w:ascii="Times New Roman" w:cs="Times New Roman" w:eastAsia="Times New Roman" w:hAnsi="Times New Roman"/>
          <w:sz w:val="16"/>
          <w:szCs w:val="16"/>
          <w:color w:val="auto"/>
        </w:rPr>
        <w:t>Our principal executive office is located at 6 Sylvan Way, Parsippany, New Jersey 07054 (telephone number: (973) 496-4700). We are subject to the informational requirements of the Securities Exchange Act of 1934, as amended, and in accordance therewith, we file reports, proxy and information statements and other information with the Commission and certain of our officers and directors file statements of changes in beneficial ownership on Form 4 with the Commission. Such reports (including our annual reports on Form 10-K, our quarterly reports on Form 10-Q, our current reports on Form 8-K and any amendments to such reports), proxy statements, other information and Form 4s can be accessed on our website at www.avisbudget.com as soon as reasonably practicable after we electronically file such material with, or furnish it to, the Commission. A copy of our Codes of Conduct and Ethics, as defined under</w:t>
      </w:r>
    </w:p>
    <w:p>
      <w:pPr>
        <w:spacing w:after="0" w:line="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Item 406 of Regulation S-K, including any amendments thereto or waivers thereof, Corporate Governance Guidelines, Director Independence Criteria and Board Committee Charters can also be accessed on our website.</w:t>
      </w:r>
    </w:p>
    <w:p>
      <w:pPr>
        <w:spacing w:after="0" w:line="11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320"/>
          </w:cols>
          <w:pgMar w:left="240" w:top="455" w:right="339" w:bottom="1440" w:gutter="0" w:footer="0" w:header="0"/>
        </w:sectPr>
      </w:pPr>
    </w:p>
    <w:bookmarkStart w:id="21" w:name="page22"/>
    <w:bookmarkEnd w:id="2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71"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8"/>
          <w:szCs w:val="18"/>
          <w:i w:val="1"/>
          <w:iCs w:val="1"/>
          <w:color w:val="auto"/>
        </w:rPr>
        <w:t>You should carefully consider each of the following risks and all of the other information set forth in this Annual Report on Form 10-K. Based on the information currently known to us, we believe that the following information identifies the most significant risk factors affecting our Company in each of these categories of risk. However, the risks and uncertainties our Company faces are not limited to those described below. Additional risks and uncertainties not presently known to us or that we currently believe to be immaterial may also adversely affect our business. Past financial performance may not be a reliable indicator of future performance and historical trends should not be used to anticipate results or trends in future periods.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169" w:lineRule="exact"/>
        <w:rPr>
          <w:sz w:val="20"/>
          <w:szCs w:val="20"/>
          <w:color w:val="auto"/>
        </w:rPr>
      </w:pPr>
    </w:p>
    <w:p>
      <w:pPr>
        <w:ind w:right="12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The high level of competition in the vehicle rental industry may lead to reduced rental volumes and increased pricing pressure, which could have an adverse impact on our results of operations.</w:t>
      </w:r>
    </w:p>
    <w:p>
      <w:pPr>
        <w:spacing w:after="0" w:line="11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vehicle rental industry in which we operate is highly competitive. We believe that price is one of the primary competitive factors in the vehicle rental industry. Our competitors, some of whom may have access to substantial capital, may seek to compete aggressively on the basis of pricing. In 2009 we implemented strategic price increases to offset lower demand and may seek to increase price in the future. To the extent our competitors reduce their pricing or our recent or future price increases are not competitive, our results of operations could be adversely impacted. To the extent that we do not match or remain within a reasonable competitive margin of our competitors’ pricing, it could also have an adverse impact on our results of operations, as we may lose rental volume. We could be further impacted if we are unable to adjust the size of our rental fleet in response to fluctuations in demand.</w:t>
      </w:r>
    </w:p>
    <w:p>
      <w:pPr>
        <w:spacing w:after="0" w:line="13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risk of competition on the basis of pricing in the truck rental industry can be even more intense than in the car rental industry because it can be more difficult to reduce the size of our truck rental fleet in response to reduced demand. The Internet has increased pricing transparency among vehicle rental companies by enabling cost-conscious customers to more easily obtain and compare the rates available from various vehicle rental companies for any given rental. This transparency may increase the prevalence and intensity of price competition in the future.</w:t>
      </w:r>
    </w:p>
    <w:p>
      <w:pPr>
        <w:spacing w:after="0" w:line="132" w:lineRule="exact"/>
        <w:rPr>
          <w:sz w:val="20"/>
          <w:szCs w:val="20"/>
          <w:color w:val="auto"/>
        </w:rPr>
      </w:pPr>
    </w:p>
    <w:p>
      <w:pPr>
        <w:ind w:right="42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We face risks of increased fleet costs, both generally and due to the possibility that manufacturers could change or cease their repurchase or guaranteed depreciation programs.</w:t>
      </w:r>
    </w:p>
    <w:p>
      <w:pPr>
        <w:spacing w:after="0" w:line="11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Fleet costs, which represent our largest single expense, represented approximately 29% of our aggregate expenses for 2009 and can vary from year to year based on the prices at which we are able to purchase and dispose of rental vehicles. For 2009 and 2008, approximately 55% and 58%, respectively, of the rental cars purchased for our domestic car fleet were the subject of agreements requiring automobile manufacturers to repurchase them or guarantee the depreciation rate for a specified period of time. We refer to cars subject to such agreements as “program” cars. Under these repurchase and guaranteed depreciation programs, automobile manufacturers agree to repurchase cars at a specified price during a specified time period or guarantee the rate of depreciation for a specified period of time, typically subject to certain car condition and mileage requirements. These programs therefore enable us to determine, in advance, our depreciation expense, which is a significant cost factor in our car rental operations. Repurchase and guaranteed depreciation programs also limit the risk to us that the market value of a car, at the time of its disposition, will be less than its estimated residual (or depreciated) value; however, such programs result in additional exposure to the manufacturers with whom we have such agreements. See “We face risks related to the financial condition of automobile manufacturers and the used vehicle marketplace”.</w:t>
      </w:r>
    </w:p>
    <w:p>
      <w:pPr>
        <w:spacing w:after="0" w:line="141" w:lineRule="exact"/>
        <w:rPr>
          <w:sz w:val="20"/>
          <w:szCs w:val="20"/>
          <w:color w:val="auto"/>
        </w:rPr>
      </w:pPr>
    </w:p>
    <w:p>
      <w:pPr>
        <w:jc w:val="both"/>
        <w:ind w:right="180"/>
        <w:spacing w:after="0" w:line="262" w:lineRule="auto"/>
        <w:rPr>
          <w:sz w:val="20"/>
          <w:szCs w:val="20"/>
          <w:color w:val="auto"/>
        </w:rPr>
      </w:pPr>
      <w:r>
        <w:rPr>
          <w:rFonts w:ascii="Times New Roman" w:cs="Times New Roman" w:eastAsia="Times New Roman" w:hAnsi="Times New Roman"/>
          <w:sz w:val="18"/>
          <w:szCs w:val="18"/>
          <w:color w:val="auto"/>
        </w:rPr>
        <w:t>Automobile manufacturers may not continue to sell cars to us subject to repurchase or guaranteed depreciation programs at all or on terms consistent with past practice. The overall cost of cars subject to these programs could also increase if the manufacturers were to make changes to such programs, particularly if such changes were to</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420"/>
          </w:cols>
          <w:pgMar w:left="240" w:top="455" w:right="239" w:bottom="1440" w:gutter="0" w:footer="0" w:header="0"/>
        </w:sectPr>
      </w:pPr>
    </w:p>
    <w:bookmarkStart w:id="22" w:name="page23"/>
    <w:bookmarkEnd w:id="2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result in an adverse impact in the repurchase price or guaranteed depreciation without a corresponding decrease to the original purchase price. Repurchase or guaranteed depreciation programs also generally provide us with flexibility to reduce the size of our fleet rapidly in response to an economic slowdown or changes in demand by returning cars sooner than originally expected. This flexibility may be reduced in the future to the extent the percentage of program cars in our car rental fleet decreases or this feature of repurchase or guaranteed depreciation programs is altered.</w:t>
      </w:r>
    </w:p>
    <w:p>
      <w:pPr>
        <w:spacing w:after="0" w:line="13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Our per-unit fleet costs could also increase if we decide to purchase fewer vehicles than previously agreed to, as we receive payments from manufacturers, known as “incentive payments”, following the purchase of some of our vehicles once certain conditions are met such as reaching certain purchase volumes, or if manufacturers eliminate or reduce the terms of these incentive programs. Our failure to purchase pre-determined volumes of cars for our rental fleet, or an elimination of or reduction in incentive payments, could cause our per-unit fleet costs to increase substantially and adversely impact our financial condition and results of operations.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risks related to the financial condition of automobile manufacturers and the used vehicle marketplace.</w:t>
      </w:r>
    </w:p>
    <w:p>
      <w:pPr>
        <w:spacing w:after="0" w:line="175"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As noted above, approximately 55% of the rental cars acquired for our domestic car fleet in 2009 are program cars and we also receive incentive payments from manufacturers following the purchase of some of our vehicles once certain conditions are met such as reaching certain purchase volumes. Failure by a manufacturer to fulfill its obligations on any repurchase or guaranteed depreciation agreement or incentive payment obligation could leave us with a substantial unpaid claim against the manufacturer particularly with respect to program cars that were either (i) resold for an amount less than the amount guaranteed under the applicable agreement and therefore subject to a “true-up” payment obligation from the manufacturer or (ii) returned to the manufacturer but for which we were not yet paid and therefore we could incur a substantial loss as a result of such failure to perform.</w:t>
      </w:r>
    </w:p>
    <w:p>
      <w:pPr>
        <w:spacing w:after="0" w:line="139" w:lineRule="exact"/>
        <w:rPr>
          <w:sz w:val="20"/>
          <w:szCs w:val="20"/>
          <w:color w:val="auto"/>
        </w:rPr>
      </w:pPr>
    </w:p>
    <w:p>
      <w:pPr>
        <w:ind w:right="100"/>
        <w:spacing w:after="0" w:line="290" w:lineRule="auto"/>
        <w:rPr>
          <w:sz w:val="20"/>
          <w:szCs w:val="20"/>
          <w:color w:val="auto"/>
        </w:rPr>
      </w:pPr>
      <w:r>
        <w:rPr>
          <w:rFonts w:ascii="Times New Roman" w:cs="Times New Roman" w:eastAsia="Times New Roman" w:hAnsi="Times New Roman"/>
          <w:sz w:val="16"/>
          <w:szCs w:val="16"/>
          <w:color w:val="auto"/>
        </w:rPr>
        <w:t>Approximately 32%, 20% and 8% of the cars we acquired in 2009 were manufactured by General Motors, Ford and Chrysler, respectively. More than 60% of these cars, and a portion of our cars manufactured by foreign manufacturers, are program cars. The auto industry has been adversely impacted by the economic recession, which seriously challenged U.S. automakers and ultimately led to filings for Chapter 11 bankruptcy protection by Chrysler and General Motors in 2009. We could incur material expenses if, following a manufacturer default under its agreements with us as a result of bankruptcy proceedings or otherwise, the prices at which we were able to dispose of program cars were less than the specified prices under the repurchase or guaranteed depreciation program. The effect may be magnified because we typically pay the manufacturer of a program car more than we would pay to buy the same car as a non-program, or “risk”, vehicle and because we depreciate a program car to the repurchase price or the guaranteed depreciation agreed to by the manufacturer. This price does not take into consideration conditions in such marketplace and is usually therefore higher than the price that would be available in the used car marketplace.</w:t>
      </w:r>
    </w:p>
    <w:p>
      <w:pPr>
        <w:spacing w:after="0" w:line="112" w:lineRule="exact"/>
        <w:rPr>
          <w:sz w:val="20"/>
          <w:szCs w:val="20"/>
          <w:color w:val="auto"/>
        </w:rPr>
      </w:pPr>
    </w:p>
    <w:p>
      <w:pPr>
        <w:spacing w:after="0" w:line="310" w:lineRule="auto"/>
        <w:rPr>
          <w:sz w:val="20"/>
          <w:szCs w:val="20"/>
          <w:color w:val="auto"/>
        </w:rPr>
      </w:pPr>
      <w:r>
        <w:rPr>
          <w:rFonts w:ascii="Times New Roman" w:cs="Times New Roman" w:eastAsia="Times New Roman" w:hAnsi="Times New Roman"/>
          <w:sz w:val="16"/>
          <w:szCs w:val="16"/>
          <w:color w:val="auto"/>
        </w:rPr>
        <w:t>We currently sell non-program vehicles through auctions, third-party resellers and other channels in the used vehicle marketplace. Such channels may not produce stable used vehicle prices. A reduction in residual values for both non-program cars and trucks in our vehicle rental fleet could cause us to sustain a substantial loss on the ultimate sale of non-program cars and trucks or require us to depreciate those cars and trucks at a more accelerated rate while we own them.</w:t>
      </w:r>
    </w:p>
    <w:p>
      <w:pPr>
        <w:spacing w:after="0" w:line="97"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Any reduction in the value of our fleet could effectively increase our fleet costs, adversely impact our profitability and potentially lead to decreased capacity in our asset backed car rental funding facilities due to the collateral requirements for such facilities which effectively increase as market values for vehicles decrease. In addition, if our ability to sell vehicles in the used vehicle marketplace were to become severely limited at a time when required collateral levels were rising, principal under our asset-backed financing facilities may be required to be repaid sooner than anticipated with vehicle disposition proceeds and lease payments we make to our vehicle program subsidiaries. If that were to occur, the holders of our asset-backed debt may have the ability to exercise their right to direct the trustee to foreclose on and sell vehicles to generate proceeds sufficient to repay such debt.</w:t>
      </w:r>
    </w:p>
    <w:p>
      <w:pPr>
        <w:spacing w:after="0" w:line="1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400"/>
          </w:cols>
          <w:pgMar w:left="240" w:top="455" w:right="259" w:bottom="1440" w:gutter="0" w:footer="0" w:header="0"/>
        </w:sectPr>
      </w:pPr>
    </w:p>
    <w:bookmarkStart w:id="23" w:name="page24"/>
    <w:bookmarkEnd w:id="2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risks associated with sourcing vehicles for our fleet and potential safety recalls affecting vehicles in our fleet.</w:t>
      </w:r>
    </w:p>
    <w:p>
      <w:pPr>
        <w:spacing w:after="0" w:line="175"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We currently source our vehicles from both U.S. and non-U.S. auto manufacturers, including General Motors, Ford, Chrysler, Hyundai, Nissan, Kia and Toyota. To the extent these or other auto manufacturers significantly curtail production, or determine to curtail sales to us or the vehicle rental industry for any reason, we may not be able to obtain a sufficient number of vehicles to operate our business without significantly increasing our fleet costs. In addition, our vehicles may be subject to safety recalls by their manufacturers, which could have a similar impact on our business if we remove such recalled vehicles from our rentable fleet. If a large number of cars were to be the subject of simultaneous recalls, or if needed replacement parts are not in adequate supply, we may not be able to re-rent recalled cars for a significant period of time. We could also face liability claims related to vehicles subject to a safety recall. Depending on the nature and severity of the recall, it could adversely affect our revenues, create customer service problems, reduce the residual value of the cars involved, harm our general reputation and/or have an adverse effect on our financial condition and results of operations.</w:t>
      </w:r>
    </w:p>
    <w:p>
      <w:pPr>
        <w:spacing w:after="0" w:line="134" w:lineRule="exact"/>
        <w:rPr>
          <w:sz w:val="20"/>
          <w:szCs w:val="20"/>
          <w:color w:val="auto"/>
        </w:rPr>
      </w:pPr>
    </w:p>
    <w:p>
      <w:pPr>
        <w:ind w:right="22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We have been adversely impacted by the recession in the U.S. economy, weakness in travel demand and the housing market and could be further adversely impacted.</w:t>
      </w:r>
    </w:p>
    <w:p>
      <w:pPr>
        <w:spacing w:after="0" w:line="11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U.S. economy was in recession for at least the first half of 2009, and economic conditions may not improve significantly in 2010. Historically, our results of operations have declined during periods of general economic weakness and the effects of the recession contributed to our year-over-year revenue decline. If economic conditions in the United States and worldwide do not improve or worsen, our financial condition and results of operations could be adversely impacted in 2010 and beyond. For example, the economic recession led to reduced travel demand, with many U.S. airlines having implemented capacity reductions and many companies curtailing business travel. In 2009, we generated approximately 81% of our domestic car rental revenue from our on-airport locations; therefore, a decline in airline travel will typically have a direct adverse impact on our results of operations. Significant airline capacity reductions, such as the reductions implemented by certain airlines in 2009, airfare increases (e.g., due to capacity reduction or an increase in fuel costs), any event that disrupts or reduces business or leisure air travel, and work stoppages, military conflicts, terrorist incidents, natural disasters, epidemic diseases, or the response of governments to any of these events could result in reduced air travel and have an adverse effect on our results of operations.</w:t>
      </w:r>
    </w:p>
    <w:p>
      <w:pPr>
        <w:spacing w:after="0" w:line="143" w:lineRule="exact"/>
        <w:rPr>
          <w:sz w:val="20"/>
          <w:szCs w:val="20"/>
          <w:color w:val="auto"/>
        </w:rPr>
      </w:pPr>
    </w:p>
    <w:p>
      <w:pPr>
        <w:ind w:right="260"/>
        <w:spacing w:after="0" w:line="262" w:lineRule="auto"/>
        <w:rPr>
          <w:sz w:val="20"/>
          <w:szCs w:val="20"/>
          <w:color w:val="auto"/>
        </w:rPr>
      </w:pPr>
      <w:r>
        <w:rPr>
          <w:rFonts w:ascii="Times New Roman" w:cs="Times New Roman" w:eastAsia="Times New Roman" w:hAnsi="Times New Roman"/>
          <w:sz w:val="18"/>
          <w:szCs w:val="18"/>
          <w:color w:val="auto"/>
        </w:rPr>
        <w:t>Revenue for our truck rental operations declined in 2009, in part, because the housing market, a key driver of both local rentals and one-way truck rentals, has also experienced a prolonged, severe downturn. If adverse conditions in the housing market persist or worsen, we may see a further decline in truck rental transactions, which could have a further adverse impact on our business.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dependent on third-party distribution channels, and the success of our business depends in significant part on these relationships.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generate approximately 45% of our domestic car rental reservations through third-party distribution channels, which include:</w:t>
      </w:r>
    </w:p>
    <w:p>
      <w:pPr>
        <w:spacing w:after="0" w:line="212" w:lineRule="exact"/>
        <w:rPr>
          <w:sz w:val="20"/>
          <w:szCs w:val="20"/>
          <w:color w:val="auto"/>
        </w:rPr>
      </w:pPr>
    </w:p>
    <w:p>
      <w:pPr>
        <w:ind w:left="780" w:right="120" w:hanging="326"/>
        <w:spacing w:after="0" w:line="275" w:lineRule="auto"/>
        <w:tabs>
          <w:tab w:leader="none" w:pos="7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traditional and online travel agencies, airlines and hotel companies, marketing partners such as credit card companies and membership organizations, and other entities that help us attract customers; and</w:t>
      </w:r>
    </w:p>
    <w:p>
      <w:pPr>
        <w:spacing w:after="0" w:line="160" w:lineRule="exact"/>
        <w:rPr>
          <w:rFonts w:ascii="Times New Roman" w:cs="Times New Roman" w:eastAsia="Times New Roman" w:hAnsi="Times New Roman"/>
          <w:sz w:val="18"/>
          <w:szCs w:val="18"/>
          <w:color w:val="auto"/>
        </w:rPr>
      </w:pPr>
    </w:p>
    <w:p>
      <w:pPr>
        <w:ind w:left="780" w:right="680" w:hanging="326"/>
        <w:spacing w:after="0" w:line="275" w:lineRule="auto"/>
        <w:tabs>
          <w:tab w:leader="none" w:pos="7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distribution systems, such as Amadeus, Galileo, Sabre and Worldspan (“GDS”) that connect travel agents, travel service providers and corporations to our reservations systems.</w:t>
      </w:r>
    </w:p>
    <w:p>
      <w:pPr>
        <w:spacing w:after="0" w:line="120"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8"/>
          <w:szCs w:val="18"/>
          <w:color w:val="auto"/>
        </w:rPr>
        <w:t>In 2009, approximately 17% and 2% of our domestic car rental reservations came through our largest GDS source and our largest non-GDS third-party source of reservations, respectively. The operators of some third-party distribution channels can cancel or modify their agreements with us upon relatively short notice. Changes in our pricing agreements, commission schedules or arrangements with third-party distribution channels, the</w:t>
      </w:r>
    </w:p>
    <w:p>
      <w:pPr>
        <w:spacing w:after="0" w:line="11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380"/>
          </w:cols>
          <w:pgMar w:left="240" w:top="455" w:right="279" w:bottom="1440" w:gutter="0" w:footer="0" w:header="0"/>
        </w:sectPr>
      </w:pPr>
    </w:p>
    <w:bookmarkStart w:id="24" w:name="page25"/>
    <w:bookmarkEnd w:id="2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termination of any of our relationships or a reduction in the transaction volume of such channels, or a GDS’s inability to process and communicate reservations to us could have an adverse impact on our business, financial condition and results of operations.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is seasonal, and a disruption in rental activity during our peak season could adversely affect our results of operations.</w:t>
      </w:r>
    </w:p>
    <w:p>
      <w:pPr>
        <w:spacing w:after="0" w:line="175"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Seasonal changes in our revenues do not alter certain of our expenses, like rent and insurance, that are fixed in the short run, typically resulting in higher profitability in periods when our revenues are higher and lower profitability in periods when our revenues are lower. In our business, the third quarter of the year has historically been our strongest quarter due to the increased level of leisure travel and household moving activity. In 2009, the third quarter accounted for 29% of our total revenue for each of our Domestic Car Rental, International Car Rental and Truck Rental segments and was our most profitable quarter for each of our segments as measured by EBITDA. Any circumstance or occurrence that disrupts rental activity during the third quarter could have a disproportionately adverse impact on our financial condition and our results of operations.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successful in maintaining or further implementing our cost savings and efficiency improvements or other business strategies.</w:t>
      </w:r>
    </w:p>
    <w:p>
      <w:pPr>
        <w:spacing w:after="0" w:line="175"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In light of the economic recession, we undertook numerous actions in 2009 designed to reduce costs and improve efficiency. We closed and consolidated certain facilities and reduced staff in conjunction with this initiative. While we intend to maintain these cost savings and pursue additional cost efficiencies through continued implementation of our Performance Excellence process improvement initiative and other actions, if we are unable to effectively control costs through these actions, our financial condition and results of operations could be adversely impacted.</w:t>
      </w:r>
    </w:p>
    <w:p>
      <w:pPr>
        <w:spacing w:after="0" w:line="13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 xml:space="preserve">Similarly, we have been increasing the ancillary revenues associated with our vehicle rental business, such as revenue from selling insurance coverages and </w:t>
      </w:r>
      <w:r>
        <w:rPr>
          <w:rFonts w:ascii="Times New Roman" w:cs="Times New Roman" w:eastAsia="Times New Roman" w:hAnsi="Times New Roman"/>
          <w:sz w:val="18"/>
          <w:szCs w:val="18"/>
          <w:i w:val="1"/>
          <w:iCs w:val="1"/>
          <w:color w:val="auto"/>
        </w:rPr>
        <w:t xml:space="preserve">where2 </w:t>
      </w:r>
      <w:r>
        <w:rPr>
          <w:rFonts w:ascii="Times New Roman" w:cs="Times New Roman" w:eastAsia="Times New Roman" w:hAnsi="Times New Roman"/>
          <w:sz w:val="18"/>
          <w:szCs w:val="18"/>
          <w:color w:val="auto"/>
        </w:rPr>
        <w:t>GPS navigation rentals. Part of our strategy is to continue to grow such ancillary revenues. We expect to execute this strategy through additional ancillary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product offerings, as well as the continued marketing of existing products. If we are unable to grow ancillary revenue, properly react to changes in market conditions or successfully market to our customers, our financial condition, results of operations and cash flows could be adversely affected.</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derivative instruments may impact our results of operations.</w:t>
      </w:r>
    </w:p>
    <w:p>
      <w:pPr>
        <w:spacing w:after="0" w:line="17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utilize derivative instruments to manage a portion of our risk related to fluctuations in interest rates, gas prices and foreign exchange rates. The derivative instruments we use are typically in the form of interest rate and commodity swaps and foreign exchange forwards. Periodically, we are required to determine the change in fair value, called the “mark to market,” of these derivative instruments, which can result in a non-cash charge or gain being recognized in our financial results for a period preceding the period or periods in which settlement occurs under the derivative instruments and, for example, interest payments are made. Changes or shifts in interest rates, gas prices and foreign exchange rates can significantly impact the valuation of our derivatives and therefore could expose us to substantial mark-to-market losses or gains if such rates or prices fluctuate materially from the time the derivatives were entered into. Accordingly, a fluctuation in such rates or prices may impact our financial position, results of operations and cash flows. In addition, volatility in rates and prices can also impact the cost and effectiveness of our derivative instruments in managing our risks. To the extent any of our derivatives were to result in a gain upon settlement, we would be exposed to credit risk of the counterparties to such derivatives, which are typically large financial institutions.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exposed to fluctuations in foreign exchange rates, which may adversely affect our results of operations.</w:t>
      </w:r>
    </w:p>
    <w:p>
      <w:pPr>
        <w:spacing w:after="0" w:line="175" w:lineRule="exact"/>
        <w:rPr>
          <w:sz w:val="20"/>
          <w:szCs w:val="20"/>
          <w:color w:val="auto"/>
        </w:rPr>
      </w:pPr>
    </w:p>
    <w:p>
      <w:pPr>
        <w:ind w:right="160"/>
        <w:spacing w:after="0" w:line="275" w:lineRule="auto"/>
        <w:rPr>
          <w:sz w:val="20"/>
          <w:szCs w:val="20"/>
          <w:color w:val="auto"/>
        </w:rPr>
      </w:pPr>
      <w:r>
        <w:rPr>
          <w:rFonts w:ascii="Times New Roman" w:cs="Times New Roman" w:eastAsia="Times New Roman" w:hAnsi="Times New Roman"/>
          <w:sz w:val="18"/>
          <w:szCs w:val="18"/>
          <w:color w:val="auto"/>
        </w:rPr>
        <w:t>Certain of our international operations generate revenue and incur operating costs in currencies other than the U.S. dollar, including our operations in Australia, Canada and New Zealand. In addition, the financial position and</w:t>
      </w:r>
    </w:p>
    <w:p>
      <w:pPr>
        <w:spacing w:after="0" w:line="1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380"/>
          </w:cols>
          <w:pgMar w:left="240" w:top="455" w:right="279" w:bottom="1440" w:gutter="0" w:footer="0" w:header="0"/>
        </w:sectPr>
      </w:pPr>
    </w:p>
    <w:bookmarkStart w:id="25" w:name="page26"/>
    <w:bookmarkEnd w:id="2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140"/>
        <w:spacing w:after="0" w:line="296" w:lineRule="auto"/>
        <w:rPr>
          <w:sz w:val="20"/>
          <w:szCs w:val="20"/>
          <w:color w:val="auto"/>
        </w:rPr>
      </w:pPr>
      <w:r>
        <w:rPr>
          <w:rFonts w:ascii="Times New Roman" w:cs="Times New Roman" w:eastAsia="Times New Roman" w:hAnsi="Times New Roman"/>
          <w:sz w:val="16"/>
          <w:szCs w:val="16"/>
          <w:color w:val="auto"/>
        </w:rPr>
        <w:t>results of operations of some of our foreign subsidiaries are reported in the relevant local currency and then translated to U.S. dollars at the applicable currency exchange rate for inclusion in our consolidated financial statements. Changes in exchange rates between these foreign currencies and the U.S. dollar will affect the recorded levels of our assets and liabilities, to the extent such figures reflect the inclusion of foreign assets and liabilities that are translated into U.S. dollars for presentation in our financial statements, as well as our results of operations. While we take steps to manage our currency exposure, we cannot accurately predict the nature or extent of future exchange rate variability, which could adversely impact our results of operations and financial position.</w:t>
      </w:r>
    </w:p>
    <w:p>
      <w:pPr>
        <w:spacing w:after="0" w:line="104" w:lineRule="exact"/>
        <w:rPr>
          <w:sz w:val="20"/>
          <w:szCs w:val="20"/>
          <w:color w:val="auto"/>
        </w:rPr>
      </w:pPr>
    </w:p>
    <w:p>
      <w:pPr>
        <w:ind w:right="60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Acquisitions of existing Avis or Budget franchisees, or acquisitions or investments in other businesses could have an adverse impact on our results of operations.</w:t>
      </w:r>
    </w:p>
    <w:p>
      <w:pPr>
        <w:spacing w:after="0" w:line="11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have acquired and may acquire existing franchisees and/or other businesses in the future and have invested in and may further invest in other businesses. These acquisitions and investments may involve numerous risks, including those associated with integrating operations, technology and personnel into our business, potential disruption of our ongoing business and distraction of management, and exposure to existing as well as unknown liabilities, including litigation involving the acquired entity. Such acquisitions and/or investments may not be accretive to our earnings and may negatively impact our financial condition and results of operations.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risks arising from our heavy reliance on communications networks and centralized information systems.</w:t>
      </w:r>
    </w:p>
    <w:p>
      <w:pPr>
        <w:spacing w:after="0" w:line="175"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We rely heavily on information systems, including our reservation system, to accept reservations, process rental and sales transactions, manage our fleet of vehicles, account for our activities and otherwise conduct our business. We have centralized our information systems, and we rely on communications service providers to link our systems with the business locations these systems serve. A failure of a major system, or a major disruption of communications between the system and the locations it serves, could cause a loss of reservations, interfere with our ability to manage our fleet, slow rental and sales processes, and otherwise adversely affect our ability to manage our business effectively. Our systems’ business continuity plans and insurance programs seek to mitigate such a risk, not eliminate it.</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risks related to liability and insurance.</w:t>
      </w:r>
    </w:p>
    <w:p>
      <w:pPr>
        <w:spacing w:after="0" w:line="175"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Our businesses expose us to claims for personal injury, death and property damage related to the use of our vehicles and for workers’ compensation claims and other employment-related claims by our employees. We may become exposed to uninsured liability at levels in excess of our historical levels resulting from unusually high losses or otherwise. In addition, liabilities in respect of existing or future claims may exceed the level of our reserves and/or our insurance, which could adversely impact our financial condition and results of operations. Furthermore, insurance with unaffiliated carriers may not continue to be available to us on economically reasonable terms or at all.</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Environmental regulations could subject us to liability for fines or damages.</w:t>
      </w:r>
    </w:p>
    <w:p>
      <w:pPr>
        <w:spacing w:after="0" w:line="175"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We are subject to federal, state, local and foreign environmental laws and regulations in connection with our operations, including, among other things, with respect to the ownership and operation of tanks for the storage of petroleum products, such as gasoline, diesel fuel and motor and waste oils. We have established a compliance program for our tank systems that is intended to ensure that the tanks are properly registered with the state or other jurisdiction in which the tanks are located and have been either replaced or upgraded to meet applicable leak detection and spill, overfill, corrosion protection and vapor recovery requirements. These tank systems may not at all times remain free from undetected leaks, and the use of these tanks may result in significant spills, which may expose us to material liabilities.</w:t>
      </w:r>
    </w:p>
    <w:p>
      <w:pPr>
        <w:spacing w:after="0" w:line="139" w:lineRule="exact"/>
        <w:rPr>
          <w:sz w:val="20"/>
          <w:szCs w:val="20"/>
          <w:color w:val="auto"/>
        </w:rPr>
      </w:pPr>
    </w:p>
    <w:p>
      <w:pPr>
        <w:ind w:right="500"/>
        <w:spacing w:after="0" w:line="275" w:lineRule="auto"/>
        <w:rPr>
          <w:sz w:val="20"/>
          <w:szCs w:val="20"/>
          <w:color w:val="auto"/>
        </w:rPr>
      </w:pPr>
      <w:r>
        <w:rPr>
          <w:rFonts w:ascii="Times New Roman" w:cs="Times New Roman" w:eastAsia="Times New Roman" w:hAnsi="Times New Roman"/>
          <w:sz w:val="18"/>
          <w:szCs w:val="18"/>
          <w:color w:val="auto"/>
        </w:rPr>
        <w:t>We have made, and will continue to make, expenditures to comply with environmental laws and regulations, including, among others, expenditures for the cleanup of contamination at our owned and leased properties, as</w:t>
      </w:r>
    </w:p>
    <w:p>
      <w:pPr>
        <w:spacing w:after="0" w:line="10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360"/>
          </w:cols>
          <w:pgMar w:left="240" w:top="455" w:right="299" w:bottom="1440" w:gutter="0" w:footer="0" w:header="0"/>
        </w:sectPr>
      </w:pPr>
    </w:p>
    <w:bookmarkStart w:id="26" w:name="page27"/>
    <w:bookmarkEnd w:id="2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spacing w:after="0" w:line="339" w:lineRule="auto"/>
        <w:rPr>
          <w:sz w:val="20"/>
          <w:szCs w:val="20"/>
          <w:color w:val="auto"/>
        </w:rPr>
      </w:pPr>
      <w:r>
        <w:rPr>
          <w:rFonts w:ascii="Times New Roman" w:cs="Times New Roman" w:eastAsia="Times New Roman" w:hAnsi="Times New Roman"/>
          <w:sz w:val="16"/>
          <w:szCs w:val="16"/>
          <w:color w:val="auto"/>
        </w:rPr>
        <w:t>well as contamination at other locations at which our wastes have reportedly been identified. Our compliance with existing or future environmental laws and regulations may, however, require material expenditures by us or otherwise have an adverse impact on our financial position, results of operations and cash flows.</w:t>
      </w:r>
    </w:p>
    <w:p>
      <w:pPr>
        <w:spacing w:after="0" w:line="70" w:lineRule="exact"/>
        <w:rPr>
          <w:sz w:val="20"/>
          <w:szCs w:val="20"/>
          <w:color w:val="auto"/>
        </w:rPr>
      </w:pPr>
    </w:p>
    <w:p>
      <w:pPr>
        <w:jc w:val="both"/>
        <w:ind w:right="220"/>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Changes in the U.S. and foreign legal and regulatory environment that affect our operations, including laws and regulations relating to the environment, insurance products we sell, consumer privacy, data security, employment matters, taxes, automobile-related liability and insurance rates, could disrupt our business, increase our expenses or otherwise have an adverse impact on our results of operations.</w:t>
      </w:r>
    </w:p>
    <w:p>
      <w:pPr>
        <w:spacing w:after="0" w:line="1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are subject to a wide variety of laws and regulations in the United States and the other countries and jurisdictions in which we operate, and changes in the level of government regulation of our business have the potential to materially alter our business practices, financial position and results of operations. Depending on the jurisdiction, those changes may come about through new legislation, the issuance of new laws and regulations or changes in the interpretation of existing laws and regulations by a court, regulatory body or governmental official.</w:t>
      </w:r>
    </w:p>
    <w:p>
      <w:pPr>
        <w:spacing w:after="0" w:line="136" w:lineRule="exact"/>
        <w:rPr>
          <w:sz w:val="20"/>
          <w:szCs w:val="20"/>
          <w:color w:val="auto"/>
        </w:rPr>
      </w:pPr>
    </w:p>
    <w:p>
      <w:pPr>
        <w:spacing w:after="0" w:line="293" w:lineRule="auto"/>
        <w:rPr>
          <w:sz w:val="20"/>
          <w:szCs w:val="20"/>
          <w:color w:val="auto"/>
        </w:rPr>
      </w:pPr>
      <w:r>
        <w:rPr>
          <w:rFonts w:ascii="Times New Roman" w:cs="Times New Roman" w:eastAsia="Times New Roman" w:hAnsi="Times New Roman"/>
          <w:sz w:val="16"/>
          <w:szCs w:val="16"/>
          <w:color w:val="auto"/>
        </w:rPr>
        <w:t>Optional insurance products, including, but not limited to, supplemental liability insurance, personal accident insurance and personal effects protection, we offer to renters providing various insurance coverages in our domestic vehicle rental operations, are regulated under state laws governing the licensing of such products. In our international car rental operations, our offering of optional products providing insurance coverages historically has not been regulated. Any changes in U.S. or foreign law that change our operating requirements with respect to optional insurance products could increase our costs of compliance or make it uneconomical to offer such products, which would lead to a reduction in revenue and profitability. If customers decline to purchase supplemental liability insurance products from us as a result of any changes in these laws or otherwise, our results of operations could be materially adversely affected.</w:t>
      </w:r>
    </w:p>
    <w:p>
      <w:pPr>
        <w:spacing w:after="0" w:line="11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almost every state, we recover from consumers various costs associated with the title and registration of our vehicles. In addition, where permitted, we also recover from consumers certain costs, including concession costs imposed by an airport authority or the owner and/or operator of the premises from which our vehicle is rented. Our long-standing business practice has been to separately state the existence of these additional costs in our rental agreements and invoices, and disclose to consumers additional surcharges used to recover such costs together with an estimated total price, inclusive of these surcharges, in all distribution channels. We believe that this standard practice comports with the Federal Trade Commission Act and has been upheld by several courts. We may in the future be subject to potential legislative changes or administrative action which could limit, restrict or prohibit our ability to separately state, charge and recover such costs, which would result in an adverse cost reallocation. If any such changes were to be enacted there may be an adverse impact or limitation on our ability to recover all of the surcharges we currently charge, which could adversely impact our profitability and results of operations.</w:t>
      </w:r>
    </w:p>
    <w:p>
      <w:pPr>
        <w:spacing w:after="0" w:line="138" w:lineRule="exact"/>
        <w:rPr>
          <w:sz w:val="20"/>
          <w:szCs w:val="20"/>
          <w:color w:val="auto"/>
        </w:rPr>
      </w:pPr>
    </w:p>
    <w:p>
      <w:pPr>
        <w:ind w:right="80"/>
        <w:spacing w:after="0" w:line="275" w:lineRule="auto"/>
        <w:rPr>
          <w:sz w:val="20"/>
          <w:szCs w:val="20"/>
          <w:color w:val="auto"/>
        </w:rPr>
      </w:pPr>
      <w:r>
        <w:rPr>
          <w:rFonts w:ascii="Times New Roman" w:cs="Times New Roman" w:eastAsia="Times New Roman" w:hAnsi="Times New Roman"/>
          <w:sz w:val="18"/>
          <w:szCs w:val="18"/>
          <w:color w:val="auto"/>
        </w:rPr>
        <w:t>In 2005, federal legislation was enacted that pre-empted state laws which imputed tort liability solely based on ownership of a vehicle involved in an accident. If the current law were to change, our insurance liability exposure could materially increase.</w:t>
      </w:r>
    </w:p>
    <w:p>
      <w:pPr>
        <w:spacing w:after="0" w:line="12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U.S. Congress and other legislative and regulatory authorities in the United States and internationally have considered, and will likely continue to consider, numerous measures related to climate change and greenhouse gas emissions. Should rules establishing limitations on greenhouse gas emissions or rules imposing fees on entities deemed to be responsible for greenhouse gas emissions become effective, demand for our services could be affected, our fleet and/or other costs could increase, and our business could be adversely affected.</w:t>
      </w:r>
    </w:p>
    <w:p>
      <w:pPr>
        <w:spacing w:after="0" w:line="1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380"/>
          </w:cols>
          <w:pgMar w:left="240" w:top="455" w:right="279" w:bottom="1440" w:gutter="0" w:footer="0" w:header="0"/>
        </w:sectPr>
      </w:pPr>
    </w:p>
    <w:bookmarkStart w:id="27" w:name="page28"/>
    <w:bookmarkEnd w:id="2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46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We may be held responsible by third parties, regulators or courts for the actions of, or failures to act by, our licensees, dealers or independent operators, which exposes us to possible fines, other liabilities and negative publicity.</w:t>
      </w:r>
    </w:p>
    <w:p>
      <w:pPr>
        <w:spacing w:after="0" w:line="115"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Our car and truck rental franchisee and dealer locations are independently owned and operated. We also operate many of our corporate locations through agreements with “agency operators,” which are third-party independent contractors who receive commissions to operate such locations. Our agreements with our franchisees, dealers and agency operators require that they comply with all laws and regulations applicable to their businesses, including our internal policies and standards. Under these agreements, our franchisees, dealers and agency operators retain control over the employment and management of all personnel. Third parties, regulators or courts may seek to hold us responsible for the actions of, or failures to act by, our franchisees, dealers or agency operators. Although we actively monitor the operations of these franchisees, dealers and agency operators, and under certain circumstances have the ability to terminate their agreements for failure to adhere to contracted operational standards, we are unlikely to detect all problems. Moreover, there are occasions when the actions and activities of our franchisees, dealers or agency operators may not be clearly distinguishable from our own. It is our policy to vigorously seek to be dismissed from any such claims and to pursue indemnity for any adverse outcomes. Failure of our franchisees, dealers or agency operators to comply with laws and regulations may expose us to liability, damages and publicity that may adversely affect our business.</w:t>
      </w:r>
    </w:p>
    <w:p>
      <w:pPr>
        <w:spacing w:after="0" w:line="137" w:lineRule="exact"/>
        <w:rPr>
          <w:sz w:val="20"/>
          <w:szCs w:val="20"/>
          <w:color w:val="auto"/>
        </w:rPr>
      </w:pPr>
    </w:p>
    <w:p>
      <w:pPr>
        <w:ind w:right="34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Any failure by us to protect confidential information of our customers against security breaches could damage our reputation and substantially harm our business and results of operations.</w:t>
      </w:r>
    </w:p>
    <w:p>
      <w:pPr>
        <w:spacing w:after="0" w:line="11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Third parties may have the technology or expertise to breach the security of our customer transaction data. Our security measures may not prevent security breaches that could result in substantial harm to our business and results of operations and damage to our reputation. We rely on encryption and/or authentication technology licensed from third parties to effect secure transmission of confidential information, including credit card numbers. Advances in computer capabilities, new discoveries in the field of cryptography, or other developments may result in a compromise or breach of the technology we use to protect customer transaction data. In addition, anyone who is able to circumvent our security measures could misappropriate proprietary information or cause interruptions in our operations. Any such compromise of our security could damage our reputation and brand and expose us to a risk of loss or litigation and possible liability, which would substantially harm our business and results of operations.</w:t>
      </w:r>
    </w:p>
    <w:p>
      <w:pPr>
        <w:spacing w:after="0" w:line="141"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In addition, the Payment Card Industry (PCI) imposes strict customer credit card data security standards to ensure that our customers’ credit card information is protected. Failure to meet the PCI data security standards could result in substantial increased fees to credit card companies, other liabilities and/or loss of the right to collect credit card payments, which would materially impact operations. Failure to protect customer credit card and other information can also result in governmental investigations or material civil or criminal liability.</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Significant increases in fuel costs or reduced supplies of fuel could harm our business.</w:t>
      </w:r>
    </w:p>
    <w:p>
      <w:pPr>
        <w:spacing w:after="0" w:line="175"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color w:val="auto"/>
        </w:rPr>
        <w:t>Significant increases in fuel prices, a severe or protracted disruption in fuel supplies or imposition of mandatory allocations or rationing of fuel, could negatively impact our car rental business by discouraging consumers from renting cars or disrupting air travel, on which a significant portion of our car rental business relies, and therefore could have an adverse effect on our financial condition and results of operations.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risks associated with our like-kind-exchange program.</w:t>
      </w:r>
    </w:p>
    <w:p>
      <w:pPr>
        <w:spacing w:after="0" w:line="175" w:lineRule="exact"/>
        <w:rPr>
          <w:sz w:val="20"/>
          <w:szCs w:val="20"/>
          <w:color w:val="auto"/>
        </w:rPr>
      </w:pPr>
    </w:p>
    <w:p>
      <w:pPr>
        <w:jc w:val="both"/>
        <w:ind w:right="340"/>
        <w:spacing w:after="0" w:line="262" w:lineRule="auto"/>
        <w:rPr>
          <w:sz w:val="20"/>
          <w:szCs w:val="20"/>
          <w:color w:val="auto"/>
        </w:rPr>
      </w:pPr>
      <w:r>
        <w:rPr>
          <w:rFonts w:ascii="Times New Roman" w:cs="Times New Roman" w:eastAsia="Times New Roman" w:hAnsi="Times New Roman"/>
          <w:sz w:val="18"/>
          <w:szCs w:val="18"/>
          <w:color w:val="auto"/>
        </w:rPr>
        <w:t>We utilize a like-kind exchange program whereby we replace vehicles in a manner that allows tax gains on disposed vehicles to be deferred. The program has resulted in a material deferral of federal and state income taxes beginning in 2004. The benefit of deferral is dependent on reinvestment of vehicle disposition proceeds in replacement vehicles within a prescribed period of time (usually six months). The decline in 2009 of our average</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420"/>
          </w:cols>
          <w:pgMar w:left="240" w:top="455" w:right="239" w:bottom="1440" w:gutter="0" w:footer="0" w:header="0"/>
        </w:sectPr>
      </w:pPr>
    </w:p>
    <w:bookmarkStart w:id="28" w:name="page29"/>
    <w:bookmarkEnd w:id="2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100"/>
        <w:spacing w:after="0" w:line="296" w:lineRule="auto"/>
        <w:rPr>
          <w:sz w:val="20"/>
          <w:szCs w:val="20"/>
          <w:color w:val="auto"/>
        </w:rPr>
      </w:pPr>
      <w:r>
        <w:rPr>
          <w:rFonts w:ascii="Times New Roman" w:cs="Times New Roman" w:eastAsia="Times New Roman" w:hAnsi="Times New Roman"/>
          <w:sz w:val="16"/>
          <w:szCs w:val="16"/>
          <w:color w:val="auto"/>
        </w:rPr>
        <w:t>car rental fleet did not result in reduced deferrals, utilization of tax attributes or increased payment of federal and state income taxes. An extended downsizing of our fleet could result in reduced deferrals, utilization of tax attributes and increased payment of federal and state income taxes, which could require us to make material cash payments. Such a downsizing or reduction in purchases would likely occur if, and to the extent, we are unable to obtain financing when our asset backed rental car financings mature and could also occur in connection with a significant decrease in demand for vehicle rentals. Therefore, we cannot offer assurance that the expected tax deferral will continue or that the relevant law concerning the program will remain in its current form.</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indebtedness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a substantial amount of debt which could impair our financial condition and adversely affect our ability to react to changes in our business.</w:t>
      </w:r>
    </w:p>
    <w:p>
      <w:pPr>
        <w:spacing w:after="0" w:line="175" w:lineRule="exact"/>
        <w:rPr>
          <w:sz w:val="20"/>
          <w:szCs w:val="20"/>
          <w:color w:val="auto"/>
        </w:rPr>
      </w:pPr>
    </w:p>
    <w:p>
      <w:pPr>
        <w:jc w:val="both"/>
        <w:ind w:right="500"/>
        <w:spacing w:after="0" w:line="339" w:lineRule="auto"/>
        <w:rPr>
          <w:sz w:val="20"/>
          <w:szCs w:val="20"/>
          <w:color w:val="auto"/>
        </w:rPr>
      </w:pPr>
      <w:r>
        <w:rPr>
          <w:rFonts w:ascii="Times New Roman" w:cs="Times New Roman" w:eastAsia="Times New Roman" w:hAnsi="Times New Roman"/>
          <w:sz w:val="16"/>
          <w:szCs w:val="16"/>
          <w:color w:val="auto"/>
        </w:rPr>
        <w:t>As of December 31, 2009, our total debt was approximately $6.5 billion and we had approximately $761 million of available letter of credit capacity, $275 million of which is available for borrowings, under our senior credit facilities. Our substantial indebtedness could have important consequences, including:</w:t>
      </w:r>
    </w:p>
    <w:p>
      <w:pPr>
        <w:spacing w:after="0" w:line="115" w:lineRule="exact"/>
        <w:rPr>
          <w:sz w:val="20"/>
          <w:szCs w:val="20"/>
          <w:color w:val="auto"/>
        </w:rPr>
      </w:pPr>
    </w:p>
    <w:p>
      <w:pPr>
        <w:ind w:left="780" w:right="220" w:hanging="326"/>
        <w:spacing w:after="0" w:line="275" w:lineRule="auto"/>
        <w:tabs>
          <w:tab w:leader="none" w:pos="7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ability to borrow additional amounts to fund working capital, capital expenditures, debt service requirements, execution of our business strategy, or acquisitions and other purposes;</w:t>
      </w:r>
    </w:p>
    <w:p>
      <w:pPr>
        <w:spacing w:after="0" w:line="160" w:lineRule="exact"/>
        <w:rPr>
          <w:rFonts w:ascii="Times New Roman" w:cs="Times New Roman" w:eastAsia="Times New Roman" w:hAnsi="Times New Roman"/>
          <w:sz w:val="18"/>
          <w:szCs w:val="18"/>
          <w:color w:val="auto"/>
        </w:rPr>
      </w:pPr>
    </w:p>
    <w:p>
      <w:pPr>
        <w:ind w:left="780" w:right="100" w:hanging="326"/>
        <w:spacing w:after="0" w:line="275" w:lineRule="auto"/>
        <w:tabs>
          <w:tab w:leader="none" w:pos="7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us to dedicate a substantial portion of our cash flow from operations to pay principal and interest on our debt, which would reduce the funds available to us for other purposes;</w:t>
      </w:r>
    </w:p>
    <w:p>
      <w:pPr>
        <w:spacing w:after="0" w:line="160" w:lineRule="exact"/>
        <w:rPr>
          <w:rFonts w:ascii="Times New Roman" w:cs="Times New Roman" w:eastAsia="Times New Roman" w:hAnsi="Times New Roman"/>
          <w:sz w:val="18"/>
          <w:szCs w:val="18"/>
          <w:color w:val="auto"/>
        </w:rPr>
      </w:pPr>
    </w:p>
    <w:p>
      <w:pPr>
        <w:ind w:left="780" w:hanging="326"/>
        <w:spacing w:after="0" w:line="275" w:lineRule="auto"/>
        <w:tabs>
          <w:tab w:leader="none" w:pos="7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us more vulnerable to adverse changes in general economic, industry and competitive conditions, in government regulation and in our business by limiting our flexibility in planning for, and making it more difficult for us to react quickly to, changing conditions; and</w:t>
      </w:r>
    </w:p>
    <w:p>
      <w:pPr>
        <w:spacing w:after="0" w:line="160" w:lineRule="exact"/>
        <w:rPr>
          <w:rFonts w:ascii="Times New Roman" w:cs="Times New Roman" w:eastAsia="Times New Roman" w:hAnsi="Times New Roman"/>
          <w:sz w:val="18"/>
          <w:szCs w:val="18"/>
          <w:color w:val="auto"/>
        </w:rPr>
      </w:pPr>
    </w:p>
    <w:p>
      <w:pPr>
        <w:ind w:left="780" w:right="140" w:hanging="326"/>
        <w:spacing w:after="0" w:line="275" w:lineRule="auto"/>
        <w:tabs>
          <w:tab w:leader="none" w:pos="7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exposing us to risks inherent in interest rate fluctuations because some of our borrowings are at variable rates of interest, which could result in higher interest expenses in the event of increases in interest rates.</w:t>
      </w:r>
    </w:p>
    <w:p>
      <w:pPr>
        <w:spacing w:after="0" w:line="120"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Our ability to make payments on and refinance our debt depends on our ability to generate cash flow. To some extent, this is subject to prevailing economic and competitive conditions and to certain financial, business and other factors, many of which are beyond our control. Our business may not generate cash flow from operations at levels sufficient to permit us to pay principal, premium, if any, and interest on our indebtedness, and our cash needs may increase. If we are unable to generate sufficient cash flow from operations to service our debt and meet our other cash needs, we may be forced to reduce or delay capital expenditures, sell or curtail assets or operations, seek additional capital, or seek to restructure or refinance our indebtedness. If we must sell or curtail our assets or operations, it may negatively affect our ability to generate revenue.</w:t>
      </w:r>
    </w:p>
    <w:p>
      <w:pPr>
        <w:spacing w:after="0" w:line="139"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color w:val="auto"/>
        </w:rPr>
        <w:t>Despite our current indebtedness levels, we may still be able to incur substantially more debt. This could further exacerbate the risks associated with our substantial indebtedness. Subject to the specified limitations referred to above, the indenture governing our senior unsecured notes limits, but does not prohibit, us from incurring additional indebtedness in the future.</w:t>
      </w:r>
    </w:p>
    <w:p>
      <w:pPr>
        <w:spacing w:after="0" w:line="132"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8"/>
          <w:szCs w:val="18"/>
          <w:color w:val="auto"/>
        </w:rPr>
        <w:t>As noted above, as of December 31, 2009, our senior credit facilities provided us with commitments for additional letters of credit of up to $761 million, $275 million of which is available for borrowings. All of those borrowings would be secured and the lenders under our senior credit facilities would have a prior claim to the assets that secure such indebtedness. If new debt is added to our current debt levels, the risks described above could intensify.</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400"/>
          </w:cols>
          <w:pgMar w:left="240" w:top="455" w:right="259" w:bottom="1440" w:gutter="0" w:footer="0" w:header="0"/>
        </w:sectPr>
      </w:pPr>
    </w:p>
    <w:bookmarkStart w:id="29" w:name="page30"/>
    <w:bookmarkEnd w:id="2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unable to remain in compliance with the financial or other covenants contained in our debt instruments, including our senior credit facilities.</w:t>
      </w:r>
    </w:p>
    <w:p>
      <w:pPr>
        <w:spacing w:after="0" w:line="175" w:lineRule="exact"/>
        <w:rPr>
          <w:sz w:val="20"/>
          <w:szCs w:val="20"/>
          <w:color w:val="auto"/>
        </w:rPr>
      </w:pPr>
    </w:p>
    <w:p>
      <w:pPr>
        <w:ind w:right="20"/>
        <w:spacing w:after="0" w:line="291" w:lineRule="auto"/>
        <w:rPr>
          <w:sz w:val="20"/>
          <w:szCs w:val="20"/>
          <w:color w:val="auto"/>
        </w:rPr>
      </w:pPr>
      <w:r>
        <w:rPr>
          <w:rFonts w:ascii="Times New Roman" w:cs="Times New Roman" w:eastAsia="Times New Roman" w:hAnsi="Times New Roman"/>
          <w:sz w:val="16"/>
          <w:szCs w:val="16"/>
          <w:color w:val="auto"/>
        </w:rPr>
        <w:t>Many of our debt instruments, including our senior credit facilities, contain financial and other covenants that impose significant requirements on us and limit our ability to engage in certain transactions or activities. There can be no assurance that we will be able to generate sufficient earnings to enable us to satisfy the financial covenants included in our senior credit facilities, our $1.95 billion of asset-backed conduit facilities used to finance a portion of our domestic car rental operations or our other borrowing agreements. Our failure to comply with these covenants, if not waived, would cause a default under the senior credit facilities and could result in principal under the conduit facilities being required to be repaid from a portion of vehicle disposition proceeds and lease payments we make to our vehicle program subsidiaries. If such a failure were to occur, there can be no assurance that we would be able to refinance or obtain a replacement for such facilities and in certain circumstances such failure could also give rise to a default under the instruments that govern our other indebtedness.</w:t>
      </w:r>
    </w:p>
    <w:p>
      <w:pPr>
        <w:spacing w:after="0" w:line="109" w:lineRule="exact"/>
        <w:rPr>
          <w:sz w:val="20"/>
          <w:szCs w:val="20"/>
          <w:color w:val="auto"/>
        </w:rPr>
      </w:pPr>
    </w:p>
    <w:p>
      <w:pPr>
        <w:ind w:right="54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We can be adversely impacted by disruptions in the credit and asset-backed securities markets, which have led to and could lead to further increases in interest rates and could disrupt our ability to obtain financing for our operations, which require substantial capital.</w:t>
      </w:r>
    </w:p>
    <w:p>
      <w:pPr>
        <w:spacing w:after="0" w:line="115"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We rely upon financing for our operations, particularly asset-backed financing, through asset-backed securities and the lending market, for our vehicle fleet. Our total asset-backed debt as of December 31, 2009 was approximately $4.4 billion, with available capacity of approximately $2.7 billion. Our $1.95 billion asset-backed domestic rental car conduit facility (under which no borrowings were outstanding at December 31, 2009) is a 364-day facility, and approximately $1.0 billion of term asset-backed financings for our domestic car rental operations will mature in 2010. The asset-backed financing market has been unstable in recent years, and during a disruption in that market we may be unable to obtain refinancing for our operations at current levels, or at all, when our asset-backed rental car financings mature, and any new financing or refinancing of our existing financing could increase our borrowing costs, including due to an increase in required collateral levels. In addition, we could be subject to increased collateral requirements to the extent we request any amendment or renewal of any of our existing financing.</w:t>
      </w:r>
    </w:p>
    <w:p>
      <w:pPr>
        <w:spacing w:after="0" w:line="138"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Ambac Assurance Corporation, MBIA Insurance Corporation and Syncora Guarantee Inc. provide credit enhancement in the form of financial guaranties for approximately $1.45 billion, $683 million and $125 million, respectively, of our approximately $3.4 billion of domestic term asset-backed car rental financing outstanding at December 31, 2009. The debt ratings of these financial guaranty firms have been downgraded significantly from the time in which the guarantees were entered into, and the firms have substantially curtailed their issuance of new guaranties. Therefore we are unlikely to be able to offer similar financial guaranties in connection with any refinancing we pursue for our term asset-backed financings. Assured Guaranty Corp. is the provider of a financial guaranty for $250 million of our term asset-backed car rental financing.</w:t>
      </w:r>
    </w:p>
    <w:p>
      <w:pPr>
        <w:spacing w:after="0" w:line="139"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Certain insolvency events in respect of the financial guarantors of our outstanding term asset-backed financings would result in principal of the related financing being required to be repaid sooner than anticipated from a portion of the proceeds of ordinary course vehicle disposition and lease payments we make to our vehicle program subsidiaries. These financial guarantor insolvency events could also result in the noteholders of the series of asset-backed notes guaranteed by the insolvent financial guarantor directing the trustee to foreclose on and sell vehicles to generate proceeds sufficient to repay such series of notes. If such a financial guarantor insolvency event were to occur, there can be no assurance that we would be able to replace the relevant financings on reasonable terms or at all.</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 increase in interest rates would increase the cost of servicing our debt and could reduce our profitability.</w:t>
      </w:r>
    </w:p>
    <w:p>
      <w:pPr>
        <w:spacing w:after="0" w:line="175"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A significant amount of our borrowings, primarily our vehicle-backed borrowings, bear interest at variable rates and expose us to interest rate risk. If interest rates increase, whether because of an increase in market interest</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400"/>
          </w:cols>
          <w:pgMar w:left="240" w:top="455" w:right="259" w:bottom="1440" w:gutter="0" w:footer="0" w:header="0"/>
        </w:sectPr>
      </w:pPr>
    </w:p>
    <w:bookmarkStart w:id="30" w:name="page31"/>
    <w:bookmarkEnd w:id="3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rates or an increase in our own cost of borrowing, our debt service obligations for our variable rate indebtedness would increase even though the amount of borrowings remained the same, and our results of operations could be adversely affected. As of December 31, 2009, our total outstanding debt of approximately $6.5 billion included interest rate sensitive debt of approximately $800 million (either by its original terms or through the use of interest rate derivatives), which had a weighted average interest rate of approximately 4% per annum. During our seasonal borrowing peak in 2009, outstanding interest rate sensitive debt totaled approximately $2 billion, with a weighted average interest rate of approximately 4% per annum.</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Restrictive covenants in agreements and instruments governing our debt may adversely affect our ability to operate our business.</w:t>
      </w:r>
    </w:p>
    <w:p>
      <w:pPr>
        <w:spacing w:after="0" w:line="175" w:lineRule="exact"/>
        <w:rPr>
          <w:sz w:val="20"/>
          <w:szCs w:val="20"/>
          <w:color w:val="auto"/>
        </w:rPr>
      </w:pPr>
    </w:p>
    <w:p>
      <w:pPr>
        <w:ind w:right="260"/>
        <w:spacing w:after="0" w:line="275" w:lineRule="auto"/>
        <w:rPr>
          <w:sz w:val="20"/>
          <w:szCs w:val="20"/>
          <w:color w:val="auto"/>
        </w:rPr>
      </w:pPr>
      <w:r>
        <w:rPr>
          <w:rFonts w:ascii="Times New Roman" w:cs="Times New Roman" w:eastAsia="Times New Roman" w:hAnsi="Times New Roman"/>
          <w:sz w:val="18"/>
          <w:szCs w:val="18"/>
          <w:color w:val="auto"/>
        </w:rPr>
        <w:t>The terms of certain of our indebtedness, including the indenture governing our senior unsecured notes and the agreement governing our senior credit facilities contain, and our future debt instruments may contain, various provisions that limit our ability to, among other things:</w:t>
      </w:r>
    </w:p>
    <w:p>
      <w:pPr>
        <w:spacing w:after="0" w:line="160" w:lineRule="exact"/>
        <w:rPr>
          <w:sz w:val="20"/>
          <w:szCs w:val="20"/>
          <w:color w:val="auto"/>
        </w:rPr>
      </w:pPr>
    </w:p>
    <w:p>
      <w:pPr>
        <w:ind w:left="780" w:hanging="326"/>
        <w:spacing w:after="0"/>
        <w:tabs>
          <w:tab w:leader="none" w:pos="7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debt;</w:t>
      </w:r>
    </w:p>
    <w:p>
      <w:pPr>
        <w:spacing w:after="0" w:line="211"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guarantees in respect of obligations of other persons;</w:t>
      </w:r>
    </w:p>
    <w:p>
      <w:pPr>
        <w:spacing w:after="0" w:line="211"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redeemable stock and preferred stock;</w:t>
      </w:r>
    </w:p>
    <w:p>
      <w:pPr>
        <w:spacing w:after="0" w:line="211"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dividends or distributions or redeem or repurchase capital stock;</w:t>
      </w:r>
    </w:p>
    <w:p>
      <w:pPr>
        <w:spacing w:after="0" w:line="211"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prepay, redeem or repurchase debt;</w:t>
      </w:r>
    </w:p>
    <w:p>
      <w:pPr>
        <w:spacing w:after="0" w:line="211"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loans, investments and capital expenditures;</w:t>
      </w:r>
    </w:p>
    <w:p>
      <w:pPr>
        <w:spacing w:after="0" w:line="211"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liens;</w:t>
      </w:r>
    </w:p>
    <w:p>
      <w:pPr>
        <w:spacing w:after="0" w:line="211"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distributions from our subsidiaries;</w:t>
      </w:r>
    </w:p>
    <w:p>
      <w:pPr>
        <w:spacing w:after="0" w:line="211"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assets and capital stock of our subsidiaries;</w:t>
      </w:r>
    </w:p>
    <w:p>
      <w:pPr>
        <w:spacing w:after="0" w:line="211"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acquisitions; and</w:t>
      </w:r>
    </w:p>
    <w:p>
      <w:pPr>
        <w:spacing w:after="0" w:line="211"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 or merge with or into, or sell substantially all of our assets to, another person.</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Cendant Separation</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relying on Realogy, Wyndham Worldwide and Travelport to fulfill their obligations under the Separation Agreement and other agreements.</w:t>
      </w:r>
    </w:p>
    <w:p>
      <w:pPr>
        <w:spacing w:after="0" w:line="17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Pursuant to the Separation Agreement and related agreements (including a tax sharing agreement, the “Tax Sharing Agreement”), Realogy and Wyndham Worldwide are responsible for 62.5% and 37.5%, respectively, of certain contingent and other of our corporate liabilities including those relating to unresolved tax and legal matters as well as 100% of certain liabilities that relate to their respective businesses (the “Assumed Obligations”). More specifically, Realogy and Wyndham Worldwide have generally assumed and are responsible for the payment of their specified percentage of (i) all taxes imposed on us and certain of our subsidiaries and (ii) certain of our contingent and other corporate liabilities and/or those of our subsidiaries to the extent incurred prior to August 23, 2006. These contingent and other corporate liabilities include liabilities relating to (i) Cendant’s terminated or divested businesses, including among others, the former PHH and Marketing Services (Affinion) businesses, (ii) liabilities relating to the sale of Travelport, (iii) Cendant’s litigation that did not pertain to the operations of Realogy, Wyndham Worldwide, Travelport or our vehicle rental operations,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420"/>
          </w:cols>
          <w:pgMar w:left="240" w:top="455" w:right="239" w:bottom="1440" w:gutter="0" w:footer="0" w:header="0"/>
        </w:sectPr>
      </w:pPr>
    </w:p>
    <w:bookmarkStart w:id="31" w:name="page32"/>
    <w:bookmarkEnd w:id="3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including the Credentials Litigation (for a further description of the Credentials Litigation, see “Legal Proceedings”) and (iv) generally any actions with respect to the Cendant Separation or the distributions brought by any third party. If either Realogy or Wyndham were to default in its payment, when due, of any such Assumed Obligations, each non-defaulting party, including us, would be required to pay an equal portion of the defaulted amounts, and any such default may adversely impact our results of operations, financial condition or cash flows.</w:t>
      </w:r>
    </w:p>
    <w:p>
      <w:pPr>
        <w:spacing w:after="0" w:line="136"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Realogy was acquired by an affiliate of Apollo Management VI, L.P. following the Cendant Separation and is not listed as an independent public company, but the acquisition did not affect Realogy’s obligation to satisfy its specified percentage of its Assumed Obligations. However, as a result of the acquisition, Realogy has greater debt obligations and its ability to satisfy its portion of such Assumed Obligations may be adversely impacted. In accordance with the terms of the Separation Agreement, Realogy posted a letter of credit for the benefit of the Company to cover its estimated share of the Assumed Obligations, which is subject to adjustment from time to time, although there can be no assurance that such letter of credit will be sufficient or effective to cover Realogy’s actual obligations if and when they arise. In addition, the Separation Agreement effectively provides Realogy with the right to control the process for resolving disputes related to many of the Assumed Obligations.</w:t>
      </w:r>
    </w:p>
    <w:p>
      <w:pPr>
        <w:spacing w:after="0" w:line="141"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Moreover, the Separation Agreement provides for cross-indemnities designed to place financial responsibility of certain liabilities and other obligations with the proper company. For example, Realogy, Wyndham Worldwide and/or Travelport are required to indemnify us in respect of certain effective guarantees that result from either us or one of our subsidiaries remaining a named lessee on real estate leases pertaining to properties occupied by Realogy, Wyndham and/or Travelport. Any failure by Realogy, Wyndham Worldwide or Travelport to pay any of their assumed liabilities when due or to indemnify us when required may adversely impact our results of operations, financial condition or cash flows.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market price of our shares may fluctuate widely.</w:t>
      </w:r>
    </w:p>
    <w:p>
      <w:pPr>
        <w:spacing w:after="0" w:line="175" w:lineRule="exact"/>
        <w:rPr>
          <w:sz w:val="20"/>
          <w:szCs w:val="20"/>
          <w:color w:val="auto"/>
        </w:rPr>
      </w:pPr>
    </w:p>
    <w:p>
      <w:pPr>
        <w:ind w:right="160"/>
        <w:spacing w:after="0" w:line="275" w:lineRule="auto"/>
        <w:rPr>
          <w:sz w:val="20"/>
          <w:szCs w:val="20"/>
          <w:color w:val="auto"/>
        </w:rPr>
      </w:pPr>
      <w:r>
        <w:rPr>
          <w:rFonts w:ascii="Times New Roman" w:cs="Times New Roman" w:eastAsia="Times New Roman" w:hAnsi="Times New Roman"/>
          <w:sz w:val="18"/>
          <w:szCs w:val="18"/>
          <w:color w:val="auto"/>
        </w:rPr>
        <w:t>During 2009, the market price for our common stock experienced substantial volatility. We cannot predict the prices at which our common stock will trade. The market price of our common stock may fluctuate widely, depending upon many factors, some of which may be beyond our control, including:</w:t>
      </w:r>
    </w:p>
    <w:p>
      <w:pPr>
        <w:spacing w:after="0" w:line="160" w:lineRule="exact"/>
        <w:rPr>
          <w:sz w:val="20"/>
          <w:szCs w:val="20"/>
          <w:color w:val="auto"/>
        </w:rPr>
      </w:pPr>
    </w:p>
    <w:p>
      <w:pPr>
        <w:ind w:left="780" w:hanging="326"/>
        <w:spacing w:after="0"/>
        <w:tabs>
          <w:tab w:leader="none" w:pos="7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quarterly or annual earnings, or those of other companies in our industry, including our suppliers;</w:t>
      </w:r>
    </w:p>
    <w:p>
      <w:pPr>
        <w:spacing w:after="0" w:line="211"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operating results;</w:t>
      </w:r>
    </w:p>
    <w:p>
      <w:pPr>
        <w:spacing w:after="0" w:line="211"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standards, policies, guidance, interpretations or principles;</w:t>
      </w:r>
    </w:p>
    <w:p>
      <w:pPr>
        <w:spacing w:after="0" w:line="211"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acquisitions or dispositions;</w:t>
      </w:r>
    </w:p>
    <w:p>
      <w:pPr>
        <w:spacing w:after="0" w:line="211"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earnings estimates by securities analysts or our ability to meet those estimates;</w:t>
      </w:r>
    </w:p>
    <w:p>
      <w:pPr>
        <w:spacing w:after="0" w:line="211"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investors’ and analysts’ perceptions of our industry, business or related industries;</w:t>
      </w:r>
    </w:p>
    <w:p>
      <w:pPr>
        <w:spacing w:after="0" w:line="211"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operating and stock price performance of other comparable companies;</w:t>
      </w:r>
    </w:p>
    <w:p>
      <w:pPr>
        <w:spacing w:after="0" w:line="211"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overall market fluctuations; and</w:t>
      </w:r>
    </w:p>
    <w:p>
      <w:pPr>
        <w:spacing w:after="0" w:line="211"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and conditions in the credit markets.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Shareholders’ percentage ownership may be diluted in the future.</w:t>
      </w:r>
    </w:p>
    <w:p>
      <w:pPr>
        <w:spacing w:after="0" w:line="175" w:lineRule="exact"/>
        <w:rPr>
          <w:sz w:val="20"/>
          <w:szCs w:val="20"/>
          <w:color w:val="auto"/>
        </w:rPr>
      </w:pPr>
    </w:p>
    <w:p>
      <w:pPr>
        <w:ind w:right="20"/>
        <w:spacing w:after="0" w:line="275" w:lineRule="auto"/>
        <w:rPr>
          <w:sz w:val="20"/>
          <w:szCs w:val="20"/>
          <w:color w:val="auto"/>
        </w:rPr>
      </w:pPr>
      <w:r>
        <w:rPr>
          <w:rFonts w:ascii="Times New Roman" w:cs="Times New Roman" w:eastAsia="Times New Roman" w:hAnsi="Times New Roman"/>
          <w:sz w:val="18"/>
          <w:szCs w:val="18"/>
          <w:color w:val="auto"/>
        </w:rPr>
        <w:t>Shareholders’ percentage ownership may be diluted in the future because of equity issuances, conversion of our convertible senior notes due 2014, exercise of the warrants we issued in 2009 or equity awards that we granted or</w:t>
      </w:r>
    </w:p>
    <w:p>
      <w:pPr>
        <w:spacing w:after="0" w:line="1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400"/>
          </w:cols>
          <w:pgMar w:left="240" w:top="455" w:right="259" w:bottom="1440" w:gutter="0" w:footer="0" w:header="0"/>
        </w:sectPr>
      </w:pPr>
    </w:p>
    <w:bookmarkStart w:id="32" w:name="page33"/>
    <w:bookmarkEnd w:id="3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color w:val="auto"/>
        </w:rPr>
        <w:t>will grant to our directors, officers and employees. Holders of our convertible senior notes may convert their notes into up to 21 million shares of our common stock. In 2009, we granted approximately 4 million stock options, and in January 2010, we granted 160,000 stock options and approximately 1.9 million restricted stock units. We also expect to grant restricted stock units, stock options and/or other types of equity awards in the future.</w:t>
      </w:r>
    </w:p>
    <w:p>
      <w:pPr>
        <w:spacing w:after="0" w:line="128" w:lineRule="exact"/>
        <w:rPr>
          <w:sz w:val="20"/>
          <w:szCs w:val="20"/>
          <w:color w:val="auto"/>
        </w:rPr>
      </w:pPr>
    </w:p>
    <w:p>
      <w:pPr>
        <w:ind w:right="20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Provisions in our certificate of incorporation and by-laws, and of Delaware law may prevent or delay an acquisition of our Company, which could decrease the trading price of our common stock.</w:t>
      </w:r>
    </w:p>
    <w:p>
      <w:pPr>
        <w:spacing w:after="0" w:line="115" w:lineRule="exact"/>
        <w:rPr>
          <w:sz w:val="20"/>
          <w:szCs w:val="20"/>
          <w:color w:val="auto"/>
        </w:rPr>
      </w:pPr>
    </w:p>
    <w:p>
      <w:pPr>
        <w:ind w:right="360"/>
        <w:spacing w:after="0" w:line="310" w:lineRule="auto"/>
        <w:rPr>
          <w:sz w:val="20"/>
          <w:szCs w:val="20"/>
          <w:color w:val="auto"/>
        </w:rPr>
      </w:pPr>
      <w:r>
        <w:rPr>
          <w:rFonts w:ascii="Times New Roman" w:cs="Times New Roman" w:eastAsia="Times New Roman" w:hAnsi="Times New Roman"/>
          <w:sz w:val="16"/>
          <w:szCs w:val="16"/>
          <w:color w:val="auto"/>
        </w:rPr>
        <w:t>Our amended and restated certificate of incorporation, amended and restated by-laws and Delaware law contain provisions that are intended to deter coercive takeover practices and inadequate takeover bids by making such practices or bids unacceptably expensive to the prospective acquirer and to encourage prospective acquirers to negotiate with our Board of Directors rather than to attempt a hostile takeover. These provisions include, among others:</w:t>
      </w:r>
    </w:p>
    <w:p>
      <w:pPr>
        <w:spacing w:after="0" w:line="138" w:lineRule="exact"/>
        <w:rPr>
          <w:sz w:val="20"/>
          <w:szCs w:val="20"/>
          <w:color w:val="auto"/>
        </w:rPr>
      </w:pPr>
    </w:p>
    <w:p>
      <w:pPr>
        <w:ind w:left="780" w:hanging="326"/>
        <w:spacing w:after="0"/>
        <w:tabs>
          <w:tab w:leader="none" w:pos="7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elimination of the right of our stockholders to act by written consent;</w:t>
      </w:r>
    </w:p>
    <w:p>
      <w:pPr>
        <w:spacing w:after="0" w:line="211"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rules regarding how stockholders may present proposals or nominate directors for election at stockholder meetings;</w:t>
      </w:r>
    </w:p>
    <w:p>
      <w:pPr>
        <w:spacing w:after="0" w:line="211"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 of our Board to issue preferred stock without stockholder approval; and</w:t>
      </w:r>
    </w:p>
    <w:p>
      <w:pPr>
        <w:spacing w:after="0" w:line="211"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the right of stockholders to remove directors.</w:t>
      </w:r>
    </w:p>
    <w:p>
      <w:pPr>
        <w:spacing w:after="0" w:line="171" w:lineRule="exact"/>
        <w:rPr>
          <w:sz w:val="20"/>
          <w:szCs w:val="20"/>
          <w:color w:val="auto"/>
        </w:rPr>
      </w:pPr>
    </w:p>
    <w:p>
      <w:pPr>
        <w:ind w:right="40"/>
        <w:spacing w:after="0" w:line="275" w:lineRule="auto"/>
        <w:rPr>
          <w:sz w:val="20"/>
          <w:szCs w:val="20"/>
          <w:color w:val="auto"/>
        </w:rPr>
      </w:pPr>
      <w:r>
        <w:rPr>
          <w:rFonts w:ascii="Times New Roman" w:cs="Times New Roman" w:eastAsia="Times New Roman" w:hAnsi="Times New Roman"/>
          <w:sz w:val="18"/>
          <w:szCs w:val="18"/>
          <w:color w:val="auto"/>
        </w:rPr>
        <w:t>Delaware law also imposes some restrictions on mergers and other business combinations between us and any holder of 15% or more of our outstanding common stock.</w:t>
      </w:r>
    </w:p>
    <w:p>
      <w:pPr>
        <w:spacing w:after="0" w:line="12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believe these provisions protect our stockholders from coercive or otherwise unfair takeover tactics by requiring potential acquirors to negotiate with our Board and by providing our Board with more time to assess any acquisition proposal. These provisions are not intended to make our Company immune from takeovers. However, these provisions apply even if the offer may be considered beneficial by some stockholders and could delay or prevent an acquisition that our Board determines is not in the best interests of our Company and our stockholders.</w:t>
      </w:r>
    </w:p>
    <w:p>
      <w:pPr>
        <w:spacing w:after="0" w:line="132" w:lineRule="exact"/>
        <w:rPr>
          <w:sz w:val="20"/>
          <w:szCs w:val="20"/>
          <w:color w:val="auto"/>
        </w:rPr>
      </w:pPr>
    </w:p>
    <w:p>
      <w:pPr>
        <w:ind w:right="14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Conversion of our convertible senior notes due 2014, and the note hedge and warrant transactions entered into in connection with the issuance of the notes, may have an adverse impact on the price of our common stock.</w:t>
      </w:r>
    </w:p>
    <w:p>
      <w:pPr>
        <w:spacing w:after="0" w:line="115" w:lineRule="exact"/>
        <w:rPr>
          <w:sz w:val="20"/>
          <w:szCs w:val="20"/>
          <w:color w:val="auto"/>
        </w:rPr>
      </w:pPr>
    </w:p>
    <w:p>
      <w:pPr>
        <w:ind w:right="260"/>
        <w:spacing w:after="0" w:line="275" w:lineRule="auto"/>
        <w:rPr>
          <w:sz w:val="20"/>
          <w:szCs w:val="20"/>
          <w:color w:val="auto"/>
        </w:rPr>
      </w:pPr>
      <w:r>
        <w:rPr>
          <w:rFonts w:ascii="Times New Roman" w:cs="Times New Roman" w:eastAsia="Times New Roman" w:hAnsi="Times New Roman"/>
          <w:sz w:val="18"/>
          <w:szCs w:val="18"/>
          <w:color w:val="auto"/>
        </w:rPr>
        <w:t>Any of the following transactions and activities could adversely affect the value of our common stock in connection with our issuance of $345 million of 3.5% convertible senior notes due 2014 and the note hedge and warrant transactions entered into in connection with such issuance:</w:t>
      </w:r>
    </w:p>
    <w:p>
      <w:pPr>
        <w:spacing w:after="0" w:line="160" w:lineRule="exact"/>
        <w:rPr>
          <w:sz w:val="20"/>
          <w:szCs w:val="20"/>
          <w:color w:val="auto"/>
        </w:rPr>
      </w:pPr>
    </w:p>
    <w:p>
      <w:pPr>
        <w:ind w:left="780" w:right="360" w:hanging="326"/>
        <w:spacing w:after="0" w:line="275" w:lineRule="auto"/>
        <w:tabs>
          <w:tab w:leader="none" w:pos="7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conversion of some or all of our convertible senior notes, any sales by noteholders in the public market of our common stock issued upon such conversion and any selling of our common stock (including short selling) due to the existence of the notes;</w:t>
      </w:r>
    </w:p>
    <w:p>
      <w:pPr>
        <w:spacing w:after="0" w:line="160" w:lineRule="exact"/>
        <w:rPr>
          <w:rFonts w:ascii="Times New Roman" w:cs="Times New Roman" w:eastAsia="Times New Roman" w:hAnsi="Times New Roman"/>
          <w:sz w:val="18"/>
          <w:szCs w:val="18"/>
          <w:color w:val="auto"/>
        </w:rPr>
      </w:pPr>
    </w:p>
    <w:p>
      <w:pPr>
        <w:ind w:left="780" w:right="340" w:hanging="326"/>
        <w:spacing w:after="0" w:line="275" w:lineRule="auto"/>
        <w:tabs>
          <w:tab w:leader="none" w:pos="7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of some or all of the warrants, any sales by warrantholders in the public market of our common stock issued upon such exercise of the warrants and any selling of our common stock (including short selling) due to the existence of the warrants; and</w:t>
      </w:r>
    </w:p>
    <w:p>
      <w:pPr>
        <w:spacing w:after="0" w:line="160" w:lineRule="exact"/>
        <w:rPr>
          <w:rFonts w:ascii="Times New Roman" w:cs="Times New Roman" w:eastAsia="Times New Roman" w:hAnsi="Times New Roman"/>
          <w:sz w:val="18"/>
          <w:szCs w:val="18"/>
          <w:color w:val="auto"/>
        </w:rPr>
      </w:pPr>
    </w:p>
    <w:p>
      <w:pPr>
        <w:ind w:left="780" w:right="480" w:hanging="326"/>
        <w:spacing w:after="0" w:line="275" w:lineRule="auto"/>
        <w:tabs>
          <w:tab w:leader="none" w:pos="7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entry into, or the modification or the unwinding of, various derivative transactions with respect to our common stock by the counterparties in connection with their obligations under the note hedge and warrant transactions.</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420"/>
          </w:cols>
          <w:pgMar w:left="240" w:top="455" w:right="239" w:bottom="1440" w:gutter="0" w:footer="0" w:header="0"/>
        </w:sectPr>
      </w:pPr>
    </w:p>
    <w:bookmarkStart w:id="33" w:name="page34"/>
    <w:bookmarkEnd w:id="3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17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Our principal executive offices are located at leased offices at 6 Sylvan Way, Parsippany, New Jersey 07054 pursuant to a lease expiring in 2023. Additional corporate functions are also conducted at leased offices at Three Century Drive in Parsippany, New Jersey pursuant to a lease expiring in 2018. Our former corporate office at 10 Sylvan Way, Parsippany, New Jersey is currently vacant and is subject to a lease expiring in 2011. We also own a facility in Virginia Beach, Virginia, which serves as a satellite administrative facility for our car and truck rental operations. Office space is also leased in Englewood, Colorado and Tulsa, Oklahoma pursuant to leases expiring in 2011 and 2010, respectively. These locations primarily provide operational services for both brands, including contact center operations. In addition, there are approximately eight other leased office locations in the United States used for administrative activities, regional sales and operations activities. In 2009, our contact center located in Wichita Falls, Texas and our office located in Orlando, Florida were closed, and are subject to leases expiring in 2010. Our Fredericton, Canada contact center is expected to close in 2010 and is subject to a lease expiring in 2010. We have also vacated an administrative office in Melville, New York and a Budget Truck administrative office in Raleigh, North Carolina, which are subject to leases expiring in 2010 and a Budget administrative office in Redding, California, which is subject to a lease expiring in 2011.</w:t>
      </w:r>
    </w:p>
    <w:p>
      <w:pPr>
        <w:spacing w:after="0" w:line="14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We lease or have vehicle rental concessions for both the Avis and Budget brands at locations throughout the world. Avis operates approximately 1,000 locations in the United States and approximately 300 locations outside the United States. Of those locations, approximately 240 in the United States and approximately 120 outside the United States are at airports. Budget operates at approximately 600 locations in the United States of which approximately 180 are at airports. Budget also operates at approximately 170 locations outside the United States of which approximately 65 are at airports. Typically, an airport receives a percentage of vehicle rental revenue, with a guaranteed minimum. Because there is a limit to the number of vehicle rental locations in an airport, vehicle rental companies frequently bid for the available locations, usually on the basis of the size of the guaranteed minimums. We believe that our properties are sufficient to meet our present needs and we do not anticipate any difficulty in securing additional space, as needed, on acceptable terms.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Vehicle Rental Litigation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along with our subsidiaries, are involved from time to time in legal proceedings in the ordinary course of business, including the cases described below.</w:t>
      </w:r>
    </w:p>
    <w:p>
      <w:pPr>
        <w:spacing w:after="0" w:line="16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 xml:space="preserve">On November 14, 2007, two California residents filed a putative class action lawsuit, captioned </w:t>
      </w:r>
      <w:r>
        <w:rPr>
          <w:rFonts w:ascii="Times New Roman" w:cs="Times New Roman" w:eastAsia="Times New Roman" w:hAnsi="Times New Roman"/>
          <w:sz w:val="18"/>
          <w:szCs w:val="18"/>
          <w:i w:val="1"/>
          <w:iCs w:val="1"/>
          <w:color w:val="auto"/>
        </w:rPr>
        <w:t>Michael Shames et al. v. The Hertz Corp. et al.</w:t>
      </w:r>
      <w:r>
        <w:rPr>
          <w:rFonts w:ascii="Times New Roman" w:cs="Times New Roman" w:eastAsia="Times New Roman" w:hAnsi="Times New Roman"/>
          <w:sz w:val="18"/>
          <w:szCs w:val="18"/>
          <w:color w:val="auto"/>
        </w:rPr>
        <w:t xml:space="preserve">, No. 07 CV 2174H (S.D. Cal.), against Avis Budget, six other rental car companies, the California Travel and Tourism Commission (the “CTTC”) and the CTTC’s Executive Director, alleging that the defendants violated federal antitrust law and California’s Unfair Competition Law and False Advertising Law by allegedly agreeing to pass on airport concession fees and a state tourism commission assessment to passenger car renters in California. One plaintiff has raised an additional claim against the CTTC and its Executive Director of alleged violations of California’s Bagley-Keene Open Meeting Act. The plaintiffs are seeking treble damages, injunctive relief and attorneys’ fees and costs. We filed a motion to dismiss the </w:t>
      </w:r>
      <w:r>
        <w:rPr>
          <w:rFonts w:ascii="Times New Roman" w:cs="Times New Roman" w:eastAsia="Times New Roman" w:hAnsi="Times New Roman"/>
          <w:sz w:val="18"/>
          <w:szCs w:val="18"/>
          <w:i w:val="1"/>
          <w:iCs w:val="1"/>
          <w:color w:val="auto"/>
        </w:rPr>
        <w:t>Shames</w:t>
      </w:r>
      <w:r>
        <w:rPr>
          <w:rFonts w:ascii="Times New Roman" w:cs="Times New Roman" w:eastAsia="Times New Roman" w:hAnsi="Times New Roman"/>
          <w:sz w:val="18"/>
          <w:szCs w:val="18"/>
          <w:color w:val="auto"/>
        </w:rPr>
        <w:t xml:space="preserve"> suit, and on April 8, 2008, the U.S. District Court for the Southern District of California granted the motions to dismiss the putative class action lawsuit, on the ground that plaintiffs failed to state claims for which relief could be granted. An amended complaint was filed in May 2008 against the Company and six other rental car companies, as well as the CTTC, and contained claims that the defendants had violated federal antitrust law and California’s Unfair Competition Law and False Advertising Law by allegedly agreeing to pass on airport concession fees and a state tourism commission</w:t>
      </w:r>
    </w:p>
    <w:p>
      <w:pPr>
        <w:spacing w:after="0" w:line="1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400"/>
          </w:cols>
          <w:pgMar w:left="240" w:top="455" w:right="259" w:bottom="1440" w:gutter="0" w:footer="0" w:header="0"/>
        </w:sectPr>
      </w:pPr>
    </w:p>
    <w:bookmarkStart w:id="34" w:name="page35"/>
    <w:bookmarkEnd w:id="3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assessment to passenger car renters in California. On July 24, 2008, the U.S. District Court for the Southern District of California granted our motions to dismiss with respect to the state law claims and denied our motion to dismiss with respect to the federal antitrust claim and we are currently undergoing discovery. The court has dismissed all claims against the CTTC, but the plaintiffs are appealing the CTTC’s dismissal. The Company has denied the allegations and intends to continue to defend the case.</w:t>
      </w:r>
    </w:p>
    <w:p>
      <w:pPr>
        <w:spacing w:after="0" w:line="134"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 xml:space="preserve">In December 2007, two individuals filed separate but virtually identical putative class action lawsuits, captioned </w:t>
      </w:r>
      <w:r>
        <w:rPr>
          <w:rFonts w:ascii="Times New Roman" w:cs="Times New Roman" w:eastAsia="Times New Roman" w:hAnsi="Times New Roman"/>
          <w:sz w:val="18"/>
          <w:szCs w:val="18"/>
          <w:i w:val="1"/>
          <w:iCs w:val="1"/>
          <w:color w:val="auto"/>
        </w:rPr>
        <w:t>Thomas J. Comiskey et al. v. Avis Budget Group,</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Inc. et al., </w:t>
      </w:r>
      <w:r>
        <w:rPr>
          <w:rFonts w:ascii="Times New Roman" w:cs="Times New Roman" w:eastAsia="Times New Roman" w:hAnsi="Times New Roman"/>
          <w:sz w:val="18"/>
          <w:szCs w:val="18"/>
          <w:color w:val="auto"/>
        </w:rPr>
        <w:t>No. CV07-08118 (C.D. Cal.) and</w:t>
      </w:r>
      <w:r>
        <w:rPr>
          <w:rFonts w:ascii="Times New Roman" w:cs="Times New Roman" w:eastAsia="Times New Roman" w:hAnsi="Times New Roman"/>
          <w:sz w:val="18"/>
          <w:szCs w:val="18"/>
          <w:i w:val="1"/>
          <w:iCs w:val="1"/>
          <w:color w:val="auto"/>
        </w:rPr>
        <w:t xml:space="preserve"> Isabel S. Cohen et al. v. Avis Budget Group, Inc. et al., </w:t>
      </w:r>
      <w:r>
        <w:rPr>
          <w:rFonts w:ascii="Times New Roman" w:cs="Times New Roman" w:eastAsia="Times New Roman" w:hAnsi="Times New Roman"/>
          <w:sz w:val="18"/>
          <w:szCs w:val="18"/>
          <w:color w:val="auto"/>
        </w:rPr>
        <w:t>No. CV07-08164 (C.D. Cal.), against Avis Budget, 12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rental car companies, the CTTC and California’s Secretary of Business, Transportation and Housing. These suits challenge the tourism commission assessment fees imposed on certain renters in California as of January 1, 2007. Both the </w:t>
      </w:r>
      <w:r>
        <w:rPr>
          <w:rFonts w:ascii="Times New Roman" w:cs="Times New Roman" w:eastAsia="Times New Roman" w:hAnsi="Times New Roman"/>
          <w:sz w:val="18"/>
          <w:szCs w:val="18"/>
          <w:i w:val="1"/>
          <w:iCs w:val="1"/>
          <w:color w:val="auto"/>
        </w:rPr>
        <w:t>Comiskey</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Cohen</w:t>
      </w:r>
      <w:r>
        <w:rPr>
          <w:rFonts w:ascii="Times New Roman" w:cs="Times New Roman" w:eastAsia="Times New Roman" w:hAnsi="Times New Roman"/>
          <w:sz w:val="18"/>
          <w:szCs w:val="18"/>
          <w:color w:val="auto"/>
        </w:rPr>
        <w:t xml:space="preserve"> suits allege that California’s tourism assessment program with respect to the rental car industry (i) infringes on renters’ speech and associational rights in violation of both the U.S. and California Constitutions, (ii) violates the Commerce Clause of the U.S. Constitution, (iii) violates 42 U.S.C. § 1983 insofar as the assessment program violates the federal Constitution’s Commerce Clause and First and Fourteenth Amendments, and (iv) violates the Motor Vehicle Revenues section of the California Constitution. On February 5, 2008, the district court consolidated the </w:t>
      </w:r>
      <w:r>
        <w:rPr>
          <w:rFonts w:ascii="Times New Roman" w:cs="Times New Roman" w:eastAsia="Times New Roman" w:hAnsi="Times New Roman"/>
          <w:sz w:val="18"/>
          <w:szCs w:val="18"/>
          <w:i w:val="1"/>
          <w:iCs w:val="1"/>
          <w:color w:val="auto"/>
        </w:rPr>
        <w:t>Comiskey</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Cohen</w:t>
      </w:r>
      <w:r>
        <w:rPr>
          <w:rFonts w:ascii="Times New Roman" w:cs="Times New Roman" w:eastAsia="Times New Roman" w:hAnsi="Times New Roman"/>
          <w:sz w:val="18"/>
          <w:szCs w:val="18"/>
          <w:color w:val="auto"/>
        </w:rPr>
        <w:t xml:space="preserve"> suits, and on March 19, 2008, plaintiffs filed a consolidated amended complaint against Avis Budget, ten other rental car companies, the CTTC and California’s Secretary of Business, Transportation and Housing. The consolidated amended complaint contains all the claims from the earlier individual complaints and adds equal-protection claims under the U.S. and California Constitutions. As was the case with both individual complaints, the consolidated amended complaint seeks declaratory and injunctive relief, a refund of all California tourism commission assessment fees collected by the rental car defendants, attorneys’ fees and costs, and unspecified damages. The defendants moved to dismiss the consolidated amended complaint as well as to transfer the action (now known as </w:t>
      </w:r>
      <w:r>
        <w:rPr>
          <w:rFonts w:ascii="Times New Roman" w:cs="Times New Roman" w:eastAsia="Times New Roman" w:hAnsi="Times New Roman"/>
          <w:sz w:val="18"/>
          <w:szCs w:val="18"/>
          <w:i w:val="1"/>
          <w:iCs w:val="1"/>
          <w:color w:val="auto"/>
        </w:rPr>
        <w:t>In re Tourism Assessment Fee Litigation</w:t>
      </w:r>
      <w:r>
        <w:rPr>
          <w:rFonts w:ascii="Times New Roman" w:cs="Times New Roman" w:eastAsia="Times New Roman" w:hAnsi="Times New Roman"/>
          <w:sz w:val="18"/>
          <w:szCs w:val="18"/>
          <w:color w:val="auto"/>
        </w:rPr>
        <w:t>) to the Southern District of California. On September 23, 2008, the transfer motion was granted and the action was subsequently transferred to the Southern District of California. On February 19, 2009, the court granted defendants’ motions to dismiss plaintiffs’ federal law claims, declined to exercise supplemental jurisdiction over plaintiffs’ state law claims, and dismissed plaintiffs’ amended complaint with prejudice. On March 5, 2009, the plaintiffs filed a motion seeking leave to file a motion for relief from the judgment and/or for leave to file a second amended complaint. The court denied such motion on March 11, 2009. On March 19, 2009, Plaintiffs filed a Notice of Appeal to the U.S. Court of Appeals for the Ninth Circuit from the final judgment and from the denial of their motion. Plaintiffs’ appeal is fully briefed, and the Ninth Circuit will hear oral argument on March 4, 2010.</w:t>
      </w:r>
    </w:p>
    <w:p>
      <w:pPr>
        <w:spacing w:after="0" w:line="140" w:lineRule="exact"/>
        <w:rPr>
          <w:sz w:val="20"/>
          <w:szCs w:val="20"/>
          <w:color w:val="auto"/>
        </w:rPr>
      </w:pPr>
    </w:p>
    <w:p>
      <w:pPr>
        <w:ind w:right="20"/>
        <w:spacing w:after="0" w:line="288" w:lineRule="auto"/>
        <w:rPr>
          <w:sz w:val="20"/>
          <w:szCs w:val="20"/>
          <w:color w:val="auto"/>
        </w:rPr>
      </w:pPr>
      <w:r>
        <w:rPr>
          <w:rFonts w:ascii="Times New Roman" w:cs="Times New Roman" w:eastAsia="Times New Roman" w:hAnsi="Times New Roman"/>
          <w:sz w:val="16"/>
          <w:szCs w:val="16"/>
          <w:color w:val="auto"/>
        </w:rPr>
        <w:t>In May 2008, a civil collective action complaint was filed against us in the United States District Court for the Eastern District of New York. The complaint alleges that the Company violated the Fair Labor Standards Act by misclassifying shift managers as employees exempt from overtime. The plaintiff, Matthew Ravenell, is a former Avis shift manager. The complaint also seeks class action treatment relating to those shift managers working in the State of New York. The plaintiff seeks to recover, on behalf of himself and all other individuals who are similarly situated, alleged unpaid overtime compensation, as well as attorneys’ fees and costs. The Company filed an answer on July 7, 2008 and the parties have completed discovery on class certification issues. A second civil collective action complaint was filed against us in the District of New Jersey in July 2009, alleging misclassification of airport managers as exempt from overtime under the Fair Labor Standards Act. Two similar putative class actions are also pending against us in California alleging violations of state law regarding meal breaks, among other claims. Both California cases are currently subject to a court-ordered stay pending a decision by the California Supreme Court in an existing case not involving the Company. Another class action is pending against the Company in California, alleging misclassification of the Company’s agency operators as independent contractors under state law, in which class certification was denied by the court is currently on appeal. We intend to vigorously defend these suits.</w:t>
      </w:r>
    </w:p>
    <w:p>
      <w:pPr>
        <w:spacing w:after="0" w:line="1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420"/>
          </w:cols>
          <w:pgMar w:left="240" w:top="455" w:right="239" w:bottom="1440" w:gutter="0" w:footer="0" w:header="0"/>
        </w:sectPr>
      </w:pPr>
    </w:p>
    <w:bookmarkStart w:id="35" w:name="page36"/>
    <w:bookmarkEnd w:id="3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Litigation</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Avis Budget Legal Proceedings</w:t>
      </w:r>
    </w:p>
    <w:p>
      <w:pPr>
        <w:spacing w:after="0" w:line="175" w:lineRule="exact"/>
        <w:rPr>
          <w:sz w:val="20"/>
          <w:szCs w:val="20"/>
          <w:color w:val="auto"/>
        </w:rPr>
      </w:pPr>
    </w:p>
    <w:p>
      <w:pPr>
        <w:spacing w:after="0" w:line="301" w:lineRule="auto"/>
        <w:rPr>
          <w:sz w:val="20"/>
          <w:szCs w:val="20"/>
          <w:color w:val="auto"/>
        </w:rPr>
      </w:pPr>
      <w:r>
        <w:rPr>
          <w:rFonts w:ascii="Times New Roman" w:cs="Times New Roman" w:eastAsia="Times New Roman" w:hAnsi="Times New Roman"/>
          <w:sz w:val="16"/>
          <w:szCs w:val="16"/>
          <w:color w:val="auto"/>
        </w:rPr>
        <w:t>In October 2009, a judgment was entered against us in the amount of $16 million following the completion of a jury trial for damages related to breach of contract in the United States District Court for the District of Alaska. The lawsuit, which was filed in 2003 by one of our licensees, involved breach of contract and other claims related to the acquisition of our Budget vehicle rental business in 2002. We believe the verdict in this case is unsupported by the evidence. We filed a motion in November 2009 for judgment notwithstanding verdict, which motion was denied by the court in January 2010. We intend to appeal the judgment.</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Cendant Legal Proceedings</w:t>
      </w:r>
    </w:p>
    <w:p>
      <w:pPr>
        <w:spacing w:after="0" w:line="175" w:lineRule="exact"/>
        <w:rPr>
          <w:sz w:val="20"/>
          <w:szCs w:val="20"/>
          <w:color w:val="auto"/>
        </w:rPr>
      </w:pPr>
    </w:p>
    <w:p>
      <w:pPr>
        <w:ind w:right="120"/>
        <w:spacing w:after="0" w:line="301" w:lineRule="auto"/>
        <w:rPr>
          <w:sz w:val="20"/>
          <w:szCs w:val="20"/>
          <w:color w:val="auto"/>
        </w:rPr>
      </w:pPr>
      <w:r>
        <w:rPr>
          <w:rFonts w:ascii="Times New Roman" w:cs="Times New Roman" w:eastAsia="Times New Roman" w:hAnsi="Times New Roman"/>
          <w:sz w:val="16"/>
          <w:szCs w:val="16"/>
          <w:color w:val="auto"/>
        </w:rPr>
        <w:t>Pursuant to the Separation Agreement, Realogy has assumed 62.5% and Wyndham Worldwide has assumed 37.5% of certain contingent and other corporate liabilities (and related costs and expenses), including legal matters and related disputes, of the Company or its subsidiaries which are not primarily related to any of the respective businesses of Realogy, Wyndham Worldwide, Travelport and/or the Company’s vehicle rental operations, in each case incurred or allegedly incurred on or prior to the date of the separation of Travelport from the Company. Such litigation includes the Credentials Litigation described below.</w:t>
      </w:r>
    </w:p>
    <w:p>
      <w:pPr>
        <w:spacing w:after="0" w:line="101"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CSI Investment et. al. v. Cendant et. al., </w:t>
      </w:r>
      <w:r>
        <w:rPr>
          <w:rFonts w:ascii="Times New Roman" w:cs="Times New Roman" w:eastAsia="Times New Roman" w:hAnsi="Times New Roman"/>
          <w:sz w:val="18"/>
          <w:szCs w:val="18"/>
          <w:color w:val="auto"/>
        </w:rPr>
        <w:t>(Case No. 1:00-CV-01422 (DAB-DFE) (S.D.N.Y.)) (the “Credentials Litigation”) is an action for breach of contract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fraud arising out of Cendant’s acquisition of the Credentials business in 1998. The purchase agreement provided for the sale of Credentials Services International to Cendant for a set price of $125 million plus an additional amount, which was contingent on Credentials’ future performance. Plaintiffs sought, among other things, payment of certain “hold back” monies in the total amount of $6 million, as well as a contingent payment based upon future performance that plaintiffs contend should have been approximately $50 million. In September 2007, the Court granted summary judgment to dismiss the fraud claims and to grant plaintiffs’ motion for the hold back monies and for breach of contract and entered judgment in favor of plaintiffs, and in July, 2009, the Court of Appeals for the Second Circuit affirmed the ruling of the district court and judgment was entered in favor of the plaintiffs in the amount of approximately $98 million, plus post-judgment interest and reasonable attorneys’ fees. As a result of payments made by Realogy and Wyndham in July 2009, the Court entered a satisfaction of judgment (subject to plaintiffs’ right to petition the Court for reasonable attorneys’ fees) and canceled the surety bonds that had been posted by Realogy and Wyndham to appeal the trial court’s decision. In September 2009, the plaintiffs filed a motion requesting an aggregate of $33 million in attorneys’ fees and costs comprised of $6 million in hourly fees and costs, a $25 million success fee and $2 million in pre-judgment interest. Both parties have filed briefs with respect to the pending motion and in January 2010, the Court issued a summary order referring the matter to a Magistrate for a determination of the proper amount of attorneys’ fees. Realogy and Wyndham are responsible for 62.5% and 37.5%, respectively, of this liability. There was no net impact to our financial statements or cash balances as a result of the judgment or petition for attorneys’ fees.</w:t>
      </w:r>
    </w:p>
    <w:p>
      <w:pPr>
        <w:spacing w:after="0" w:line="147" w:lineRule="exact"/>
        <w:rPr>
          <w:sz w:val="20"/>
          <w:szCs w:val="20"/>
          <w:color w:val="auto"/>
        </w:rPr>
      </w:pPr>
    </w:p>
    <w:p>
      <w:pPr>
        <w:ind w:right="180"/>
        <w:spacing w:after="0" w:line="339" w:lineRule="auto"/>
        <w:rPr>
          <w:sz w:val="20"/>
          <w:szCs w:val="20"/>
          <w:color w:val="auto"/>
        </w:rPr>
      </w:pPr>
      <w:r>
        <w:rPr>
          <w:rFonts w:ascii="Times New Roman" w:cs="Times New Roman" w:eastAsia="Times New Roman" w:hAnsi="Times New Roman"/>
          <w:sz w:val="16"/>
          <w:szCs w:val="16"/>
          <w:color w:val="auto"/>
        </w:rPr>
        <w:t>Realogy, Wyndham Worldwide and Travelport have also assumed under the Separation Agreement certain contingent and other corporate liabilities (and related costs and expenses), which include legal proceedings where we are named as a defendant but are primarily related to each of their respective businesses.</w:t>
      </w:r>
    </w:p>
    <w:p>
      <w:pPr>
        <w:spacing w:after="0" w:line="72" w:lineRule="exact"/>
        <w:rPr>
          <w:sz w:val="20"/>
          <w:szCs w:val="20"/>
          <w:color w:val="auto"/>
        </w:rPr>
      </w:pPr>
    </w:p>
    <w:p>
      <w:pPr>
        <w:ind w:right="5300"/>
        <w:spacing w:after="0" w:line="431" w:lineRule="auto"/>
        <w:rPr>
          <w:sz w:val="20"/>
          <w:szCs w:val="20"/>
          <w:color w:val="auto"/>
        </w:rPr>
      </w:pPr>
      <w:r>
        <w:rPr>
          <w:rFonts w:ascii="Times New Roman" w:cs="Times New Roman" w:eastAsia="Times New Roman" w:hAnsi="Times New Roman"/>
          <w:sz w:val="18"/>
          <w:szCs w:val="18"/>
          <w:b w:val="1"/>
          <w:bCs w:val="1"/>
          <w:color w:val="auto"/>
        </w:rPr>
        <w:t xml:space="preserve">ITEM 4. SUBMISSION OF MATTERS TO A VOTE OF SECURITY HOLDERS </w:t>
      </w:r>
      <w:r>
        <w:rPr>
          <w:rFonts w:ascii="Times New Roman" w:cs="Times New Roman" w:eastAsia="Times New Roman" w:hAnsi="Times New Roman"/>
          <w:sz w:val="18"/>
          <w:szCs w:val="18"/>
          <w:color w:val="auto"/>
        </w:rPr>
        <w:t>None.</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420"/>
          </w:cols>
          <w:pgMar w:left="240" w:top="455" w:right="239" w:bottom="1440" w:gutter="0" w:footer="0" w:header="0"/>
        </w:sectPr>
      </w:pPr>
    </w:p>
    <w:bookmarkStart w:id="36" w:name="page37"/>
    <w:bookmarkEnd w:id="3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12" w:lineRule="exact"/>
        <w:rPr>
          <w:sz w:val="20"/>
          <w:szCs w:val="20"/>
          <w:color w:val="auto"/>
        </w:rPr>
      </w:pPr>
    </w:p>
    <w:p>
      <w:pPr>
        <w:ind w:left="920" w:right="580" w:hanging="904"/>
        <w:spacing w:after="0" w:line="277" w:lineRule="auto"/>
        <w:tabs>
          <w:tab w:leader="none" w:pos="900" w:val="left"/>
        </w:tabs>
        <w:rPr>
          <w:sz w:val="20"/>
          <w:szCs w:val="20"/>
          <w:color w:val="auto"/>
        </w:rPr>
      </w:pPr>
      <w:r>
        <w:rPr>
          <w:rFonts w:ascii="Times New Roman" w:cs="Times New Roman" w:eastAsia="Times New Roman" w:hAnsi="Times New Roman"/>
          <w:sz w:val="18"/>
          <w:szCs w:val="18"/>
          <w:b w:val="1"/>
          <w:bCs w:val="1"/>
          <w:color w:val="auto"/>
        </w:rPr>
        <w:t>ITEM 5.</w:t>
        <w:tab/>
        <w:t>MARKET FOR REGISTRANT’S COMMON EQUITY, RELATED STOCKHOLDER MATTERS AND ISSUER PURCHASES OF EQUITY SECURITIES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 Price of Common Stock</w:t>
      </w:r>
    </w:p>
    <w:p>
      <w:pPr>
        <w:spacing w:after="0" w:line="175"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8"/>
          <w:szCs w:val="18"/>
          <w:color w:val="auto"/>
        </w:rPr>
        <w:t>Our common stock is listed on the New York Stock Exchange (“NYSE”) under the symbol “CAR”. At January 29, 2010, the number of stockholders of record was approximately 3,884. The following table sets forth the quarterly high and low sales prices per share of our common stock as reported by the NYSE for 2009 and 2008.</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9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2009</w:t>
            </w:r>
          </w:p>
        </w:tc>
        <w:tc>
          <w:tcPr>
            <w:tcW w:w="340" w:type="dxa"/>
            <w:vAlign w:val="bottom"/>
          </w:tcPr>
          <w:p>
            <w:pPr>
              <w:spacing w:after="0"/>
              <w:rPr>
                <w:sz w:val="21"/>
                <w:szCs w:val="21"/>
                <w:color w:val="auto"/>
              </w:rPr>
            </w:pPr>
          </w:p>
        </w:tc>
        <w:tc>
          <w:tcPr>
            <w:tcW w:w="8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High</w:t>
            </w:r>
          </w:p>
        </w:tc>
        <w:tc>
          <w:tcPr>
            <w:tcW w:w="4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w w:val="99"/>
              </w:rPr>
              <w:t>Low</w:t>
            </w:r>
          </w:p>
        </w:tc>
      </w:tr>
      <w:tr>
        <w:trPr>
          <w:trHeight w:val="197"/>
        </w:trPr>
        <w:tc>
          <w:tcPr>
            <w:tcW w:w="9840" w:type="dxa"/>
            <w:vAlign w:val="bottom"/>
            <w:tcBorders>
              <w:top w:val="single" w:sz="8" w:color="auto"/>
            </w:tcBorders>
          </w:tcPr>
          <w:p>
            <w:pPr>
              <w:spacing w:after="0" w:line="197" w:lineRule="exact"/>
              <w:rPr>
                <w:sz w:val="20"/>
                <w:szCs w:val="20"/>
                <w:color w:val="auto"/>
              </w:rPr>
            </w:pPr>
            <w:r>
              <w:rPr>
                <w:rFonts w:ascii="Times New Roman" w:cs="Times New Roman" w:eastAsia="Times New Roman" w:hAnsi="Times New Roman"/>
                <w:sz w:val="18"/>
                <w:szCs w:val="18"/>
                <w:color w:val="auto"/>
              </w:rPr>
              <w:t>First Quarter</w:t>
            </w:r>
          </w:p>
        </w:tc>
        <w:tc>
          <w:tcPr>
            <w:tcW w:w="340" w:type="dxa"/>
            <w:vAlign w:val="bottom"/>
          </w:tcPr>
          <w:p>
            <w:pPr>
              <w:spacing w:after="0"/>
              <w:rPr>
                <w:sz w:val="17"/>
                <w:szCs w:val="17"/>
                <w:color w:val="auto"/>
              </w:rPr>
            </w:pPr>
          </w:p>
        </w:tc>
        <w:tc>
          <w:tcPr>
            <w:tcW w:w="500" w:type="dxa"/>
            <w:vAlign w:val="bottom"/>
            <w:tcBorders>
              <w:top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rPr>
              <w:t>$ 1.20</w:t>
            </w:r>
          </w:p>
        </w:tc>
        <w:tc>
          <w:tcPr>
            <w:tcW w:w="340" w:type="dxa"/>
            <w:vAlign w:val="bottom"/>
          </w:tcPr>
          <w:p>
            <w:pPr>
              <w:spacing w:after="0"/>
              <w:rPr>
                <w:sz w:val="17"/>
                <w:szCs w:val="17"/>
                <w:color w:val="auto"/>
              </w:rPr>
            </w:pPr>
          </w:p>
        </w:tc>
        <w:tc>
          <w:tcPr>
            <w:tcW w:w="400" w:type="dxa"/>
            <w:vAlign w:val="bottom"/>
            <w:tcBorders>
              <w:top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w w:val="93"/>
              </w:rPr>
              <w:t>$0.34</w:t>
            </w:r>
          </w:p>
        </w:tc>
        <w:tc>
          <w:tcPr>
            <w:tcW w:w="20" w:type="dxa"/>
            <w:vAlign w:val="bottom"/>
          </w:tcPr>
          <w:p>
            <w:pPr>
              <w:spacing w:after="0"/>
              <w:rPr>
                <w:sz w:val="17"/>
                <w:szCs w:val="17"/>
                <w:color w:val="auto"/>
              </w:rPr>
            </w:pPr>
          </w:p>
        </w:tc>
      </w:tr>
      <w:tr>
        <w:trPr>
          <w:trHeight w:val="216"/>
        </w:trPr>
        <w:tc>
          <w:tcPr>
            <w:tcW w:w="9840" w:type="dxa"/>
            <w:vAlign w:val="bottom"/>
          </w:tcPr>
          <w:p>
            <w:pPr>
              <w:spacing w:after="0"/>
              <w:rPr>
                <w:sz w:val="20"/>
                <w:szCs w:val="20"/>
                <w:color w:val="auto"/>
              </w:rPr>
            </w:pPr>
            <w:r>
              <w:rPr>
                <w:rFonts w:ascii="Times New Roman" w:cs="Times New Roman" w:eastAsia="Times New Roman" w:hAnsi="Times New Roman"/>
                <w:sz w:val="18"/>
                <w:szCs w:val="18"/>
                <w:color w:val="auto"/>
              </w:rPr>
              <w:t>Second Quarter</w:t>
            </w:r>
          </w:p>
        </w:tc>
        <w:tc>
          <w:tcPr>
            <w:tcW w:w="118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5.93</w:t>
            </w: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0.76</w:t>
            </w:r>
          </w:p>
        </w:tc>
      </w:tr>
      <w:tr>
        <w:trPr>
          <w:trHeight w:val="216"/>
        </w:trPr>
        <w:tc>
          <w:tcPr>
            <w:tcW w:w="9840" w:type="dxa"/>
            <w:vAlign w:val="bottom"/>
          </w:tcPr>
          <w:p>
            <w:pPr>
              <w:spacing w:after="0"/>
              <w:rPr>
                <w:sz w:val="20"/>
                <w:szCs w:val="20"/>
                <w:color w:val="auto"/>
              </w:rPr>
            </w:pPr>
            <w:r>
              <w:rPr>
                <w:rFonts w:ascii="Times New Roman" w:cs="Times New Roman" w:eastAsia="Times New Roman" w:hAnsi="Times New Roman"/>
                <w:sz w:val="18"/>
                <w:szCs w:val="18"/>
                <w:color w:val="auto"/>
              </w:rPr>
              <w:t>Third Quarter</w:t>
            </w:r>
          </w:p>
        </w:tc>
        <w:tc>
          <w:tcPr>
            <w:tcW w:w="118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14.14</w:t>
            </w: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5.10</w:t>
            </w:r>
          </w:p>
        </w:tc>
      </w:tr>
      <w:tr>
        <w:trPr>
          <w:trHeight w:val="228"/>
        </w:trPr>
        <w:tc>
          <w:tcPr>
            <w:tcW w:w="9840" w:type="dxa"/>
            <w:vAlign w:val="bottom"/>
          </w:tcPr>
          <w:p>
            <w:pPr>
              <w:spacing w:after="0"/>
              <w:rPr>
                <w:sz w:val="20"/>
                <w:szCs w:val="20"/>
                <w:color w:val="auto"/>
              </w:rPr>
            </w:pPr>
            <w:r>
              <w:rPr>
                <w:rFonts w:ascii="Times New Roman" w:cs="Times New Roman" w:eastAsia="Times New Roman" w:hAnsi="Times New Roman"/>
                <w:sz w:val="18"/>
                <w:szCs w:val="18"/>
                <w:color w:val="auto"/>
              </w:rPr>
              <w:t>Fourth Quarter</w:t>
            </w:r>
          </w:p>
        </w:tc>
        <w:tc>
          <w:tcPr>
            <w:tcW w:w="118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13.85</w:t>
            </w: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8.08</w:t>
            </w:r>
          </w:p>
        </w:tc>
      </w:tr>
    </w:tbl>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9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2008</w:t>
            </w:r>
          </w:p>
        </w:tc>
        <w:tc>
          <w:tcPr>
            <w:tcW w:w="340" w:type="dxa"/>
            <w:vAlign w:val="bottom"/>
          </w:tcPr>
          <w:p>
            <w:pPr>
              <w:spacing w:after="0"/>
              <w:rPr>
                <w:sz w:val="21"/>
                <w:szCs w:val="21"/>
                <w:color w:val="auto"/>
              </w:rPr>
            </w:pPr>
          </w:p>
        </w:tc>
        <w:tc>
          <w:tcPr>
            <w:tcW w:w="8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High</w:t>
            </w:r>
          </w:p>
        </w:tc>
        <w:tc>
          <w:tcPr>
            <w:tcW w:w="4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w w:val="99"/>
              </w:rPr>
              <w:t>Low</w:t>
            </w:r>
          </w:p>
        </w:tc>
      </w:tr>
      <w:tr>
        <w:trPr>
          <w:trHeight w:val="197"/>
        </w:trPr>
        <w:tc>
          <w:tcPr>
            <w:tcW w:w="9840" w:type="dxa"/>
            <w:vAlign w:val="bottom"/>
            <w:tcBorders>
              <w:top w:val="single" w:sz="8" w:color="auto"/>
            </w:tcBorders>
          </w:tcPr>
          <w:p>
            <w:pPr>
              <w:spacing w:after="0" w:line="197" w:lineRule="exact"/>
              <w:rPr>
                <w:sz w:val="20"/>
                <w:szCs w:val="20"/>
                <w:color w:val="auto"/>
              </w:rPr>
            </w:pPr>
            <w:r>
              <w:rPr>
                <w:rFonts w:ascii="Times New Roman" w:cs="Times New Roman" w:eastAsia="Times New Roman" w:hAnsi="Times New Roman"/>
                <w:sz w:val="18"/>
                <w:szCs w:val="18"/>
                <w:color w:val="auto"/>
              </w:rPr>
              <w:t>First Quarter</w:t>
            </w:r>
          </w:p>
        </w:tc>
        <w:tc>
          <w:tcPr>
            <w:tcW w:w="340" w:type="dxa"/>
            <w:vAlign w:val="bottom"/>
          </w:tcPr>
          <w:p>
            <w:pPr>
              <w:spacing w:after="0"/>
              <w:rPr>
                <w:sz w:val="17"/>
                <w:szCs w:val="17"/>
                <w:color w:val="auto"/>
              </w:rPr>
            </w:pPr>
          </w:p>
        </w:tc>
        <w:tc>
          <w:tcPr>
            <w:tcW w:w="500" w:type="dxa"/>
            <w:vAlign w:val="bottom"/>
            <w:tcBorders>
              <w:top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w w:val="96"/>
              </w:rPr>
              <w:t>$13.74</w:t>
            </w:r>
          </w:p>
        </w:tc>
        <w:tc>
          <w:tcPr>
            <w:tcW w:w="340" w:type="dxa"/>
            <w:vAlign w:val="bottom"/>
          </w:tcPr>
          <w:p>
            <w:pPr>
              <w:spacing w:after="0"/>
              <w:rPr>
                <w:sz w:val="17"/>
                <w:szCs w:val="17"/>
                <w:color w:val="auto"/>
              </w:rPr>
            </w:pPr>
          </w:p>
        </w:tc>
        <w:tc>
          <w:tcPr>
            <w:tcW w:w="400" w:type="dxa"/>
            <w:vAlign w:val="bottom"/>
            <w:tcBorders>
              <w:top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w w:val="93"/>
              </w:rPr>
              <w:t>$9.00</w:t>
            </w:r>
          </w:p>
        </w:tc>
        <w:tc>
          <w:tcPr>
            <w:tcW w:w="20" w:type="dxa"/>
            <w:vAlign w:val="bottom"/>
          </w:tcPr>
          <w:p>
            <w:pPr>
              <w:spacing w:after="0"/>
              <w:rPr>
                <w:sz w:val="17"/>
                <w:szCs w:val="17"/>
                <w:color w:val="auto"/>
              </w:rPr>
            </w:pPr>
          </w:p>
        </w:tc>
      </w:tr>
      <w:tr>
        <w:trPr>
          <w:trHeight w:val="216"/>
        </w:trPr>
        <w:tc>
          <w:tcPr>
            <w:tcW w:w="9840" w:type="dxa"/>
            <w:vAlign w:val="bottom"/>
          </w:tcPr>
          <w:p>
            <w:pPr>
              <w:spacing w:after="0"/>
              <w:rPr>
                <w:sz w:val="20"/>
                <w:szCs w:val="20"/>
                <w:color w:val="auto"/>
              </w:rPr>
            </w:pPr>
            <w:r>
              <w:rPr>
                <w:rFonts w:ascii="Times New Roman" w:cs="Times New Roman" w:eastAsia="Times New Roman" w:hAnsi="Times New Roman"/>
                <w:sz w:val="18"/>
                <w:szCs w:val="18"/>
                <w:color w:val="auto"/>
              </w:rPr>
              <w:t>Second Quarter</w:t>
            </w:r>
          </w:p>
        </w:tc>
        <w:tc>
          <w:tcPr>
            <w:tcW w:w="118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18.00</w:t>
            </w: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8.30</w:t>
            </w:r>
          </w:p>
        </w:tc>
      </w:tr>
      <w:tr>
        <w:trPr>
          <w:trHeight w:val="216"/>
        </w:trPr>
        <w:tc>
          <w:tcPr>
            <w:tcW w:w="9840" w:type="dxa"/>
            <w:vAlign w:val="bottom"/>
          </w:tcPr>
          <w:p>
            <w:pPr>
              <w:spacing w:after="0"/>
              <w:rPr>
                <w:sz w:val="20"/>
                <w:szCs w:val="20"/>
                <w:color w:val="auto"/>
              </w:rPr>
            </w:pPr>
            <w:r>
              <w:rPr>
                <w:rFonts w:ascii="Times New Roman" w:cs="Times New Roman" w:eastAsia="Times New Roman" w:hAnsi="Times New Roman"/>
                <w:sz w:val="18"/>
                <w:szCs w:val="18"/>
                <w:color w:val="auto"/>
              </w:rPr>
              <w:t>Third Quarter</w:t>
            </w:r>
          </w:p>
        </w:tc>
        <w:tc>
          <w:tcPr>
            <w:tcW w:w="118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11.90</w:t>
            </w: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4.20</w:t>
            </w:r>
          </w:p>
        </w:tc>
      </w:tr>
      <w:tr>
        <w:trPr>
          <w:trHeight w:val="228"/>
        </w:trPr>
        <w:tc>
          <w:tcPr>
            <w:tcW w:w="9840" w:type="dxa"/>
            <w:vAlign w:val="bottom"/>
          </w:tcPr>
          <w:p>
            <w:pPr>
              <w:spacing w:after="0"/>
              <w:rPr>
                <w:sz w:val="20"/>
                <w:szCs w:val="20"/>
                <w:color w:val="auto"/>
              </w:rPr>
            </w:pPr>
            <w:r>
              <w:rPr>
                <w:rFonts w:ascii="Times New Roman" w:cs="Times New Roman" w:eastAsia="Times New Roman" w:hAnsi="Times New Roman"/>
                <w:sz w:val="18"/>
                <w:szCs w:val="18"/>
                <w:color w:val="auto"/>
              </w:rPr>
              <w:t>Fourth Quarter</w:t>
            </w:r>
          </w:p>
        </w:tc>
        <w:tc>
          <w:tcPr>
            <w:tcW w:w="118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5.83</w:t>
            </w: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0.38</w:t>
            </w:r>
          </w:p>
        </w:tc>
      </w:tr>
    </w:tbl>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 Policy</w:t>
      </w:r>
    </w:p>
    <w:p>
      <w:pPr>
        <w:spacing w:after="0" w:line="175"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We paid no cash dividends on our common stock in 2009 and 2008 and we do not anticipate paying dividends on our common stock for the foreseeable future. Our ability to pay dividends to holders of our common stock is limited as a practical matter by the Company’s senior credit facilities, the indenture governing our senior notes and our vehicle financing programs, insofar as we may seek to pay dividends out of funds made available to Avis Budget Group by ABCR and/or its subsidiaries, because these debt financings directly or indirectly restrict the Company’s ability to pay dividends. The declaration and payment of future dividends to holders of our common stock will be at the discretion of our Board of Directors and will depend upon many factors, including our financial condition, earnings, capital requirements of our businesses, covenants associated with certain debt obligations, legal requirements, regulatory constraints, industry practice and other factors that the Board of Directors deems relevant.</w:t>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420"/>
          </w:cols>
          <w:pgMar w:left="240" w:top="455" w:right="239" w:bottom="1440" w:gutter="0" w:footer="0" w:header="0"/>
        </w:sectPr>
      </w:pPr>
    </w:p>
    <w:bookmarkStart w:id="37" w:name="page38"/>
    <w:bookmarkEnd w:id="3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Securities Authorized for Issuance under Equity Compensation Plans</w:t>
      </w:r>
    </w:p>
    <w:p>
      <w:pPr>
        <w:spacing w:after="0" w:line="17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following table provides information about shares of our common stock that may be issued upon the exercise of options, stock settled stock appreciation rights and restricted stock units under all of our existing equity compensation plans as of December 31, 2009. The table excludes 2,686,626 shares of our common stock which was issued or available for issuance pursuant to the 1998 Employee Stock Purchase Plan and the 2009 Employee Stock Purchase Plan, both approved by stockholders.</w:t>
      </w:r>
    </w:p>
    <w:p>
      <w:pPr>
        <w:spacing w:after="0" w:line="136" w:lineRule="exact"/>
        <w:rPr>
          <w:sz w:val="20"/>
          <w:szCs w:val="20"/>
          <w:color w:val="auto"/>
        </w:rPr>
      </w:pPr>
    </w:p>
    <w:p>
      <w:pPr>
        <w:ind w:right="380"/>
        <w:spacing w:after="0" w:line="258" w:lineRule="auto"/>
        <w:rPr>
          <w:sz w:val="20"/>
          <w:szCs w:val="20"/>
          <w:color w:val="auto"/>
        </w:rPr>
      </w:pPr>
      <w:r>
        <w:rPr>
          <w:rFonts w:ascii="Times New Roman" w:cs="Times New Roman" w:eastAsia="Times New Roman" w:hAnsi="Times New Roman"/>
          <w:sz w:val="18"/>
          <w:szCs w:val="18"/>
          <w:color w:val="auto"/>
        </w:rPr>
        <w:t>Of the approximately 9.8 million shares of our common stock to be issued upon exercise of outstanding options, stock settled stock appreciation rights and restricted stock units, approximately 3.2 million shares are related to stock option grants that were made by Cendant Corporation to employees of Cendant Corporation prior to the spin-offs of Realogy and Wyndham, 99% of which have strike prices in excess of our closing stock price of $13.12 on December 31, 2009.</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0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4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6"/>
              </w:rPr>
              <w:t>Number of Securities</w:t>
            </w:r>
          </w:p>
        </w:tc>
      </w:tr>
      <w:tr>
        <w:trPr>
          <w:trHeight w:val="216"/>
        </w:trPr>
        <w:tc>
          <w:tcPr>
            <w:tcW w:w="110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Number of Securities</w:t>
            </w:r>
          </w:p>
        </w:tc>
        <w:tc>
          <w:tcPr>
            <w:tcW w:w="11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4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6"/>
              </w:rPr>
              <w:t>Remaining Available for</w:t>
            </w:r>
          </w:p>
        </w:tc>
      </w:tr>
      <w:tr>
        <w:trPr>
          <w:trHeight w:val="216"/>
        </w:trPr>
        <w:tc>
          <w:tcPr>
            <w:tcW w:w="110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to be Issued Upon</w:t>
            </w:r>
          </w:p>
        </w:tc>
        <w:tc>
          <w:tcPr>
            <w:tcW w:w="1160" w:type="dxa"/>
            <w:vAlign w:val="bottom"/>
          </w:tcPr>
          <w:p>
            <w:pPr>
              <w:spacing w:after="0"/>
              <w:rPr>
                <w:sz w:val="18"/>
                <w:szCs w:val="18"/>
                <w:color w:val="auto"/>
              </w:rPr>
            </w:pPr>
          </w:p>
        </w:tc>
        <w:tc>
          <w:tcPr>
            <w:tcW w:w="2780" w:type="dxa"/>
            <w:vAlign w:val="bottom"/>
            <w:gridSpan w:val="2"/>
          </w:tcPr>
          <w:p>
            <w:pPr>
              <w:jc w:val="center"/>
              <w:ind w:right="1160"/>
              <w:spacing w:after="0"/>
              <w:rPr>
                <w:sz w:val="20"/>
                <w:szCs w:val="20"/>
                <w:color w:val="auto"/>
              </w:rPr>
            </w:pPr>
            <w:r>
              <w:rPr>
                <w:rFonts w:ascii="Times New Roman" w:cs="Times New Roman" w:eastAsia="Times New Roman" w:hAnsi="Times New Roman"/>
                <w:sz w:val="18"/>
                <w:szCs w:val="18"/>
                <w:b w:val="1"/>
                <w:bCs w:val="1"/>
                <w:color w:val="auto"/>
                <w:w w:val="95"/>
              </w:rPr>
              <w:t>Weighted-Average</w:t>
            </w:r>
          </w:p>
        </w:tc>
        <w:tc>
          <w:tcPr>
            <w:tcW w:w="184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7"/>
              </w:rPr>
              <w:t>Future Issuance</w:t>
            </w:r>
          </w:p>
        </w:tc>
      </w:tr>
      <w:tr>
        <w:trPr>
          <w:trHeight w:val="216"/>
        </w:trPr>
        <w:tc>
          <w:tcPr>
            <w:tcW w:w="110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Exercise of</w:t>
            </w:r>
          </w:p>
        </w:tc>
        <w:tc>
          <w:tcPr>
            <w:tcW w:w="1160" w:type="dxa"/>
            <w:vAlign w:val="bottom"/>
          </w:tcPr>
          <w:p>
            <w:pPr>
              <w:spacing w:after="0"/>
              <w:rPr>
                <w:sz w:val="18"/>
                <w:szCs w:val="18"/>
                <w:color w:val="auto"/>
              </w:rPr>
            </w:pPr>
          </w:p>
        </w:tc>
        <w:tc>
          <w:tcPr>
            <w:tcW w:w="2780" w:type="dxa"/>
            <w:vAlign w:val="bottom"/>
            <w:gridSpan w:val="2"/>
          </w:tcPr>
          <w:p>
            <w:pPr>
              <w:jc w:val="center"/>
              <w:ind w:right="1200"/>
              <w:spacing w:after="0"/>
              <w:rPr>
                <w:sz w:val="20"/>
                <w:szCs w:val="20"/>
                <w:color w:val="auto"/>
              </w:rPr>
            </w:pPr>
            <w:r>
              <w:rPr>
                <w:rFonts w:ascii="Times New Roman" w:cs="Times New Roman" w:eastAsia="Times New Roman" w:hAnsi="Times New Roman"/>
                <w:sz w:val="18"/>
                <w:szCs w:val="18"/>
                <w:b w:val="1"/>
                <w:bCs w:val="1"/>
                <w:color w:val="auto"/>
                <w:w w:val="97"/>
              </w:rPr>
              <w:t>Exercise Price of</w:t>
            </w:r>
          </w:p>
        </w:tc>
        <w:tc>
          <w:tcPr>
            <w:tcW w:w="184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6"/>
              </w:rPr>
              <w:t>Under Equity</w:t>
            </w:r>
          </w:p>
        </w:tc>
      </w:tr>
      <w:tr>
        <w:trPr>
          <w:trHeight w:val="216"/>
        </w:trPr>
        <w:tc>
          <w:tcPr>
            <w:tcW w:w="110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Outstanding Options,</w:t>
            </w:r>
          </w:p>
        </w:tc>
        <w:tc>
          <w:tcPr>
            <w:tcW w:w="1160" w:type="dxa"/>
            <w:vAlign w:val="bottom"/>
          </w:tcPr>
          <w:p>
            <w:pPr>
              <w:spacing w:after="0"/>
              <w:rPr>
                <w:sz w:val="18"/>
                <w:szCs w:val="18"/>
                <w:color w:val="auto"/>
              </w:rPr>
            </w:pPr>
          </w:p>
        </w:tc>
        <w:tc>
          <w:tcPr>
            <w:tcW w:w="2780" w:type="dxa"/>
            <w:vAlign w:val="bottom"/>
            <w:gridSpan w:val="2"/>
          </w:tcPr>
          <w:p>
            <w:pPr>
              <w:jc w:val="center"/>
              <w:ind w:right="1160"/>
              <w:spacing w:after="0"/>
              <w:rPr>
                <w:sz w:val="20"/>
                <w:szCs w:val="20"/>
                <w:color w:val="auto"/>
              </w:rPr>
            </w:pPr>
            <w:r>
              <w:rPr>
                <w:rFonts w:ascii="Times New Roman" w:cs="Times New Roman" w:eastAsia="Times New Roman" w:hAnsi="Times New Roman"/>
                <w:sz w:val="18"/>
                <w:szCs w:val="18"/>
                <w:b w:val="1"/>
                <w:bCs w:val="1"/>
                <w:color w:val="auto"/>
                <w:w w:val="97"/>
              </w:rPr>
              <w:t>Outstanding Options,</w:t>
            </w:r>
          </w:p>
        </w:tc>
        <w:tc>
          <w:tcPr>
            <w:tcW w:w="184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7"/>
              </w:rPr>
              <w:t>Compensation Plans</w:t>
            </w:r>
          </w:p>
        </w:tc>
      </w:tr>
      <w:tr>
        <w:trPr>
          <w:trHeight w:val="216"/>
        </w:trPr>
        <w:tc>
          <w:tcPr>
            <w:tcW w:w="110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Warrants, Rights</w:t>
            </w:r>
          </w:p>
        </w:tc>
        <w:tc>
          <w:tcPr>
            <w:tcW w:w="1160" w:type="dxa"/>
            <w:vAlign w:val="bottom"/>
          </w:tcPr>
          <w:p>
            <w:pPr>
              <w:spacing w:after="0"/>
              <w:rPr>
                <w:sz w:val="18"/>
                <w:szCs w:val="18"/>
                <w:color w:val="auto"/>
              </w:rPr>
            </w:pPr>
          </w:p>
        </w:tc>
        <w:tc>
          <w:tcPr>
            <w:tcW w:w="2780" w:type="dxa"/>
            <w:vAlign w:val="bottom"/>
            <w:gridSpan w:val="2"/>
          </w:tcPr>
          <w:p>
            <w:pPr>
              <w:jc w:val="center"/>
              <w:ind w:right="1160"/>
              <w:spacing w:after="0"/>
              <w:rPr>
                <w:sz w:val="20"/>
                <w:szCs w:val="20"/>
                <w:color w:val="auto"/>
              </w:rPr>
            </w:pPr>
            <w:r>
              <w:rPr>
                <w:rFonts w:ascii="Times New Roman" w:cs="Times New Roman" w:eastAsia="Times New Roman" w:hAnsi="Times New Roman"/>
                <w:sz w:val="18"/>
                <w:szCs w:val="18"/>
                <w:b w:val="1"/>
                <w:bCs w:val="1"/>
                <w:color w:val="auto"/>
                <w:w w:val="96"/>
              </w:rPr>
              <w:t>Warrants and Rights</w:t>
            </w:r>
          </w:p>
        </w:tc>
        <w:tc>
          <w:tcPr>
            <w:tcW w:w="184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6"/>
              </w:rPr>
              <w:t>(Excluding Securities</w:t>
            </w:r>
          </w:p>
        </w:tc>
      </w:tr>
      <w:tr>
        <w:trPr>
          <w:trHeight w:val="216"/>
        </w:trPr>
        <w:tc>
          <w:tcPr>
            <w:tcW w:w="110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and Restricted</w:t>
            </w:r>
          </w:p>
        </w:tc>
        <w:tc>
          <w:tcPr>
            <w:tcW w:w="1160" w:type="dxa"/>
            <w:vAlign w:val="bottom"/>
          </w:tcPr>
          <w:p>
            <w:pPr>
              <w:spacing w:after="0"/>
              <w:rPr>
                <w:sz w:val="18"/>
                <w:szCs w:val="18"/>
                <w:color w:val="auto"/>
              </w:rPr>
            </w:pPr>
          </w:p>
        </w:tc>
        <w:tc>
          <w:tcPr>
            <w:tcW w:w="2780" w:type="dxa"/>
            <w:vAlign w:val="bottom"/>
            <w:gridSpan w:val="2"/>
          </w:tcPr>
          <w:p>
            <w:pPr>
              <w:jc w:val="center"/>
              <w:ind w:right="1160"/>
              <w:spacing w:after="0"/>
              <w:rPr>
                <w:sz w:val="20"/>
                <w:szCs w:val="20"/>
                <w:color w:val="auto"/>
              </w:rPr>
            </w:pPr>
            <w:r>
              <w:rPr>
                <w:rFonts w:ascii="Times New Roman" w:cs="Times New Roman" w:eastAsia="Times New Roman" w:hAnsi="Times New Roman"/>
                <w:sz w:val="18"/>
                <w:szCs w:val="18"/>
                <w:b w:val="1"/>
                <w:bCs w:val="1"/>
                <w:color w:val="auto"/>
                <w:w w:val="97"/>
              </w:rPr>
              <w:t>(Excludes Restricted</w:t>
            </w:r>
          </w:p>
        </w:tc>
        <w:tc>
          <w:tcPr>
            <w:tcW w:w="184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7"/>
              </w:rPr>
              <w:t>Reflected in First</w:t>
            </w:r>
          </w:p>
        </w:tc>
      </w:tr>
      <w:tr>
        <w:trPr>
          <w:trHeight w:val="231"/>
        </w:trPr>
        <w:tc>
          <w:tcPr>
            <w:tcW w:w="1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7"/>
              </w:rPr>
              <w:t>Plan Category</w:t>
            </w:r>
          </w:p>
        </w:tc>
        <w:tc>
          <w:tcPr>
            <w:tcW w:w="2940" w:type="dxa"/>
            <w:vAlign w:val="bottom"/>
          </w:tcPr>
          <w:p>
            <w:pPr>
              <w:spacing w:after="0"/>
              <w:rPr>
                <w:sz w:val="20"/>
                <w:szCs w:val="20"/>
                <w:color w:val="auto"/>
              </w:rPr>
            </w:pPr>
          </w:p>
        </w:tc>
        <w:tc>
          <w:tcPr>
            <w:tcW w:w="1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 xml:space="preserve">Stock Units </w:t>
            </w:r>
            <w:r>
              <w:rPr>
                <w:rFonts w:ascii="Times New Roman" w:cs="Times New Roman" w:eastAsia="Times New Roman" w:hAnsi="Times New Roman"/>
                <w:sz w:val="11"/>
                <w:szCs w:val="11"/>
                <w:b w:val="1"/>
                <w:bCs w:val="1"/>
                <w:color w:val="auto"/>
                <w:w w:val="97"/>
              </w:rPr>
              <w:t>(d)</w:t>
            </w:r>
          </w:p>
        </w:tc>
        <w:tc>
          <w:tcPr>
            <w:tcW w:w="1160" w:type="dxa"/>
            <w:vAlign w:val="bottom"/>
          </w:tcPr>
          <w:p>
            <w:pPr>
              <w:spacing w:after="0"/>
              <w:rPr>
                <w:sz w:val="20"/>
                <w:szCs w:val="20"/>
                <w:color w:val="auto"/>
              </w:rPr>
            </w:pPr>
          </w:p>
        </w:tc>
        <w:tc>
          <w:tcPr>
            <w:tcW w:w="1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 xml:space="preserve">Stock Units) ($) </w:t>
            </w:r>
            <w:r>
              <w:rPr>
                <w:rFonts w:ascii="Times New Roman" w:cs="Times New Roman" w:eastAsia="Times New Roman" w:hAnsi="Times New Roman"/>
                <w:sz w:val="11"/>
                <w:szCs w:val="11"/>
                <w:b w:val="1"/>
                <w:bCs w:val="1"/>
                <w:color w:val="auto"/>
                <w:w w:val="98"/>
              </w:rPr>
              <w:t>(d)</w:t>
            </w:r>
          </w:p>
        </w:tc>
        <w:tc>
          <w:tcPr>
            <w:tcW w:w="1160" w:type="dxa"/>
            <w:vAlign w:val="bottom"/>
          </w:tcPr>
          <w:p>
            <w:pPr>
              <w:spacing w:after="0"/>
              <w:rPr>
                <w:sz w:val="20"/>
                <w:szCs w:val="20"/>
                <w:color w:val="auto"/>
              </w:rPr>
            </w:pPr>
          </w:p>
        </w:tc>
        <w:tc>
          <w:tcPr>
            <w:tcW w:w="1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Column)</w:t>
            </w:r>
          </w:p>
        </w:tc>
        <w:tc>
          <w:tcPr>
            <w:tcW w:w="20" w:type="dxa"/>
            <w:vAlign w:val="bottom"/>
          </w:tcPr>
          <w:p>
            <w:pPr>
              <w:spacing w:after="0"/>
              <w:rPr>
                <w:sz w:val="20"/>
                <w:szCs w:val="20"/>
                <w:color w:val="auto"/>
              </w:rPr>
            </w:pPr>
          </w:p>
        </w:tc>
      </w:tr>
      <w:tr>
        <w:trPr>
          <w:trHeight w:val="196"/>
        </w:trPr>
        <w:tc>
          <w:tcPr>
            <w:tcW w:w="40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Equity compensation plans approved by</w:t>
            </w:r>
          </w:p>
        </w:tc>
        <w:tc>
          <w:tcPr>
            <w:tcW w:w="16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40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 xml:space="preserve">Company stockholders </w:t>
            </w:r>
            <w:r>
              <w:rPr>
                <w:rFonts w:ascii="Times New Roman" w:cs="Times New Roman" w:eastAsia="Times New Roman" w:hAnsi="Times New Roman"/>
                <w:sz w:val="11"/>
                <w:szCs w:val="11"/>
                <w:color w:val="auto"/>
              </w:rPr>
              <w:t>(a)</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7,577,772</w:t>
            </w:r>
          </w:p>
        </w:tc>
        <w:tc>
          <w:tcPr>
            <w:tcW w:w="3940" w:type="dxa"/>
            <w:vAlign w:val="bottom"/>
            <w:gridSpan w:val="3"/>
          </w:tcPr>
          <w:p>
            <w:pPr>
              <w:jc w:val="right"/>
              <w:ind w:right="1160"/>
              <w:spacing w:after="0"/>
              <w:rPr>
                <w:sz w:val="20"/>
                <w:szCs w:val="20"/>
                <w:color w:val="auto"/>
              </w:rPr>
            </w:pPr>
            <w:r>
              <w:rPr>
                <w:rFonts w:ascii="Times New Roman" w:cs="Times New Roman" w:eastAsia="Times New Roman" w:hAnsi="Times New Roman"/>
                <w:sz w:val="18"/>
                <w:szCs w:val="18"/>
                <w:color w:val="auto"/>
              </w:rPr>
              <w:t>$8.75</w:t>
            </w:r>
          </w:p>
        </w:tc>
        <w:tc>
          <w:tcPr>
            <w:tcW w:w="1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7,155,872</w:t>
            </w:r>
          </w:p>
        </w:tc>
      </w:tr>
      <w:tr>
        <w:trPr>
          <w:trHeight w:val="216"/>
        </w:trPr>
        <w:tc>
          <w:tcPr>
            <w:tcW w:w="4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Equity compensation plans not approved</w:t>
            </w:r>
          </w:p>
        </w:tc>
        <w:tc>
          <w:tcPr>
            <w:tcW w:w="16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0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 xml:space="preserve">by Company stockholders </w:t>
            </w:r>
            <w:r>
              <w:rPr>
                <w:rFonts w:ascii="Times New Roman" w:cs="Times New Roman" w:eastAsia="Times New Roman" w:hAnsi="Times New Roman"/>
                <w:sz w:val="11"/>
                <w:szCs w:val="11"/>
                <w:color w:val="auto"/>
              </w:rPr>
              <w:t>(b)(e)</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2,197,705</w:t>
            </w:r>
          </w:p>
        </w:tc>
        <w:tc>
          <w:tcPr>
            <w:tcW w:w="3940" w:type="dxa"/>
            <w:vAlign w:val="bottom"/>
            <w:gridSpan w:val="3"/>
          </w:tcPr>
          <w:p>
            <w:pPr>
              <w:jc w:val="right"/>
              <w:ind w:right="1160"/>
              <w:spacing w:after="0"/>
              <w:rPr>
                <w:sz w:val="20"/>
                <w:szCs w:val="20"/>
                <w:color w:val="auto"/>
              </w:rPr>
            </w:pPr>
            <w:r>
              <w:rPr>
                <w:rFonts w:ascii="Times New Roman" w:cs="Times New Roman" w:eastAsia="Times New Roman" w:hAnsi="Times New Roman"/>
                <w:sz w:val="18"/>
                <w:szCs w:val="18"/>
                <w:color w:val="auto"/>
              </w:rPr>
              <w:t>$24.34</w:t>
            </w:r>
          </w:p>
        </w:tc>
        <w:tc>
          <w:tcPr>
            <w:tcW w:w="1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Equity compensation plans assumed in</w:t>
            </w:r>
          </w:p>
        </w:tc>
        <w:tc>
          <w:tcPr>
            <w:tcW w:w="16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0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mergers, acquisitions and corporate</w:t>
            </w:r>
          </w:p>
        </w:tc>
        <w:tc>
          <w:tcPr>
            <w:tcW w:w="16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8"/>
        </w:trPr>
        <w:tc>
          <w:tcPr>
            <w:tcW w:w="40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 xml:space="preserve">transactions </w:t>
            </w:r>
            <w:r>
              <w:rPr>
                <w:rFonts w:ascii="Times New Roman" w:cs="Times New Roman" w:eastAsia="Times New Roman" w:hAnsi="Times New Roman"/>
                <w:sz w:val="11"/>
                <w:szCs w:val="11"/>
                <w:color w:val="auto"/>
              </w:rPr>
              <w:t>(c)</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12,078</w:t>
            </w:r>
          </w:p>
        </w:tc>
        <w:tc>
          <w:tcPr>
            <w:tcW w:w="3940" w:type="dxa"/>
            <w:vAlign w:val="bottom"/>
            <w:gridSpan w:val="3"/>
          </w:tcPr>
          <w:p>
            <w:pPr>
              <w:jc w:val="right"/>
              <w:ind w:right="1160"/>
              <w:spacing w:after="0"/>
              <w:rPr>
                <w:sz w:val="20"/>
                <w:szCs w:val="20"/>
                <w:color w:val="auto"/>
              </w:rPr>
            </w:pPr>
            <w:r>
              <w:rPr>
                <w:rFonts w:ascii="Times New Roman" w:cs="Times New Roman" w:eastAsia="Times New Roman" w:hAnsi="Times New Roman"/>
                <w:sz w:val="18"/>
                <w:szCs w:val="18"/>
                <w:color w:val="auto"/>
              </w:rPr>
              <w:t>$14.92</w:t>
            </w:r>
          </w:p>
        </w:tc>
        <w:tc>
          <w:tcPr>
            <w:tcW w:w="1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r>
      <w:tr>
        <w:trPr>
          <w:trHeight w:val="224"/>
        </w:trPr>
        <w:tc>
          <w:tcPr>
            <w:tcW w:w="4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1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9,787,555</w:t>
            </w:r>
          </w:p>
        </w:tc>
        <w:tc>
          <w:tcPr>
            <w:tcW w:w="3940" w:type="dxa"/>
            <w:vAlign w:val="bottom"/>
            <w:gridSpan w:val="3"/>
          </w:tcPr>
          <w:p>
            <w:pPr>
              <w:jc w:val="right"/>
              <w:ind w:right="1160"/>
              <w:spacing w:after="0"/>
              <w:rPr>
                <w:sz w:val="20"/>
                <w:szCs w:val="20"/>
                <w:color w:val="auto"/>
              </w:rPr>
            </w:pPr>
            <w:r>
              <w:rPr>
                <w:rFonts w:ascii="Times New Roman" w:cs="Times New Roman" w:eastAsia="Times New Roman" w:hAnsi="Times New Roman"/>
                <w:sz w:val="18"/>
                <w:szCs w:val="18"/>
                <w:color w:val="auto"/>
              </w:rPr>
              <w:t>$12.15</w:t>
            </w:r>
          </w:p>
        </w:tc>
        <w:tc>
          <w:tcPr>
            <w:tcW w:w="1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7,155,872</w:t>
            </w:r>
          </w:p>
        </w:tc>
        <w:tc>
          <w:tcPr>
            <w:tcW w:w="20" w:type="dxa"/>
            <w:vAlign w:val="bottom"/>
          </w:tcPr>
          <w:p>
            <w:pPr>
              <w:spacing w:after="0"/>
              <w:rPr>
                <w:sz w:val="19"/>
                <w:szCs w:val="19"/>
                <w:color w:val="auto"/>
              </w:rPr>
            </w:pPr>
          </w:p>
        </w:tc>
      </w:tr>
    </w:tbl>
    <w:p>
      <w:pPr>
        <w:spacing w:after="0" w:line="135" w:lineRule="exact"/>
        <w:rPr>
          <w:sz w:val="20"/>
          <w:szCs w:val="20"/>
          <w:color w:val="auto"/>
        </w:rPr>
      </w:pPr>
    </w:p>
    <w:p>
      <w:pPr>
        <w:ind w:left="340" w:right="120" w:hanging="332"/>
        <w:spacing w:after="0"/>
        <w:tabs>
          <w:tab w:leader="none" w:pos="340" w:val="left"/>
        </w:tabs>
        <w:numPr>
          <w:ilvl w:val="0"/>
          <w:numId w:val="20"/>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The number of securities to be issued includes options and other awards granted under the following plans: 2007 Equity and Incentive Plan; 1997 Stock Incentive Plan; 1997 Stock Option Plan; 1987 Stock Option Plan and the Directors Deferred Compensation Plan. Each plan other than the 2007 Equity and Incentive Plan was approved by stockholders with respect to an initial allocation of shares. The number of securities remaining available for future issuance under equity compensation plans represents solely shares available for issuance under the 2007 Equity and Incentive Plan.</w:t>
      </w:r>
    </w:p>
    <w:p>
      <w:pPr>
        <w:spacing w:after="0" w:line="2" w:lineRule="exact"/>
        <w:rPr>
          <w:rFonts w:ascii="Times New Roman" w:cs="Times New Roman" w:eastAsia="Times New Roman" w:hAnsi="Times New Roman"/>
          <w:sz w:val="22"/>
          <w:szCs w:val="22"/>
          <w:color w:val="auto"/>
          <w:vertAlign w:val="superscript"/>
        </w:rPr>
      </w:pPr>
    </w:p>
    <w:p>
      <w:pPr>
        <w:ind w:left="340" w:hanging="332"/>
        <w:spacing w:after="0" w:line="239" w:lineRule="auto"/>
        <w:tabs>
          <w:tab w:leader="none" w:pos="340" w:val="left"/>
        </w:tabs>
        <w:numPr>
          <w:ilvl w:val="0"/>
          <w:numId w:val="20"/>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Includes options and other awards granted under the following plans: 1999 Broad-Based Employee Stock Option Plan; 1997 Employee Stock Plan; 1992 Employee Stock Option Plan; and stand-alone option grants to former officers. The material terms of these plans are set forth under footnote (e) below. Notwithstanding the terms of these plans to the contrary, no option granted under any of these plans provides for a term in excess of 10 years or an exercise price below fair market value as of the date of grant (other than options assumed or replaced in connection with acquisitions). All options granted under these plans have been approved by the Board of Directors or the Compensation Committee of the Board of Directors.</w:t>
      </w:r>
    </w:p>
    <w:p>
      <w:pPr>
        <w:spacing w:after="0" w:line="4" w:lineRule="exact"/>
        <w:rPr>
          <w:rFonts w:ascii="Times New Roman" w:cs="Times New Roman" w:eastAsia="Times New Roman" w:hAnsi="Times New Roman"/>
          <w:sz w:val="22"/>
          <w:szCs w:val="22"/>
          <w:color w:val="auto"/>
          <w:vertAlign w:val="superscript"/>
        </w:rPr>
      </w:pPr>
    </w:p>
    <w:p>
      <w:pPr>
        <w:jc w:val="both"/>
        <w:ind w:left="340" w:right="220" w:hanging="332"/>
        <w:spacing w:after="0" w:line="233" w:lineRule="auto"/>
        <w:tabs>
          <w:tab w:leader="none" w:pos="340" w:val="left"/>
        </w:tabs>
        <w:numPr>
          <w:ilvl w:val="0"/>
          <w:numId w:val="20"/>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Includes options granted under the following plans: Galileo International, Inc. 1999 Equity and Performance Incentive Plan, Trendwest Resorts, Inc. 1997 Employee Stock Option Plan, Cheap Tickets 1999 Stock Incentive Plan, Avis Group Holdings Inc. 1997 Stock Option Plan, and Avis Group Holdings Inc. 2000 Compensation Plan.</w:t>
      </w:r>
    </w:p>
    <w:p>
      <w:pPr>
        <w:ind w:left="340" w:right="260" w:hanging="332"/>
        <w:spacing w:after="0" w:line="225" w:lineRule="auto"/>
        <w:tabs>
          <w:tab w:leader="none" w:pos="340" w:val="left"/>
        </w:tabs>
        <w:numPr>
          <w:ilvl w:val="0"/>
          <w:numId w:val="20"/>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Reflects an equitable adjustment of stock options and restricted stock units in connection with the spin-off of PHH Corporation to our stockholders during 2005 and the distributions of Realogy and Wyndham in 2006. Also reflects the one-for-ten reverse stock split completed in September 2006.</w:t>
      </w:r>
    </w:p>
    <w:p>
      <w:pPr>
        <w:ind w:left="340" w:right="20" w:hanging="332"/>
        <w:spacing w:after="0" w:line="233" w:lineRule="auto"/>
        <w:tabs>
          <w:tab w:leader="none" w:pos="340" w:val="left"/>
        </w:tabs>
        <w:numPr>
          <w:ilvl w:val="0"/>
          <w:numId w:val="20"/>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 xml:space="preserve">Following are the material terms of plans not submitted for stockholder approval: </w:t>
      </w:r>
      <w:r>
        <w:rPr>
          <w:rFonts w:ascii="Times New Roman" w:cs="Times New Roman" w:eastAsia="Times New Roman" w:hAnsi="Times New Roman"/>
          <w:sz w:val="18"/>
          <w:szCs w:val="18"/>
          <w:i w:val="1"/>
          <w:iCs w:val="1"/>
          <w:color w:val="auto"/>
        </w:rPr>
        <w:t>1999 Broad-Based Employee Stock Option Plan</w:t>
      </w:r>
      <w:r>
        <w:rPr>
          <w:rFonts w:ascii="Times New Roman" w:cs="Times New Roman" w:eastAsia="Times New Roman" w:hAnsi="Times New Roman"/>
          <w:sz w:val="18"/>
          <w:szCs w:val="18"/>
          <w:color w:val="auto"/>
        </w:rPr>
        <w:t>. This plan provides for the grant of stock options, shares of Common Stock and other awards valued by reference to Common Stock to our employees who are not executive officers. Shares issued pursuant to the exercise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-2355850</wp:posOffset>
            </wp:positionV>
            <wp:extent cx="72898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420"/>
          </w:cols>
          <w:pgMar w:left="240" w:top="455" w:right="239" w:bottom="1440" w:gutter="0" w:footer="0" w:header="0"/>
        </w:sectPr>
      </w:pPr>
    </w:p>
    <w:bookmarkStart w:id="38" w:name="page39"/>
    <w:bookmarkEnd w:id="3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340"/>
        <w:spacing w:after="0" w:line="285" w:lineRule="auto"/>
        <w:rPr>
          <w:sz w:val="20"/>
          <w:szCs w:val="20"/>
          <w:color w:val="auto"/>
        </w:rPr>
      </w:pPr>
      <w:r>
        <w:rPr>
          <w:rFonts w:ascii="Times New Roman" w:cs="Times New Roman" w:eastAsia="Times New Roman" w:hAnsi="Times New Roman"/>
          <w:sz w:val="16"/>
          <w:szCs w:val="16"/>
          <w:color w:val="auto"/>
        </w:rPr>
        <w:t xml:space="preserve">options granted under this plan may be authorized and unissued shares or treasury shares. In the event of any change in corporate capitalization, any reorganization of our Company or a similar event, shares subject to outstanding options, the exercise price of outstanding options and the number and type of shares remaining to be made subject to options under this plan may be adjusted or substituted for, as the Compensation Committee or Board may determine. The terms and conditions of options granted under this plan are to be determined by the Compensation Committee, provided that the exercise price of an option may not be less than the fair market value of the shares covered thereby on the date of grant. Each option granted under this plan will become immediately exercisable upon a “change-of-control transaction” (as defined in the plan). Unless otherwise determined by the Compensation Committee, following termination of employment, options granted under this plan generally will remain exercisable, to the extent exercisable at the time of termination, for one year (two years, in the case of retirement, death or disability). </w:t>
      </w:r>
      <w:r>
        <w:rPr>
          <w:rFonts w:ascii="Times New Roman" w:cs="Times New Roman" w:eastAsia="Times New Roman" w:hAnsi="Times New Roman"/>
          <w:sz w:val="16"/>
          <w:szCs w:val="16"/>
          <w:i w:val="1"/>
          <w:iCs w:val="1"/>
          <w:color w:val="auto"/>
        </w:rPr>
        <w:t>1997 Employee Stock Plan</w:t>
      </w:r>
      <w:r>
        <w:rPr>
          <w:rFonts w:ascii="Times New Roman" w:cs="Times New Roman" w:eastAsia="Times New Roman" w:hAnsi="Times New Roman"/>
          <w:sz w:val="16"/>
          <w:szCs w:val="16"/>
          <w:color w:val="auto"/>
        </w:rPr>
        <w:t>. This plan provides for the grant of awards of stock options, stock appreciation rights and restricted stock to our employees and affiliates. Shares issued pursuant to awards granted under this plan may be authorized and unissued shares or treasury shares. In the event of any change in corporate capitalization, any reorganization of our Company or a similar event, shares subject to outstanding awards, the exercise price of outstanding options and the number and type of shares remaining to be made subject to awards under this plan may be adjusted or substituted for, as the Compensation Committee or Board may determine. The terms and conditions of awards granted under this plan are to be determined by the Compensation Committee, provided that the exercise price of an option may not be less than the fair market value of the shares covered thereby on the date of grant. Under this plan, stock appreciation rights may be granted only in tandem with an option, and will be cancelled to the extent the related option is exercised or cancelled. The vesting of restricted stock awards granted under this plan may be subject to the attainment of predetermined performance goals. Unless otherwise determined by the Compensation Committee, following termination of employment, options and stock appreciation rights granted under this plan generally will remain exercisable, to the extent exercisable at the time of termination, for one year (two years, in the case of retirement, death or disability). Unless otherwise determined by the Compensation Committee, following termination of employment for any reason, shares that are subject to restrictions under a restricted stock award will be immediately forfeited.</w:t>
      </w: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Issuer Purchases of Equity Securities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400"/>
          </w:cols>
          <w:pgMar w:left="240" w:top="455" w:right="259" w:bottom="1440" w:gutter="0" w:footer="0" w:header="0"/>
        </w:sectPr>
      </w:pPr>
    </w:p>
    <w:bookmarkStart w:id="39" w:name="page40"/>
    <w:bookmarkEnd w:id="3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Performance Graph</w:t>
      </w:r>
    </w:p>
    <w:p>
      <w:pPr>
        <w:spacing w:after="0" w:line="17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following graph assumes $100 invested on December 31, 2004 and compares (A) the yearly percentage change in our cumulative total stockholder return on our common stock (as measured by dividing (i) the sum of (a) the cumulative amount of dividends, assuming dividend reinvestment, during the five years commencing on the last trading day before January 1, 2005 and ending on December 31, 2009, and (b) the difference between our stock price at the end and the beginning of the periods presented by (ii) the share price at the beginning of the periods presented with (B) the Standard &amp; Poor’s MidCap 400 Index and the Dow Jones U.S. Transportation Average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1351280</wp:posOffset>
            </wp:positionH>
            <wp:positionV relativeFrom="paragraph">
              <wp:posOffset>97155</wp:posOffset>
            </wp:positionV>
            <wp:extent cx="4562475" cy="36360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4562475" cy="3636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320"/>
          </w:cols>
          <w:pgMar w:left="240" w:top="455" w:right="339" w:bottom="1440" w:gutter="0" w:footer="0" w:header="0"/>
        </w:sectPr>
      </w:pPr>
    </w:p>
    <w:bookmarkStart w:id="40" w:name="page41"/>
    <w:bookmarkEnd w:id="4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6. SELECTED FINANCIAL DATA</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0"/>
        </w:trPr>
        <w:tc>
          <w:tcPr>
            <w:tcW w:w="6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320" w:type="dxa"/>
            <w:vAlign w:val="bottom"/>
            <w:tcBorders>
              <w:bottom w:val="single" w:sz="8" w:color="auto"/>
            </w:tcBorders>
            <w:gridSpan w:val="12"/>
          </w:tcPr>
          <w:p>
            <w:pPr>
              <w:jc w:val="center"/>
              <w:ind w:right="98"/>
              <w:spacing w:after="0"/>
              <w:rPr>
                <w:sz w:val="20"/>
                <w:szCs w:val="20"/>
                <w:color w:val="auto"/>
              </w:rPr>
            </w:pPr>
            <w:r>
              <w:rPr>
                <w:rFonts w:ascii="Times New Roman" w:cs="Times New Roman" w:eastAsia="Times New Roman" w:hAnsi="Times New Roman"/>
                <w:sz w:val="18"/>
                <w:szCs w:val="18"/>
                <w:b w:val="1"/>
                <w:bCs w:val="1"/>
                <w:color w:val="auto"/>
                <w:w w:val="96"/>
              </w:rPr>
              <w:t>At or For the Year Ended December 31,</w:t>
            </w:r>
          </w:p>
        </w:tc>
        <w:tc>
          <w:tcPr>
            <w:tcW w:w="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6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w w:val="94"/>
              </w:rPr>
              <w:t>2009</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w w:val="99"/>
              </w:rPr>
              <w:t>2008</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2007</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w w:val="94"/>
              </w:rPr>
              <w:t>2006</w:t>
            </w:r>
          </w:p>
        </w:tc>
        <w:tc>
          <w:tcPr>
            <w:tcW w:w="4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w w:val="99"/>
              </w:rPr>
              <w:t>2005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66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40" w:type="dxa"/>
            <w:vAlign w:val="bottom"/>
            <w:gridSpan w:val="11"/>
          </w:tcPr>
          <w:p>
            <w:pPr>
              <w:jc w:val="center"/>
              <w:ind w:right="358"/>
              <w:spacing w:after="0"/>
              <w:rPr>
                <w:sz w:val="20"/>
                <w:szCs w:val="20"/>
                <w:color w:val="auto"/>
              </w:rPr>
            </w:pPr>
            <w:r>
              <w:rPr>
                <w:rFonts w:ascii="Times New Roman" w:cs="Times New Roman" w:eastAsia="Times New Roman" w:hAnsi="Times New Roman"/>
                <w:sz w:val="18"/>
                <w:szCs w:val="18"/>
                <w:b w:val="1"/>
                <w:bCs w:val="1"/>
                <w:color w:val="auto"/>
                <w:w w:val="97"/>
              </w:rPr>
              <w:t>(In millions, except per share data)</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668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Net revenues</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gridSpan w:val="3"/>
          </w:tcPr>
          <w:p>
            <w:pPr>
              <w:jc w:val="right"/>
              <w:ind w:right="2"/>
              <w:spacing w:after="0"/>
              <w:rPr>
                <w:sz w:val="20"/>
                <w:szCs w:val="20"/>
                <w:color w:val="auto"/>
              </w:rPr>
            </w:pPr>
            <w:r>
              <w:rPr>
                <w:rFonts w:ascii="Times New Roman" w:cs="Times New Roman" w:eastAsia="Times New Roman" w:hAnsi="Times New Roman"/>
                <w:sz w:val="18"/>
                <w:szCs w:val="18"/>
                <w:color w:val="auto"/>
              </w:rPr>
              <w:t>5,131</w:t>
            </w:r>
          </w:p>
        </w:tc>
        <w:tc>
          <w:tcPr>
            <w:tcW w:w="120" w:type="dxa"/>
            <w:vAlign w:val="bottom"/>
          </w:tcPr>
          <w:p>
            <w:pPr>
              <w:spacing w:after="0"/>
              <w:rPr>
                <w:sz w:val="19"/>
                <w:szCs w:val="19"/>
                <w:color w:val="auto"/>
              </w:rPr>
            </w:pP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5,984</w:t>
            </w:r>
          </w:p>
        </w:tc>
        <w:tc>
          <w:tcPr>
            <w:tcW w:w="240" w:type="dxa"/>
            <w:vAlign w:val="bottom"/>
          </w:tcPr>
          <w:p>
            <w:pPr>
              <w:spacing w:after="0"/>
              <w:rPr>
                <w:sz w:val="19"/>
                <w:szCs w:val="19"/>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178"/>
              <w:spacing w:after="0"/>
              <w:rPr>
                <w:sz w:val="20"/>
                <w:szCs w:val="20"/>
                <w:color w:val="auto"/>
              </w:rPr>
            </w:pPr>
            <w:r>
              <w:rPr>
                <w:rFonts w:ascii="Times New Roman" w:cs="Times New Roman" w:eastAsia="Times New Roman" w:hAnsi="Times New Roman"/>
                <w:sz w:val="18"/>
                <w:szCs w:val="18"/>
                <w:color w:val="auto"/>
              </w:rPr>
              <w:t>5,986</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5,689</w:t>
            </w:r>
          </w:p>
        </w:tc>
        <w:tc>
          <w:tcPr>
            <w:tcW w:w="44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5,400</w:t>
            </w:r>
          </w:p>
        </w:tc>
        <w:tc>
          <w:tcPr>
            <w:tcW w:w="0" w:type="dxa"/>
            <w:vAlign w:val="bottom"/>
          </w:tcPr>
          <w:p>
            <w:pPr>
              <w:spacing w:after="0"/>
              <w:rPr>
                <w:sz w:val="1"/>
                <w:szCs w:val="1"/>
                <w:color w:val="auto"/>
              </w:rPr>
            </w:pPr>
          </w:p>
        </w:tc>
      </w:tr>
      <w:tr>
        <w:trPr>
          <w:trHeight w:val="20"/>
        </w:trPr>
        <w:tc>
          <w:tcPr>
            <w:tcW w:w="66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Loss from continuing operations</w:t>
            </w:r>
          </w:p>
        </w:tc>
        <w:tc>
          <w:tcPr>
            <w:tcW w:w="100" w:type="dxa"/>
            <w:vAlign w:val="bottom"/>
            <w:tcBorders>
              <w:top w:val="single" w:sz="8" w:color="auto"/>
            </w:tcBorders>
            <w:gridSpan w:val="2"/>
          </w:tcPr>
          <w:p>
            <w:pPr>
              <w:spacing w:after="0" w:line="20" w:lineRule="exact"/>
              <w:rPr>
                <w:sz w:val="1"/>
                <w:szCs w:val="1"/>
                <w:color w:val="auto"/>
              </w:rPr>
            </w:pPr>
          </w:p>
        </w:tc>
        <w:tc>
          <w:tcPr>
            <w:tcW w:w="500" w:type="dxa"/>
            <w:vAlign w:val="bottom"/>
            <w:tcBorders>
              <w:top w:val="single" w:sz="8" w:color="auto"/>
            </w:tcBorders>
            <w:gridSpan w:val="2"/>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48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480" w:type="dxa"/>
            <w:vAlign w:val="bottom"/>
            <w:tcBorders>
              <w:top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668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(47)</w:t>
            </w:r>
          </w:p>
        </w:tc>
        <w:tc>
          <w:tcPr>
            <w:tcW w:w="20" w:type="dxa"/>
            <w:vAlign w:val="bottom"/>
          </w:tcPr>
          <w:p>
            <w:pPr>
              <w:spacing w:after="0"/>
              <w:rPr>
                <w:sz w:val="17"/>
                <w:szCs w:val="17"/>
                <w:color w:val="auto"/>
              </w:rPr>
            </w:pPr>
          </w:p>
        </w:tc>
        <w:tc>
          <w:tcPr>
            <w:tcW w:w="140" w:type="dxa"/>
            <w:vAlign w:val="bottom"/>
            <w:gridSpan w:val="2"/>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w w:val="91"/>
              </w:rPr>
              <w:t>(1,124)</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(947)</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8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(451)</w:t>
            </w:r>
          </w:p>
        </w:tc>
        <w:tc>
          <w:tcPr>
            <w:tcW w:w="440" w:type="dxa"/>
            <w:vAlign w:val="bottom"/>
          </w:tcPr>
          <w:p>
            <w:pPr>
              <w:spacing w:after="0"/>
              <w:rPr>
                <w:sz w:val="17"/>
                <w:szCs w:val="17"/>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(11)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Income (loss) from discontinued operations, net of tax</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3"/>
          </w:tcPr>
          <w:p>
            <w:pPr>
              <w:jc w:val="right"/>
              <w:ind w:right="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78"/>
              <w:spacing w:after="0"/>
              <w:rPr>
                <w:sz w:val="20"/>
                <w:szCs w:val="20"/>
                <w:color w:val="auto"/>
              </w:rPr>
            </w:pPr>
            <w:r>
              <w:rPr>
                <w:rFonts w:ascii="Times New Roman" w:cs="Times New Roman" w:eastAsia="Times New Roman" w:hAnsi="Times New Roman"/>
                <w:sz w:val="18"/>
                <w:szCs w:val="18"/>
                <w:color w:val="auto"/>
              </w:rPr>
              <w:t>31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98"/>
              <w:spacing w:after="0"/>
              <w:rPr>
                <w:sz w:val="20"/>
                <w:szCs w:val="20"/>
                <w:color w:val="auto"/>
              </w:rPr>
            </w:pPr>
            <w:r>
              <w:rPr>
                <w:rFonts w:ascii="Times New Roman" w:cs="Times New Roman" w:eastAsia="Times New Roman" w:hAnsi="Times New Roman"/>
                <w:sz w:val="18"/>
                <w:szCs w:val="18"/>
                <w:color w:val="auto"/>
                <w:w w:val="98"/>
              </w:rPr>
              <w:t>(1,479)</w:t>
            </w:r>
          </w:p>
        </w:tc>
        <w:tc>
          <w:tcPr>
            <w:tcW w:w="8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1,637</w:t>
            </w:r>
          </w:p>
        </w:tc>
        <w:tc>
          <w:tcPr>
            <w:tcW w:w="0" w:type="dxa"/>
            <w:vAlign w:val="bottom"/>
          </w:tcPr>
          <w:p>
            <w:pPr>
              <w:spacing w:after="0"/>
              <w:rPr>
                <w:sz w:val="1"/>
                <w:szCs w:val="1"/>
                <w:color w:val="auto"/>
              </w:rPr>
            </w:pPr>
          </w:p>
        </w:tc>
      </w:tr>
      <w:tr>
        <w:trPr>
          <w:trHeight w:val="228"/>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Cumulative effect of accounting changes, net of tax</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gridSpan w:val="3"/>
          </w:tcPr>
          <w:p>
            <w:pPr>
              <w:jc w:val="right"/>
              <w:ind w:right="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178"/>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298"/>
              <w:spacing w:after="0"/>
              <w:rPr>
                <w:sz w:val="20"/>
                <w:szCs w:val="20"/>
                <w:color w:val="auto"/>
              </w:rPr>
            </w:pPr>
            <w:r>
              <w:rPr>
                <w:rFonts w:ascii="Times New Roman" w:cs="Times New Roman" w:eastAsia="Times New Roman" w:hAnsi="Times New Roman"/>
                <w:sz w:val="18"/>
                <w:szCs w:val="18"/>
                <w:color w:val="auto"/>
              </w:rPr>
              <w:t>(64)</w:t>
            </w:r>
          </w:p>
        </w:tc>
        <w:tc>
          <w:tcPr>
            <w:tcW w:w="80" w:type="dxa"/>
            <w:vAlign w:val="bottom"/>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24"/>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20" w:type="dxa"/>
            <w:vAlign w:val="bottom"/>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(47</w:t>
            </w:r>
          </w:p>
        </w:tc>
        <w:tc>
          <w:tcPr>
            <w:tcW w:w="140" w:type="dxa"/>
            <w:vAlign w:val="bottom"/>
            <w:gridSpan w:val="2"/>
          </w:tcPr>
          <w:p>
            <w:pPr>
              <w:jc w:val="right"/>
              <w:ind w:right="100"/>
              <w:spacing w:after="0"/>
              <w:rPr>
                <w:sz w:val="20"/>
                <w:szCs w:val="20"/>
                <w:color w:val="auto"/>
              </w:rPr>
            </w:pPr>
            <w:r>
              <w:rPr>
                <w:rFonts w:ascii="Times New Roman" w:cs="Times New Roman" w:eastAsia="Times New Roman" w:hAnsi="Times New Roman"/>
                <w:sz w:val="8"/>
                <w:szCs w:val="8"/>
                <w:color w:val="auto"/>
                <w:w w:val="73"/>
              </w:rPr>
              <w:t>)</w:t>
            </w:r>
          </w:p>
        </w:tc>
        <w:tc>
          <w:tcPr>
            <w:tcW w:w="280" w:type="dxa"/>
            <w:vAlign w:val="bottom"/>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(1,124</w:t>
            </w:r>
          </w:p>
        </w:tc>
        <w:tc>
          <w:tcPr>
            <w:tcW w:w="240" w:type="dxa"/>
            <w:vAlign w:val="bottom"/>
          </w:tcPr>
          <w:p>
            <w:pPr>
              <w:jc w:val="right"/>
              <w:ind w:right="98"/>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(916</w:t>
            </w:r>
          </w:p>
        </w:tc>
        <w:tc>
          <w:tcPr>
            <w:tcW w:w="260" w:type="dxa"/>
            <w:vAlign w:val="bottom"/>
          </w:tcPr>
          <w:p>
            <w:pPr>
              <w:jc w:val="right"/>
              <w:ind w:right="118"/>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(1,994</w:t>
            </w:r>
          </w:p>
        </w:tc>
        <w:tc>
          <w:tcPr>
            <w:tcW w:w="440" w:type="dxa"/>
            <w:vAlign w:val="bottom"/>
          </w:tcPr>
          <w:p>
            <w:pPr>
              <w:jc w:val="right"/>
              <w:ind w:right="298"/>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Per Share Data</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68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Loss from continuing operations: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(0.46)</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98"/>
              <w:spacing w:after="0"/>
              <w:rPr>
                <w:sz w:val="20"/>
                <w:szCs w:val="20"/>
                <w:color w:val="auto"/>
              </w:rPr>
            </w:pPr>
            <w:r>
              <w:rPr>
                <w:rFonts w:ascii="Times New Roman" w:cs="Times New Roman" w:eastAsia="Times New Roman" w:hAnsi="Times New Roman"/>
                <w:sz w:val="18"/>
                <w:szCs w:val="18"/>
                <w:color w:val="auto"/>
              </w:rPr>
              <w:t>(11.04)</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118"/>
              <w:spacing w:after="0"/>
              <w:rPr>
                <w:sz w:val="20"/>
                <w:szCs w:val="20"/>
                <w:color w:val="auto"/>
              </w:rPr>
            </w:pPr>
            <w:r>
              <w:rPr>
                <w:rFonts w:ascii="Times New Roman" w:cs="Times New Roman" w:eastAsia="Times New Roman" w:hAnsi="Times New Roman"/>
                <w:sz w:val="18"/>
                <w:szCs w:val="18"/>
                <w:color w:val="auto"/>
              </w:rPr>
              <w:t>(9.18)</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298"/>
              <w:spacing w:after="0"/>
              <w:rPr>
                <w:sz w:val="20"/>
                <w:szCs w:val="20"/>
                <w:color w:val="auto"/>
              </w:rPr>
            </w:pPr>
            <w:r>
              <w:rPr>
                <w:rFonts w:ascii="Times New Roman" w:cs="Times New Roman" w:eastAsia="Times New Roman" w:hAnsi="Times New Roman"/>
                <w:sz w:val="18"/>
                <w:szCs w:val="18"/>
                <w:color w:val="auto"/>
              </w:rPr>
              <w:t>(4.48)</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0" w:type="dxa"/>
            <w:vAlign w:val="bottom"/>
          </w:tcPr>
          <w:p>
            <w:pPr>
              <w:spacing w:after="0"/>
              <w:rPr>
                <w:sz w:val="1"/>
                <w:szCs w:val="1"/>
                <w:color w:val="auto"/>
              </w:rPr>
            </w:pPr>
          </w:p>
        </w:tc>
      </w:tr>
      <w:tr>
        <w:trPr>
          <w:trHeight w:val="216"/>
        </w:trPr>
        <w:tc>
          <w:tcPr>
            <w:tcW w:w="6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Diluted</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(0.46)</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98"/>
              <w:spacing w:after="0"/>
              <w:rPr>
                <w:sz w:val="20"/>
                <w:szCs w:val="20"/>
                <w:color w:val="auto"/>
              </w:rPr>
            </w:pPr>
            <w:r>
              <w:rPr>
                <w:rFonts w:ascii="Times New Roman" w:cs="Times New Roman" w:eastAsia="Times New Roman" w:hAnsi="Times New Roman"/>
                <w:sz w:val="18"/>
                <w:szCs w:val="18"/>
                <w:color w:val="auto"/>
              </w:rPr>
              <w:t>(11.04)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18"/>
              <w:spacing w:after="0"/>
              <w:rPr>
                <w:sz w:val="20"/>
                <w:szCs w:val="20"/>
                <w:color w:val="auto"/>
              </w:rPr>
            </w:pPr>
            <w:r>
              <w:rPr>
                <w:rFonts w:ascii="Times New Roman" w:cs="Times New Roman" w:eastAsia="Times New Roman" w:hAnsi="Times New Roman"/>
                <w:sz w:val="18"/>
                <w:szCs w:val="18"/>
                <w:color w:val="auto"/>
              </w:rPr>
              <w:t>(9.18)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98"/>
              <w:spacing w:after="0"/>
              <w:rPr>
                <w:sz w:val="20"/>
                <w:szCs w:val="20"/>
                <w:color w:val="auto"/>
              </w:rPr>
            </w:pPr>
            <w:r>
              <w:rPr>
                <w:rFonts w:ascii="Times New Roman" w:cs="Times New Roman" w:eastAsia="Times New Roman" w:hAnsi="Times New Roman"/>
                <w:sz w:val="18"/>
                <w:szCs w:val="18"/>
                <w:color w:val="auto"/>
              </w:rPr>
              <w:t>(4.48)</w:t>
            </w:r>
          </w:p>
        </w:tc>
        <w:tc>
          <w:tcPr>
            <w:tcW w:w="8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0" w:type="dxa"/>
            <w:vAlign w:val="bottom"/>
          </w:tcPr>
          <w:p>
            <w:pPr>
              <w:spacing w:after="0"/>
              <w:rPr>
                <w:sz w:val="1"/>
                <w:szCs w:val="1"/>
                <w:color w:val="auto"/>
              </w:rPr>
            </w:pPr>
          </w:p>
        </w:tc>
      </w:tr>
      <w:tr>
        <w:trPr>
          <w:trHeight w:val="216"/>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Loss from discontinued operations: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gridSpan w:val="3"/>
          </w:tcPr>
          <w:p>
            <w:pPr>
              <w:jc w:val="right"/>
              <w:ind w:right="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178"/>
              <w:spacing w:after="0"/>
              <w:rPr>
                <w:sz w:val="20"/>
                <w:szCs w:val="20"/>
                <w:color w:val="auto"/>
              </w:rPr>
            </w:pPr>
            <w:r>
              <w:rPr>
                <w:rFonts w:ascii="Times New Roman" w:cs="Times New Roman" w:eastAsia="Times New Roman" w:hAnsi="Times New Roman"/>
                <w:sz w:val="18"/>
                <w:szCs w:val="18"/>
                <w:color w:val="auto"/>
              </w:rPr>
              <w:t>0.30</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298"/>
              <w:spacing w:after="0"/>
              <w:rPr>
                <w:sz w:val="20"/>
                <w:szCs w:val="20"/>
                <w:color w:val="auto"/>
              </w:rPr>
            </w:pPr>
            <w:r>
              <w:rPr>
                <w:rFonts w:ascii="Times New Roman" w:cs="Times New Roman" w:eastAsia="Times New Roman" w:hAnsi="Times New Roman"/>
                <w:sz w:val="18"/>
                <w:szCs w:val="18"/>
                <w:color w:val="auto"/>
                <w:w w:val="98"/>
              </w:rPr>
              <w:t>(14.71)</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15.74</w:t>
            </w:r>
          </w:p>
        </w:tc>
        <w:tc>
          <w:tcPr>
            <w:tcW w:w="0" w:type="dxa"/>
            <w:vAlign w:val="bottom"/>
          </w:tcPr>
          <w:p>
            <w:pPr>
              <w:spacing w:after="0"/>
              <w:rPr>
                <w:sz w:val="1"/>
                <w:szCs w:val="1"/>
                <w:color w:val="auto"/>
              </w:rPr>
            </w:pPr>
          </w:p>
        </w:tc>
      </w:tr>
      <w:tr>
        <w:trPr>
          <w:trHeight w:val="216"/>
        </w:trPr>
        <w:tc>
          <w:tcPr>
            <w:tcW w:w="6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Diluted</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3"/>
          </w:tcPr>
          <w:p>
            <w:pPr>
              <w:jc w:val="right"/>
              <w:ind w:right="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78"/>
              <w:spacing w:after="0"/>
              <w:rPr>
                <w:sz w:val="20"/>
                <w:szCs w:val="20"/>
                <w:color w:val="auto"/>
              </w:rPr>
            </w:pPr>
            <w:r>
              <w:rPr>
                <w:rFonts w:ascii="Times New Roman" w:cs="Times New Roman" w:eastAsia="Times New Roman" w:hAnsi="Times New Roman"/>
                <w:sz w:val="18"/>
                <w:szCs w:val="18"/>
                <w:color w:val="auto"/>
              </w:rPr>
              <w:t>0.30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98"/>
              <w:spacing w:after="0"/>
              <w:rPr>
                <w:sz w:val="20"/>
                <w:szCs w:val="20"/>
                <w:color w:val="auto"/>
              </w:rPr>
            </w:pPr>
            <w:r>
              <w:rPr>
                <w:rFonts w:ascii="Times New Roman" w:cs="Times New Roman" w:eastAsia="Times New Roman" w:hAnsi="Times New Roman"/>
                <w:sz w:val="18"/>
                <w:szCs w:val="18"/>
                <w:color w:val="auto"/>
                <w:w w:val="98"/>
              </w:rPr>
              <w:t>(14.71)</w:t>
            </w:r>
          </w:p>
        </w:tc>
        <w:tc>
          <w:tcPr>
            <w:tcW w:w="8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15.74</w:t>
            </w:r>
          </w:p>
        </w:tc>
        <w:tc>
          <w:tcPr>
            <w:tcW w:w="0" w:type="dxa"/>
            <w:vAlign w:val="bottom"/>
          </w:tcPr>
          <w:p>
            <w:pPr>
              <w:spacing w:after="0"/>
              <w:rPr>
                <w:sz w:val="1"/>
                <w:szCs w:val="1"/>
                <w:color w:val="auto"/>
              </w:rPr>
            </w:pPr>
          </w:p>
        </w:tc>
      </w:tr>
      <w:tr>
        <w:trPr>
          <w:trHeight w:val="216"/>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Cumulative effect of accounting changes: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gridSpan w:val="3"/>
          </w:tcPr>
          <w:p>
            <w:pPr>
              <w:jc w:val="right"/>
              <w:ind w:right="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178"/>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298"/>
              <w:spacing w:after="0"/>
              <w:rPr>
                <w:sz w:val="20"/>
                <w:szCs w:val="20"/>
                <w:color w:val="auto"/>
              </w:rPr>
            </w:pPr>
            <w:r>
              <w:rPr>
                <w:rFonts w:ascii="Times New Roman" w:cs="Times New Roman" w:eastAsia="Times New Roman" w:hAnsi="Times New Roman"/>
                <w:sz w:val="18"/>
                <w:szCs w:val="18"/>
                <w:color w:val="auto"/>
              </w:rPr>
              <w:t>(0.63)</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0" w:type="dxa"/>
            <w:vAlign w:val="bottom"/>
          </w:tcPr>
          <w:p>
            <w:pPr>
              <w:spacing w:after="0"/>
              <w:rPr>
                <w:sz w:val="1"/>
                <w:szCs w:val="1"/>
                <w:color w:val="auto"/>
              </w:rPr>
            </w:pPr>
          </w:p>
        </w:tc>
      </w:tr>
      <w:tr>
        <w:trPr>
          <w:trHeight w:val="216"/>
        </w:trPr>
        <w:tc>
          <w:tcPr>
            <w:tcW w:w="6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Diluted</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3"/>
          </w:tcPr>
          <w:p>
            <w:pPr>
              <w:jc w:val="right"/>
              <w:ind w:right="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78"/>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98"/>
              <w:spacing w:after="0"/>
              <w:rPr>
                <w:sz w:val="20"/>
                <w:szCs w:val="20"/>
                <w:color w:val="auto"/>
              </w:rPr>
            </w:pPr>
            <w:r>
              <w:rPr>
                <w:rFonts w:ascii="Times New Roman" w:cs="Times New Roman" w:eastAsia="Times New Roman" w:hAnsi="Times New Roman"/>
                <w:sz w:val="18"/>
                <w:szCs w:val="18"/>
                <w:color w:val="auto"/>
              </w:rPr>
              <w:t>(0.63)</w:t>
            </w:r>
          </w:p>
        </w:tc>
        <w:tc>
          <w:tcPr>
            <w:tcW w:w="8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0" w:type="dxa"/>
            <w:vAlign w:val="bottom"/>
          </w:tcPr>
          <w:p>
            <w:pPr>
              <w:spacing w:after="0"/>
              <w:rPr>
                <w:sz w:val="1"/>
                <w:szCs w:val="1"/>
                <w:color w:val="auto"/>
              </w:rPr>
            </w:pPr>
          </w:p>
        </w:tc>
      </w:tr>
      <w:tr>
        <w:trPr>
          <w:trHeight w:val="216"/>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(0.46)</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98"/>
              <w:spacing w:after="0"/>
              <w:rPr>
                <w:sz w:val="20"/>
                <w:szCs w:val="20"/>
                <w:color w:val="auto"/>
              </w:rPr>
            </w:pPr>
            <w:r>
              <w:rPr>
                <w:rFonts w:ascii="Times New Roman" w:cs="Times New Roman" w:eastAsia="Times New Roman" w:hAnsi="Times New Roman"/>
                <w:sz w:val="18"/>
                <w:szCs w:val="18"/>
                <w:color w:val="auto"/>
              </w:rPr>
              <w:t>(11.04)</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118"/>
              <w:spacing w:after="0"/>
              <w:rPr>
                <w:sz w:val="20"/>
                <w:szCs w:val="20"/>
                <w:color w:val="auto"/>
              </w:rPr>
            </w:pPr>
            <w:r>
              <w:rPr>
                <w:rFonts w:ascii="Times New Roman" w:cs="Times New Roman" w:eastAsia="Times New Roman" w:hAnsi="Times New Roman"/>
                <w:sz w:val="18"/>
                <w:szCs w:val="18"/>
                <w:color w:val="auto"/>
              </w:rPr>
              <w:t>(8.88)</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298"/>
              <w:spacing w:after="0"/>
              <w:rPr>
                <w:sz w:val="20"/>
                <w:szCs w:val="20"/>
                <w:color w:val="auto"/>
              </w:rPr>
            </w:pPr>
            <w:r>
              <w:rPr>
                <w:rFonts w:ascii="Times New Roman" w:cs="Times New Roman" w:eastAsia="Times New Roman" w:hAnsi="Times New Roman"/>
                <w:sz w:val="18"/>
                <w:szCs w:val="18"/>
                <w:color w:val="auto"/>
                <w:w w:val="98"/>
              </w:rPr>
              <w:t>(19.82)</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15.56</w:t>
            </w:r>
          </w:p>
        </w:tc>
        <w:tc>
          <w:tcPr>
            <w:tcW w:w="0" w:type="dxa"/>
            <w:vAlign w:val="bottom"/>
          </w:tcPr>
          <w:p>
            <w:pPr>
              <w:spacing w:after="0"/>
              <w:rPr>
                <w:sz w:val="1"/>
                <w:szCs w:val="1"/>
                <w:color w:val="auto"/>
              </w:rPr>
            </w:pPr>
          </w:p>
        </w:tc>
      </w:tr>
      <w:tr>
        <w:trPr>
          <w:trHeight w:val="228"/>
        </w:trPr>
        <w:tc>
          <w:tcPr>
            <w:tcW w:w="6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Diluted</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(0.46)</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gridSpan w:val="2"/>
          </w:tcPr>
          <w:p>
            <w:pPr>
              <w:jc w:val="right"/>
              <w:ind w:right="98"/>
              <w:spacing w:after="0"/>
              <w:rPr>
                <w:sz w:val="20"/>
                <w:szCs w:val="20"/>
                <w:color w:val="auto"/>
              </w:rPr>
            </w:pPr>
            <w:r>
              <w:rPr>
                <w:rFonts w:ascii="Times New Roman" w:cs="Times New Roman" w:eastAsia="Times New Roman" w:hAnsi="Times New Roman"/>
                <w:sz w:val="18"/>
                <w:szCs w:val="18"/>
                <w:color w:val="auto"/>
              </w:rPr>
              <w:t>(11.04)</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118"/>
              <w:spacing w:after="0"/>
              <w:rPr>
                <w:sz w:val="20"/>
                <w:szCs w:val="20"/>
                <w:color w:val="auto"/>
              </w:rPr>
            </w:pPr>
            <w:r>
              <w:rPr>
                <w:rFonts w:ascii="Times New Roman" w:cs="Times New Roman" w:eastAsia="Times New Roman" w:hAnsi="Times New Roman"/>
                <w:sz w:val="18"/>
                <w:szCs w:val="18"/>
                <w:color w:val="auto"/>
              </w:rPr>
              <w:t>(8.88)</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298"/>
              <w:spacing w:after="0"/>
              <w:rPr>
                <w:sz w:val="20"/>
                <w:szCs w:val="20"/>
                <w:color w:val="auto"/>
              </w:rPr>
            </w:pPr>
            <w:r>
              <w:rPr>
                <w:rFonts w:ascii="Times New Roman" w:cs="Times New Roman" w:eastAsia="Times New Roman" w:hAnsi="Times New Roman"/>
                <w:sz w:val="18"/>
                <w:szCs w:val="18"/>
                <w:color w:val="auto"/>
                <w:w w:val="98"/>
              </w:rPr>
              <w:t>(19.82)</w:t>
            </w:r>
          </w:p>
        </w:tc>
        <w:tc>
          <w:tcPr>
            <w:tcW w:w="80" w:type="dxa"/>
            <w:vAlign w:val="bottom"/>
          </w:tcPr>
          <w:p>
            <w:pPr>
              <w:spacing w:after="0"/>
              <w:rPr>
                <w:sz w:val="19"/>
                <w:szCs w:val="19"/>
                <w:color w:val="auto"/>
              </w:rPr>
            </w:pP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15.56</w:t>
            </w:r>
          </w:p>
        </w:tc>
        <w:tc>
          <w:tcPr>
            <w:tcW w:w="0" w:type="dxa"/>
            <w:vAlign w:val="bottom"/>
          </w:tcPr>
          <w:p>
            <w:pPr>
              <w:spacing w:after="0"/>
              <w:rPr>
                <w:sz w:val="1"/>
                <w:szCs w:val="1"/>
                <w:color w:val="auto"/>
              </w:rPr>
            </w:pPr>
          </w:p>
        </w:tc>
      </w:tr>
      <w:tr>
        <w:trPr>
          <w:trHeight w:val="324"/>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Cash dividends declared </w:t>
            </w:r>
            <w:r>
              <w:rPr>
                <w:rFonts w:ascii="Times New Roman" w:cs="Times New Roman" w:eastAsia="Times New Roman" w:hAnsi="Times New Roman"/>
                <w:sz w:val="11"/>
                <w:szCs w:val="11"/>
                <w:color w:val="auto"/>
              </w:rPr>
              <w:t>(a)</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gridSpan w:val="3"/>
          </w:tcPr>
          <w:p>
            <w:pPr>
              <w:jc w:val="right"/>
              <w:ind w:right="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4"/>
                <w:szCs w:val="24"/>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178"/>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44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4.00</w:t>
            </w:r>
          </w:p>
        </w:tc>
        <w:tc>
          <w:tcPr>
            <w:tcW w:w="0" w:type="dxa"/>
            <w:vAlign w:val="bottom"/>
          </w:tcPr>
          <w:p>
            <w:pPr>
              <w:spacing w:after="0"/>
              <w:rPr>
                <w:sz w:val="1"/>
                <w:szCs w:val="1"/>
                <w:color w:val="auto"/>
              </w:rPr>
            </w:pPr>
          </w:p>
        </w:tc>
      </w:tr>
      <w:tr>
        <w:trPr>
          <w:trHeight w:val="312"/>
        </w:trPr>
        <w:tc>
          <w:tcPr>
            <w:tcW w:w="6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Financial Position</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gridSpan w:val="3"/>
          </w:tcPr>
          <w:p>
            <w:pPr>
              <w:jc w:val="right"/>
              <w:ind w:right="2"/>
              <w:spacing w:after="0"/>
              <w:rPr>
                <w:sz w:val="20"/>
                <w:szCs w:val="20"/>
                <w:color w:val="auto"/>
              </w:rPr>
            </w:pPr>
            <w:r>
              <w:rPr>
                <w:rFonts w:ascii="Times New Roman" w:cs="Times New Roman" w:eastAsia="Times New Roman" w:hAnsi="Times New Roman"/>
                <w:sz w:val="18"/>
                <w:szCs w:val="18"/>
                <w:color w:val="auto"/>
                <w:w w:val="92"/>
              </w:rPr>
              <w:t>10,093</w:t>
            </w:r>
          </w:p>
        </w:tc>
        <w:tc>
          <w:tcPr>
            <w:tcW w:w="12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11,318</w:t>
            </w:r>
          </w:p>
        </w:tc>
        <w:tc>
          <w:tcPr>
            <w:tcW w:w="24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178"/>
              <w:spacing w:after="0"/>
              <w:rPr>
                <w:sz w:val="20"/>
                <w:szCs w:val="20"/>
                <w:color w:val="auto"/>
              </w:rPr>
            </w:pPr>
            <w:r>
              <w:rPr>
                <w:rFonts w:ascii="Times New Roman" w:cs="Times New Roman" w:eastAsia="Times New Roman" w:hAnsi="Times New Roman"/>
                <w:sz w:val="18"/>
                <w:szCs w:val="18"/>
                <w:color w:val="auto"/>
                <w:w w:val="92"/>
              </w:rPr>
              <w:t>12,474</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2"/>
              </w:rPr>
              <w:t>13,271</w:t>
            </w:r>
          </w:p>
        </w:tc>
        <w:tc>
          <w:tcPr>
            <w:tcW w:w="4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6"/>
              </w:rPr>
              <w:t>34,493</w:t>
            </w:r>
          </w:p>
        </w:tc>
        <w:tc>
          <w:tcPr>
            <w:tcW w:w="0" w:type="dxa"/>
            <w:vAlign w:val="bottom"/>
          </w:tcPr>
          <w:p>
            <w:pPr>
              <w:spacing w:after="0"/>
              <w:rPr>
                <w:sz w:val="1"/>
                <w:szCs w:val="1"/>
                <w:color w:val="auto"/>
              </w:rPr>
            </w:pPr>
          </w:p>
        </w:tc>
      </w:tr>
      <w:tr>
        <w:trPr>
          <w:trHeight w:val="216"/>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Assets of discontinued operations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3"/>
          </w:tcPr>
          <w:p>
            <w:pPr>
              <w:jc w:val="right"/>
              <w:ind w:right="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78"/>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6"/>
              </w:rPr>
              <w:t>20,512</w:t>
            </w:r>
          </w:p>
        </w:tc>
        <w:tc>
          <w:tcPr>
            <w:tcW w:w="0" w:type="dxa"/>
            <w:vAlign w:val="bottom"/>
          </w:tcPr>
          <w:p>
            <w:pPr>
              <w:spacing w:after="0"/>
              <w:rPr>
                <w:sz w:val="1"/>
                <w:szCs w:val="1"/>
                <w:color w:val="auto"/>
              </w:rPr>
            </w:pPr>
          </w:p>
        </w:tc>
      </w:tr>
      <w:tr>
        <w:trPr>
          <w:trHeight w:val="216"/>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Assets under vehicle programs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3"/>
          </w:tcPr>
          <w:p>
            <w:pPr>
              <w:jc w:val="right"/>
              <w:ind w:right="2"/>
              <w:spacing w:after="0"/>
              <w:rPr>
                <w:sz w:val="20"/>
                <w:szCs w:val="20"/>
                <w:color w:val="auto"/>
              </w:rPr>
            </w:pPr>
            <w:r>
              <w:rPr>
                <w:rFonts w:ascii="Times New Roman" w:cs="Times New Roman" w:eastAsia="Times New Roman" w:hAnsi="Times New Roman"/>
                <w:sz w:val="18"/>
                <w:szCs w:val="18"/>
                <w:color w:val="auto"/>
              </w:rPr>
              <w:t>6,522</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7,826</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78"/>
              <w:spacing w:after="0"/>
              <w:rPr>
                <w:sz w:val="20"/>
                <w:szCs w:val="20"/>
                <w:color w:val="auto"/>
              </w:rPr>
            </w:pPr>
            <w:r>
              <w:rPr>
                <w:rFonts w:ascii="Times New Roman" w:cs="Times New Roman" w:eastAsia="Times New Roman" w:hAnsi="Times New Roman"/>
                <w:sz w:val="18"/>
                <w:szCs w:val="18"/>
                <w:color w:val="auto"/>
              </w:rPr>
              <w:t>7,981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7,700</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8,500</w:t>
            </w:r>
          </w:p>
        </w:tc>
        <w:tc>
          <w:tcPr>
            <w:tcW w:w="0" w:type="dxa"/>
            <w:vAlign w:val="bottom"/>
          </w:tcPr>
          <w:p>
            <w:pPr>
              <w:spacing w:after="0"/>
              <w:rPr>
                <w:sz w:val="1"/>
                <w:szCs w:val="1"/>
                <w:color w:val="auto"/>
              </w:rPr>
            </w:pPr>
          </w:p>
        </w:tc>
      </w:tr>
      <w:tr>
        <w:trPr>
          <w:trHeight w:val="216"/>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 including current portion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3"/>
          </w:tcPr>
          <w:p>
            <w:pPr>
              <w:jc w:val="right"/>
              <w:ind w:right="2"/>
              <w:spacing w:after="0"/>
              <w:rPr>
                <w:sz w:val="20"/>
                <w:szCs w:val="20"/>
                <w:color w:val="auto"/>
              </w:rPr>
            </w:pPr>
            <w:r>
              <w:rPr>
                <w:rFonts w:ascii="Times New Roman" w:cs="Times New Roman" w:eastAsia="Times New Roman" w:hAnsi="Times New Roman"/>
                <w:sz w:val="18"/>
                <w:szCs w:val="18"/>
                <w:color w:val="auto"/>
              </w:rPr>
              <w:t>2,131</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1,789</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78"/>
              <w:spacing w:after="0"/>
              <w:rPr>
                <w:sz w:val="20"/>
                <w:szCs w:val="20"/>
                <w:color w:val="auto"/>
              </w:rPr>
            </w:pPr>
            <w:r>
              <w:rPr>
                <w:rFonts w:ascii="Times New Roman" w:cs="Times New Roman" w:eastAsia="Times New Roman" w:hAnsi="Times New Roman"/>
                <w:sz w:val="18"/>
                <w:szCs w:val="18"/>
                <w:color w:val="auto"/>
              </w:rPr>
              <w:t>1,797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1,842</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3,508</w:t>
            </w:r>
          </w:p>
        </w:tc>
        <w:tc>
          <w:tcPr>
            <w:tcW w:w="0" w:type="dxa"/>
            <w:vAlign w:val="bottom"/>
          </w:tcPr>
          <w:p>
            <w:pPr>
              <w:spacing w:after="0"/>
              <w:rPr>
                <w:sz w:val="1"/>
                <w:szCs w:val="1"/>
                <w:color w:val="auto"/>
              </w:rPr>
            </w:pPr>
          </w:p>
        </w:tc>
      </w:tr>
      <w:tr>
        <w:trPr>
          <w:trHeight w:val="216"/>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Debt under vehicle programs </w:t>
            </w:r>
            <w:r>
              <w:rPr>
                <w:rFonts w:ascii="Times New Roman" w:cs="Times New Roman" w:eastAsia="Times New Roman" w:hAnsi="Times New Roman"/>
                <w:sz w:val="11"/>
                <w:szCs w:val="11"/>
                <w:color w:val="auto"/>
              </w:rPr>
              <w:t>(b)</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3"/>
          </w:tcPr>
          <w:p>
            <w:pPr>
              <w:jc w:val="right"/>
              <w:ind w:right="2"/>
              <w:spacing w:after="0"/>
              <w:rPr>
                <w:sz w:val="20"/>
                <w:szCs w:val="20"/>
                <w:color w:val="auto"/>
              </w:rPr>
            </w:pPr>
            <w:r>
              <w:rPr>
                <w:rFonts w:ascii="Times New Roman" w:cs="Times New Roman" w:eastAsia="Times New Roman" w:hAnsi="Times New Roman"/>
                <w:sz w:val="18"/>
                <w:szCs w:val="18"/>
                <w:color w:val="auto"/>
              </w:rPr>
              <w:t>4,374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6,034</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78"/>
              <w:spacing w:after="0"/>
              <w:rPr>
                <w:sz w:val="20"/>
                <w:szCs w:val="20"/>
                <w:color w:val="auto"/>
              </w:rPr>
            </w:pPr>
            <w:r>
              <w:rPr>
                <w:rFonts w:ascii="Times New Roman" w:cs="Times New Roman" w:eastAsia="Times New Roman" w:hAnsi="Times New Roman"/>
                <w:sz w:val="18"/>
                <w:szCs w:val="18"/>
                <w:color w:val="auto"/>
              </w:rPr>
              <w:t>5,596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5,270</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7,909</w:t>
            </w:r>
          </w:p>
        </w:tc>
        <w:tc>
          <w:tcPr>
            <w:tcW w:w="0" w:type="dxa"/>
            <w:vAlign w:val="bottom"/>
          </w:tcPr>
          <w:p>
            <w:pPr>
              <w:spacing w:after="0"/>
              <w:rPr>
                <w:sz w:val="1"/>
                <w:szCs w:val="1"/>
                <w:color w:val="auto"/>
              </w:rPr>
            </w:pPr>
          </w:p>
        </w:tc>
      </w:tr>
      <w:tr>
        <w:trPr>
          <w:trHeight w:val="228"/>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gridSpan w:val="3"/>
          </w:tcPr>
          <w:p>
            <w:pPr>
              <w:jc w:val="right"/>
              <w:ind w:right="2"/>
              <w:spacing w:after="0"/>
              <w:rPr>
                <w:sz w:val="20"/>
                <w:szCs w:val="20"/>
                <w:color w:val="auto"/>
              </w:rPr>
            </w:pPr>
            <w:r>
              <w:rPr>
                <w:rFonts w:ascii="Times New Roman" w:cs="Times New Roman" w:eastAsia="Times New Roman" w:hAnsi="Times New Roman"/>
                <w:sz w:val="18"/>
                <w:szCs w:val="18"/>
                <w:color w:val="auto"/>
              </w:rPr>
              <w:t>222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178"/>
              <w:spacing w:after="0"/>
              <w:rPr>
                <w:sz w:val="20"/>
                <w:szCs w:val="20"/>
                <w:color w:val="auto"/>
              </w:rPr>
            </w:pPr>
            <w:r>
              <w:rPr>
                <w:rFonts w:ascii="Times New Roman" w:cs="Times New Roman" w:eastAsia="Times New Roman" w:hAnsi="Times New Roman"/>
                <w:sz w:val="18"/>
                <w:szCs w:val="18"/>
                <w:color w:val="auto"/>
              </w:rPr>
              <w:t>1,465</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2,443</w:t>
            </w: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6"/>
              </w:rPr>
              <w:t>11,342</w:t>
            </w:r>
          </w:p>
        </w:tc>
        <w:tc>
          <w:tcPr>
            <w:tcW w:w="0" w:type="dxa"/>
            <w:vAlign w:val="bottom"/>
          </w:tcPr>
          <w:p>
            <w:pPr>
              <w:spacing w:after="0"/>
              <w:rPr>
                <w:sz w:val="1"/>
                <w:szCs w:val="1"/>
                <w:color w:val="auto"/>
              </w:rPr>
            </w:pPr>
          </w:p>
        </w:tc>
      </w:tr>
    </w:tbl>
    <w:p>
      <w:pPr>
        <w:spacing w:after="0" w:line="112" w:lineRule="exact"/>
        <w:rPr>
          <w:sz w:val="20"/>
          <w:szCs w:val="20"/>
          <w:color w:val="auto"/>
        </w:rPr>
      </w:pPr>
    </w:p>
    <w:p>
      <w:pPr>
        <w:ind w:left="340" w:hanging="332"/>
        <w:spacing w:after="0"/>
        <w:tabs>
          <w:tab w:leader="none" w:pos="340" w:val="left"/>
        </w:tabs>
        <w:numPr>
          <w:ilvl w:val="0"/>
          <w:numId w:val="2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Cash dividends declared have been adjusted to reflect the 1-for-10 reverse stock split of our common stock which became effective in September 2006.</w:t>
      </w:r>
    </w:p>
    <w:p>
      <w:pPr>
        <w:spacing w:after="0" w:line="7" w:lineRule="exact"/>
        <w:rPr>
          <w:rFonts w:ascii="Times New Roman" w:cs="Times New Roman" w:eastAsia="Times New Roman" w:hAnsi="Times New Roman"/>
          <w:sz w:val="22"/>
          <w:szCs w:val="22"/>
          <w:color w:val="auto"/>
          <w:vertAlign w:val="superscript"/>
        </w:rPr>
      </w:pPr>
    </w:p>
    <w:p>
      <w:pPr>
        <w:ind w:left="340" w:hanging="332"/>
        <w:spacing w:after="0" w:line="197" w:lineRule="auto"/>
        <w:tabs>
          <w:tab w:leader="none" w:pos="340" w:val="left"/>
        </w:tabs>
        <w:numPr>
          <w:ilvl w:val="0"/>
          <w:numId w:val="2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Includes related-party debt due to Avis Budget Rental Car Funding (AESOP), LLC. See Note 18 to our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-297815</wp:posOffset>
            </wp:positionV>
            <wp:extent cx="72898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0"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color w:val="auto"/>
        </w:rPr>
        <w:t>In presenting the financial data above in conformity with generally accepted accounting principles, we are required to make estimates and assumptions that affect the amounts reported. See “Critical Accounting Policies” under Item 7 included elsewhere herein for a detailed discussion of the accounting policies that we believe require subjective and complex judgments that could potentially affect reported results.</w:t>
      </w:r>
    </w:p>
    <w:p>
      <w:pPr>
        <w:spacing w:after="0" w:line="132" w:lineRule="exact"/>
        <w:rPr>
          <w:sz w:val="20"/>
          <w:szCs w:val="20"/>
          <w:color w:val="auto"/>
        </w:rPr>
      </w:pPr>
    </w:p>
    <w:p>
      <w:pPr>
        <w:spacing w:after="0" w:line="296" w:lineRule="auto"/>
        <w:rPr>
          <w:sz w:val="20"/>
          <w:szCs w:val="20"/>
          <w:color w:val="auto"/>
        </w:rPr>
      </w:pPr>
      <w:r>
        <w:rPr>
          <w:rFonts w:ascii="Times New Roman" w:cs="Times New Roman" w:eastAsia="Times New Roman" w:hAnsi="Times New Roman"/>
          <w:sz w:val="16"/>
          <w:szCs w:val="16"/>
          <w:color w:val="auto"/>
        </w:rPr>
        <w:t>Income (loss) from discontinued operations, net of tax, includes the after tax results of the following disposed businesses for all periods presented (through their dates of disposition): (i) Travelport, which we sold in August 2006; (ii) Realogy and Wyndham, which were spun-off on July 31, 2006; (iii) our former Marketing Services division, which we sold in October 2005; (iv) Wright Express Corporation, which we sold in February 2005; and (v) our former mortgage, fleet leasing and appraisal businesses, which were included in the spin-off of PHH Corporation on January 31, 2005. Income (loss) from discontinued operations, net of tax, also includes a tax benefit realized as a result of certain elections made in connection with the disposition of Travelport on income</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380"/>
          </w:cols>
          <w:pgMar w:left="240" w:top="455" w:right="279" w:bottom="1440" w:gutter="0" w:footer="0" w:header="0"/>
        </w:sectPr>
      </w:pPr>
    </w:p>
    <w:bookmarkStart w:id="41" w:name="page42"/>
    <w:bookmarkEnd w:id="4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220"/>
        <w:spacing w:after="0" w:line="275" w:lineRule="auto"/>
        <w:rPr>
          <w:sz w:val="20"/>
          <w:szCs w:val="20"/>
          <w:color w:val="auto"/>
        </w:rPr>
      </w:pPr>
      <w:r>
        <w:rPr>
          <w:rFonts w:ascii="Times New Roman" w:cs="Times New Roman" w:eastAsia="Times New Roman" w:hAnsi="Times New Roman"/>
          <w:sz w:val="18"/>
          <w:szCs w:val="18"/>
          <w:color w:val="auto"/>
        </w:rPr>
        <w:t>tax returns filed during 2007, the after tax losses on the sale of Travelport and the spin-offs of Realogy and Wyndham in 2006, the after tax gains on the sale of our Marketing Services division and Wright Express in 2005, and the after tax loss on the spin-off of PHH in 2005.</w:t>
      </w:r>
    </w:p>
    <w:p>
      <w:pPr>
        <w:spacing w:after="0" w:line="120"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During 2009, we recorded an approximately $33 million ($20 million, net of tax) non-cash charge primarily for the impairment of our investment in Carey Holdings, Inc. (“Carey”), to reflect the other-than-temporary decline of the investments’ fair value below its carrying value. In 2008, we recorded a $1,262 million ($1,053 million, net of tax) non-cash charge to reflect (i) the impairment of goodwill, (ii) the impairment of the Company’s tradenames assets and (iii) the impairment of our investment in Carey. These charges reflect the decline in their fair value below their carrying value, primarily as a result of reduced market valuations for vehicle services and other companies, as well as reduced profit forecasts due to soft economic conditions and increased financing costs. In 2007, we recorded a $1,195 million ($1,073 million, net of tax) non-cash charge for the impairment of goodwill at each of our reporting units to reflect the decline in their fair value as evidenced by a decline in the market value of our common stock. See Note 2 to our Consolidated Financial Statements. In 2006, we recorded a non-cash impairment charge of approximately $1.3 billion within discontinued operations to reflect the difference between Travelport’s carrying value and its estimated fair value, less costs to dispose. In 2005, we recorded a non-cash impairment charge of $425 million within discontinued operations as a result of a decline in future anticipated cash flows of one of Travelport’s businesses.</w:t>
      </w:r>
    </w:p>
    <w:p>
      <w:pPr>
        <w:spacing w:after="0" w:line="14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During 2009 and 2008, we recorded $20 million and $28 million, respectively, of charges related to restructuring initiatives within each of our segments. In 2006, we recorded $10 million of restructuring charges related to restructuring initiatives within our Truck Rental and Domestic Car Rental segments. In 2005, we recorded $26 million of restructuring and transaction-related charges as a result of restructuring activities undertaken following the spin-off of PHH Corporation and the initial public offering of Wright Express Corporation. See Note 5 to our Consolidated Financial Statements.</w:t>
      </w:r>
    </w:p>
    <w:p>
      <w:pPr>
        <w:spacing w:after="0" w:line="136" w:lineRule="exact"/>
        <w:rPr>
          <w:sz w:val="20"/>
          <w:szCs w:val="20"/>
          <w:color w:val="auto"/>
        </w:rPr>
      </w:pPr>
    </w:p>
    <w:p>
      <w:pPr>
        <w:ind w:right="440"/>
        <w:spacing w:after="0" w:line="310" w:lineRule="auto"/>
        <w:rPr>
          <w:sz w:val="20"/>
          <w:szCs w:val="20"/>
          <w:color w:val="auto"/>
        </w:rPr>
      </w:pPr>
      <w:r>
        <w:rPr>
          <w:rFonts w:ascii="Times New Roman" w:cs="Times New Roman" w:eastAsia="Times New Roman" w:hAnsi="Times New Roman"/>
          <w:sz w:val="16"/>
          <w:szCs w:val="16"/>
          <w:color w:val="auto"/>
        </w:rPr>
        <w:t>During 2009, 2008 and 2007, separation-related costs incurred in connection with the spin-offs of Realogy and Wyndham and the sale of Travelport were insignificant. In 2006 and 2005, we incurred separation-related costs of $574 million and $15 million, respectively. These costs consisted primarily of legal, accounting, other professional and consulting fees and various employee costs, and for 2006 included costs associated with the retirement of corporate debt.</w:t>
      </w:r>
    </w:p>
    <w:p>
      <w:pPr>
        <w:spacing w:after="0" w:line="97" w:lineRule="exact"/>
        <w:rPr>
          <w:sz w:val="20"/>
          <w:szCs w:val="20"/>
          <w:color w:val="auto"/>
        </w:rPr>
      </w:pPr>
    </w:p>
    <w:p>
      <w:pPr>
        <w:ind w:right="560"/>
        <w:spacing w:after="0" w:line="275" w:lineRule="auto"/>
        <w:rPr>
          <w:sz w:val="20"/>
          <w:szCs w:val="20"/>
          <w:color w:val="auto"/>
        </w:rPr>
      </w:pPr>
      <w:r>
        <w:rPr>
          <w:rFonts w:ascii="Times New Roman" w:cs="Times New Roman" w:eastAsia="Times New Roman" w:hAnsi="Times New Roman"/>
          <w:sz w:val="18"/>
          <w:szCs w:val="18"/>
          <w:color w:val="auto"/>
        </w:rPr>
        <w:t>In 2006 and 2005, we incurred $40 million and $35 million, respectively, of litigation and related costs primarily in connection with the 1998 discovery of accounting irregularities in the former business units of CUC International, Inc. In 2009, 2008 and 2007, these costs were immaterial.</w:t>
      </w:r>
    </w:p>
    <w:p>
      <w:pPr>
        <w:spacing w:after="0" w:line="12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2006, we recorded a $103 million ($64 million, net of tax) non-cash charge to reflect the cumulative effect of accounting charges related to (i) real estate time-share transactions at our former Hospitality Services and Timeshare Resorts segment and (ii) stock-based compensation awards. In 2005, we recorded a $14 million ($8 million, net of tax) non-cash charge to reflect the cumulative effect of accounting change relating to our asset retirement obligation to remove assets at certain leased properties.</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400"/>
          </w:cols>
          <w:pgMar w:left="240" w:top="455" w:right="259" w:bottom="1440" w:gutter="0" w:footer="0" w:header="0"/>
        </w:sectPr>
      </w:pPr>
    </w:p>
    <w:bookmarkStart w:id="42" w:name="page43"/>
    <w:bookmarkEnd w:id="4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The following discussion should be read in conjunction with our Consolidated Financial Statements and accompanying Notes thereto included elsewhere herein.</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Unless otherwise noted, all dollar amounts in tables are in millions and those relating to our results of operations are presented before taxes.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We operate two of the most recognized brands in the global vehicle rental industry through Avis Rent A Car System, LLC and Budget Rent A Car System,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provide car and truck rentals and ancillary services to businesses and consumers in the United States and internationally.</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operate in the following business segments:</w:t>
      </w:r>
    </w:p>
    <w:p>
      <w:pPr>
        <w:spacing w:after="0" w:line="210" w:lineRule="exact"/>
        <w:rPr>
          <w:sz w:val="20"/>
          <w:szCs w:val="20"/>
          <w:color w:val="auto"/>
        </w:rPr>
      </w:pPr>
    </w:p>
    <w:p>
      <w:pPr>
        <w:ind w:left="780" w:hanging="326"/>
        <w:spacing w:after="0"/>
        <w:tabs>
          <w:tab w:leader="none" w:pos="7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Domestic Car Rental</w:t>
      </w:r>
      <w:r>
        <w:rPr>
          <w:rFonts w:ascii="Times New Roman" w:cs="Times New Roman" w:eastAsia="Times New Roman" w:hAnsi="Times New Roman"/>
          <w:sz w:val="18"/>
          <w:szCs w:val="18"/>
          <w:color w:val="auto"/>
        </w:rPr>
        <w:t>—provides car rentals and ancillary products and services in the United States.</w:t>
      </w:r>
    </w:p>
    <w:p>
      <w:pPr>
        <w:spacing w:after="0" w:line="211" w:lineRule="exact"/>
        <w:rPr>
          <w:rFonts w:ascii="Times New Roman" w:cs="Times New Roman" w:eastAsia="Times New Roman" w:hAnsi="Times New Roman"/>
          <w:sz w:val="18"/>
          <w:szCs w:val="18"/>
          <w:color w:val="auto"/>
        </w:rPr>
      </w:pPr>
    </w:p>
    <w:p>
      <w:pPr>
        <w:ind w:left="780" w:right="300" w:hanging="326"/>
        <w:spacing w:after="0" w:line="277" w:lineRule="auto"/>
        <w:tabs>
          <w:tab w:leader="none" w:pos="7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International Car Rental</w:t>
      </w:r>
      <w:r>
        <w:rPr>
          <w:rFonts w:ascii="Times New Roman" w:cs="Times New Roman" w:eastAsia="Times New Roman" w:hAnsi="Times New Roman"/>
          <w:sz w:val="18"/>
          <w:szCs w:val="18"/>
          <w:color w:val="auto"/>
        </w:rPr>
        <w:t>—provides vehicle rentals and ancillary products and services primarily in Argentina, Australia, Canada, New Zealand,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Puerto Rico and the U.S. Virgin Islands.</w:t>
      </w:r>
    </w:p>
    <w:p>
      <w:pPr>
        <w:spacing w:after="0" w:line="156"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Truck Rental</w:t>
      </w:r>
      <w:r>
        <w:rPr>
          <w:rFonts w:ascii="Times New Roman" w:cs="Times New Roman" w:eastAsia="Times New Roman" w:hAnsi="Times New Roman"/>
          <w:sz w:val="18"/>
          <w:szCs w:val="18"/>
          <w:color w:val="auto"/>
        </w:rPr>
        <w:t>—provides truck rentals and related services to consumers and light commercial users in the United States.</w:t>
      </w:r>
    </w:p>
    <w:p>
      <w:pPr>
        <w:spacing w:after="0" w:line="17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Our revenues are derived principally from car and truck rentals in our Company-owned operations and include (i) time and mileage (“T&amp;M”) fees charged to our customers for vehicle rentals, (ii) reimbursement from our customers for certain operating expenses we incur, including gasoline and vehicle licensing fees, as well as airport concession fees, which we pay in exchange for the right to operate at airports and other locations, and (iii) sales of loss damage waivers and insurance and rentals of navigation units and other items in conjunction with vehicle rentals. We also earn royalty revenue from our franchisees in conjunction with their vehicle rental transactions.</w:t>
      </w:r>
    </w:p>
    <w:p>
      <w:pPr>
        <w:spacing w:after="0" w:line="13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Car rental volumes are closely associated with the travel industry, particularly airline passenger volumes, or enplanements. Because we operate primarily in the United States and generate a significant portion of our revenue from our on-airport operations, we expect that our ability to generate revenue growth will be somewhat dependent on increases in domestic enplanements. We have also experienced significant per-unit fleet cost increases over the last five years, which have negatively impacted our margins. Accordingly, our ability to achieve profit margins consistent with prior periods remains dependent on our ability to successfully manage our costs and to implement changes in our pricing programs. Our vehicle rental operations are seasonal. Historically, the third quarter of the year has been our strongest quarter due to the increased level of leisure travel and household moving activity. Any occurrence that disrupts rental activity during the third quarter could have a disproportionate adverse effect on our results of operations. We have a partially variable cost structure and routinely adjust the size and, therefore, the cost of our rental fleet in response to fluctuations in demand. However, certain expenses, such as rent, are fixed and cannot be reduced in response to seasonal fluctuations in our operations.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believe that the following factors, among others, may affect and/or have impacted our financial condition and results of operations:</w:t>
      </w:r>
    </w:p>
    <w:p>
      <w:pPr>
        <w:spacing w:after="0" w:line="212" w:lineRule="exact"/>
        <w:rPr>
          <w:sz w:val="20"/>
          <w:szCs w:val="20"/>
          <w:color w:val="auto"/>
        </w:rPr>
      </w:pPr>
    </w:p>
    <w:p>
      <w:pPr>
        <w:ind w:left="780" w:hanging="326"/>
        <w:spacing w:after="0"/>
        <w:tabs>
          <w:tab w:leader="none" w:pos="7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Domestic enplanements, which declined in 2009 compared to 2008;</w:t>
      </w:r>
    </w:p>
    <w:p>
      <w:pPr>
        <w:spacing w:after="0" w:line="211"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in achieving sustained pricing increases;</w:t>
      </w:r>
    </w:p>
    <w:p>
      <w:pPr>
        <w:spacing w:after="0" w:line="211"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Rising per-unit car fleet costs and changes in conditions in the used vehicle marketplace;</w:t>
      </w:r>
    </w:p>
    <w:p>
      <w:pPr>
        <w:spacing w:after="0" w:line="211"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financial condition of vehicle manufacturers;</w:t>
      </w:r>
    </w:p>
    <w:p>
      <w:pPr>
        <w:spacing w:after="0" w:line="15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340"/>
          </w:cols>
          <w:pgMar w:left="240" w:top="455" w:right="319" w:bottom="1440" w:gutter="0" w:footer="0" w:header="0"/>
        </w:sectPr>
      </w:pPr>
    </w:p>
    <w:bookmarkStart w:id="43" w:name="page44"/>
    <w:bookmarkEnd w:id="4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780" w:hanging="326"/>
        <w:spacing w:after="0"/>
        <w:tabs>
          <w:tab w:leader="none" w:pos="7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strategies to expand in off-airport or local vehicle rentals, including insurance replacement rentals;</w:t>
      </w:r>
    </w:p>
    <w:p>
      <w:pPr>
        <w:spacing w:after="0" w:line="211"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borrowing costs, and decreases in market willingness to purchase, corporate and vehicle-related debt;</w:t>
      </w:r>
    </w:p>
    <w:p>
      <w:pPr>
        <w:spacing w:after="0" w:line="211"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foreign exchange rates; and</w:t>
      </w:r>
    </w:p>
    <w:p>
      <w:pPr>
        <w:spacing w:after="0" w:line="211"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Demand for truck rentals.</w:t>
      </w:r>
    </w:p>
    <w:p>
      <w:pPr>
        <w:spacing w:after="0" w:line="171"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We believe that the downturn in the U.S. and worldwide economies in 2009 negatively impacted demand for vehicle rental services. Historically, our results of operations have declined during periods of general economic weakness. If economic conditions in the United States were to weaken further or remain weak, our results of operations could be materially and adversely impacted in 2010 and beyond. Due to reduced demand for travel services, rising borrowing costs and other factors, there can be no assurance that we will be able to satisfy the minimum EBITDA requirement or maximum coverage ratio requirement and other covenants contained in our senior credit facilities and our asset-backed car rental conduit facilities. Failure to comply with such covenants could significantly impact our liquidity if we were unable to obtain an amendment or waiver or were unable to refinance or replace such facilities. See “Risk Factors—Risks related to our indebtedness”. There can also be no assurance that 2009 results will be indicative of results we will achieve in 2010.</w:t>
      </w:r>
    </w:p>
    <w:p>
      <w:pPr>
        <w:spacing w:after="0" w:line="139"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Discussed below are our consolidated results of operations and the results of operations for each of our reportable segments.</w:t>
      </w:r>
    </w:p>
    <w:p>
      <w:pPr>
        <w:spacing w:after="0" w:line="17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We measure performance using the following key operating statistics: (i) rental days, which represents the total number of days (or portion thereof) a vehicle was rented, and (ii) T&amp;M revenue per rental day, which represents the average daily revenue we earned from rental and mileage fees charged to our customers. Our car rental operating statistics (rental days and T&amp;M revenue per rental day) are all calculated based on the actual rental of the vehicle during a 24-hour period. We believe that this methodology, while conservative, provides our management with the most relevant statistics in order to manage the business. Our calculation may not be comparable to other companies’ calculation of similarly-titled statistics.</w:t>
      </w:r>
    </w:p>
    <w:p>
      <w:pPr>
        <w:spacing w:after="0" w:line="13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reportable segments presented below represent our operating segments for which separate financial information is available and is utilized on a regular basis by our chief operating decision maker to assess performance and to allocate resources. In identifying our reportable segments, we also consider the nature of services provided by our operating segments. Management evaluates the operating results of each of our reportable segments based upon revenue and “EBITDA”, which we define as income from continuing operations before non-vehicle related depreciation and amortization, any impairment charge, non-vehicle related interest and income taxes. Our presentation of EBITDA may not be comparable to similarly-titled measures used by other companies.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52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Year Ended December 31, 2009 vs. Year Ended December 31, 2008</w:t>
            </w:r>
          </w:p>
        </w:tc>
        <w:tc>
          <w:tcPr>
            <w:tcW w:w="3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Our consolidated results of operations comprised the following:</w:t>
            </w:r>
          </w:p>
        </w:tc>
        <w:tc>
          <w:tcPr>
            <w:tcW w:w="3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522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00" w:type="dxa"/>
            <w:vAlign w:val="bottom"/>
            <w:gridSpan w:val="10"/>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0" w:type="dxa"/>
            <w:vAlign w:val="bottom"/>
          </w:tcPr>
          <w:p>
            <w:pPr>
              <w:spacing w:after="0"/>
              <w:rPr>
                <w:sz w:val="1"/>
                <w:szCs w:val="1"/>
                <w:color w:val="auto"/>
              </w:rPr>
            </w:pPr>
          </w:p>
        </w:tc>
      </w:tr>
      <w:tr>
        <w:trPr>
          <w:trHeight w:val="212"/>
        </w:trPr>
        <w:tc>
          <w:tcPr>
            <w:tcW w:w="522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5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2009</w:t>
            </w:r>
          </w:p>
        </w:tc>
        <w:tc>
          <w:tcPr>
            <w:tcW w:w="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2008</w:t>
            </w:r>
          </w:p>
        </w:tc>
        <w:tc>
          <w:tcPr>
            <w:tcW w:w="30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60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w w:val="98"/>
              </w:rPr>
              <w:t>Change</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522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Net revenues</w:t>
            </w:r>
          </w:p>
        </w:tc>
        <w:tc>
          <w:tcPr>
            <w:tcW w:w="3360" w:type="dxa"/>
            <w:vAlign w:val="bottom"/>
          </w:tcPr>
          <w:p>
            <w:pPr>
              <w:spacing w:after="0"/>
              <w:rPr>
                <w:sz w:val="16"/>
                <w:szCs w:val="16"/>
                <w:color w:val="auto"/>
              </w:rPr>
            </w:pPr>
          </w:p>
        </w:tc>
        <w:tc>
          <w:tcPr>
            <w:tcW w:w="10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w w:val="93"/>
              </w:rPr>
              <w:t>5,131</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6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w w:val="99"/>
              </w:rPr>
              <w:t>$ 5,984</w:t>
            </w: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(853)</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Total expenses</w:t>
            </w:r>
          </w:p>
        </w:tc>
        <w:tc>
          <w:tcPr>
            <w:tcW w:w="3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gridSpan w:val="3"/>
          </w:tcPr>
          <w:p>
            <w:pPr>
              <w:jc w:val="right"/>
              <w:ind w:right="2"/>
              <w:spacing w:after="0"/>
              <w:rPr>
                <w:sz w:val="20"/>
                <w:szCs w:val="20"/>
                <w:color w:val="auto"/>
              </w:rPr>
            </w:pPr>
            <w:r>
              <w:rPr>
                <w:rFonts w:ascii="Times New Roman" w:cs="Times New Roman" w:eastAsia="Times New Roman" w:hAnsi="Times New Roman"/>
                <w:sz w:val="18"/>
                <w:szCs w:val="18"/>
                <w:color w:val="auto"/>
                <w:w w:val="93"/>
              </w:rPr>
              <w:t>5,208</w:t>
            </w:r>
          </w:p>
        </w:tc>
        <w:tc>
          <w:tcPr>
            <w:tcW w:w="5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7,327</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8"/>
              </w:rPr>
              <w:t>(2,119)</w:t>
            </w:r>
          </w:p>
        </w:tc>
        <w:tc>
          <w:tcPr>
            <w:tcW w:w="0" w:type="dxa"/>
            <w:vAlign w:val="bottom"/>
          </w:tcPr>
          <w:p>
            <w:pPr>
              <w:spacing w:after="0"/>
              <w:rPr>
                <w:sz w:val="1"/>
                <w:szCs w:val="1"/>
                <w:color w:val="auto"/>
              </w:rPr>
            </w:pPr>
          </w:p>
        </w:tc>
      </w:tr>
      <w:tr>
        <w:trPr>
          <w:trHeight w:val="211"/>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33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gridSpan w:val="3"/>
          </w:tcPr>
          <w:p>
            <w:pPr>
              <w:jc w:val="right"/>
              <w:ind w:right="2"/>
              <w:spacing w:after="0"/>
              <w:rPr>
                <w:sz w:val="20"/>
                <w:szCs w:val="20"/>
                <w:color w:val="auto"/>
              </w:rPr>
            </w:pPr>
            <w:r>
              <w:rPr>
                <w:rFonts w:ascii="Times New Roman" w:cs="Times New Roman" w:eastAsia="Times New Roman" w:hAnsi="Times New Roman"/>
                <w:sz w:val="18"/>
                <w:szCs w:val="18"/>
                <w:color w:val="auto"/>
              </w:rPr>
              <w:t>(77)</w:t>
            </w:r>
          </w:p>
        </w:tc>
        <w:tc>
          <w:tcPr>
            <w:tcW w:w="500" w:type="dxa"/>
            <w:vAlign w:val="bottom"/>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(1,343)</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Benefit from for income taxes</w:t>
            </w:r>
          </w:p>
        </w:tc>
        <w:tc>
          <w:tcPr>
            <w:tcW w:w="3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4"/>
          </w:tcPr>
          <w:p>
            <w:pPr>
              <w:jc w:val="right"/>
              <w:ind w:right="480"/>
              <w:spacing w:after="0"/>
              <w:rPr>
                <w:sz w:val="20"/>
                <w:szCs w:val="20"/>
                <w:color w:val="auto"/>
              </w:rPr>
            </w:pPr>
            <w:r>
              <w:rPr>
                <w:rFonts w:ascii="Times New Roman" w:cs="Times New Roman" w:eastAsia="Times New Roman" w:hAnsi="Times New Roman"/>
                <w:sz w:val="18"/>
                <w:szCs w:val="18"/>
                <w:color w:val="auto"/>
              </w:rPr>
              <w:t>(30)</w:t>
            </w:r>
          </w:p>
        </w:tc>
        <w:tc>
          <w:tcPr>
            <w:tcW w:w="860" w:type="dxa"/>
            <w:vAlign w:val="bottom"/>
            <w:gridSpan w:val="2"/>
          </w:tcPr>
          <w:p>
            <w:pPr>
              <w:jc w:val="right"/>
              <w:ind w:right="158"/>
              <w:spacing w:after="0"/>
              <w:rPr>
                <w:sz w:val="20"/>
                <w:szCs w:val="20"/>
                <w:color w:val="auto"/>
              </w:rPr>
            </w:pPr>
            <w:r>
              <w:rPr>
                <w:rFonts w:ascii="Times New Roman" w:cs="Times New Roman" w:eastAsia="Times New Roman" w:hAnsi="Times New Roman"/>
                <w:sz w:val="18"/>
                <w:szCs w:val="18"/>
                <w:color w:val="auto"/>
              </w:rPr>
              <w:t>(219)</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189</w:t>
            </w:r>
          </w:p>
        </w:tc>
        <w:tc>
          <w:tcPr>
            <w:tcW w:w="0" w:type="dxa"/>
            <w:vAlign w:val="bottom"/>
          </w:tcPr>
          <w:p>
            <w:pPr>
              <w:spacing w:after="0"/>
              <w:rPr>
                <w:sz w:val="1"/>
                <w:szCs w:val="1"/>
                <w:color w:val="auto"/>
              </w:rPr>
            </w:pPr>
          </w:p>
        </w:tc>
      </w:tr>
      <w:tr>
        <w:trPr>
          <w:trHeight w:val="224"/>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336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(47</w:t>
            </w:r>
          </w:p>
        </w:tc>
        <w:tc>
          <w:tcPr>
            <w:tcW w:w="520" w:type="dxa"/>
            <w:vAlign w:val="bottom"/>
            <w:gridSpan w:val="2"/>
          </w:tcPr>
          <w:p>
            <w:pPr>
              <w:jc w:val="right"/>
              <w:ind w:right="480"/>
              <w:spacing w:after="0"/>
              <w:rPr>
                <w:sz w:val="20"/>
                <w:szCs w:val="20"/>
                <w:color w:val="auto"/>
              </w:rPr>
            </w:pPr>
            <w:r>
              <w:rPr>
                <w:rFonts w:ascii="Times New Roman" w:cs="Times New Roman" w:eastAsia="Times New Roman" w:hAnsi="Times New Roman"/>
                <w:sz w:val="8"/>
                <w:szCs w:val="8"/>
                <w:color w:val="auto"/>
                <w:w w:val="73"/>
              </w:rPr>
              <w:t>)</w:t>
            </w: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(1,124</w:t>
            </w:r>
          </w:p>
        </w:tc>
        <w:tc>
          <w:tcPr>
            <w:tcW w:w="300" w:type="dxa"/>
            <w:vAlign w:val="bottom"/>
          </w:tcPr>
          <w:p>
            <w:pPr>
              <w:jc w:val="right"/>
              <w:ind w:right="158"/>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Pr>
          <w:p>
            <w:pPr>
              <w:spacing w:after="0"/>
              <w:rPr>
                <w:sz w:val="19"/>
                <w:szCs w:val="19"/>
                <w:color w:val="auto"/>
              </w:rPr>
            </w:pPr>
          </w:p>
        </w:tc>
        <w:tc>
          <w:tcPr>
            <w:tcW w:w="1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3360" w:type="dxa"/>
            <w:vAlign w:val="bottom"/>
            <w:vMerge w:val="restart"/>
          </w:tcPr>
          <w:p>
            <w:pPr>
              <w:jc w:val="right"/>
              <w:ind w:right="2692"/>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5220" w:type="dxa"/>
            <w:vAlign w:val="bottom"/>
          </w:tcPr>
          <w:p>
            <w:pPr>
              <w:spacing w:after="0"/>
              <w:rPr>
                <w:sz w:val="24"/>
                <w:szCs w:val="24"/>
                <w:color w:val="auto"/>
              </w:rPr>
            </w:pPr>
          </w:p>
        </w:tc>
        <w:tc>
          <w:tcPr>
            <w:tcW w:w="33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5" w:right="239" w:bottom="1440" w:gutter="0" w:footer="0" w:header="0"/>
        </w:sectPr>
      </w:pPr>
    </w:p>
    <w:bookmarkStart w:id="44" w:name="page45"/>
    <w:bookmarkEnd w:id="4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320"/>
        <w:spacing w:after="0" w:line="301" w:lineRule="auto"/>
        <w:rPr>
          <w:sz w:val="20"/>
          <w:szCs w:val="20"/>
          <w:color w:val="auto"/>
        </w:rPr>
      </w:pPr>
      <w:r>
        <w:rPr>
          <w:rFonts w:ascii="Times New Roman" w:cs="Times New Roman" w:eastAsia="Times New Roman" w:hAnsi="Times New Roman"/>
          <w:sz w:val="16"/>
          <w:szCs w:val="16"/>
          <w:color w:val="auto"/>
        </w:rPr>
        <w:t>During 2009, our net revenues decreased $853 million (14%) principally due to (i) a 15% decrease in T&amp;M revenue in our car rental operations, resulting primarily from a 20% decrease in domestic and international car rental days, partially offset by a 6% increase in T&amp;M revenue per rental day, and (ii) a 14% decrease in ancillary revenues, also resulting from decreased car rental days. In addition, the total revenue decrease includes a negative impact of $58 million related to the effect of foreign currency exchange rate fluctuations on the translation of our international operations’ results into U.S. dollars.</w:t>
      </w:r>
    </w:p>
    <w:p>
      <w:pPr>
        <w:spacing w:after="0" w:line="103" w:lineRule="exact"/>
        <w:rPr>
          <w:sz w:val="20"/>
          <w:szCs w:val="20"/>
          <w:color w:val="auto"/>
        </w:rPr>
      </w:pPr>
    </w:p>
    <w:p>
      <w:pPr>
        <w:ind w:right="40"/>
        <w:spacing w:after="0" w:line="291" w:lineRule="auto"/>
        <w:rPr>
          <w:sz w:val="20"/>
          <w:szCs w:val="20"/>
          <w:color w:val="auto"/>
        </w:rPr>
      </w:pPr>
      <w:r>
        <w:rPr>
          <w:rFonts w:ascii="Times New Roman" w:cs="Times New Roman" w:eastAsia="Times New Roman" w:hAnsi="Times New Roman"/>
          <w:sz w:val="16"/>
          <w:szCs w:val="16"/>
          <w:color w:val="auto"/>
        </w:rPr>
        <w:t>Total expenses decreased $2,119 million (29%) principally due to (i) a $1,229 million (97%) decrease in impairment charges, (ii) a $511 million (16%) decrease in direct operating expenses largely resulting from the 20% decrease in car rental days, reduced staffing levels and other cost-saving actions, (iii) $272 million (16%) lower vehicle depreciation and lease charges resulting from a 19% decline in our average car rental fleet, partially offset by a 3% increase in per-unit fleet costs, and (iv) a $104 million (16%) decrease in selling, general and administrative expenses mainly related to reduced marketing and commission costs in light of lower rental volumes. The decrease in total expenses includes a positive impact from foreign currency exchange rates of $42 million and also reflects numerous actions taken in late 2008 and throughout 2009 to reduce both volume-related and non-volume-related expenses. As a result of our expense reductions, partially offset by a $189 million decrease in our benefit from income taxes, net loss decreased $1,077 million during 2009 compared to 2008.</w:t>
      </w:r>
    </w:p>
    <w:p>
      <w:pPr>
        <w:spacing w:after="0" w:line="113"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color w:val="auto"/>
        </w:rPr>
        <w:t>Our effective tax rate was a benefit of 39.0% and 16.3% for 2009 and 2008, respectively. The tax benefit for 2009 included a foreign investment allowance relating to additional tax depreciation in Australia. The unusually low rate for 2008 was primarily due to the non-deductible portion of the impairment charges we incurred.</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Following is a more detailed discussion of the results of each of our reportable segments:</w:t>
            </w: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9"/>
        </w:trPr>
        <w:tc>
          <w:tcPr>
            <w:tcW w:w="654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gridSpan w:val="3"/>
          </w:tcPr>
          <w:p>
            <w:pPr>
              <w:ind w:left="16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580" w:type="dxa"/>
            <w:vAlign w:val="bottom"/>
            <w:tcBorders>
              <w:bottom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gridSpan w:val="4"/>
          </w:tcPr>
          <w:p>
            <w:pPr>
              <w:ind w:left="120"/>
              <w:spacing w:after="0"/>
              <w:rPr>
                <w:sz w:val="20"/>
                <w:szCs w:val="20"/>
                <w:color w:val="auto"/>
              </w:rPr>
            </w:pPr>
            <w:r>
              <w:rPr>
                <w:rFonts w:ascii="Times New Roman" w:cs="Times New Roman" w:eastAsia="Times New Roman" w:hAnsi="Times New Roman"/>
                <w:sz w:val="18"/>
                <w:szCs w:val="18"/>
                <w:b w:val="1"/>
                <w:bCs w:val="1"/>
                <w:color w:val="auto"/>
              </w:rPr>
              <w:t>EBITDA</w:t>
            </w:r>
          </w:p>
        </w:tc>
        <w:tc>
          <w:tcPr>
            <w:tcW w:w="58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65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80" w:type="dxa"/>
            <w:vAlign w:val="bottom"/>
          </w:tcPr>
          <w:p>
            <w:pPr>
              <w:jc w:val="center"/>
              <w:spacing w:after="0" w:line="195" w:lineRule="exact"/>
              <w:rPr>
                <w:sz w:val="20"/>
                <w:szCs w:val="20"/>
                <w:color w:val="auto"/>
              </w:rPr>
            </w:pPr>
            <w:r>
              <w:rPr>
                <w:rFonts w:ascii="Times New Roman" w:cs="Times New Roman" w:eastAsia="Times New Roman" w:hAnsi="Times New Roman"/>
                <w:sz w:val="18"/>
                <w:szCs w:val="18"/>
                <w:b w:val="1"/>
                <w:bCs w:val="1"/>
                <w:color w:val="auto"/>
                <w:w w:val="99"/>
              </w:rPr>
              <w:t>%</w:t>
            </w: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80" w:type="dxa"/>
            <w:vAlign w:val="bottom"/>
          </w:tcPr>
          <w:p>
            <w:pPr>
              <w:jc w:val="right"/>
              <w:ind w:right="112"/>
              <w:spacing w:after="0" w:line="195" w:lineRule="exact"/>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654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2009</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2008</w:t>
            </w:r>
          </w:p>
        </w:tc>
        <w:tc>
          <w:tcPr>
            <w:tcW w:w="220" w:type="dxa"/>
            <w:vAlign w:val="bottom"/>
          </w:tcPr>
          <w:p>
            <w:pPr>
              <w:spacing w:after="0"/>
              <w:rPr>
                <w:sz w:val="20"/>
                <w:szCs w:val="20"/>
                <w:color w:val="auto"/>
              </w:rPr>
            </w:pPr>
          </w:p>
        </w:tc>
        <w:tc>
          <w:tcPr>
            <w:tcW w:w="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4"/>
              </w:rPr>
              <w:t>Change</w:t>
            </w: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2009</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w w:val="94"/>
              </w:rPr>
              <w:t>2008</w:t>
            </w:r>
          </w:p>
        </w:tc>
        <w:tc>
          <w:tcPr>
            <w:tcW w:w="320" w:type="dxa"/>
            <w:vAlign w:val="bottom"/>
          </w:tcPr>
          <w:p>
            <w:pPr>
              <w:spacing w:after="0"/>
              <w:rPr>
                <w:sz w:val="20"/>
                <w:szCs w:val="20"/>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w w:val="94"/>
              </w:rPr>
              <w:t>Change</w:t>
            </w:r>
          </w:p>
        </w:tc>
        <w:tc>
          <w:tcPr>
            <w:tcW w:w="0" w:type="dxa"/>
            <w:vAlign w:val="bottom"/>
          </w:tcPr>
          <w:p>
            <w:pPr>
              <w:spacing w:after="0"/>
              <w:rPr>
                <w:sz w:val="1"/>
                <w:szCs w:val="1"/>
                <w:color w:val="auto"/>
              </w:rPr>
            </w:pPr>
          </w:p>
        </w:tc>
      </w:tr>
      <w:tr>
        <w:trPr>
          <w:trHeight w:val="197"/>
        </w:trPr>
        <w:tc>
          <w:tcPr>
            <w:tcW w:w="6540" w:type="dxa"/>
            <w:vAlign w:val="bottom"/>
          </w:tcPr>
          <w:p>
            <w:pPr>
              <w:spacing w:after="0" w:line="197" w:lineRule="exact"/>
              <w:rPr>
                <w:sz w:val="20"/>
                <w:szCs w:val="20"/>
                <w:color w:val="auto"/>
              </w:rPr>
            </w:pPr>
            <w:r>
              <w:rPr>
                <w:rFonts w:ascii="Times New Roman" w:cs="Times New Roman" w:eastAsia="Times New Roman" w:hAnsi="Times New Roman"/>
                <w:sz w:val="18"/>
                <w:szCs w:val="18"/>
                <w:color w:val="auto"/>
              </w:rPr>
              <w:t>Domestic Car Rental</w:t>
            </w:r>
          </w:p>
        </w:tc>
        <w:tc>
          <w:tcPr>
            <w:tcW w:w="500" w:type="dxa"/>
            <w:vAlign w:val="bottom"/>
            <w:tcBorders>
              <w:top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w w:val="96"/>
              </w:rPr>
              <w:t>$3,967</w:t>
            </w:r>
          </w:p>
        </w:tc>
        <w:tc>
          <w:tcPr>
            <w:tcW w:w="220" w:type="dxa"/>
            <w:vAlign w:val="bottom"/>
          </w:tcPr>
          <w:p>
            <w:pPr>
              <w:spacing w:after="0"/>
              <w:rPr>
                <w:sz w:val="17"/>
                <w:szCs w:val="17"/>
                <w:color w:val="auto"/>
              </w:rPr>
            </w:pPr>
          </w:p>
        </w:tc>
        <w:tc>
          <w:tcPr>
            <w:tcW w:w="500" w:type="dxa"/>
            <w:vAlign w:val="bottom"/>
            <w:tcBorders>
              <w:top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w w:val="96"/>
              </w:rPr>
              <w:t>$4,695</w:t>
            </w:r>
          </w:p>
        </w:tc>
        <w:tc>
          <w:tcPr>
            <w:tcW w:w="220" w:type="dxa"/>
            <w:vAlign w:val="bottom"/>
          </w:tcPr>
          <w:p>
            <w:pPr>
              <w:spacing w:after="0"/>
              <w:rPr>
                <w:sz w:val="17"/>
                <w:szCs w:val="17"/>
                <w:color w:val="auto"/>
              </w:rPr>
            </w:pPr>
          </w:p>
        </w:tc>
        <w:tc>
          <w:tcPr>
            <w:tcW w:w="580" w:type="dxa"/>
            <w:vAlign w:val="bottom"/>
            <w:tcBorders>
              <w:top w:val="single" w:sz="8" w:color="auto"/>
            </w:tcBorders>
          </w:tcPr>
          <w:p>
            <w:pPr>
              <w:jc w:val="center"/>
              <w:spacing w:after="0" w:line="197" w:lineRule="exact"/>
              <w:rPr>
                <w:sz w:val="20"/>
                <w:szCs w:val="20"/>
                <w:color w:val="auto"/>
              </w:rPr>
            </w:pPr>
            <w:r>
              <w:rPr>
                <w:rFonts w:ascii="Times New Roman" w:cs="Times New Roman" w:eastAsia="Times New Roman" w:hAnsi="Times New Roman"/>
                <w:sz w:val="18"/>
                <w:szCs w:val="18"/>
                <w:color w:val="auto"/>
                <w:w w:val="97"/>
              </w:rPr>
              <w:t>(16)%</w:t>
            </w:r>
          </w:p>
        </w:tc>
        <w:tc>
          <w:tcPr>
            <w:tcW w:w="320" w:type="dxa"/>
            <w:vAlign w:val="bottom"/>
          </w:tcPr>
          <w:p>
            <w:pPr>
              <w:spacing w:after="0"/>
              <w:rPr>
                <w:sz w:val="17"/>
                <w:szCs w:val="17"/>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340" w:type="dxa"/>
            <w:vAlign w:val="bottom"/>
            <w:tcBorders>
              <w:top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rPr>
              <w:t>108</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Borders>
              <w:top w:val="single" w:sz="8" w:color="auto"/>
            </w:tcBorders>
          </w:tcPr>
          <w:p>
            <w:pPr>
              <w:spacing w:after="0" w:line="197" w:lineRule="exact"/>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top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rPr>
              <w:t>12</w:t>
            </w:r>
          </w:p>
        </w:tc>
        <w:tc>
          <w:tcPr>
            <w:tcW w:w="320" w:type="dxa"/>
            <w:vAlign w:val="bottom"/>
          </w:tcPr>
          <w:p>
            <w:pPr>
              <w:spacing w:after="0"/>
              <w:rPr>
                <w:sz w:val="17"/>
                <w:szCs w:val="17"/>
                <w:color w:val="auto"/>
              </w:rPr>
            </w:pPr>
          </w:p>
        </w:tc>
        <w:tc>
          <w:tcPr>
            <w:tcW w:w="580" w:type="dxa"/>
            <w:vAlign w:val="bottom"/>
            <w:tcBorders>
              <w:top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International Car Rental</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808</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904</w:t>
            </w:r>
          </w:p>
        </w:tc>
        <w:tc>
          <w:tcPr>
            <w:tcW w:w="220" w:type="dxa"/>
            <w:vAlign w:val="bottom"/>
          </w:tcPr>
          <w:p>
            <w:pPr>
              <w:spacing w:after="0"/>
              <w:rPr>
                <w:sz w:val="18"/>
                <w:szCs w:val="18"/>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3"/>
              </w:rPr>
              <w:t>(11)%</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38"/>
              <w:spacing w:after="0"/>
              <w:rPr>
                <w:sz w:val="20"/>
                <w:szCs w:val="20"/>
                <w:color w:val="auto"/>
              </w:rPr>
            </w:pPr>
            <w:r>
              <w:rPr>
                <w:rFonts w:ascii="Times New Roman" w:cs="Times New Roman" w:eastAsia="Times New Roman" w:hAnsi="Times New Roman"/>
                <w:sz w:val="18"/>
                <w:szCs w:val="18"/>
                <w:color w:val="auto"/>
              </w:rPr>
              <w:t>141</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6"/>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Truck Rental</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220" w:type="dxa"/>
            <w:vAlign w:val="bottom"/>
          </w:tcPr>
          <w:p>
            <w:pPr>
              <w:spacing w:after="0"/>
              <w:rPr>
                <w:sz w:val="18"/>
                <w:szCs w:val="18"/>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(7)%</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78"/>
              <w:spacing w:after="0"/>
              <w:rPr>
                <w:sz w:val="20"/>
                <w:szCs w:val="20"/>
                <w:color w:val="auto"/>
              </w:rPr>
            </w:pPr>
            <w:r>
              <w:rPr>
                <w:rFonts w:ascii="Times New Roman" w:cs="Times New Roman" w:eastAsia="Times New Roman" w:hAnsi="Times New Roman"/>
                <w:sz w:val="18"/>
                <w:szCs w:val="18"/>
                <w:color w:val="auto"/>
              </w:rPr>
              <w:t>(4)</w:t>
            </w: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8"/>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Corporate and Other </w:t>
            </w:r>
            <w:r>
              <w:rPr>
                <w:rFonts w:ascii="Times New Roman" w:cs="Times New Roman" w:eastAsia="Times New Roman" w:hAnsi="Times New Roman"/>
                <w:sz w:val="11"/>
                <w:szCs w:val="11"/>
                <w:color w:val="auto"/>
              </w:rPr>
              <w:t>(a)</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tcPr>
          <w:p>
            <w:pPr>
              <w:spacing w:after="0"/>
              <w:rPr>
                <w:sz w:val="19"/>
                <w:szCs w:val="19"/>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(42)</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ind w:right="178"/>
              <w:spacing w:after="0"/>
              <w:rPr>
                <w:sz w:val="20"/>
                <w:szCs w:val="20"/>
                <w:color w:val="auto"/>
              </w:rPr>
            </w:pPr>
            <w:r>
              <w:rPr>
                <w:rFonts w:ascii="Times New Roman" w:cs="Times New Roman" w:eastAsia="Times New Roman" w:hAnsi="Times New Roman"/>
                <w:sz w:val="18"/>
                <w:szCs w:val="18"/>
                <w:color w:val="auto"/>
              </w:rPr>
              <w:t>(13)</w:t>
            </w: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4"/>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Total Company</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5,131</w:t>
            </w:r>
          </w:p>
        </w:tc>
        <w:tc>
          <w:tcPr>
            <w:tcW w:w="22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5,984</w:t>
            </w:r>
          </w:p>
        </w:tc>
        <w:tc>
          <w:tcPr>
            <w:tcW w:w="220" w:type="dxa"/>
            <w:vAlign w:val="bottom"/>
          </w:tcPr>
          <w:p>
            <w:pPr>
              <w:spacing w:after="0"/>
              <w:rPr>
                <w:sz w:val="19"/>
                <w:szCs w:val="19"/>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(14)%</w:t>
            </w:r>
          </w:p>
        </w:tc>
        <w:tc>
          <w:tcPr>
            <w:tcW w:w="3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3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Less: Non-vehicle related depreciation and amortization</w:t>
            </w: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gridSpan w:val="2"/>
            <w:vMerge w:val="restart"/>
          </w:tcPr>
          <w:p>
            <w:pPr>
              <w:jc w:val="right"/>
              <w:ind w:right="238"/>
              <w:spacing w:after="0"/>
              <w:rPr>
                <w:sz w:val="20"/>
                <w:szCs w:val="20"/>
                <w:color w:val="auto"/>
              </w:rPr>
            </w:pPr>
            <w:r>
              <w:rPr>
                <w:rFonts w:ascii="Times New Roman" w:cs="Times New Roman" w:eastAsia="Times New Roman" w:hAnsi="Times New Roman"/>
                <w:sz w:val="18"/>
                <w:szCs w:val="18"/>
                <w:color w:val="auto"/>
              </w:rPr>
              <w:t>88</w:t>
            </w: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540" w:type="dxa"/>
            <w:vAlign w:val="bottom"/>
            <w:vMerge w:val="continue"/>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vMerge w:val="continue"/>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5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Interest expense related to corporate debt, net</w:t>
            </w: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38"/>
              <w:spacing w:after="0"/>
              <w:rPr>
                <w:sz w:val="20"/>
                <w:szCs w:val="20"/>
                <w:color w:val="auto"/>
              </w:rPr>
            </w:pPr>
            <w:r>
              <w:rPr>
                <w:rFonts w:ascii="Times New Roman" w:cs="Times New Roman" w:eastAsia="Times New Roman" w:hAnsi="Times New Roman"/>
                <w:sz w:val="18"/>
                <w:szCs w:val="18"/>
                <w:color w:val="auto"/>
              </w:rPr>
              <w:t>129</w:t>
            </w: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65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 xml:space="preserve">Impairment </w:t>
            </w:r>
            <w:r>
              <w:rPr>
                <w:rFonts w:ascii="Times New Roman" w:cs="Times New Roman" w:eastAsia="Times New Roman" w:hAnsi="Times New Roman"/>
                <w:sz w:val="11"/>
                <w:szCs w:val="11"/>
                <w:color w:val="auto"/>
              </w:rPr>
              <w:t>(b)</w:t>
            </w: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ind w:right="238"/>
              <w:spacing w:after="0"/>
              <w:rPr>
                <w:sz w:val="20"/>
                <w:szCs w:val="20"/>
                <w:color w:val="auto"/>
              </w:rPr>
            </w:pPr>
            <w:r>
              <w:rPr>
                <w:rFonts w:ascii="Times New Roman" w:cs="Times New Roman" w:eastAsia="Times New Roman" w:hAnsi="Times New Roman"/>
                <w:sz w:val="18"/>
                <w:szCs w:val="18"/>
                <w:color w:val="auto"/>
              </w:rPr>
              <w:t>1,262</w:t>
            </w: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4"/>
              </w:rPr>
              <w:t>(1,343</w:t>
            </w:r>
          </w:p>
        </w:tc>
        <w:tc>
          <w:tcPr>
            <w:tcW w:w="320" w:type="dxa"/>
            <w:vAlign w:val="bottom"/>
          </w:tcPr>
          <w:p>
            <w:pPr>
              <w:jc w:val="right"/>
              <w:ind w:right="178"/>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9" w:lineRule="exact"/>
        <w:rPr>
          <w:sz w:val="20"/>
          <w:szCs w:val="20"/>
          <w:color w:val="auto"/>
        </w:rPr>
      </w:pPr>
    </w:p>
    <w:p>
      <w:pPr>
        <w:ind w:left="340" w:hanging="332"/>
        <w:spacing w:after="0"/>
        <w:tabs>
          <w:tab w:leader="none" w:pos="340" w:val="left"/>
        </w:tabs>
        <w:numPr>
          <w:ilvl w:val="0"/>
          <w:numId w:val="2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Not meaningful.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2898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ind w:left="340" w:hanging="332"/>
        <w:spacing w:after="0"/>
        <w:tabs>
          <w:tab w:leader="none" w:pos="340" w:val="left"/>
        </w:tabs>
        <w:numPr>
          <w:ilvl w:val="0"/>
          <w:numId w:val="2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Includes unallocated corporate overhead and the elimination of transactions between segments.</w:t>
      </w:r>
    </w:p>
    <w:p>
      <w:pPr>
        <w:spacing w:after="0" w:line="7" w:lineRule="exact"/>
        <w:rPr>
          <w:rFonts w:ascii="Times New Roman" w:cs="Times New Roman" w:eastAsia="Times New Roman" w:hAnsi="Times New Roman"/>
          <w:sz w:val="22"/>
          <w:szCs w:val="22"/>
          <w:color w:val="auto"/>
          <w:vertAlign w:val="superscript"/>
        </w:rPr>
      </w:pPr>
    </w:p>
    <w:p>
      <w:pPr>
        <w:ind w:left="340" w:right="20" w:hanging="332"/>
        <w:spacing w:after="0" w:line="235" w:lineRule="auto"/>
        <w:tabs>
          <w:tab w:leader="none" w:pos="340" w:val="left"/>
        </w:tabs>
        <w:numPr>
          <w:ilvl w:val="0"/>
          <w:numId w:val="2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During 2009, we recorded impairment charges of $33 million primarily related to our investment in Carey Holdings, Inc. (“Carey”), recorded in Corporate and Other. In 2008, we recorded a charge of $1,262 million for the impairment of goodwill, our tradenames asset and our investment in Carey. Domestic Car Rental recorded $882 million of the charge, International Car Rental recorded $275 million, Truck Rental recorded $87 million and Corporate and Other recorded $18 million.</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Domestic Car Rental</w:t>
      </w:r>
    </w:p>
    <w:p>
      <w:pPr>
        <w:spacing w:after="0" w:line="175" w:lineRule="exact"/>
        <w:rPr>
          <w:sz w:val="20"/>
          <w:szCs w:val="20"/>
          <w:color w:val="auto"/>
        </w:rPr>
      </w:pPr>
    </w:p>
    <w:p>
      <w:pPr>
        <w:ind w:right="220"/>
        <w:spacing w:after="0" w:line="275" w:lineRule="auto"/>
        <w:rPr>
          <w:sz w:val="20"/>
          <w:szCs w:val="20"/>
          <w:color w:val="auto"/>
        </w:rPr>
      </w:pPr>
      <w:r>
        <w:rPr>
          <w:rFonts w:ascii="Times New Roman" w:cs="Times New Roman" w:eastAsia="Times New Roman" w:hAnsi="Times New Roman"/>
          <w:sz w:val="18"/>
          <w:szCs w:val="18"/>
          <w:color w:val="auto"/>
        </w:rPr>
        <w:t>Revenues decreased $728 million (16%) in 2009 compared with 2008 primarily due to decreased demand for car rental services, while EBITDA increased $96 million due to our actions to significantly reduce costs and increase prices.</w:t>
      </w:r>
    </w:p>
    <w:p>
      <w:pPr>
        <w:spacing w:after="0" w:line="1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380"/>
          </w:cols>
          <w:pgMar w:left="240" w:top="455" w:right="279" w:bottom="1440" w:gutter="0" w:footer="0" w:header="0"/>
        </w:sectPr>
      </w:pPr>
    </w:p>
    <w:bookmarkStart w:id="45" w:name="page46"/>
    <w:bookmarkEnd w:id="4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revenue decrease of $728 million was comprised of a $563 million (15%) decrease in T&amp;M revenue and a $165 million (16%) decrease in ancillary revenues. The decrease in T&amp;M revenue was principally the result of a 21% decrease in rental days, partially offset by a 7% year-over-year increase in T&amp;M revenue per rental day. The $165 million decrease in ancillary revenues was also primarily due to the decline in rental days and reflected (i) an $80 million decrease in gasoline sales, which was more than offset in EBITDA by $137 million of decreased gasoline expense, (ii) a $44 million decrease in airport concession and vehicle licensing revenues, which was partially offset by $32 million lower airport concession and vehicle licensing fees remitted to airport and other regulatory authorities, and (iii) a $41 million decrease in counter sales of insurance, GPS rentals and other items (although revenues per transaction increased year-over-year).</w:t>
      </w:r>
    </w:p>
    <w:p>
      <w:pPr>
        <w:spacing w:after="0" w:line="141"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We aggressively reduced costs during 2009 in response to the sharp decline in demand. EBITDA reflected a $425 million (16%) decrease in operating expenses, including (i) a $218 million decrease in maintenance and damage, agency operator commissions, shuttling, credit card fees, and other costs amid lower rental volumes, (ii) a $90 million decrease in selling, general and administrative expenses related to decreases in marketing and commission expenditures, most of which are volume-related, and other items due primarily to management’s actions to reduce expenditures, (iii) an $80 million decrease in employee costs, rents and other expenses related primarily to reduced staffing levels and the closure of unprofitable locations, (iv) a $15 million decrease in insurance related costs, primarily due to the 21% decrease in rental days, (v) a $12 million decrease in vehicle interest related to lower fleet levels, and (vi) a $7 million decrease in restructuring costs. EBITDA also benefited from $231 million (16%) of decreased fleet depreciation and lease charges reflecting a 20% decrease in the average size of our domestic rental fleet and a 5% increase in per-unit fleet costs.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International Car Rental</w:t>
      </w:r>
    </w:p>
    <w:p>
      <w:pPr>
        <w:spacing w:after="0" w:line="175" w:lineRule="exact"/>
        <w:rPr>
          <w:sz w:val="20"/>
          <w:szCs w:val="20"/>
          <w:color w:val="auto"/>
        </w:rPr>
      </w:pPr>
    </w:p>
    <w:p>
      <w:pPr>
        <w:ind w:right="280"/>
        <w:spacing w:after="0" w:line="275" w:lineRule="auto"/>
        <w:rPr>
          <w:sz w:val="20"/>
          <w:szCs w:val="20"/>
          <w:color w:val="auto"/>
        </w:rPr>
      </w:pPr>
      <w:r>
        <w:rPr>
          <w:rFonts w:ascii="Times New Roman" w:cs="Times New Roman" w:eastAsia="Times New Roman" w:hAnsi="Times New Roman"/>
          <w:sz w:val="18"/>
          <w:szCs w:val="18"/>
          <w:color w:val="auto"/>
        </w:rPr>
        <w:t>Revenues and EBITDA decreased $96 million (11%) and $15 million (11%), respectively, in 2009 compared with 2008, primarily due to the impact of foreign currency exchange rate movements and lower demand for car rentals.</w:t>
      </w:r>
    </w:p>
    <w:p>
      <w:pPr>
        <w:spacing w:after="0" w:line="120"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revenue decrease of $96 million was comprised of a $72 million (12%) decrease in T&amp;M revenue and a $24 million (9%) decrease in ancillary revenues. The total decline in revenue includes a $58 million decrease related to foreign currency exchange rates, impacting T&amp;M revenue by $41 million and ancillary revenues by $17 million, and was largely offset in EBITDA by the opposite impact of foreign exchange on expenses of $42 million. The decrease in T&amp;M revenue was principally driven by (i) a 2% decrease in T&amp;M revenue per rental day, all of which was due to the 7% negative impact of movements in foreign currency exchange rates, and (ii) a 9% decrease in rental days. The $25 million decrease in ancillary revenues was primarily due to the decline in rental days and reflected (i) a $15 million decrease in counter sales of insurance, GPS rentals and other items, and (ii) a $9 million decrease in gasoline sales, which was completely offset in EBITDA by lower gasoline costs.</w:t>
      </w:r>
    </w:p>
    <w:p>
      <w:pPr>
        <w:spacing w:after="0" w:line="141" w:lineRule="exact"/>
        <w:rPr>
          <w:sz w:val="20"/>
          <w:szCs w:val="20"/>
          <w:color w:val="auto"/>
        </w:rPr>
      </w:pPr>
    </w:p>
    <w:p>
      <w:pPr>
        <w:ind w:right="280"/>
        <w:spacing w:after="0" w:line="289" w:lineRule="auto"/>
        <w:rPr>
          <w:sz w:val="20"/>
          <w:szCs w:val="20"/>
          <w:color w:val="auto"/>
        </w:rPr>
      </w:pPr>
      <w:r>
        <w:rPr>
          <w:rFonts w:ascii="Times New Roman" w:cs="Times New Roman" w:eastAsia="Times New Roman" w:hAnsi="Times New Roman"/>
          <w:sz w:val="16"/>
          <w:szCs w:val="16"/>
          <w:color w:val="auto"/>
        </w:rPr>
        <w:t>EBITDA reflects a $42 million (10%) decrease in operating expenses, including (i) a $29 million decrease in agency operator commissions, maintenance and damage, vehicle licensing, credit card fees and other costs amid lower rental volumes, (ii) a $7 million decrease in vehicle interest related to lower fleet levels,</w:t>
      </w:r>
    </w:p>
    <w:p>
      <w:pPr>
        <w:spacing w:after="0" w:line="1" w:lineRule="exact"/>
        <w:rPr>
          <w:sz w:val="20"/>
          <w:szCs w:val="20"/>
          <w:color w:val="auto"/>
        </w:rPr>
      </w:pPr>
    </w:p>
    <w:p>
      <w:pPr>
        <w:jc w:val="both"/>
        <w:ind w:right="280" w:firstLine="8"/>
        <w:spacing w:after="0" w:line="255" w:lineRule="auto"/>
        <w:tabs>
          <w:tab w:leader="none" w:pos="307"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$6 million decrease in selling, general and administrative expenses related primarily to decreased marketing and commission expenditures, and (iv) a $1 million decrease in restructuring costs year-over-year. EBITDA also benefited from a $27 million decrease in fleet depreciation and lease charges, reflecting a 10% reduction in the average size of our international rental fleet and a 3% decrease in per-unit fleet costs.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Truck Rental</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Revenues decreased $28 million (7%) while EBITDA increased $17 million in 2009 compared with 2008.</w:t>
      </w:r>
    </w:p>
    <w:p>
      <w:pPr>
        <w:spacing w:after="0" w:line="171" w:lineRule="exact"/>
        <w:rPr>
          <w:sz w:val="20"/>
          <w:szCs w:val="20"/>
          <w:color w:val="auto"/>
        </w:rPr>
      </w:pPr>
    </w:p>
    <w:p>
      <w:pPr>
        <w:ind w:right="140"/>
        <w:spacing w:after="0" w:line="275" w:lineRule="auto"/>
        <w:rPr>
          <w:sz w:val="20"/>
          <w:szCs w:val="20"/>
          <w:color w:val="auto"/>
        </w:rPr>
      </w:pPr>
      <w:r>
        <w:rPr>
          <w:rFonts w:ascii="Times New Roman" w:cs="Times New Roman" w:eastAsia="Times New Roman" w:hAnsi="Times New Roman"/>
          <w:sz w:val="18"/>
          <w:szCs w:val="18"/>
          <w:color w:val="auto"/>
        </w:rPr>
        <w:t>The revenue decrease was primarily due to a decline of $23 million (8%) in T&amp;M revenue and a $5 million (6%) decrease in ancillary revenues. The decrease in T&amp;M revenue was principally driven by a 7% decrease in</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420"/>
          </w:cols>
          <w:pgMar w:left="240" w:top="455" w:right="239" w:bottom="1440" w:gutter="0" w:footer="0" w:header="0"/>
        </w:sectPr>
      </w:pPr>
    </w:p>
    <w:bookmarkStart w:id="46" w:name="page47"/>
    <w:bookmarkEnd w:id="4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rental days and a 1% decrease in T&amp;M revenue per rental day in 2009 compared with 2008. The unfavorable effect of decreased revenue on EBITDA was offset by (i) a decrease of $24 million (8%) in operating expenses primarily due to lower volume-related expenses and reduced employee costs related to lower staffing levels and (ii) $21 million (19%) less fleet depreciation, interest and lease charges, reflecting lower per-unit fleet costs and a 3% decrease in the average size of our truck rental fleet.</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Corporate and Other</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 and EBITDA declined $1 million and $29 million, respectively, in 2009 compared with 2008.</w:t>
      </w:r>
    </w:p>
    <w:p>
      <w:pPr>
        <w:spacing w:after="0" w:line="171"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EBITDA decreased primarily due to (i) an $18 million charge recorded during third quarter 2009 related to an adverse judgment against us in a breach-of-contract claim filed by a licensee in 2003 and (ii) an $11 million loss representing the Company’s share of Carey’s 2009 operating results.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85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Year Ended December 31, 2008 vs. Year Ended December 31, 2007</w:t>
            </w: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378"/>
        </w:trPr>
        <w:tc>
          <w:tcPr>
            <w:tcW w:w="8580" w:type="dxa"/>
            <w:vAlign w:val="bottom"/>
          </w:tcPr>
          <w:p>
            <w:pPr>
              <w:spacing w:after="0"/>
              <w:rPr>
                <w:sz w:val="20"/>
                <w:szCs w:val="20"/>
                <w:color w:val="auto"/>
              </w:rPr>
            </w:pPr>
            <w:r>
              <w:rPr>
                <w:rFonts w:ascii="Times New Roman" w:cs="Times New Roman" w:eastAsia="Times New Roman" w:hAnsi="Times New Roman"/>
                <w:sz w:val="18"/>
                <w:szCs w:val="18"/>
                <w:color w:val="auto"/>
              </w:rPr>
              <w:t>Our consolidated results of operations comprised the following:</w:t>
            </w: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19"/>
        </w:trPr>
        <w:tc>
          <w:tcPr>
            <w:tcW w:w="8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360" w:type="dxa"/>
            <w:vAlign w:val="bottom"/>
            <w:tcBorders>
              <w:bottom w:val="single" w:sz="8" w:color="auto"/>
            </w:tcBorders>
            <w:gridSpan w:val="9"/>
          </w:tcPr>
          <w:p>
            <w:pPr>
              <w:ind w:left="380"/>
              <w:spacing w:after="0"/>
              <w:rPr>
                <w:sz w:val="20"/>
                <w:szCs w:val="20"/>
                <w:color w:val="auto"/>
              </w:rPr>
            </w:pPr>
            <w:r>
              <w:rPr>
                <w:rFonts w:ascii="Times New Roman" w:cs="Times New Roman" w:eastAsia="Times New Roman" w:hAnsi="Times New Roman"/>
                <w:sz w:val="18"/>
                <w:szCs w:val="18"/>
                <w:b w:val="1"/>
                <w:bCs w:val="1"/>
                <w:color w:val="auto"/>
                <w:w w:val="97"/>
              </w:rPr>
              <w:t>Year Ended December 31,</w:t>
            </w:r>
          </w:p>
        </w:tc>
        <w:tc>
          <w:tcPr>
            <w:tcW w:w="36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212"/>
        </w:trPr>
        <w:tc>
          <w:tcPr>
            <w:tcW w:w="8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2008</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2007</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w w:val="98"/>
              </w:rPr>
              <w:t>Change</w:t>
            </w:r>
          </w:p>
        </w:tc>
        <w:tc>
          <w:tcPr>
            <w:tcW w:w="60" w:type="dxa"/>
            <w:vAlign w:val="bottom"/>
          </w:tcPr>
          <w:p>
            <w:pPr>
              <w:spacing w:after="0"/>
              <w:rPr>
                <w:sz w:val="18"/>
                <w:szCs w:val="18"/>
                <w:color w:val="auto"/>
              </w:rPr>
            </w:pPr>
          </w:p>
        </w:tc>
      </w:tr>
      <w:tr>
        <w:trPr>
          <w:trHeight w:val="195"/>
        </w:trPr>
        <w:tc>
          <w:tcPr>
            <w:tcW w:w="858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Net revenues</w:t>
            </w:r>
          </w:p>
        </w:tc>
        <w:tc>
          <w:tcPr>
            <w:tcW w:w="20" w:type="dxa"/>
            <w:vAlign w:val="bottom"/>
          </w:tcPr>
          <w:p>
            <w:pPr>
              <w:spacing w:after="0"/>
              <w:rPr>
                <w:sz w:val="16"/>
                <w:szCs w:val="16"/>
                <w:color w:val="auto"/>
              </w:rPr>
            </w:pPr>
          </w:p>
        </w:tc>
        <w:tc>
          <w:tcPr>
            <w:tcW w:w="54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w w:val="96"/>
              </w:rPr>
              <w:t>$ 5,984</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0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w w:val="93"/>
              </w:rPr>
              <w:t>5,986</w:t>
            </w: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spacing w:after="0" w:line="195" w:lineRule="exact"/>
              <w:rPr>
                <w:sz w:val="20"/>
                <w:szCs w:val="20"/>
                <w:color w:val="auto"/>
              </w:rPr>
            </w:pPr>
            <w:r>
              <w:rPr>
                <w:rFonts w:ascii="Times New Roman" w:cs="Times New Roman" w:eastAsia="Times New Roman" w:hAnsi="Times New Roman"/>
                <w:sz w:val="18"/>
                <w:szCs w:val="18"/>
                <w:color w:val="auto"/>
              </w:rPr>
              <w:t>(2)</w:t>
            </w:r>
          </w:p>
        </w:tc>
      </w:tr>
      <w:tr>
        <w:trPr>
          <w:trHeight w:val="228"/>
        </w:trPr>
        <w:tc>
          <w:tcPr>
            <w:tcW w:w="8580" w:type="dxa"/>
            <w:vAlign w:val="bottom"/>
          </w:tcPr>
          <w:p>
            <w:pPr>
              <w:spacing w:after="0"/>
              <w:rPr>
                <w:sz w:val="20"/>
                <w:szCs w:val="20"/>
                <w:color w:val="auto"/>
              </w:rPr>
            </w:pPr>
            <w:r>
              <w:rPr>
                <w:rFonts w:ascii="Times New Roman" w:cs="Times New Roman" w:eastAsia="Times New Roman" w:hAnsi="Times New Roman"/>
                <w:sz w:val="18"/>
                <w:szCs w:val="18"/>
                <w:color w:val="auto"/>
              </w:rPr>
              <w:t>Total expenses</w:t>
            </w:r>
          </w:p>
        </w:tc>
        <w:tc>
          <w:tcPr>
            <w:tcW w:w="600" w:type="dxa"/>
            <w:vAlign w:val="bottom"/>
            <w:gridSpan w:val="4"/>
          </w:tcPr>
          <w:p>
            <w:pPr>
              <w:jc w:val="right"/>
              <w:ind w:right="2"/>
              <w:spacing w:after="0"/>
              <w:rPr>
                <w:sz w:val="20"/>
                <w:szCs w:val="20"/>
                <w:color w:val="auto"/>
              </w:rPr>
            </w:pPr>
            <w:r>
              <w:rPr>
                <w:rFonts w:ascii="Times New Roman" w:cs="Times New Roman" w:eastAsia="Times New Roman" w:hAnsi="Times New Roman"/>
                <w:sz w:val="18"/>
                <w:szCs w:val="18"/>
                <w:color w:val="auto"/>
              </w:rPr>
              <w:t>7,327</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6,978</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349</w:t>
            </w:r>
          </w:p>
        </w:tc>
      </w:tr>
      <w:tr>
        <w:trPr>
          <w:trHeight w:val="211"/>
        </w:trPr>
        <w:tc>
          <w:tcPr>
            <w:tcW w:w="8580" w:type="dxa"/>
            <w:vAlign w:val="bottom"/>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20" w:type="dxa"/>
            <w:vAlign w:val="bottom"/>
          </w:tcPr>
          <w:p>
            <w:pPr>
              <w:spacing w:after="0"/>
              <w:rPr>
                <w:sz w:val="18"/>
                <w:szCs w:val="18"/>
                <w:color w:val="auto"/>
              </w:rPr>
            </w:pPr>
          </w:p>
        </w:tc>
        <w:tc>
          <w:tcPr>
            <w:tcW w:w="580" w:type="dxa"/>
            <w:vAlign w:val="bottom"/>
            <w:tcBorders>
              <w:top w:val="single" w:sz="8" w:color="auto"/>
            </w:tcBorders>
            <w:gridSpan w:val="3"/>
          </w:tcPr>
          <w:p>
            <w:pPr>
              <w:jc w:val="right"/>
              <w:ind w:right="2"/>
              <w:spacing w:after="0"/>
              <w:rPr>
                <w:sz w:val="20"/>
                <w:szCs w:val="20"/>
                <w:color w:val="auto"/>
              </w:rPr>
            </w:pPr>
            <w:r>
              <w:rPr>
                <w:rFonts w:ascii="Times New Roman" w:cs="Times New Roman" w:eastAsia="Times New Roman" w:hAnsi="Times New Roman"/>
                <w:sz w:val="18"/>
                <w:szCs w:val="18"/>
                <w:color w:val="auto"/>
                <w:w w:val="98"/>
              </w:rPr>
              <w:t>(1,343)</w:t>
            </w:r>
          </w:p>
        </w:tc>
        <w:tc>
          <w:tcPr>
            <w:tcW w:w="5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(992)</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7"/>
              </w:rPr>
              <w:t>(351)</w:t>
            </w:r>
          </w:p>
        </w:tc>
        <w:tc>
          <w:tcPr>
            <w:tcW w:w="60" w:type="dxa"/>
            <w:vAlign w:val="bottom"/>
          </w:tcPr>
          <w:p>
            <w:pPr>
              <w:spacing w:after="0"/>
              <w:rPr>
                <w:sz w:val="18"/>
                <w:szCs w:val="18"/>
                <w:color w:val="auto"/>
              </w:rPr>
            </w:pPr>
          </w:p>
        </w:tc>
      </w:tr>
      <w:tr>
        <w:trPr>
          <w:trHeight w:val="228"/>
        </w:trPr>
        <w:tc>
          <w:tcPr>
            <w:tcW w:w="8580" w:type="dxa"/>
            <w:vAlign w:val="bottom"/>
          </w:tcPr>
          <w:p>
            <w:pPr>
              <w:spacing w:after="0"/>
              <w:rPr>
                <w:sz w:val="20"/>
                <w:szCs w:val="20"/>
                <w:color w:val="auto"/>
              </w:rPr>
            </w:pPr>
            <w:r>
              <w:rPr>
                <w:rFonts w:ascii="Times New Roman" w:cs="Times New Roman" w:eastAsia="Times New Roman" w:hAnsi="Times New Roman"/>
                <w:sz w:val="18"/>
                <w:szCs w:val="18"/>
                <w:color w:val="auto"/>
              </w:rPr>
              <w:t>Benefit from income taxes</w:t>
            </w:r>
          </w:p>
        </w:tc>
        <w:tc>
          <w:tcPr>
            <w:tcW w:w="1100" w:type="dxa"/>
            <w:vAlign w:val="bottom"/>
            <w:gridSpan w:val="5"/>
          </w:tcPr>
          <w:p>
            <w:pPr>
              <w:jc w:val="right"/>
              <w:ind w:right="480"/>
              <w:spacing w:after="0"/>
              <w:rPr>
                <w:sz w:val="20"/>
                <w:szCs w:val="20"/>
                <w:color w:val="auto"/>
              </w:rPr>
            </w:pPr>
            <w:r>
              <w:rPr>
                <w:rFonts w:ascii="Times New Roman" w:cs="Times New Roman" w:eastAsia="Times New Roman" w:hAnsi="Times New Roman"/>
                <w:sz w:val="18"/>
                <w:szCs w:val="18"/>
                <w:color w:val="auto"/>
              </w:rPr>
              <w:t>(219)</w:t>
            </w:r>
          </w:p>
        </w:tc>
        <w:tc>
          <w:tcPr>
            <w:tcW w:w="100" w:type="dxa"/>
            <w:vAlign w:val="bottom"/>
          </w:tcPr>
          <w:p>
            <w:pPr>
              <w:spacing w:after="0"/>
              <w:rPr>
                <w:sz w:val="19"/>
                <w:szCs w:val="19"/>
                <w:color w:val="auto"/>
              </w:rPr>
            </w:pPr>
          </w:p>
        </w:tc>
        <w:tc>
          <w:tcPr>
            <w:tcW w:w="700" w:type="dxa"/>
            <w:vAlign w:val="bottom"/>
            <w:gridSpan w:val="2"/>
          </w:tcPr>
          <w:p>
            <w:pPr>
              <w:jc w:val="right"/>
              <w:ind w:right="158"/>
              <w:spacing w:after="0"/>
              <w:rPr>
                <w:sz w:val="20"/>
                <w:szCs w:val="20"/>
                <w:color w:val="auto"/>
              </w:rPr>
            </w:pPr>
            <w:r>
              <w:rPr>
                <w:rFonts w:ascii="Times New Roman" w:cs="Times New Roman" w:eastAsia="Times New Roman" w:hAnsi="Times New Roman"/>
                <w:sz w:val="18"/>
                <w:szCs w:val="18"/>
                <w:color w:val="auto"/>
              </w:rPr>
              <w:t>(45)</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(174)</w:t>
            </w:r>
          </w:p>
        </w:tc>
      </w:tr>
      <w:tr>
        <w:trPr>
          <w:trHeight w:val="211"/>
        </w:trPr>
        <w:tc>
          <w:tcPr>
            <w:tcW w:w="8580" w:type="dxa"/>
            <w:vAlign w:val="bottom"/>
          </w:tcPr>
          <w:p>
            <w:pPr>
              <w:spacing w:after="0"/>
              <w:rPr>
                <w:sz w:val="20"/>
                <w:szCs w:val="20"/>
                <w:color w:val="auto"/>
              </w:rPr>
            </w:pPr>
            <w:r>
              <w:rPr>
                <w:rFonts w:ascii="Times New Roman" w:cs="Times New Roman" w:eastAsia="Times New Roman" w:hAnsi="Times New Roman"/>
                <w:sz w:val="18"/>
                <w:szCs w:val="18"/>
                <w:color w:val="auto"/>
              </w:rPr>
              <w:t>Loss from continuing operations</w:t>
            </w:r>
          </w:p>
        </w:tc>
        <w:tc>
          <w:tcPr>
            <w:tcW w:w="20" w:type="dxa"/>
            <w:vAlign w:val="bottom"/>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(1,124)</w:t>
            </w:r>
          </w:p>
        </w:tc>
        <w:tc>
          <w:tcPr>
            <w:tcW w:w="20" w:type="dxa"/>
            <w:vAlign w:val="bottom"/>
          </w:tcPr>
          <w:p>
            <w:pPr>
              <w:spacing w:after="0"/>
              <w:rPr>
                <w:sz w:val="18"/>
                <w:szCs w:val="18"/>
                <w:color w:val="auto"/>
              </w:rPr>
            </w:pPr>
          </w:p>
        </w:tc>
        <w:tc>
          <w:tcPr>
            <w:tcW w:w="520" w:type="dxa"/>
            <w:vAlign w:val="bottom"/>
            <w:gridSpan w:val="2"/>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(947)</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7"/>
              </w:rPr>
              <w:t>(177)</w:t>
            </w:r>
          </w:p>
        </w:tc>
        <w:tc>
          <w:tcPr>
            <w:tcW w:w="60" w:type="dxa"/>
            <w:vAlign w:val="bottom"/>
          </w:tcPr>
          <w:p>
            <w:pPr>
              <w:spacing w:after="0"/>
              <w:rPr>
                <w:sz w:val="18"/>
                <w:szCs w:val="18"/>
                <w:color w:val="auto"/>
              </w:rPr>
            </w:pPr>
          </w:p>
        </w:tc>
      </w:tr>
      <w:tr>
        <w:trPr>
          <w:trHeight w:val="216"/>
        </w:trPr>
        <w:tc>
          <w:tcPr>
            <w:tcW w:w="8580" w:type="dxa"/>
            <w:vAlign w:val="bottom"/>
          </w:tcPr>
          <w:p>
            <w:pPr>
              <w:spacing w:after="0"/>
              <w:rPr>
                <w:sz w:val="20"/>
                <w:szCs w:val="20"/>
                <w:color w:val="auto"/>
              </w:rPr>
            </w:pPr>
            <w:r>
              <w:rPr>
                <w:rFonts w:ascii="Times New Roman" w:cs="Times New Roman" w:eastAsia="Times New Roman" w:hAnsi="Times New Roman"/>
                <w:sz w:val="18"/>
                <w:szCs w:val="18"/>
                <w:color w:val="auto"/>
              </w:rPr>
              <w:t>Loss from discontinued operations, net of tax</w:t>
            </w:r>
          </w:p>
        </w:tc>
        <w:tc>
          <w:tcPr>
            <w:tcW w:w="600" w:type="dxa"/>
            <w:vAlign w:val="bottom"/>
            <w:gridSpan w:val="4"/>
          </w:tcPr>
          <w:p>
            <w:pPr>
              <w:jc w:val="right"/>
              <w:ind w:right="2"/>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58"/>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8"/>
        </w:trPr>
        <w:tc>
          <w:tcPr>
            <w:tcW w:w="8580" w:type="dxa"/>
            <w:vAlign w:val="bottom"/>
          </w:tcPr>
          <w:p>
            <w:pPr>
              <w:spacing w:after="0"/>
              <w:rPr>
                <w:sz w:val="20"/>
                <w:szCs w:val="20"/>
                <w:color w:val="auto"/>
              </w:rPr>
            </w:pPr>
            <w:r>
              <w:rPr>
                <w:rFonts w:ascii="Times New Roman" w:cs="Times New Roman" w:eastAsia="Times New Roman" w:hAnsi="Times New Roman"/>
                <w:sz w:val="18"/>
                <w:szCs w:val="18"/>
                <w:color w:val="auto"/>
              </w:rPr>
              <w:t>Gain on disposal of discontinued operations, net of tax</w:t>
            </w:r>
          </w:p>
        </w:tc>
        <w:tc>
          <w:tcPr>
            <w:tcW w:w="600" w:type="dxa"/>
            <w:vAlign w:val="bottom"/>
            <w:gridSpan w:val="4"/>
          </w:tcPr>
          <w:p>
            <w:pPr>
              <w:jc w:val="right"/>
              <w:ind w:right="2"/>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25"/>
        </w:trPr>
        <w:tc>
          <w:tcPr>
            <w:tcW w:w="85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20" w:type="dxa"/>
            <w:vAlign w:val="bottom"/>
            <w:tcBorders>
              <w:bottom w:val="single" w:sz="8" w:color="auto"/>
            </w:tcBorders>
          </w:tcPr>
          <w:p>
            <w:pPr>
              <w:spacing w:after="0"/>
              <w:rPr>
                <w:sz w:val="19"/>
                <w:szCs w:val="19"/>
                <w:color w:val="auto"/>
              </w:rPr>
            </w:pPr>
          </w:p>
        </w:tc>
        <w:tc>
          <w:tcPr>
            <w:tcW w:w="56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u w:val="single" w:color="auto"/>
                <w:color w:val="auto"/>
                <w:w w:val="93"/>
              </w:rPr>
              <w:t>$</w:t>
            </w:r>
            <w:r>
              <w:rPr>
                <w:rFonts w:ascii="Times New Roman" w:cs="Times New Roman" w:eastAsia="Times New Roman" w:hAnsi="Times New Roman"/>
                <w:sz w:val="18"/>
                <w:szCs w:val="18"/>
                <w:color w:val="auto"/>
                <w:w w:val="93"/>
              </w:rPr>
              <w:t>(1,124</w:t>
            </w:r>
          </w:p>
        </w:tc>
        <w:tc>
          <w:tcPr>
            <w:tcW w:w="520" w:type="dxa"/>
            <w:vAlign w:val="bottom"/>
            <w:gridSpan w:val="2"/>
          </w:tcPr>
          <w:p>
            <w:pPr>
              <w:jc w:val="right"/>
              <w:ind w:right="480"/>
              <w:spacing w:after="0"/>
              <w:rPr>
                <w:sz w:val="20"/>
                <w:szCs w:val="20"/>
                <w:color w:val="auto"/>
              </w:rPr>
            </w:pPr>
            <w:r>
              <w:rPr>
                <w:rFonts w:ascii="Times New Roman" w:cs="Times New Roman" w:eastAsia="Times New Roman" w:hAnsi="Times New Roman"/>
                <w:sz w:val="8"/>
                <w:szCs w:val="8"/>
                <w:color w:val="auto"/>
                <w:w w:val="73"/>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(916</w:t>
            </w:r>
          </w:p>
        </w:tc>
        <w:tc>
          <w:tcPr>
            <w:tcW w:w="300" w:type="dxa"/>
            <w:vAlign w:val="bottom"/>
          </w:tcPr>
          <w:p>
            <w:pPr>
              <w:jc w:val="right"/>
              <w:ind w:right="158"/>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8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6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During 2008, our net revenues decreased $2 million principally due to a $103 million (2%) decrease in T&amp;M revenue, reflecting a 1% decrease in domestic and international car rental T&amp;M revenue per day and a 7% decrease in our Truck rental T&amp;M revenue per day, offset by a $101 million (8%) increase in ancillary revenues, such as counter sales of insurance products, GPS navigation unit rentals, gasoline sales and fees charged to customers. In addition, the total revenue decrease includes a $7 million favorable effect related to foreign currency exchange rate fluctuations on the translation of our international operations’ results into U.S. dollars.</w:t>
      </w:r>
    </w:p>
    <w:p>
      <w:pPr>
        <w:spacing w:after="0" w:line="139" w:lineRule="exact"/>
        <w:rPr>
          <w:sz w:val="20"/>
          <w:szCs w:val="20"/>
          <w:color w:val="auto"/>
        </w:rPr>
      </w:pPr>
    </w:p>
    <w:p>
      <w:pPr>
        <w:ind w:right="20"/>
        <w:spacing w:after="0" w:line="291" w:lineRule="auto"/>
        <w:rPr>
          <w:sz w:val="20"/>
          <w:szCs w:val="20"/>
          <w:color w:val="auto"/>
        </w:rPr>
      </w:pPr>
      <w:r>
        <w:rPr>
          <w:rFonts w:ascii="Times New Roman" w:cs="Times New Roman" w:eastAsia="Times New Roman" w:hAnsi="Times New Roman"/>
          <w:sz w:val="16"/>
          <w:szCs w:val="16"/>
          <w:color w:val="auto"/>
        </w:rPr>
        <w:t>The total expense increase of $349 million (5%) was principally due to (i) a $126 million (8%) increase in vehicle depreciation and lease charges resulting from an increase in per-unit fleet costs, (ii) a $114 million (4%) increase in operating expenses, representing higher gasoline costs (which increased $77 million), vehicle licensing expenses and other items, (iii) a $67 million (6%) increase in impairment charges recorded for the impairment of goodwill, our tradenames asset and our equity investment in Carey, (iv) $28 million in restructuring costs primarily associated with severance related expenses and costs incurred for closing facilities and (v) the absence of $5 million in net separation related expenses primarily resulting from tax related items. The increase in total expenses includes an adverse impact from foreign currency exchange rates of $7 million, offset by a gain on foreign currency earnings hedges of $7 million. As a result of these items, offset by a $174 million increase in our benefit from income taxes, our loss from continuing operations increased $177 million.</w:t>
      </w:r>
    </w:p>
    <w:p>
      <w:pPr>
        <w:spacing w:after="0" w:line="113" w:lineRule="exact"/>
        <w:rPr>
          <w:sz w:val="20"/>
          <w:szCs w:val="20"/>
          <w:color w:val="auto"/>
        </w:rPr>
      </w:pPr>
    </w:p>
    <w:p>
      <w:pPr>
        <w:ind w:right="160"/>
        <w:spacing w:after="0" w:line="275" w:lineRule="auto"/>
        <w:rPr>
          <w:sz w:val="20"/>
          <w:szCs w:val="20"/>
          <w:color w:val="auto"/>
        </w:rPr>
      </w:pPr>
      <w:r>
        <w:rPr>
          <w:rFonts w:ascii="Times New Roman" w:cs="Times New Roman" w:eastAsia="Times New Roman" w:hAnsi="Times New Roman"/>
          <w:sz w:val="18"/>
          <w:szCs w:val="18"/>
          <w:color w:val="auto"/>
        </w:rPr>
        <w:t>Our effective tax rate for continuing operations was a benefit of 16.3% and 4.5% for 2008 and 2007, respectively. The unusually low tax rate for 2008 and 2007 was primarily due from the non-deductible portion of the impairment charges.</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400"/>
          </w:cols>
          <w:pgMar w:left="240" w:top="455" w:right="259" w:bottom="1440" w:gutter="0" w:footer="0" w:header="0"/>
        </w:sectPr>
      </w:pPr>
    </w:p>
    <w:bookmarkStart w:id="47" w:name="page48"/>
    <w:bookmarkEnd w:id="4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Following is a more detailed discussion of the results of each of our reportable segments:</w:t>
            </w: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9"/>
        </w:trPr>
        <w:tc>
          <w:tcPr>
            <w:tcW w:w="616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gridSpan w:val="3"/>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580" w:type="dxa"/>
            <w:vAlign w:val="bottom"/>
            <w:tcBorders>
              <w:bottom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gridSpan w:val="4"/>
          </w:tcPr>
          <w:p>
            <w:pPr>
              <w:jc w:val="right"/>
              <w:ind w:right="202"/>
              <w:spacing w:after="0"/>
              <w:rPr>
                <w:sz w:val="20"/>
                <w:szCs w:val="20"/>
                <w:color w:val="auto"/>
              </w:rPr>
            </w:pPr>
            <w:r>
              <w:rPr>
                <w:rFonts w:ascii="Times New Roman" w:cs="Times New Roman" w:eastAsia="Times New Roman" w:hAnsi="Times New Roman"/>
                <w:sz w:val="18"/>
                <w:szCs w:val="18"/>
                <w:b w:val="1"/>
                <w:bCs w:val="1"/>
                <w:color w:val="auto"/>
              </w:rPr>
              <w:t xml:space="preserve">EBITDA </w:t>
            </w:r>
            <w:r>
              <w:rPr>
                <w:rFonts w:ascii="Times New Roman" w:cs="Times New Roman" w:eastAsia="Times New Roman" w:hAnsi="Times New Roman"/>
                <w:sz w:val="11"/>
                <w:szCs w:val="11"/>
                <w:b w:val="1"/>
                <w:bCs w:val="1"/>
                <w:color w:val="auto"/>
              </w:rPr>
              <w:t>(a)</w:t>
            </w:r>
          </w:p>
        </w:tc>
        <w:tc>
          <w:tcPr>
            <w:tcW w:w="58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6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80" w:type="dxa"/>
            <w:vAlign w:val="bottom"/>
          </w:tcPr>
          <w:p>
            <w:pPr>
              <w:jc w:val="center"/>
              <w:spacing w:after="0" w:line="195" w:lineRule="exact"/>
              <w:rPr>
                <w:sz w:val="20"/>
                <w:szCs w:val="20"/>
                <w:color w:val="auto"/>
              </w:rPr>
            </w:pPr>
            <w:r>
              <w:rPr>
                <w:rFonts w:ascii="Times New Roman" w:cs="Times New Roman" w:eastAsia="Times New Roman" w:hAnsi="Times New Roman"/>
                <w:sz w:val="18"/>
                <w:szCs w:val="18"/>
                <w:b w:val="1"/>
                <w:bCs w:val="1"/>
                <w:color w:val="auto"/>
                <w:w w:val="99"/>
              </w:rPr>
              <w:t>%</w:t>
            </w: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80" w:type="dxa"/>
            <w:vAlign w:val="bottom"/>
          </w:tcPr>
          <w:p>
            <w:pPr>
              <w:jc w:val="right"/>
              <w:ind w:right="112"/>
              <w:spacing w:after="0" w:line="195" w:lineRule="exact"/>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616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2008</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2007</w:t>
            </w:r>
          </w:p>
        </w:tc>
        <w:tc>
          <w:tcPr>
            <w:tcW w:w="320" w:type="dxa"/>
            <w:vAlign w:val="bottom"/>
          </w:tcPr>
          <w:p>
            <w:pPr>
              <w:spacing w:after="0"/>
              <w:rPr>
                <w:sz w:val="20"/>
                <w:szCs w:val="20"/>
                <w:color w:val="auto"/>
              </w:rPr>
            </w:pPr>
          </w:p>
        </w:tc>
        <w:tc>
          <w:tcPr>
            <w:tcW w:w="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4"/>
              </w:rPr>
              <w:t>Change</w:t>
            </w: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w w:val="94"/>
              </w:rPr>
              <w:t>2008</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2007</w:t>
            </w:r>
          </w:p>
        </w:tc>
        <w:tc>
          <w:tcPr>
            <w:tcW w:w="420" w:type="dxa"/>
            <w:vAlign w:val="bottom"/>
          </w:tcPr>
          <w:p>
            <w:pPr>
              <w:spacing w:after="0"/>
              <w:rPr>
                <w:sz w:val="20"/>
                <w:szCs w:val="20"/>
                <w:color w:val="auto"/>
              </w:rPr>
            </w:pPr>
          </w:p>
        </w:tc>
        <w:tc>
          <w:tcPr>
            <w:tcW w:w="780" w:type="dxa"/>
            <w:vAlign w:val="bottom"/>
            <w:gridSpan w:val="2"/>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w w:val="94"/>
              </w:rPr>
              <w:t>Change</w:t>
            </w:r>
          </w:p>
        </w:tc>
        <w:tc>
          <w:tcPr>
            <w:tcW w:w="0" w:type="dxa"/>
            <w:vAlign w:val="bottom"/>
          </w:tcPr>
          <w:p>
            <w:pPr>
              <w:spacing w:after="0"/>
              <w:rPr>
                <w:sz w:val="1"/>
                <w:szCs w:val="1"/>
                <w:color w:val="auto"/>
              </w:rPr>
            </w:pPr>
          </w:p>
        </w:tc>
      </w:tr>
      <w:tr>
        <w:trPr>
          <w:trHeight w:val="197"/>
        </w:trPr>
        <w:tc>
          <w:tcPr>
            <w:tcW w:w="6160" w:type="dxa"/>
            <w:vAlign w:val="bottom"/>
          </w:tcPr>
          <w:p>
            <w:pPr>
              <w:spacing w:after="0" w:line="197" w:lineRule="exact"/>
              <w:rPr>
                <w:sz w:val="20"/>
                <w:szCs w:val="20"/>
                <w:color w:val="auto"/>
              </w:rPr>
            </w:pPr>
            <w:r>
              <w:rPr>
                <w:rFonts w:ascii="Times New Roman" w:cs="Times New Roman" w:eastAsia="Times New Roman" w:hAnsi="Times New Roman"/>
                <w:sz w:val="18"/>
                <w:szCs w:val="18"/>
                <w:color w:val="auto"/>
              </w:rPr>
              <w:t>Domestic Car Rental</w:t>
            </w:r>
          </w:p>
        </w:tc>
        <w:tc>
          <w:tcPr>
            <w:tcW w:w="500" w:type="dxa"/>
            <w:vAlign w:val="bottom"/>
            <w:tcBorders>
              <w:top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w w:val="96"/>
              </w:rPr>
              <w:t>$4,695</w:t>
            </w:r>
          </w:p>
        </w:tc>
        <w:tc>
          <w:tcPr>
            <w:tcW w:w="300" w:type="dxa"/>
            <w:vAlign w:val="bottom"/>
          </w:tcPr>
          <w:p>
            <w:pPr>
              <w:spacing w:after="0"/>
              <w:rPr>
                <w:sz w:val="17"/>
                <w:szCs w:val="17"/>
                <w:color w:val="auto"/>
              </w:rPr>
            </w:pPr>
          </w:p>
        </w:tc>
        <w:tc>
          <w:tcPr>
            <w:tcW w:w="500" w:type="dxa"/>
            <w:vAlign w:val="bottom"/>
            <w:tcBorders>
              <w:top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w w:val="96"/>
              </w:rPr>
              <w:t>$4,679</w:t>
            </w:r>
          </w:p>
        </w:tc>
        <w:tc>
          <w:tcPr>
            <w:tcW w:w="320" w:type="dxa"/>
            <w:vAlign w:val="bottom"/>
          </w:tcPr>
          <w:p>
            <w:pPr>
              <w:spacing w:after="0"/>
              <w:rPr>
                <w:sz w:val="17"/>
                <w:szCs w:val="17"/>
                <w:color w:val="auto"/>
              </w:rPr>
            </w:pPr>
          </w:p>
        </w:tc>
        <w:tc>
          <w:tcPr>
            <w:tcW w:w="580" w:type="dxa"/>
            <w:vAlign w:val="bottom"/>
            <w:tcBorders>
              <w:top w:val="single" w:sz="8" w:color="auto"/>
            </w:tcBorders>
          </w:tcPr>
          <w:p>
            <w:pPr>
              <w:jc w:val="center"/>
              <w:spacing w:after="0" w:line="197" w:lineRule="exact"/>
              <w:rPr>
                <w:sz w:val="20"/>
                <w:szCs w:val="20"/>
                <w:color w:val="auto"/>
              </w:rPr>
            </w:pPr>
            <w:r>
              <w:rPr>
                <w:rFonts w:ascii="Times New Roman" w:cs="Times New Roman" w:eastAsia="Times New Roman" w:hAnsi="Times New Roman"/>
                <w:sz w:val="18"/>
                <w:szCs w:val="18"/>
                <w:color w:val="auto"/>
                <w:w w:val="99"/>
              </w:rPr>
              <w:t>0%</w:t>
            </w: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60" w:type="dxa"/>
            <w:vAlign w:val="bottom"/>
            <w:tcBorders>
              <w:top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rPr>
              <w:t>12</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20" w:type="dxa"/>
            <w:vAlign w:val="bottom"/>
            <w:tcBorders>
              <w:top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rPr>
              <w:t>265</w:t>
            </w:r>
          </w:p>
        </w:tc>
        <w:tc>
          <w:tcPr>
            <w:tcW w:w="420" w:type="dxa"/>
            <w:vAlign w:val="bottom"/>
          </w:tcPr>
          <w:p>
            <w:pPr>
              <w:spacing w:after="0"/>
              <w:rPr>
                <w:sz w:val="17"/>
                <w:szCs w:val="17"/>
                <w:color w:val="auto"/>
              </w:rPr>
            </w:pPr>
          </w:p>
        </w:tc>
        <w:tc>
          <w:tcPr>
            <w:tcW w:w="580" w:type="dxa"/>
            <w:vAlign w:val="bottom"/>
            <w:tcBorders>
              <w:top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rPr>
              <w:t>(95)</w:t>
            </w:r>
          </w:p>
        </w:tc>
        <w:tc>
          <w:tcPr>
            <w:tcW w:w="200" w:type="dxa"/>
            <w:vAlign w:val="bottom"/>
          </w:tcPr>
          <w:p>
            <w:pPr>
              <w:jc w:val="right"/>
              <w:spacing w:after="0" w:line="197"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International Car Rental</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904</w:t>
            </w:r>
          </w:p>
        </w:tc>
        <w:tc>
          <w:tcPr>
            <w:tcW w:w="112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873</w:t>
            </w: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42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6"/>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Truck Rental</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112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416</w:t>
            </w: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420" w:type="dxa"/>
            <w:vAlign w:val="bottom"/>
          </w:tcPr>
          <w:p>
            <w:pPr>
              <w:spacing w:after="0"/>
              <w:rPr>
                <w:sz w:val="18"/>
                <w:szCs w:val="18"/>
                <w:color w:val="auto"/>
              </w:rPr>
            </w:pPr>
          </w:p>
        </w:tc>
        <w:tc>
          <w:tcPr>
            <w:tcW w:w="780" w:type="dxa"/>
            <w:vAlign w:val="bottom"/>
            <w:gridSpan w:val="2"/>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8"/>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Corporate and Other </w:t>
            </w:r>
            <w:r>
              <w:rPr>
                <w:rFonts w:ascii="Times New Roman" w:cs="Times New Roman" w:eastAsia="Times New Roman" w:hAnsi="Times New Roman"/>
                <w:sz w:val="11"/>
                <w:szCs w:val="11"/>
                <w:color w:val="auto"/>
              </w:rPr>
              <w:t>(b)</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12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18</w:t>
            </w: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(13)</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20" w:type="dxa"/>
            <w:vAlign w:val="bottom"/>
          </w:tcPr>
          <w:p>
            <w:pPr>
              <w:spacing w:after="0"/>
              <w:rPr>
                <w:sz w:val="19"/>
                <w:szCs w:val="19"/>
                <w:color w:val="auto"/>
              </w:rPr>
            </w:pPr>
          </w:p>
        </w:tc>
        <w:tc>
          <w:tcPr>
            <w:tcW w:w="780" w:type="dxa"/>
            <w:vAlign w:val="bottom"/>
            <w:gridSpan w:val="2"/>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4"/>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Total Company</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5,984</w:t>
            </w:r>
          </w:p>
        </w:tc>
        <w:tc>
          <w:tcPr>
            <w:tcW w:w="30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5,986</w:t>
            </w:r>
          </w:p>
        </w:tc>
        <w:tc>
          <w:tcPr>
            <w:tcW w:w="3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4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1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Less: Non-vehicle related depreciation and amortization</w:t>
            </w:r>
          </w:p>
        </w:tc>
        <w:tc>
          <w:tcPr>
            <w:tcW w:w="5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4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160" w:type="dxa"/>
            <w:vAlign w:val="bottom"/>
            <w:vMerge w:val="continue"/>
          </w:tcPr>
          <w:p>
            <w:pPr>
              <w:spacing w:after="0"/>
              <w:rPr>
                <w:sz w:val="17"/>
                <w:szCs w:val="17"/>
                <w:color w:val="auto"/>
              </w:rPr>
            </w:pP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vMerge w:val="continue"/>
          </w:tcPr>
          <w:p>
            <w:pPr>
              <w:spacing w:after="0"/>
              <w:rPr>
                <w:sz w:val="17"/>
                <w:szCs w:val="17"/>
                <w:color w:val="auto"/>
              </w:rPr>
            </w:pPr>
          </w:p>
        </w:tc>
        <w:tc>
          <w:tcPr>
            <w:tcW w:w="4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1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Interest expense related to corporate debt, net</w:t>
            </w: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61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 xml:space="preserve">Impairment </w:t>
            </w:r>
            <w:r>
              <w:rPr>
                <w:rFonts w:ascii="Times New Roman" w:cs="Times New Roman" w:eastAsia="Times New Roman" w:hAnsi="Times New Roman"/>
                <w:sz w:val="11"/>
                <w:szCs w:val="11"/>
                <w:color w:val="auto"/>
              </w:rPr>
              <w:t>(c)</w:t>
            </w:r>
          </w:p>
        </w:tc>
        <w:tc>
          <w:tcPr>
            <w:tcW w:w="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1,262</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1,195</w:t>
            </w:r>
          </w:p>
        </w:tc>
        <w:tc>
          <w:tcPr>
            <w:tcW w:w="4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u w:val="single" w:color="auto"/>
                <w:color w:val="auto"/>
                <w:w w:val="74"/>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4"/>
              </w:rPr>
              <w:t>(1,343</w:t>
            </w:r>
          </w:p>
        </w:tc>
        <w:tc>
          <w:tcPr>
            <w:tcW w:w="1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28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(992</w:t>
            </w:r>
          </w:p>
        </w:tc>
        <w:tc>
          <w:tcPr>
            <w:tcW w:w="420" w:type="dxa"/>
            <w:vAlign w:val="bottom"/>
          </w:tcPr>
          <w:p>
            <w:pPr>
              <w:jc w:val="right"/>
              <w:ind w:right="342"/>
              <w:spacing w:after="0"/>
              <w:rPr>
                <w:sz w:val="20"/>
                <w:szCs w:val="20"/>
                <w:color w:val="auto"/>
              </w:rPr>
            </w:pPr>
            <w:r>
              <w:rPr>
                <w:rFonts w:ascii="Times New Roman" w:cs="Times New Roman" w:eastAsia="Times New Roman" w:hAnsi="Times New Roman"/>
                <w:sz w:val="8"/>
                <w:szCs w:val="8"/>
                <w:color w:val="auto"/>
                <w:w w:val="73"/>
              </w:rPr>
              <w:t>)</w:t>
            </w: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9" w:lineRule="exact"/>
        <w:rPr>
          <w:sz w:val="20"/>
          <w:szCs w:val="20"/>
          <w:color w:val="auto"/>
        </w:rPr>
      </w:pPr>
    </w:p>
    <w:p>
      <w:pPr>
        <w:ind w:left="340" w:hanging="332"/>
        <w:spacing w:after="0"/>
        <w:tabs>
          <w:tab w:leader="none" w:pos="340" w:val="left"/>
        </w:tabs>
        <w:numPr>
          <w:ilvl w:val="0"/>
          <w:numId w:val="2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Not meaningful.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2898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ind w:left="340" w:hanging="332"/>
        <w:spacing w:after="0"/>
        <w:tabs>
          <w:tab w:leader="none" w:pos="340" w:val="left"/>
        </w:tabs>
        <w:numPr>
          <w:ilvl w:val="0"/>
          <w:numId w:val="29"/>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In 2007, EBITDA reflects separation-related costs (credits) of $5 million in Domestic Car Rental and ($10) million in Corporate and Other.</w:t>
      </w:r>
    </w:p>
    <w:p>
      <w:pPr>
        <w:spacing w:after="0" w:line="7" w:lineRule="exact"/>
        <w:rPr>
          <w:rFonts w:ascii="Times New Roman" w:cs="Times New Roman" w:eastAsia="Times New Roman" w:hAnsi="Times New Roman"/>
          <w:sz w:val="22"/>
          <w:szCs w:val="22"/>
          <w:color w:val="auto"/>
          <w:vertAlign w:val="superscript"/>
        </w:rPr>
      </w:pPr>
    </w:p>
    <w:p>
      <w:pPr>
        <w:ind w:left="340" w:hanging="332"/>
        <w:spacing w:after="0" w:line="197" w:lineRule="auto"/>
        <w:tabs>
          <w:tab w:leader="none" w:pos="340" w:val="left"/>
        </w:tabs>
        <w:numPr>
          <w:ilvl w:val="0"/>
          <w:numId w:val="29"/>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Includes unallocated corporate overhead and the elimination of transactions between segments.</w:t>
      </w:r>
    </w:p>
    <w:p>
      <w:pPr>
        <w:spacing w:after="0" w:line="8" w:lineRule="exact"/>
        <w:rPr>
          <w:rFonts w:ascii="Times New Roman" w:cs="Times New Roman" w:eastAsia="Times New Roman" w:hAnsi="Times New Roman"/>
          <w:sz w:val="22"/>
          <w:szCs w:val="22"/>
          <w:color w:val="auto"/>
          <w:vertAlign w:val="superscript"/>
        </w:rPr>
      </w:pPr>
    </w:p>
    <w:p>
      <w:pPr>
        <w:ind w:left="340" w:right="160" w:hanging="332"/>
        <w:spacing w:after="0" w:line="235" w:lineRule="auto"/>
        <w:tabs>
          <w:tab w:leader="none" w:pos="340" w:val="left"/>
        </w:tabs>
        <w:numPr>
          <w:ilvl w:val="0"/>
          <w:numId w:val="29"/>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We recorded a charge of $1,262 million for the impairment of goodwill, our tradenames asset and our investment in Carey in 2008. Domestic Car Rental recorded $882 million of the charge, International Car Rental recorded $275 million, Truck Rental recorded $87 million and Corporate and Other recorded $18 million. In 2007, we recorded a charge of $1,195 million for the impairment of goodwill. Domestic Car Rental recorded $786 million of the goodwill impairment, International Car Rental recorded $268 million and Truck Rental recorded $141 million.</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Domestic Car Rental</w:t>
      </w:r>
    </w:p>
    <w:p>
      <w:pPr>
        <w:spacing w:after="0" w:line="175" w:lineRule="exact"/>
        <w:rPr>
          <w:sz w:val="20"/>
          <w:szCs w:val="20"/>
          <w:color w:val="auto"/>
        </w:rPr>
      </w:pPr>
    </w:p>
    <w:p>
      <w:pPr>
        <w:jc w:val="both"/>
        <w:ind w:right="80"/>
        <w:spacing w:after="0" w:line="262" w:lineRule="auto"/>
        <w:rPr>
          <w:sz w:val="20"/>
          <w:szCs w:val="20"/>
          <w:color w:val="auto"/>
        </w:rPr>
      </w:pPr>
      <w:r>
        <w:rPr>
          <w:rFonts w:ascii="Times New Roman" w:cs="Times New Roman" w:eastAsia="Times New Roman" w:hAnsi="Times New Roman"/>
          <w:sz w:val="18"/>
          <w:szCs w:val="18"/>
          <w:color w:val="auto"/>
        </w:rPr>
        <w:t>Revenues increased $16 million (less than 1%) while EBITDA decreased $253 million (95%) in 2008 compared with 2007. Revenue increased due to growth in ancillary revenues offset by lower car rental pricing. EBITDA margins were negatively impacted year-over-year by lower car rental pricing, increased fleet costs and severance costs.</w:t>
      </w:r>
    </w:p>
    <w:p>
      <w:pPr>
        <w:spacing w:after="0" w:line="132"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revenue increase of $16 million was comprised of a $91 million (9%) increase in ancillary revenues, offset by a $74 million (2%) decrease in T&amp;M revenue. The $91 million increase in ancillary revenues was primarily due to (i) a $48 million increase in rentals of GPS navigation units, our implementation of an energy recovery fee, sales of insurance products and other items, (ii) a $33 million increase in gasoline sales, which was more than offset in EBITDA by $71 million of higher gasoline expense including an unfavorable impact of $31 million from gasoline hedges, and (iii) a $10 million increase in airport concession and vehicle licensing revenues, $6 million of which was offset in EBITDA by higher airport concession and vehicle licensing expenses remitted to airport and other regulatory authorities. The decrease in T&amp;M revenue was principally driven by a 1% decrease in T&amp;M revenue per day, while rental days remained essentially unchanged year-over-year.</w:t>
      </w:r>
    </w:p>
    <w:p>
      <w:pPr>
        <w:spacing w:after="0" w:line="14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favorable effect of increased revenues was offset in EBITDA by $133 million (10%) of increased fleet depreciation and lease charges resulting from an 11% increase in per-unit fleet costs, while the average size of our domestic rental fleet decreased 1%. EBITDA also reflected a $61 million (2%) increase in operating and selling, general and administrative and other expenses including (i) $23 million of restructuring charges recorded in 2008 primarily due to expenses related to severance and the closure of rental facilities, (ii) $22 million of incremental operating expenses primarily representing inflationary increases in wages and salaries, off-airport rental expense and other costs offset by expense savings from our process improvement and cost-reduction initiatives, and (iii) a $9 million increase in selling, general and administration expense primarily related to higher travel agency commissions, travel incentive programs and other marketing costs.</w:t>
      </w:r>
    </w:p>
    <w:p>
      <w:pPr>
        <w:spacing w:after="0" w:line="12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380"/>
          </w:cols>
          <w:pgMar w:left="240" w:top="455" w:right="279" w:bottom="1440" w:gutter="0" w:footer="0" w:header="0"/>
        </w:sectPr>
      </w:pPr>
    </w:p>
    <w:bookmarkStart w:id="48" w:name="page49"/>
    <w:bookmarkEnd w:id="4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International Car Rental</w:t>
      </w:r>
    </w:p>
    <w:p>
      <w:pPr>
        <w:spacing w:after="0" w:line="175" w:lineRule="exact"/>
        <w:rPr>
          <w:sz w:val="20"/>
          <w:szCs w:val="20"/>
          <w:color w:val="auto"/>
        </w:rPr>
      </w:pPr>
    </w:p>
    <w:p>
      <w:pPr>
        <w:ind w:right="120"/>
        <w:spacing w:after="0" w:line="275" w:lineRule="auto"/>
        <w:rPr>
          <w:sz w:val="20"/>
          <w:szCs w:val="20"/>
          <w:color w:val="auto"/>
        </w:rPr>
      </w:pPr>
      <w:r>
        <w:rPr>
          <w:rFonts w:ascii="Times New Roman" w:cs="Times New Roman" w:eastAsia="Times New Roman" w:hAnsi="Times New Roman"/>
          <w:sz w:val="18"/>
          <w:szCs w:val="18"/>
          <w:color w:val="auto"/>
        </w:rPr>
        <w:t>Revenues and EBITDA increased $31 million (4%) and $10 million (8%), respectively, in 2008 compared with 2007. Revenue and EBITDA increased primarily due to growth in ancillary revenues and the impact of foreign currency exchange rate movements.</w:t>
      </w:r>
    </w:p>
    <w:p>
      <w:pPr>
        <w:spacing w:after="0" w:line="120"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revenue increase of $31 million was comprised of a $28 million (11%) increase in ancillary revenues and a $3 million increase in car rental T&amp;M revenue. The total growth in revenue includes a $7 million increase related to foreign currency exchange rates, impacting T&amp;M revenue by $6 million and ancillary revenues by $1 million, and was largely offset in EBITDA by the opposite impact of foreign exchange on expenses of $7 million. The $28 million increase in ancillary revenues was primarily due to (i) a $13 million increase in counter sales of insurance, rentals of GPS navigation units and other items, (ii) a $12 million increase in airport concession and vehicle licensing revenues, $4 million of which was offset in EBITDA by higher airport concession and vehicle licensing expense remitted to airport and other regulatory authorities, and (iii) a $3 million increase in gasoline sales, which was more than offset in EBITDA by higher gasoline costs. The increase in T&amp;M revenue was principally driven by a 1% increase in rental days, while T&amp;M revenue per day remained essentially unchanged year-over-year.</w:t>
      </w:r>
    </w:p>
    <w:p>
      <w:pPr>
        <w:spacing w:after="0" w:line="13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favorable effect of incremental T&amp;M revenues was offset in EBITDA by $6 million (3%) of increased fleet depreciation and lease charges, reflecting a 2% increase in the average size of our international rental fleet and a 1% increase in per-unit fleet costs. EBITDA also reflects a $6 million (2%) increase in incremental operating expenses including (i) a $9 million increase in salaries and wages, rents and other costs, (ii) a $4 million increase in selling, general and administrative expense related primarily to increased agency operator commissions, marketing and other expenses, and (iii) $3 million of restructuring charges recorded in 2008 for severance related expenses and costs for facility closures. These cost increases were offset by a $3 million reduction in insurance costs due to favorable claims experience and a $7 million gain on our foreign exchange earnings hedges.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Truck Rental</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Revenues and EBITDA declined $34 million (8%) and $21 million, respectively, in 2008 compared with 2007.</w:t>
      </w:r>
    </w:p>
    <w:p>
      <w:pPr>
        <w:spacing w:after="0" w:line="171"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The revenue decrease was due to a decline of $32 million (10%) in T&amp;M revenue, which reflected a 7% decrease in T&amp;M revenue per day and a 3% decrease in rental days in 2008 compared with 2007. The unfavorable effect of decreased revenue on EBITDA was partially offset by $11 million (9%) less fleet depreciation, lease charges and interest primarily reflecting an increase in the planned service lives of our truck fleet. EBITDA also reflected a decrease of $7 million in operating commission expense primarily as a result of the decrease in T&amp;M revenue, and $2 million of restructuring charges recorded in 2008 for severance related expenses.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Corporate and Other</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 and EBITDA declined $15 million and $14 million, respectively, in 2008 compared with 2007.</w:t>
      </w:r>
    </w:p>
    <w:p>
      <w:pPr>
        <w:spacing w:after="0" w:line="171"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The revenue decrease was primarily due to a decrease in revenues earned for information technology and other service contracts with Realogy, Wyndham and Travelport as the contracts expire and various services are no longer required. EBITDA decreased primarily due to the absence of a $14 million credit related to tax-related receivables from Realogy and Wyndham, recognized in connection with the adoption of FASB Interpretation No. 48 (“FIN 48”), “Accounting for Uncertainty in Income”, in first quarter 2007.</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420"/>
          </w:cols>
          <w:pgMar w:left="240" w:top="455" w:right="239" w:bottom="1440" w:gutter="0" w:footer="0" w:header="0"/>
        </w:sectPr>
      </w:pPr>
    </w:p>
    <w:bookmarkStart w:id="49" w:name="page50"/>
    <w:bookmarkEnd w:id="4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FINANCIAL CONDITION, LIQUIDITY AND CAPITAL RESOURCES</w:t>
      </w:r>
    </w:p>
    <w:p>
      <w:pPr>
        <w:spacing w:after="0" w:line="173"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present separately the financial data of our vehicle programs. These programs are distinct from our other activities as the assets under vehicle programs are generally funded through the issuance of debt that is collateralized by such assets. The income generated by these assets is used, in part, to repay the principal and interest associated with the debt. Cash inflows and outflows relating to the generation or acquisition of such assets and the principal debt repayment or financing of such assets are classified as activities of our vehicle programs. We believe it is appropriate to segregate the financial data of our vehicle programs because, ultimately, the source of repayment of such debt is the realization of such assets.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FINANCIAL CONDITION</w:t>
            </w: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04"/>
        </w:trPr>
        <w:tc>
          <w:tcPr>
            <w:tcW w:w="6940" w:type="dxa"/>
            <w:vAlign w:val="bottom"/>
          </w:tcPr>
          <w:p>
            <w:pPr>
              <w:spacing w:after="0"/>
              <w:rPr>
                <w:sz w:val="24"/>
                <w:szCs w:val="24"/>
                <w:color w:val="auto"/>
              </w:rPr>
            </w:pPr>
          </w:p>
        </w:tc>
        <w:tc>
          <w:tcPr>
            <w:tcW w:w="19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w w:val="95"/>
              </w:rPr>
              <w:t>December 31,</w:t>
            </w: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30"/>
        </w:trPr>
        <w:tc>
          <w:tcPr>
            <w:tcW w:w="6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ind w:right="252"/>
              <w:spacing w:after="0"/>
              <w:rPr>
                <w:sz w:val="20"/>
                <w:szCs w:val="20"/>
                <w:color w:val="auto"/>
              </w:rPr>
            </w:pPr>
            <w:r>
              <w:rPr>
                <w:rFonts w:ascii="Times New Roman" w:cs="Times New Roman" w:eastAsia="Times New Roman" w:hAnsi="Times New Roman"/>
                <w:sz w:val="18"/>
                <w:szCs w:val="18"/>
                <w:b w:val="1"/>
                <w:bCs w:val="1"/>
                <w:color w:val="auto"/>
              </w:rPr>
              <w:t>2009</w:t>
            </w: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52"/>
              <w:spacing w:after="0"/>
              <w:rPr>
                <w:sz w:val="20"/>
                <w:szCs w:val="20"/>
                <w:color w:val="auto"/>
              </w:rPr>
            </w:pPr>
            <w:r>
              <w:rPr>
                <w:rFonts w:ascii="Times New Roman" w:cs="Times New Roman" w:eastAsia="Times New Roman" w:hAnsi="Times New Roman"/>
                <w:sz w:val="18"/>
                <w:szCs w:val="18"/>
                <w:b w:val="1"/>
                <w:bCs w:val="1"/>
                <w:color w:val="auto"/>
              </w:rPr>
              <w:t>2008</w:t>
            </w:r>
          </w:p>
        </w:tc>
        <w:tc>
          <w:tcPr>
            <w:tcW w:w="880" w:type="dxa"/>
            <w:vAlign w:val="bottom"/>
          </w:tcPr>
          <w:p>
            <w:pPr>
              <w:spacing w:after="0"/>
              <w:rPr>
                <w:sz w:val="20"/>
                <w:szCs w:val="20"/>
                <w:color w:val="auto"/>
              </w:rPr>
            </w:pPr>
          </w:p>
        </w:tc>
        <w:tc>
          <w:tcPr>
            <w:tcW w:w="6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197"/>
        </w:trPr>
        <w:tc>
          <w:tcPr>
            <w:tcW w:w="6940" w:type="dxa"/>
            <w:vAlign w:val="bottom"/>
          </w:tcPr>
          <w:p>
            <w:pPr>
              <w:spacing w:after="0" w:line="197" w:lineRule="exact"/>
              <w:rPr>
                <w:sz w:val="20"/>
                <w:szCs w:val="20"/>
                <w:color w:val="auto"/>
              </w:rPr>
            </w:pPr>
            <w:r>
              <w:rPr>
                <w:rFonts w:ascii="Times New Roman" w:cs="Times New Roman" w:eastAsia="Times New Roman" w:hAnsi="Times New Roman"/>
                <w:sz w:val="18"/>
                <w:szCs w:val="18"/>
                <w:color w:val="auto"/>
              </w:rPr>
              <w:t>Total assets exclusive of assets under vehicle programs</w:t>
            </w:r>
          </w:p>
        </w:tc>
        <w:tc>
          <w:tcPr>
            <w:tcW w:w="220" w:type="dxa"/>
            <w:vAlign w:val="bottom"/>
            <w:tcBorders>
              <w:top w:val="single" w:sz="8" w:color="auto"/>
            </w:tcBorders>
          </w:tcPr>
          <w:p>
            <w:pPr>
              <w:spacing w:after="0" w:line="197" w:lineRule="exact"/>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rPr>
              <w:t>3,571</w:t>
            </w:r>
          </w:p>
        </w:tc>
        <w:tc>
          <w:tcPr>
            <w:tcW w:w="860" w:type="dxa"/>
            <w:vAlign w:val="bottom"/>
          </w:tcPr>
          <w:p>
            <w:pPr>
              <w:spacing w:after="0"/>
              <w:rPr>
                <w:sz w:val="17"/>
                <w:szCs w:val="17"/>
                <w:color w:val="auto"/>
              </w:rPr>
            </w:pPr>
          </w:p>
        </w:tc>
        <w:tc>
          <w:tcPr>
            <w:tcW w:w="220" w:type="dxa"/>
            <w:vAlign w:val="bottom"/>
            <w:tcBorders>
              <w:top w:val="single" w:sz="8" w:color="auto"/>
            </w:tcBorders>
          </w:tcPr>
          <w:p>
            <w:pPr>
              <w:spacing w:after="0" w:line="197" w:lineRule="exact"/>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rPr>
              <w:t>3,492</w:t>
            </w:r>
          </w:p>
        </w:tc>
        <w:tc>
          <w:tcPr>
            <w:tcW w:w="880" w:type="dxa"/>
            <w:vAlign w:val="bottom"/>
          </w:tcPr>
          <w:p>
            <w:pPr>
              <w:spacing w:after="0"/>
              <w:rPr>
                <w:sz w:val="17"/>
                <w:szCs w:val="17"/>
                <w:color w:val="auto"/>
              </w:rPr>
            </w:pPr>
          </w:p>
        </w:tc>
        <w:tc>
          <w:tcPr>
            <w:tcW w:w="100" w:type="dxa"/>
            <w:vAlign w:val="bottom"/>
            <w:tcBorders>
              <w:top w:val="single" w:sz="8" w:color="auto"/>
            </w:tcBorders>
          </w:tcPr>
          <w:p>
            <w:pPr>
              <w:spacing w:after="0" w:line="197" w:lineRule="exact"/>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rPr>
              <w:t>79</w:t>
            </w:r>
          </w:p>
        </w:tc>
        <w:tc>
          <w:tcPr>
            <w:tcW w:w="60" w:type="dxa"/>
            <w:vAlign w:val="bottom"/>
          </w:tcPr>
          <w:p>
            <w:pPr>
              <w:spacing w:after="0"/>
              <w:rPr>
                <w:sz w:val="17"/>
                <w:szCs w:val="17"/>
                <w:color w:val="auto"/>
              </w:rPr>
            </w:pPr>
          </w:p>
        </w:tc>
      </w:tr>
      <w:tr>
        <w:trPr>
          <w:trHeight w:val="216"/>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 exclusive of liabilities under vehicle programs</w:t>
            </w:r>
          </w:p>
        </w:tc>
        <w:tc>
          <w:tcPr>
            <w:tcW w:w="220" w:type="dxa"/>
            <w:vAlign w:val="bottom"/>
          </w:tcPr>
          <w:p>
            <w:pPr>
              <w:spacing w:after="0"/>
              <w:rPr>
                <w:sz w:val="18"/>
                <w:szCs w:val="18"/>
                <w:color w:val="auto"/>
              </w:rPr>
            </w:pPr>
          </w:p>
        </w:tc>
        <w:tc>
          <w:tcPr>
            <w:tcW w:w="1680" w:type="dxa"/>
            <w:vAlign w:val="bottom"/>
            <w:gridSpan w:val="2"/>
          </w:tcPr>
          <w:p>
            <w:pPr>
              <w:jc w:val="right"/>
              <w:ind w:right="860"/>
              <w:spacing w:after="0"/>
              <w:rPr>
                <w:sz w:val="20"/>
                <w:szCs w:val="20"/>
                <w:color w:val="auto"/>
              </w:rPr>
            </w:pPr>
            <w:r>
              <w:rPr>
                <w:rFonts w:ascii="Times New Roman" w:cs="Times New Roman" w:eastAsia="Times New Roman" w:hAnsi="Times New Roman"/>
                <w:sz w:val="18"/>
                <w:szCs w:val="18"/>
                <w:color w:val="auto"/>
              </w:rPr>
              <w:t>4,033</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3,811</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222</w:t>
            </w:r>
          </w:p>
        </w:tc>
      </w:tr>
      <w:tr>
        <w:trPr>
          <w:trHeight w:val="216"/>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Assets under vehicle programs</w:t>
            </w:r>
          </w:p>
        </w:tc>
        <w:tc>
          <w:tcPr>
            <w:tcW w:w="220" w:type="dxa"/>
            <w:vAlign w:val="bottom"/>
          </w:tcPr>
          <w:p>
            <w:pPr>
              <w:spacing w:after="0"/>
              <w:rPr>
                <w:sz w:val="18"/>
                <w:szCs w:val="18"/>
                <w:color w:val="auto"/>
              </w:rPr>
            </w:pPr>
          </w:p>
        </w:tc>
        <w:tc>
          <w:tcPr>
            <w:tcW w:w="1680" w:type="dxa"/>
            <w:vAlign w:val="bottom"/>
            <w:gridSpan w:val="2"/>
          </w:tcPr>
          <w:p>
            <w:pPr>
              <w:jc w:val="right"/>
              <w:ind w:right="860"/>
              <w:spacing w:after="0"/>
              <w:rPr>
                <w:sz w:val="20"/>
                <w:szCs w:val="20"/>
                <w:color w:val="auto"/>
              </w:rPr>
            </w:pPr>
            <w:r>
              <w:rPr>
                <w:rFonts w:ascii="Times New Roman" w:cs="Times New Roman" w:eastAsia="Times New Roman" w:hAnsi="Times New Roman"/>
                <w:sz w:val="18"/>
                <w:szCs w:val="18"/>
                <w:color w:val="auto"/>
              </w:rPr>
              <w:t>6,522</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7,826</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8"/>
              </w:rPr>
              <w:t>(1,304)</w:t>
            </w:r>
          </w:p>
        </w:tc>
      </w:tr>
      <w:tr>
        <w:trPr>
          <w:trHeight w:val="216"/>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Liabilities under vehicle programs</w:t>
            </w:r>
          </w:p>
        </w:tc>
        <w:tc>
          <w:tcPr>
            <w:tcW w:w="220" w:type="dxa"/>
            <w:vAlign w:val="bottom"/>
          </w:tcPr>
          <w:p>
            <w:pPr>
              <w:spacing w:after="0"/>
              <w:rPr>
                <w:sz w:val="18"/>
                <w:szCs w:val="18"/>
                <w:color w:val="auto"/>
              </w:rPr>
            </w:pPr>
          </w:p>
        </w:tc>
        <w:tc>
          <w:tcPr>
            <w:tcW w:w="1680" w:type="dxa"/>
            <w:vAlign w:val="bottom"/>
            <w:gridSpan w:val="2"/>
          </w:tcPr>
          <w:p>
            <w:pPr>
              <w:jc w:val="right"/>
              <w:ind w:right="860"/>
              <w:spacing w:after="0"/>
              <w:rPr>
                <w:sz w:val="20"/>
                <w:szCs w:val="20"/>
                <w:color w:val="auto"/>
              </w:rPr>
            </w:pPr>
            <w:r>
              <w:rPr>
                <w:rFonts w:ascii="Times New Roman" w:cs="Times New Roman" w:eastAsia="Times New Roman" w:hAnsi="Times New Roman"/>
                <w:sz w:val="18"/>
                <w:szCs w:val="18"/>
                <w:color w:val="auto"/>
              </w:rPr>
              <w:t>5,838</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7,414</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8"/>
              </w:rPr>
              <w:t>(1,576)</w:t>
            </w:r>
          </w:p>
        </w:tc>
      </w:tr>
      <w:tr>
        <w:trPr>
          <w:trHeight w:val="228"/>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220" w:type="dxa"/>
            <w:vAlign w:val="bottom"/>
          </w:tcPr>
          <w:p>
            <w:pPr>
              <w:spacing w:after="0"/>
              <w:rPr>
                <w:sz w:val="19"/>
                <w:szCs w:val="19"/>
                <w:color w:val="auto"/>
              </w:rPr>
            </w:pPr>
          </w:p>
        </w:tc>
        <w:tc>
          <w:tcPr>
            <w:tcW w:w="1680" w:type="dxa"/>
            <w:vAlign w:val="bottom"/>
            <w:gridSpan w:val="2"/>
          </w:tcPr>
          <w:p>
            <w:pPr>
              <w:jc w:val="right"/>
              <w:ind w:right="860"/>
              <w:spacing w:after="0"/>
              <w:rPr>
                <w:sz w:val="20"/>
                <w:szCs w:val="20"/>
                <w:color w:val="auto"/>
              </w:rPr>
            </w:pPr>
            <w:r>
              <w:rPr>
                <w:rFonts w:ascii="Times New Roman" w:cs="Times New Roman" w:eastAsia="Times New Roman" w:hAnsi="Times New Roman"/>
                <w:sz w:val="18"/>
                <w:szCs w:val="18"/>
                <w:color w:val="auto"/>
              </w:rPr>
              <w:t>222</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129</w:t>
            </w:r>
          </w:p>
        </w:tc>
      </w:tr>
    </w:tbl>
    <w:p>
      <w:pPr>
        <w:spacing w:after="0" w:line="150"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Total assets exclusive of assets under vehicle programs increased $79 million due to (i) a $224 million increase in cash and cash equivalents (see “Liquidity and Capital Resources—Cash Flows” for a detailed discussion), and (ii) a $126 million increase in net deferred income taxes, offset by (i) a $63 million decrease for receivables due from Realogy and Wyndham, (ii) a $70 million decrease in accounts receivable, primarily due to the collection of incentives from vehicle manufacturers and to reduced transaction volume, (iii) a $43 million decrease in our investment related to Carey and (iv) a $43 million decrease in property and equipment.</w:t>
      </w:r>
    </w:p>
    <w:p>
      <w:pPr>
        <w:spacing w:after="0" w:line="139"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color w:val="auto"/>
        </w:rPr>
        <w:t>Total liabilities exclusive of liabilities under vehicle programs increased $222 million primarily due to a $342 million increase in long-term debt primarily related to the issuance of our convertible notes, offset by (i) a $71 million decrease in accrued legal settlements and (ii) a $29 million decrease in other non-current liabilities, primarily related to deferred compensation, insurance and pension liabilities.</w:t>
      </w:r>
    </w:p>
    <w:p>
      <w:pPr>
        <w:spacing w:after="0" w:line="13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Assets under vehicle programs decreased approximately $1.3 billion primarily due to (i) an approximately $1.2 billion decrease in our net vehicles and (ii) a $363 million decrease in receivables from vehicle manufactures, offset by (i) a $145 million increase in our program cash, due primarily to the accumulation of funds for the repayment of certain term notes nearing maturity, and (ii) a $111 million increase in our Investment in Avis Budget Rental Car Funding (AESOP) LLC, primarily due to mark-to-market gains on derivatives.</w:t>
      </w:r>
    </w:p>
    <w:p>
      <w:pPr>
        <w:spacing w:after="0" w:line="136"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color w:val="auto"/>
        </w:rPr>
        <w:t>Liabilities under vehicle programs decreased approximately $1.6 billion reflecting a decrease in our borrowings due to reductions in the size of our car rental fleet to reflect reduced car rental demand. See “Liquidity and Capital Resources—Debt and Financing Arrangements” for a detailed account of the change in our debt related to vehicle programs.</w:t>
      </w:r>
    </w:p>
    <w:p>
      <w:pPr>
        <w:spacing w:after="0" w:line="132" w:lineRule="exact"/>
        <w:rPr>
          <w:sz w:val="20"/>
          <w:szCs w:val="20"/>
          <w:color w:val="auto"/>
        </w:rPr>
      </w:pPr>
    </w:p>
    <w:p>
      <w:pPr>
        <w:ind w:right="220"/>
        <w:spacing w:after="0" w:line="275" w:lineRule="auto"/>
        <w:rPr>
          <w:sz w:val="20"/>
          <w:szCs w:val="20"/>
          <w:color w:val="auto"/>
        </w:rPr>
      </w:pPr>
      <w:r>
        <w:rPr>
          <w:rFonts w:ascii="Times New Roman" w:cs="Times New Roman" w:eastAsia="Times New Roman" w:hAnsi="Times New Roman"/>
          <w:sz w:val="18"/>
          <w:szCs w:val="18"/>
          <w:color w:val="auto"/>
        </w:rPr>
        <w:t>Stockholders’ equity increased $129 million, primarily due to an increase in accumulated other comprehensive income, resulting from currency translation and net unrealized gains on our cash flow hedges.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73" w:lineRule="exact"/>
        <w:rPr>
          <w:sz w:val="20"/>
          <w:szCs w:val="20"/>
          <w:color w:val="auto"/>
        </w:rPr>
      </w:pPr>
    </w:p>
    <w:p>
      <w:pPr>
        <w:ind w:right="500"/>
        <w:spacing w:after="0" w:line="275" w:lineRule="auto"/>
        <w:rPr>
          <w:sz w:val="20"/>
          <w:szCs w:val="20"/>
          <w:color w:val="auto"/>
        </w:rPr>
      </w:pPr>
      <w:r>
        <w:rPr>
          <w:rFonts w:ascii="Times New Roman" w:cs="Times New Roman" w:eastAsia="Times New Roman" w:hAnsi="Times New Roman"/>
          <w:sz w:val="18"/>
          <w:szCs w:val="18"/>
          <w:color w:val="auto"/>
        </w:rPr>
        <w:t>Our principal sources of liquidity are cash on hand and our ability to generate cash through operations and financing activities, as well as available funding arrangements and committed credit facilities, each of which is discussed below.</w:t>
      </w:r>
    </w:p>
    <w:p>
      <w:pPr>
        <w:spacing w:after="0" w:line="1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400"/>
          </w:cols>
          <w:pgMar w:left="240" w:top="455" w:right="259" w:bottom="1440" w:gutter="0" w:footer="0" w:header="0"/>
        </w:sectPr>
      </w:pPr>
    </w:p>
    <w:bookmarkStart w:id="50" w:name="page51"/>
    <w:bookmarkEnd w:id="5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173" w:lineRule="exact"/>
        <w:rPr>
          <w:sz w:val="20"/>
          <w:szCs w:val="20"/>
          <w:color w:val="auto"/>
        </w:rPr>
      </w:pPr>
    </w:p>
    <w:p>
      <w:pPr>
        <w:ind w:right="720"/>
        <w:spacing w:after="0" w:line="275" w:lineRule="auto"/>
        <w:rPr>
          <w:sz w:val="20"/>
          <w:szCs w:val="20"/>
          <w:color w:val="auto"/>
        </w:rPr>
      </w:pPr>
      <w:r>
        <w:rPr>
          <w:rFonts w:ascii="Times New Roman" w:cs="Times New Roman" w:eastAsia="Times New Roman" w:hAnsi="Times New Roman"/>
          <w:sz w:val="18"/>
          <w:szCs w:val="18"/>
          <w:color w:val="auto"/>
        </w:rPr>
        <w:t>At December 31, 2009, we had $482 million of cash on hand, an increase of $224 million from $258 million at December 31, 2008. The following table summarizes such increase: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720" w:type="dxa"/>
            <w:vAlign w:val="bottom"/>
            <w:gridSpan w:val="8"/>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12"/>
        </w:trPr>
        <w:tc>
          <w:tcPr>
            <w:tcW w:w="858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46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w w:val="94"/>
              </w:rPr>
              <w:t>2009</w:t>
            </w:r>
          </w:p>
        </w:tc>
        <w:tc>
          <w:tcPr>
            <w:tcW w:w="540" w:type="dxa"/>
            <w:vAlign w:val="bottom"/>
            <w:tcBorders>
              <w:top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46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w w:val="94"/>
              </w:rPr>
              <w:t>2008</w:t>
            </w:r>
          </w:p>
        </w:tc>
        <w:tc>
          <w:tcPr>
            <w:tcW w:w="540" w:type="dxa"/>
            <w:vAlign w:val="bottom"/>
            <w:tcBorders>
              <w:top w:val="single" w:sz="8" w:color="auto"/>
            </w:tcBorders>
          </w:tcPr>
          <w:p>
            <w:pPr>
              <w:spacing w:after="0"/>
              <w:rPr>
                <w:sz w:val="18"/>
                <w:szCs w:val="18"/>
                <w:color w:val="auto"/>
              </w:rPr>
            </w:pPr>
          </w:p>
        </w:tc>
        <w:tc>
          <w:tcPr>
            <w:tcW w:w="58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w w:val="94"/>
              </w:rPr>
              <w:t>Change</w:t>
            </w:r>
          </w:p>
        </w:tc>
        <w:tc>
          <w:tcPr>
            <w:tcW w:w="60" w:type="dxa"/>
            <w:vAlign w:val="bottom"/>
          </w:tcPr>
          <w:p>
            <w:pPr>
              <w:spacing w:after="0"/>
              <w:rPr>
                <w:sz w:val="18"/>
                <w:szCs w:val="18"/>
                <w:color w:val="auto"/>
              </w:rPr>
            </w:pPr>
          </w:p>
        </w:tc>
      </w:tr>
      <w:tr>
        <w:trPr>
          <w:trHeight w:val="195"/>
        </w:trPr>
        <w:tc>
          <w:tcPr>
            <w:tcW w:w="858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Cash provided by (used in):</w:t>
            </w: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16"/>
        </w:trPr>
        <w:tc>
          <w:tcPr>
            <w:tcW w:w="8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Operating activities</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1,491</w:t>
            </w:r>
          </w:p>
        </w:tc>
        <w:tc>
          <w:tcPr>
            <w:tcW w:w="5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1,704</w:t>
            </w:r>
          </w:p>
        </w:tc>
        <w:tc>
          <w:tcPr>
            <w:tcW w:w="54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(213)</w:t>
            </w:r>
          </w:p>
        </w:tc>
      </w:tr>
      <w:tr>
        <w:trPr>
          <w:trHeight w:val="216"/>
        </w:trPr>
        <w:tc>
          <w:tcPr>
            <w:tcW w:w="8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Investing activities</w:t>
            </w: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w w:val="95"/>
              </w:rPr>
              <w:t>(2,096)</w:t>
            </w:r>
          </w:p>
        </w:tc>
        <w:tc>
          <w:tcPr>
            <w:tcW w:w="10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2,262</w:t>
            </w:r>
          </w:p>
        </w:tc>
      </w:tr>
      <w:tr>
        <w:trPr>
          <w:trHeight w:val="216"/>
        </w:trPr>
        <w:tc>
          <w:tcPr>
            <w:tcW w:w="8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Financing activities</w:t>
            </w:r>
          </w:p>
        </w:tc>
        <w:tc>
          <w:tcPr>
            <w:tcW w:w="80" w:type="dxa"/>
            <w:vAlign w:val="bottom"/>
          </w:tcPr>
          <w:p>
            <w:pPr>
              <w:spacing w:after="0"/>
              <w:rPr>
                <w:sz w:val="18"/>
                <w:szCs w:val="18"/>
                <w:color w:val="auto"/>
              </w:rPr>
            </w:pPr>
          </w:p>
        </w:tc>
        <w:tc>
          <w:tcPr>
            <w:tcW w:w="10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w w:val="95"/>
              </w:rPr>
              <w:t>(1,465)</w:t>
            </w: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8"/>
              </w:rPr>
              <w:t>(1,928)</w:t>
            </w:r>
          </w:p>
        </w:tc>
      </w:tr>
      <w:tr>
        <w:trPr>
          <w:trHeight w:val="228"/>
        </w:trPr>
        <w:tc>
          <w:tcPr>
            <w:tcW w:w="8580" w:type="dxa"/>
            <w:vAlign w:val="bottom"/>
          </w:tcPr>
          <w:p>
            <w:pPr>
              <w:spacing w:after="0"/>
              <w:rPr>
                <w:sz w:val="20"/>
                <w:szCs w:val="20"/>
                <w:color w:val="auto"/>
              </w:rPr>
            </w:pPr>
            <w:r>
              <w:rPr>
                <w:rFonts w:ascii="Times New Roman" w:cs="Times New Roman" w:eastAsia="Times New Roman" w:hAnsi="Times New Roman"/>
                <w:sz w:val="18"/>
                <w:szCs w:val="18"/>
                <w:color w:val="auto"/>
              </w:rPr>
              <w:t>Effects of exchange rate changes</w:t>
            </w:r>
          </w:p>
        </w:tc>
        <w:tc>
          <w:tcPr>
            <w:tcW w:w="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19"/>
                <w:szCs w:val="19"/>
                <w:color w:val="auto"/>
              </w:rPr>
            </w:pP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59</w:t>
            </w:r>
          </w:p>
        </w:tc>
      </w:tr>
      <w:tr>
        <w:trPr>
          <w:trHeight w:val="225"/>
        </w:trPr>
        <w:tc>
          <w:tcPr>
            <w:tcW w:w="8580" w:type="dxa"/>
            <w:vAlign w:val="bottom"/>
          </w:tcPr>
          <w:p>
            <w:pPr>
              <w:spacing w:after="0"/>
              <w:rPr>
                <w:sz w:val="20"/>
                <w:szCs w:val="20"/>
                <w:color w:val="auto"/>
              </w:rPr>
            </w:pPr>
            <w:r>
              <w:rPr>
                <w:rFonts w:ascii="Times New Roman" w:cs="Times New Roman" w:eastAsia="Times New Roman" w:hAnsi="Times New Roman"/>
                <w:sz w:val="18"/>
                <w:szCs w:val="18"/>
                <w:color w:val="auto"/>
              </w:rPr>
              <w:t>Net change in cash and cash equivalents</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5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5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60" w:type="dxa"/>
            <w:vAlign w:val="bottom"/>
          </w:tcPr>
          <w:p>
            <w:pPr>
              <w:spacing w:after="0"/>
              <w:rPr>
                <w:sz w:val="19"/>
                <w:szCs w:val="19"/>
                <w:color w:val="auto"/>
              </w:rPr>
            </w:pPr>
          </w:p>
        </w:tc>
      </w:tr>
      <w:tr>
        <w:trPr>
          <w:trHeight w:val="20"/>
        </w:trPr>
        <w:tc>
          <w:tcPr>
            <w:tcW w:w="85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61" w:lineRule="exact"/>
        <w:rPr>
          <w:sz w:val="20"/>
          <w:szCs w:val="20"/>
          <w:color w:val="auto"/>
        </w:rPr>
      </w:pPr>
    </w:p>
    <w:p>
      <w:pPr>
        <w:jc w:val="both"/>
        <w:ind w:right="60"/>
        <w:spacing w:after="0" w:line="275" w:lineRule="auto"/>
        <w:rPr>
          <w:sz w:val="20"/>
          <w:szCs w:val="20"/>
          <w:color w:val="auto"/>
        </w:rPr>
      </w:pPr>
      <w:r>
        <w:rPr>
          <w:rFonts w:ascii="Times New Roman" w:cs="Times New Roman" w:eastAsia="Times New Roman" w:hAnsi="Times New Roman"/>
          <w:sz w:val="18"/>
          <w:szCs w:val="18"/>
          <w:color w:val="auto"/>
        </w:rPr>
        <w:t>During 2009, we generated $213 million less cash from operating activities than in 2008 as a result of having a year-over-year increase in earnings before income taxes and impairment costs that was smaller than the year-over-year reduction in depreciation expense.</w:t>
      </w:r>
    </w:p>
    <w:p>
      <w:pPr>
        <w:spacing w:after="0" w:line="120" w:lineRule="exact"/>
        <w:rPr>
          <w:sz w:val="20"/>
          <w:szCs w:val="20"/>
          <w:color w:val="auto"/>
        </w:rPr>
      </w:pPr>
    </w:p>
    <w:p>
      <w:pPr>
        <w:ind w:right="160"/>
        <w:spacing w:after="0" w:line="289" w:lineRule="auto"/>
        <w:rPr>
          <w:sz w:val="20"/>
          <w:szCs w:val="20"/>
          <w:color w:val="auto"/>
        </w:rPr>
      </w:pPr>
      <w:r>
        <w:rPr>
          <w:rFonts w:ascii="Times New Roman" w:cs="Times New Roman" w:eastAsia="Times New Roman" w:hAnsi="Times New Roman"/>
          <w:sz w:val="16"/>
          <w:szCs w:val="16"/>
          <w:color w:val="auto"/>
        </w:rPr>
        <w:t>We used approximately $2.3 billion less cash in investing activities during 2009 compared with 2008. This change primarily reflects the activities of our vehicle programs, which (i) used approximately $1.8 billion less cash to purchase vehicles during the year as we strategically maintained a smaller car rental fleet and</w:t>
      </w:r>
    </w:p>
    <w:p>
      <w:pPr>
        <w:spacing w:after="0" w:line="1" w:lineRule="exact"/>
        <w:rPr>
          <w:sz w:val="20"/>
          <w:szCs w:val="20"/>
          <w:color w:val="auto"/>
        </w:rPr>
      </w:pPr>
    </w:p>
    <w:p>
      <w:pPr>
        <w:ind w:right="140" w:firstLine="8"/>
        <w:spacing w:after="0" w:line="254" w:lineRule="auto"/>
        <w:tabs>
          <w:tab w:leader="none" w:pos="258"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recorded a $422 million increase in proceeds on disposition of vehicles. Additionally, we reduced spending by $144 million related to acquisitions of vehicle rental franchises, property, plant and equipment and other items during 2009. During 2010, we expect to utilize at least $4.2 billion of cash to purchase rental vehicles, which will primarily be funded with proceeds received on the sale of rental vehicles and borrowings under our vehicle-backed debt programs. We anticipate that our capital expenditures will approximate $75-95 million in 2010.</w:t>
      </w:r>
    </w:p>
    <w:p>
      <w:pPr>
        <w:spacing w:after="0" w:line="138"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8"/>
          <w:szCs w:val="18"/>
          <w:color w:val="auto"/>
        </w:rPr>
        <w:t>We generated approximately $1.9 billion less cash from financing activities during 2009 compared to 2008. This change primarily reflects an approximately $2.3 billion net decrease in cash provided under our vehicle programs’ financing activities, primarily due to reduced vehicle-backed debt borrowings offset by $311 million in net proceeds primarily from the issuance of our convertible notes, a warrant transaction and a convertible note hedge during 2009.</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Debt and Financing Arrangements</w:t>
      </w:r>
    </w:p>
    <w:p>
      <w:pPr>
        <w:spacing w:after="0" w:line="173"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At December 31, 2009, we had approximately $6.5 billion of indebtedness (including corporate indebtedness of approximately $2.1 billion and debt under vehicle programs of approximately $4.4 billion).</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Corporate indebtedness consisted of:</w:t>
            </w:r>
          </w:p>
        </w:tc>
        <w:tc>
          <w:tcPr>
            <w:tcW w:w="15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4"/>
        </w:trPr>
        <w:tc>
          <w:tcPr>
            <w:tcW w:w="41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As of</w:t>
            </w: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As of</w:t>
            </w: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1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32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Maturity</w:t>
            </w:r>
          </w:p>
        </w:tc>
        <w:tc>
          <w:tcPr>
            <w:tcW w:w="340" w:type="dxa"/>
            <w:vAlign w:val="bottom"/>
          </w:tcPr>
          <w:p>
            <w:pPr>
              <w:spacing w:after="0"/>
              <w:rPr>
                <w:sz w:val="18"/>
                <w:szCs w:val="18"/>
                <w:color w:val="auto"/>
              </w:rPr>
            </w:pPr>
          </w:p>
        </w:tc>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w w:val="95"/>
              </w:rPr>
              <w:t>December 31,</w:t>
            </w:r>
          </w:p>
        </w:tc>
        <w:tc>
          <w:tcPr>
            <w:tcW w:w="700" w:type="dxa"/>
            <w:vAlign w:val="bottom"/>
          </w:tcPr>
          <w:p>
            <w:pPr>
              <w:spacing w:after="0"/>
              <w:rPr>
                <w:sz w:val="18"/>
                <w:szCs w:val="18"/>
                <w:color w:val="auto"/>
              </w:rPr>
            </w:pPr>
          </w:p>
        </w:tc>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w w:val="95"/>
              </w:rPr>
              <w:t>December 31,</w:t>
            </w: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98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Date</w:t>
            </w:r>
          </w:p>
        </w:tc>
        <w:tc>
          <w:tcPr>
            <w:tcW w:w="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8"/>
                <w:szCs w:val="18"/>
                <w:b w:val="1"/>
                <w:bCs w:val="1"/>
                <w:color w:val="auto"/>
              </w:rPr>
              <w:t>2009</w:t>
            </w:r>
          </w:p>
        </w:tc>
        <w:tc>
          <w:tcPr>
            <w:tcW w:w="7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8"/>
                <w:szCs w:val="18"/>
                <w:b w:val="1"/>
                <w:bCs w:val="1"/>
                <w:color w:val="auto"/>
              </w:rPr>
              <w:t>2008</w:t>
            </w:r>
          </w:p>
        </w:tc>
        <w:tc>
          <w:tcPr>
            <w:tcW w:w="700" w:type="dxa"/>
            <w:vAlign w:val="bottom"/>
          </w:tcPr>
          <w:p>
            <w:pPr>
              <w:spacing w:after="0"/>
              <w:rPr>
                <w:sz w:val="20"/>
                <w:szCs w:val="20"/>
                <w:color w:val="auto"/>
              </w:rPr>
            </w:pPr>
          </w:p>
        </w:tc>
        <w:tc>
          <w:tcPr>
            <w:tcW w:w="5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w w:val="94"/>
              </w:rPr>
              <w:t>Change</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4120" w:type="dxa"/>
            <w:vAlign w:val="bottom"/>
          </w:tcPr>
          <w:p>
            <w:pPr>
              <w:spacing w:after="0" w:line="197" w:lineRule="exact"/>
              <w:rPr>
                <w:sz w:val="20"/>
                <w:szCs w:val="20"/>
                <w:color w:val="auto"/>
              </w:rPr>
            </w:pPr>
            <w:r>
              <w:rPr>
                <w:rFonts w:ascii="Times New Roman" w:cs="Times New Roman" w:eastAsia="Times New Roman" w:hAnsi="Times New Roman"/>
                <w:sz w:val="18"/>
                <w:szCs w:val="18"/>
                <w:color w:val="auto"/>
              </w:rPr>
              <w:t xml:space="preserve">Floating rate term loan </w:t>
            </w:r>
            <w:r>
              <w:rPr>
                <w:rFonts w:ascii="Times New Roman" w:cs="Times New Roman" w:eastAsia="Times New Roman" w:hAnsi="Times New Roman"/>
                <w:sz w:val="11"/>
                <w:szCs w:val="11"/>
                <w:color w:val="auto"/>
              </w:rPr>
              <w:t>(a) (b)</w:t>
            </w:r>
          </w:p>
        </w:tc>
        <w:tc>
          <w:tcPr>
            <w:tcW w:w="1520" w:type="dxa"/>
            <w:vAlign w:val="bottom"/>
          </w:tcPr>
          <w:p>
            <w:pPr>
              <w:spacing w:after="0"/>
              <w:rPr>
                <w:sz w:val="17"/>
                <w:szCs w:val="17"/>
                <w:color w:val="auto"/>
              </w:rPr>
            </w:pPr>
          </w:p>
        </w:tc>
        <w:tc>
          <w:tcPr>
            <w:tcW w:w="980" w:type="dxa"/>
            <w:vAlign w:val="bottom"/>
          </w:tcPr>
          <w:p>
            <w:pPr>
              <w:jc w:val="right"/>
              <w:spacing w:after="0" w:line="197" w:lineRule="exact"/>
              <w:rPr>
                <w:sz w:val="20"/>
                <w:szCs w:val="20"/>
                <w:color w:val="auto"/>
              </w:rPr>
            </w:pPr>
            <w:r>
              <w:rPr>
                <w:rFonts w:ascii="Times New Roman" w:cs="Times New Roman" w:eastAsia="Times New Roman" w:hAnsi="Times New Roman"/>
                <w:sz w:val="18"/>
                <w:szCs w:val="18"/>
                <w:color w:val="auto"/>
              </w:rPr>
              <w:t>April 2012</w:t>
            </w: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line="197" w:lineRule="exact"/>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line="197" w:lineRule="exact"/>
              <w:rPr>
                <w:sz w:val="20"/>
                <w:szCs w:val="20"/>
                <w:color w:val="auto"/>
              </w:rPr>
            </w:pPr>
            <w:r>
              <w:rPr>
                <w:rFonts w:ascii="Times New Roman" w:cs="Times New Roman" w:eastAsia="Times New Roman" w:hAnsi="Times New Roman"/>
                <w:sz w:val="18"/>
                <w:szCs w:val="18"/>
                <w:color w:val="auto"/>
              </w:rPr>
              <w:t>778</w:t>
            </w:r>
          </w:p>
        </w:tc>
        <w:tc>
          <w:tcPr>
            <w:tcW w:w="700" w:type="dxa"/>
            <w:vAlign w:val="bottom"/>
          </w:tcPr>
          <w:p>
            <w:pPr>
              <w:spacing w:after="0"/>
              <w:rPr>
                <w:sz w:val="17"/>
                <w:szCs w:val="17"/>
                <w:color w:val="auto"/>
              </w:rPr>
            </w:pPr>
          </w:p>
        </w:tc>
        <w:tc>
          <w:tcPr>
            <w:tcW w:w="200" w:type="dxa"/>
            <w:vAlign w:val="bottom"/>
          </w:tcPr>
          <w:p>
            <w:pPr>
              <w:spacing w:after="0" w:line="197" w:lineRule="exact"/>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line="197" w:lineRule="exact"/>
              <w:rPr>
                <w:sz w:val="20"/>
                <w:szCs w:val="20"/>
                <w:color w:val="auto"/>
              </w:rPr>
            </w:pPr>
            <w:r>
              <w:rPr>
                <w:rFonts w:ascii="Times New Roman" w:cs="Times New Roman" w:eastAsia="Times New Roman" w:hAnsi="Times New Roman"/>
                <w:sz w:val="18"/>
                <w:szCs w:val="18"/>
                <w:color w:val="auto"/>
              </w:rPr>
              <w:t>787</w:t>
            </w:r>
          </w:p>
        </w:tc>
        <w:tc>
          <w:tcPr>
            <w:tcW w:w="700" w:type="dxa"/>
            <w:vAlign w:val="bottom"/>
          </w:tcPr>
          <w:p>
            <w:pPr>
              <w:spacing w:after="0"/>
              <w:rPr>
                <w:sz w:val="17"/>
                <w:szCs w:val="17"/>
                <w:color w:val="auto"/>
              </w:rPr>
            </w:pPr>
          </w:p>
        </w:tc>
        <w:tc>
          <w:tcPr>
            <w:tcW w:w="200" w:type="dxa"/>
            <w:vAlign w:val="bottom"/>
          </w:tcPr>
          <w:p>
            <w:pPr>
              <w:spacing w:after="0" w:line="197" w:lineRule="exact"/>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jc w:val="right"/>
              <w:spacing w:after="0" w:line="197" w:lineRule="exact"/>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Floating rate notes </w:t>
            </w:r>
            <w:r>
              <w:rPr>
                <w:rFonts w:ascii="Times New Roman" w:cs="Times New Roman" w:eastAsia="Times New Roman" w:hAnsi="Times New Roman"/>
                <w:sz w:val="11"/>
                <w:szCs w:val="11"/>
                <w:color w:val="auto"/>
              </w:rPr>
              <w:t>(a)</w:t>
            </w:r>
          </w:p>
        </w:tc>
        <w:tc>
          <w:tcPr>
            <w:tcW w:w="1520" w:type="dxa"/>
            <w:vAlign w:val="bottom"/>
          </w:tcPr>
          <w:p>
            <w:pPr>
              <w:spacing w:after="0"/>
              <w:rPr>
                <w:sz w:val="18"/>
                <w:szCs w:val="18"/>
                <w:color w:val="auto"/>
              </w:rPr>
            </w:pPr>
          </w:p>
        </w:tc>
        <w:tc>
          <w:tcPr>
            <w:tcW w:w="13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May 2014</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7 </w:t>
            </w:r>
            <w:r>
              <w:rPr>
                <w:rFonts w:ascii="Times New Roman" w:cs="Times New Roman" w:eastAsia="Times New Roman" w:hAnsi="Times New Roman"/>
                <w:sz w:val="11"/>
                <w:szCs w:val="11"/>
                <w:color w:val="auto"/>
              </w:rPr>
              <w:t>5</w:t>
            </w:r>
            <w:r>
              <w:rPr>
                <w:rFonts w:ascii="Times New Roman" w:cs="Times New Roman" w:eastAsia="Times New Roman" w:hAnsi="Times New Roman"/>
                <w:sz w:val="18"/>
                <w:szCs w:val="18"/>
                <w:color w:val="auto"/>
              </w:rPr>
              <w:t>/</w:t>
            </w:r>
            <w:r>
              <w:rPr>
                <w:rFonts w:ascii="Times New Roman" w:cs="Times New Roman" w:eastAsia="Times New Roman" w:hAnsi="Times New Roman"/>
                <w:sz w:val="13"/>
                <w:szCs w:val="13"/>
                <w:color w:val="auto"/>
              </w:rPr>
              <w:t>8</w:t>
            </w:r>
            <w:r>
              <w:rPr>
                <w:rFonts w:ascii="Times New Roman" w:cs="Times New Roman" w:eastAsia="Times New Roman" w:hAnsi="Times New Roman"/>
                <w:sz w:val="18"/>
                <w:szCs w:val="18"/>
                <w:color w:val="auto"/>
              </w:rPr>
              <w:t xml:space="preserve">% notes </w:t>
            </w:r>
            <w:r>
              <w:rPr>
                <w:rFonts w:ascii="Times New Roman" w:cs="Times New Roman" w:eastAsia="Times New Roman" w:hAnsi="Times New Roman"/>
                <w:sz w:val="11"/>
                <w:szCs w:val="11"/>
                <w:color w:val="auto"/>
              </w:rPr>
              <w:t>(a)</w:t>
            </w:r>
          </w:p>
        </w:tc>
        <w:tc>
          <w:tcPr>
            <w:tcW w:w="1520" w:type="dxa"/>
            <w:vAlign w:val="bottom"/>
          </w:tcPr>
          <w:p>
            <w:pPr>
              <w:spacing w:after="0"/>
              <w:rPr>
                <w:sz w:val="18"/>
                <w:szCs w:val="18"/>
                <w:color w:val="auto"/>
              </w:rPr>
            </w:pPr>
          </w:p>
        </w:tc>
        <w:tc>
          <w:tcPr>
            <w:tcW w:w="13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May 2014</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3 </w:t>
            </w:r>
            <w:r>
              <w:rPr>
                <w:rFonts w:ascii="Times New Roman" w:cs="Times New Roman" w:eastAsia="Times New Roman" w:hAnsi="Times New Roman"/>
                <w:sz w:val="11"/>
                <w:szCs w:val="11"/>
                <w:color w:val="auto"/>
              </w:rPr>
              <w:t>1</w:t>
            </w:r>
            <w:r>
              <w:rPr>
                <w:rFonts w:ascii="Times New Roman" w:cs="Times New Roman" w:eastAsia="Times New Roman" w:hAnsi="Times New Roman"/>
                <w:sz w:val="18"/>
                <w:szCs w:val="18"/>
                <w:color w:val="auto"/>
              </w:rPr>
              <w:t>/</w:t>
            </w:r>
            <w:r>
              <w:rPr>
                <w:rFonts w:ascii="Times New Roman" w:cs="Times New Roman" w:eastAsia="Times New Roman" w:hAnsi="Times New Roman"/>
                <w:sz w:val="13"/>
                <w:szCs w:val="13"/>
                <w:color w:val="auto"/>
              </w:rPr>
              <w:t>2</w:t>
            </w:r>
            <w:r>
              <w:rPr>
                <w:rFonts w:ascii="Times New Roman" w:cs="Times New Roman" w:eastAsia="Times New Roman" w:hAnsi="Times New Roman"/>
                <w:sz w:val="18"/>
                <w:szCs w:val="18"/>
                <w:color w:val="auto"/>
              </w:rPr>
              <w:t xml:space="preserve">% convertible notes </w:t>
            </w:r>
            <w:r>
              <w:rPr>
                <w:rFonts w:ascii="Times New Roman" w:cs="Times New Roman" w:eastAsia="Times New Roman" w:hAnsi="Times New Roman"/>
                <w:sz w:val="11"/>
                <w:szCs w:val="11"/>
                <w:color w:val="auto"/>
              </w:rPr>
              <w:t>(c)</w:t>
            </w:r>
          </w:p>
        </w:tc>
        <w:tc>
          <w:tcPr>
            <w:tcW w:w="1520" w:type="dxa"/>
            <w:vAlign w:val="bottom"/>
          </w:tcPr>
          <w:p>
            <w:pPr>
              <w:spacing w:after="0"/>
              <w:rPr>
                <w:sz w:val="18"/>
                <w:szCs w:val="18"/>
                <w:color w:val="auto"/>
              </w:rPr>
            </w:pPr>
          </w:p>
        </w:tc>
        <w:tc>
          <w:tcPr>
            <w:tcW w:w="13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w w:val="97"/>
              </w:rPr>
              <w:t>October 2014</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345</w:t>
            </w:r>
          </w:p>
        </w:tc>
        <w:tc>
          <w:tcPr>
            <w:tcW w:w="0" w:type="dxa"/>
            <w:vAlign w:val="bottom"/>
          </w:tcPr>
          <w:p>
            <w:pPr>
              <w:spacing w:after="0"/>
              <w:rPr>
                <w:sz w:val="1"/>
                <w:szCs w:val="1"/>
                <w:color w:val="auto"/>
              </w:rPr>
            </w:pPr>
          </w:p>
        </w:tc>
      </w:tr>
      <w:tr>
        <w:trPr>
          <w:trHeight w:val="229"/>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7 </w:t>
            </w:r>
            <w:r>
              <w:rPr>
                <w:rFonts w:ascii="Times New Roman" w:cs="Times New Roman" w:eastAsia="Times New Roman" w:hAnsi="Times New Roman"/>
                <w:sz w:val="11"/>
                <w:szCs w:val="11"/>
                <w:color w:val="auto"/>
              </w:rPr>
              <w:t>3</w:t>
            </w:r>
            <w:r>
              <w:rPr>
                <w:rFonts w:ascii="Times New Roman" w:cs="Times New Roman" w:eastAsia="Times New Roman" w:hAnsi="Times New Roman"/>
                <w:sz w:val="18"/>
                <w:szCs w:val="18"/>
                <w:color w:val="auto"/>
              </w:rPr>
              <w:t>/</w:t>
            </w:r>
            <w:r>
              <w:rPr>
                <w:rFonts w:ascii="Times New Roman" w:cs="Times New Roman" w:eastAsia="Times New Roman" w:hAnsi="Times New Roman"/>
                <w:sz w:val="13"/>
                <w:szCs w:val="13"/>
                <w:color w:val="auto"/>
              </w:rPr>
              <w:t>4</w:t>
            </w:r>
            <w:r>
              <w:rPr>
                <w:rFonts w:ascii="Times New Roman" w:cs="Times New Roman" w:eastAsia="Times New Roman" w:hAnsi="Times New Roman"/>
                <w:sz w:val="18"/>
                <w:szCs w:val="18"/>
                <w:color w:val="auto"/>
              </w:rPr>
              <w:t xml:space="preserve">% notes </w:t>
            </w:r>
            <w:r>
              <w:rPr>
                <w:rFonts w:ascii="Times New Roman" w:cs="Times New Roman" w:eastAsia="Times New Roman" w:hAnsi="Times New Roman"/>
                <w:sz w:val="11"/>
                <w:szCs w:val="11"/>
                <w:color w:val="auto"/>
              </w:rPr>
              <w:t>(a)</w:t>
            </w:r>
          </w:p>
        </w:tc>
        <w:tc>
          <w:tcPr>
            <w:tcW w:w="1520" w:type="dxa"/>
            <w:vAlign w:val="bottom"/>
          </w:tcPr>
          <w:p>
            <w:pPr>
              <w:spacing w:after="0"/>
              <w:rPr>
                <w:sz w:val="19"/>
                <w:szCs w:val="19"/>
                <w:color w:val="auto"/>
              </w:rPr>
            </w:pPr>
          </w:p>
        </w:tc>
        <w:tc>
          <w:tcPr>
            <w:tcW w:w="13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May 2016</w:t>
            </w: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41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2,123</w:t>
            </w:r>
          </w:p>
        </w:tc>
        <w:tc>
          <w:tcPr>
            <w:tcW w:w="7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1,787</w:t>
            </w:r>
          </w:p>
        </w:tc>
        <w:tc>
          <w:tcPr>
            <w:tcW w:w="7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5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23"/>
        </w:trPr>
        <w:tc>
          <w:tcPr>
            <w:tcW w:w="41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2,131</w:t>
            </w:r>
          </w:p>
        </w:tc>
        <w:tc>
          <w:tcPr>
            <w:tcW w:w="70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1,789</w:t>
            </w:r>
          </w:p>
        </w:tc>
        <w:tc>
          <w:tcPr>
            <w:tcW w:w="70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2500" w:type="dxa"/>
            <w:vAlign w:val="bottom"/>
            <w:gridSpan w:val="2"/>
            <w:vMerge w:val="restart"/>
          </w:tcPr>
          <w:p>
            <w:pPr>
              <w:jc w:val="right"/>
              <w:ind w:right="732"/>
              <w:spacing w:after="0"/>
              <w:rPr>
                <w:sz w:val="20"/>
                <w:szCs w:val="20"/>
                <w:color w:val="auto"/>
              </w:rPr>
            </w:pPr>
            <w:r>
              <w:rPr>
                <w:rFonts w:ascii="Times New Roman" w:cs="Times New Roman" w:eastAsia="Times New Roman" w:hAnsi="Times New Roman"/>
                <w:sz w:val="18"/>
                <w:szCs w:val="18"/>
                <w:color w:val="auto"/>
              </w:rPr>
              <w:t>47</w:t>
            </w: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120" w:type="dxa"/>
            <w:vAlign w:val="bottom"/>
          </w:tcPr>
          <w:p>
            <w:pPr>
              <w:spacing w:after="0"/>
              <w:rPr>
                <w:sz w:val="24"/>
                <w:szCs w:val="24"/>
                <w:color w:val="auto"/>
              </w:rPr>
            </w:pPr>
          </w:p>
        </w:tc>
        <w:tc>
          <w:tcPr>
            <w:tcW w:w="2500" w:type="dxa"/>
            <w:vAlign w:val="bottom"/>
            <w:gridSpan w:val="2"/>
            <w:vMerge w:val="continue"/>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5" w:right="239" w:bottom="1440" w:gutter="0" w:footer="0" w:header="0"/>
        </w:sectPr>
      </w:pPr>
    </w:p>
    <w:bookmarkStart w:id="51" w:name="page52"/>
    <w:bookmarkEnd w:id="5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62" w:lineRule="exact"/>
        <w:rPr>
          <w:sz w:val="20"/>
          <w:szCs w:val="20"/>
          <w:color w:val="auto"/>
        </w:rPr>
      </w:pPr>
    </w:p>
    <w:p>
      <w:pPr>
        <w:ind w:left="340" w:right="200" w:hanging="332"/>
        <w:spacing w:after="0" w:line="237" w:lineRule="auto"/>
        <w:tabs>
          <w:tab w:leader="none" w:pos="340" w:val="left"/>
        </w:tabs>
        <w:numPr>
          <w:ilvl w:val="0"/>
          <w:numId w:val="3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As of December 31, 2009, the floating rate term loan and floating rate notes bear interest at three month LIBOR plus 375 basis points and three month LIBOR plus 250 basis points, respectively. We use various hedging strategies, including derivative instruments, to manage a portion of the risks associated with our floating rate debt.</w:t>
      </w:r>
    </w:p>
    <w:p>
      <w:pPr>
        <w:spacing w:after="0" w:line="1" w:lineRule="exact"/>
        <w:rPr>
          <w:rFonts w:ascii="Times New Roman" w:cs="Times New Roman" w:eastAsia="Times New Roman" w:hAnsi="Times New Roman"/>
          <w:sz w:val="22"/>
          <w:szCs w:val="22"/>
          <w:color w:val="auto"/>
          <w:vertAlign w:val="superscript"/>
        </w:rPr>
      </w:pPr>
    </w:p>
    <w:p>
      <w:pPr>
        <w:ind w:left="340" w:right="40" w:hanging="332"/>
        <w:spacing w:after="0" w:line="233" w:lineRule="auto"/>
        <w:tabs>
          <w:tab w:leader="none" w:pos="340" w:val="left"/>
        </w:tabs>
        <w:numPr>
          <w:ilvl w:val="0"/>
          <w:numId w:val="3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This floating rate term and our revolving credit facilities are secured by pledges of all of the capital stock of the Company’s direct or indirect domestic subsidiaries and up to 66% of the capital stock of each direct foreign subsidiary, subject to certain exceptions, and liens on substantially all of our intellectual property and certain other real and personal property.</w:t>
      </w:r>
    </w:p>
    <w:p>
      <w:pPr>
        <w:ind w:left="340" w:hanging="332"/>
        <w:spacing w:after="0" w:line="204" w:lineRule="auto"/>
        <w:tabs>
          <w:tab w:leader="none" w:pos="340" w:val="left"/>
        </w:tabs>
        <w:numPr>
          <w:ilvl w:val="0"/>
          <w:numId w:val="3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 xml:space="preserve">The 3 </w:t>
      </w:r>
      <w:r>
        <w:rPr>
          <w:rFonts w:ascii="Times New Roman" w:cs="Times New Roman" w:eastAsia="Times New Roman" w:hAnsi="Times New Roman"/>
          <w:sz w:val="11"/>
          <w:szCs w:val="11"/>
          <w:color w:val="auto"/>
        </w:rPr>
        <w:t>1</w:t>
      </w:r>
      <w:r>
        <w:rPr>
          <w:rFonts w:ascii="Times New Roman" w:cs="Times New Roman" w:eastAsia="Times New Roman" w:hAnsi="Times New Roman"/>
          <w:sz w:val="18"/>
          <w:szCs w:val="18"/>
          <w:color w:val="auto"/>
        </w:rPr>
        <w:t>/</w:t>
      </w:r>
      <w:r>
        <w:rPr>
          <w:rFonts w:ascii="Times New Roman" w:cs="Times New Roman" w:eastAsia="Times New Roman" w:hAnsi="Times New Roman"/>
          <w:sz w:val="13"/>
          <w:szCs w:val="13"/>
          <w:color w:val="auto"/>
        </w:rPr>
        <w:t>2</w:t>
      </w:r>
      <w:r>
        <w:rPr>
          <w:rFonts w:ascii="Times New Roman" w:cs="Times New Roman" w:eastAsia="Times New Roman" w:hAnsi="Times New Roman"/>
          <w:sz w:val="18"/>
          <w:szCs w:val="18"/>
          <w:color w:val="auto"/>
        </w:rPr>
        <w:t xml:space="preserve"> % convertible senior notes are convertible by the holders into approximately 21 million shares of our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-983615</wp:posOffset>
            </wp:positionV>
            <wp:extent cx="72898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1" w:lineRule="exact"/>
        <w:rPr>
          <w:sz w:val="20"/>
          <w:szCs w:val="20"/>
          <w:color w:val="auto"/>
        </w:rPr>
      </w:pPr>
    </w:p>
    <w:p>
      <w:pPr>
        <w:ind w:right="620"/>
        <w:spacing w:after="0" w:line="275" w:lineRule="auto"/>
        <w:rPr>
          <w:sz w:val="20"/>
          <w:szCs w:val="20"/>
          <w:color w:val="auto"/>
        </w:rPr>
      </w:pPr>
      <w:r>
        <w:rPr>
          <w:rFonts w:ascii="Times New Roman" w:cs="Times New Roman" w:eastAsia="Times New Roman" w:hAnsi="Times New Roman"/>
          <w:sz w:val="18"/>
          <w:szCs w:val="18"/>
          <w:color w:val="auto"/>
        </w:rPr>
        <w:t>The following table summarizes the components of our debt under vehicle programs (including related party debt due to Avis Budget Rental Car Funding (AESOP) LLC (“Avis Budget Rental Car Funding”)):</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gridSpan w:val="3"/>
          </w:tcPr>
          <w:p>
            <w:pPr>
              <w:ind w:left="12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220" w:type="dxa"/>
            <w:vAlign w:val="bottom"/>
          </w:tcPr>
          <w:p>
            <w:pPr>
              <w:spacing w:after="0"/>
              <w:rPr>
                <w:sz w:val="18"/>
                <w:szCs w:val="18"/>
                <w:color w:val="auto"/>
              </w:rPr>
            </w:pPr>
          </w:p>
        </w:tc>
        <w:tc>
          <w:tcPr>
            <w:tcW w:w="162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7080" w:type="dxa"/>
            <w:vAlign w:val="bottom"/>
          </w:tcPr>
          <w:p>
            <w:pPr>
              <w:spacing w:after="0"/>
              <w:rPr>
                <w:sz w:val="18"/>
                <w:szCs w:val="18"/>
                <w:color w:val="auto"/>
              </w:rPr>
            </w:pPr>
          </w:p>
        </w:tc>
        <w:tc>
          <w:tcPr>
            <w:tcW w:w="18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8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0"/>
        </w:trPr>
        <w:tc>
          <w:tcPr>
            <w:tcW w:w="7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right"/>
              <w:ind w:right="252"/>
              <w:spacing w:after="0"/>
              <w:rPr>
                <w:sz w:val="20"/>
                <w:szCs w:val="20"/>
                <w:color w:val="auto"/>
              </w:rPr>
            </w:pPr>
            <w:r>
              <w:rPr>
                <w:rFonts w:ascii="Times New Roman" w:cs="Times New Roman" w:eastAsia="Times New Roman" w:hAnsi="Times New Roman"/>
                <w:sz w:val="18"/>
                <w:szCs w:val="18"/>
                <w:b w:val="1"/>
                <w:bCs w:val="1"/>
                <w:color w:val="auto"/>
              </w:rPr>
              <w:t>2009</w:t>
            </w:r>
          </w:p>
        </w:tc>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ind w:right="252"/>
              <w:spacing w:after="0"/>
              <w:rPr>
                <w:sz w:val="20"/>
                <w:szCs w:val="20"/>
                <w:color w:val="auto"/>
              </w:rPr>
            </w:pPr>
            <w:r>
              <w:rPr>
                <w:rFonts w:ascii="Times New Roman" w:cs="Times New Roman" w:eastAsia="Times New Roman" w:hAnsi="Times New Roman"/>
                <w:sz w:val="18"/>
                <w:szCs w:val="18"/>
                <w:b w:val="1"/>
                <w:bCs w:val="1"/>
                <w:color w:val="auto"/>
              </w:rPr>
              <w:t>2008</w:t>
            </w:r>
          </w:p>
        </w:tc>
        <w:tc>
          <w:tcPr>
            <w:tcW w:w="800" w:type="dxa"/>
            <w:vAlign w:val="bottom"/>
          </w:tcPr>
          <w:p>
            <w:pPr>
              <w:spacing w:after="0"/>
              <w:rPr>
                <w:sz w:val="20"/>
                <w:szCs w:val="20"/>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91"/>
              </w:rPr>
              <w:t>Change</w:t>
            </w:r>
          </w:p>
        </w:tc>
      </w:tr>
      <w:tr>
        <w:trPr>
          <w:trHeight w:val="197"/>
        </w:trPr>
        <w:tc>
          <w:tcPr>
            <w:tcW w:w="7080" w:type="dxa"/>
            <w:vAlign w:val="bottom"/>
          </w:tcPr>
          <w:p>
            <w:pPr>
              <w:spacing w:after="0" w:line="197" w:lineRule="exact"/>
              <w:rPr>
                <w:sz w:val="20"/>
                <w:szCs w:val="20"/>
                <w:color w:val="auto"/>
              </w:rPr>
            </w:pPr>
            <w:r>
              <w:rPr>
                <w:rFonts w:ascii="Times New Roman" w:cs="Times New Roman" w:eastAsia="Times New Roman" w:hAnsi="Times New Roman"/>
                <w:sz w:val="18"/>
                <w:szCs w:val="18"/>
                <w:color w:val="auto"/>
              </w:rPr>
              <w:t xml:space="preserve">Debt due to Avis Budget Rental Car Funding </w:t>
            </w:r>
            <w:r>
              <w:rPr>
                <w:rFonts w:ascii="Times New Roman" w:cs="Times New Roman" w:eastAsia="Times New Roman" w:hAnsi="Times New Roman"/>
                <w:sz w:val="11"/>
                <w:szCs w:val="11"/>
                <w:color w:val="auto"/>
              </w:rPr>
              <w:t>(a)</w:t>
            </w:r>
          </w:p>
        </w:tc>
        <w:tc>
          <w:tcPr>
            <w:tcW w:w="200" w:type="dxa"/>
            <w:vAlign w:val="bottom"/>
            <w:tcBorders>
              <w:top w:val="single" w:sz="8" w:color="auto"/>
            </w:tcBorders>
          </w:tcPr>
          <w:p>
            <w:pPr>
              <w:spacing w:after="0" w:line="197" w:lineRule="exact"/>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rPr>
              <w:t>3,660</w:t>
            </w:r>
          </w:p>
        </w:tc>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Borders>
              <w:top w:val="single" w:sz="8" w:color="auto"/>
            </w:tcBorders>
          </w:tcPr>
          <w:p>
            <w:pPr>
              <w:spacing w:after="0" w:line="197" w:lineRule="exact"/>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rPr>
              <w:t>5,142</w:t>
            </w:r>
          </w:p>
        </w:tc>
        <w:tc>
          <w:tcPr>
            <w:tcW w:w="800" w:type="dxa"/>
            <w:vAlign w:val="bottom"/>
          </w:tcPr>
          <w:p>
            <w:pPr>
              <w:spacing w:after="0"/>
              <w:rPr>
                <w:sz w:val="17"/>
                <w:szCs w:val="17"/>
                <w:color w:val="auto"/>
              </w:rPr>
            </w:pPr>
          </w:p>
        </w:tc>
        <w:tc>
          <w:tcPr>
            <w:tcW w:w="580" w:type="dxa"/>
            <w:vAlign w:val="bottom"/>
            <w:tcBorders>
              <w:top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w w:val="84"/>
              </w:rPr>
              <w:t>$ (1,482)</w:t>
            </w:r>
          </w:p>
        </w:tc>
        <w:tc>
          <w:tcPr>
            <w:tcW w:w="60" w:type="dxa"/>
            <w:vAlign w:val="bottom"/>
          </w:tcPr>
          <w:p>
            <w:pPr>
              <w:spacing w:after="0"/>
              <w:rPr>
                <w:sz w:val="17"/>
                <w:szCs w:val="17"/>
                <w:color w:val="auto"/>
              </w:rPr>
            </w:pPr>
          </w:p>
        </w:tc>
      </w:tr>
      <w:tr>
        <w:trPr>
          <w:trHeight w:val="216"/>
        </w:trPr>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Budget Truck financing:</w:t>
            </w: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7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 xml:space="preserve">Budget Truck Funding program </w:t>
            </w:r>
            <w:r>
              <w:rPr>
                <w:rFonts w:ascii="Times New Roman" w:cs="Times New Roman" w:eastAsia="Times New Roman" w:hAnsi="Times New Roman"/>
                <w:sz w:val="11"/>
                <w:szCs w:val="11"/>
                <w:color w:val="auto"/>
              </w:rPr>
              <w:t>(b)</w:t>
            </w:r>
          </w:p>
        </w:tc>
        <w:tc>
          <w:tcPr>
            <w:tcW w:w="20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220</w:t>
            </w: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color w:val="auto"/>
              </w:rPr>
              <w:t>316</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(96)</w:t>
            </w:r>
          </w:p>
        </w:tc>
      </w:tr>
      <w:tr>
        <w:trPr>
          <w:trHeight w:val="216"/>
        </w:trPr>
        <w:tc>
          <w:tcPr>
            <w:tcW w:w="7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 xml:space="preserve">Capital leases </w:t>
            </w:r>
            <w:r>
              <w:rPr>
                <w:rFonts w:ascii="Times New Roman" w:cs="Times New Roman" w:eastAsia="Times New Roman" w:hAnsi="Times New Roman"/>
                <w:sz w:val="11"/>
                <w:szCs w:val="11"/>
                <w:color w:val="auto"/>
              </w:rPr>
              <w:t>(c)</w:t>
            </w:r>
          </w:p>
        </w:tc>
        <w:tc>
          <w:tcPr>
            <w:tcW w:w="20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w:t>
            </w: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color w:val="auto"/>
              </w:rPr>
              <w:t>126</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229"/>
        </w:trPr>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Pr>
          <w:p>
            <w:pPr>
              <w:spacing w:after="0"/>
              <w:rPr>
                <w:sz w:val="19"/>
                <w:szCs w:val="19"/>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463</w:t>
            </w: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2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color w:val="auto"/>
              </w:rPr>
              <w:t>450</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24"/>
        </w:trPr>
        <w:tc>
          <w:tcPr>
            <w:tcW w:w="708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4,374</w:t>
            </w:r>
          </w:p>
        </w:tc>
        <w:tc>
          <w:tcPr>
            <w:tcW w:w="76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6,034</w:t>
            </w:r>
          </w:p>
        </w:tc>
        <w:tc>
          <w:tcPr>
            <w:tcW w:w="80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 (1,660</w:t>
            </w:r>
          </w:p>
        </w:tc>
        <w:tc>
          <w:tcPr>
            <w:tcW w:w="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70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90" w:lineRule="exact"/>
        <w:rPr>
          <w:sz w:val="20"/>
          <w:szCs w:val="20"/>
          <w:color w:val="auto"/>
        </w:rPr>
      </w:pPr>
    </w:p>
    <w:p>
      <w:pPr>
        <w:sectPr>
          <w:pgSz w:w="11900" w:h="16838" w:orient="portrait"/>
          <w:cols w:equalWidth="0" w:num="1">
            <w:col w:w="11420"/>
          </w:cols>
          <w:pgMar w:left="240" w:top="455" w:right="239" w:bottom="1440" w:gutter="0" w:footer="0" w:header="0"/>
        </w:sectPr>
      </w:pPr>
    </w:p>
    <w:p>
      <w:pPr>
        <w:spacing w:after="0"/>
        <w:rPr>
          <w:sz w:val="20"/>
          <w:szCs w:val="20"/>
          <w:color w:val="auto"/>
        </w:rPr>
      </w:pPr>
      <w:r>
        <w:rPr>
          <w:rFonts w:ascii="Times New Roman" w:cs="Times New Roman" w:eastAsia="Times New Roman" w:hAnsi="Times New Roman"/>
          <w:sz w:val="11"/>
          <w:szCs w:val="11"/>
          <w:color w:val="auto"/>
        </w:rPr>
        <w:t>(a)</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(b)</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(c)</w:t>
      </w:r>
    </w:p>
    <w:p>
      <w:pPr>
        <w:spacing w:after="0" w:line="20" w:lineRule="exact"/>
        <w:rPr>
          <w:sz w:val="20"/>
          <w:szCs w:val="20"/>
          <w:color w:val="auto"/>
        </w:rPr>
      </w:pPr>
      <w:r>
        <w:rPr>
          <w:sz w:val="20"/>
          <w:szCs w:val="20"/>
          <w:color w:val="auto"/>
        </w:rPr>
        <w:br w:type="column"/>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decrease reflects reduced borrowing within Domestic Car Rental operations, principally due to a decrease in the size of our domestic car rental fleet.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-132715</wp:posOffset>
            </wp:positionV>
            <wp:extent cx="72898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decrease reflects facility maturities and reduced borrowing, principally due to a decrease in the size of our Budget Truck rental fleet.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decrease principally reflects maturities of capital lease arrangements.</w:t>
      </w:r>
    </w:p>
    <w:p>
      <w:pPr>
        <w:spacing w:after="0" w:line="159" w:lineRule="exact"/>
        <w:rPr>
          <w:sz w:val="20"/>
          <w:szCs w:val="20"/>
          <w:color w:val="auto"/>
        </w:rPr>
      </w:pPr>
    </w:p>
    <w:p>
      <w:pPr>
        <w:sectPr>
          <w:pgSz w:w="11900" w:h="16838" w:orient="portrait"/>
          <w:cols w:equalWidth="0" w:num="2">
            <w:col w:w="140" w:space="200"/>
            <w:col w:w="11080"/>
          </w:cols>
          <w:pgMar w:left="240" w:top="455" w:right="239" w:bottom="1440" w:gutter="0" w:footer="0" w:header="0"/>
          <w:type w:val="continuous"/>
        </w:sectPr>
      </w:pPr>
    </w:p>
    <w:p>
      <w:pPr>
        <w:ind w:right="480"/>
        <w:spacing w:after="0" w:line="275" w:lineRule="auto"/>
        <w:rPr>
          <w:sz w:val="20"/>
          <w:szCs w:val="20"/>
          <w:color w:val="auto"/>
        </w:rPr>
      </w:pPr>
      <w:r>
        <w:rPr>
          <w:rFonts w:ascii="Times New Roman" w:cs="Times New Roman" w:eastAsia="Times New Roman" w:hAnsi="Times New Roman"/>
          <w:sz w:val="18"/>
          <w:szCs w:val="18"/>
          <w:color w:val="auto"/>
        </w:rPr>
        <w:t>The following table provides the contractual maturities for our corporate debt and our debt under vehicle programs (including related party debt due to Avis Budget Rental Car Funding) at December 31, 2009:</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w w:val="98"/>
              </w:rPr>
              <w:t>Debt under</w:t>
            </w:r>
          </w:p>
        </w:tc>
      </w:tr>
      <w:tr>
        <w:trPr>
          <w:trHeight w:val="216"/>
        </w:trPr>
        <w:tc>
          <w:tcPr>
            <w:tcW w:w="9020" w:type="dxa"/>
            <w:vAlign w:val="bottom"/>
          </w:tcPr>
          <w:p>
            <w:pPr>
              <w:spacing w:after="0"/>
              <w:rPr>
                <w:sz w:val="18"/>
                <w:szCs w:val="18"/>
                <w:color w:val="auto"/>
              </w:rPr>
            </w:pPr>
          </w:p>
        </w:tc>
        <w:tc>
          <w:tcPr>
            <w:tcW w:w="8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w w:val="94"/>
              </w:rPr>
              <w:t>Corporate</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w w:val="98"/>
              </w:rPr>
              <w:t>Vehicle</w:t>
            </w:r>
          </w:p>
        </w:tc>
      </w:tr>
      <w:tr>
        <w:trPr>
          <w:trHeight w:val="230"/>
        </w:trPr>
        <w:tc>
          <w:tcPr>
            <w:tcW w:w="9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Debt</w:t>
            </w:r>
          </w:p>
        </w:tc>
        <w:tc>
          <w:tcPr>
            <w:tcW w:w="740" w:type="dxa"/>
            <w:vAlign w:val="bottom"/>
          </w:tcPr>
          <w:p>
            <w:pPr>
              <w:spacing w:after="0"/>
              <w:rPr>
                <w:sz w:val="20"/>
                <w:szCs w:val="20"/>
                <w:color w:val="auto"/>
              </w:rPr>
            </w:pPr>
          </w:p>
        </w:tc>
        <w:tc>
          <w:tcPr>
            <w:tcW w:w="8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Programs</w:t>
            </w:r>
          </w:p>
        </w:tc>
      </w:tr>
      <w:tr>
        <w:trPr>
          <w:trHeight w:val="197"/>
        </w:trPr>
        <w:tc>
          <w:tcPr>
            <w:tcW w:w="9020" w:type="dxa"/>
            <w:vAlign w:val="bottom"/>
          </w:tcPr>
          <w:p>
            <w:pPr>
              <w:spacing w:after="0" w:line="197" w:lineRule="exact"/>
              <w:rPr>
                <w:sz w:val="20"/>
                <w:szCs w:val="20"/>
                <w:color w:val="auto"/>
              </w:rPr>
            </w:pPr>
            <w:r>
              <w:rPr>
                <w:rFonts w:ascii="Times New Roman" w:cs="Times New Roman" w:eastAsia="Times New Roman" w:hAnsi="Times New Roman"/>
                <w:sz w:val="18"/>
                <w:szCs w:val="18"/>
                <w:color w:val="auto"/>
              </w:rPr>
              <w:t>Due in 2010</w:t>
            </w:r>
          </w:p>
        </w:tc>
        <w:tc>
          <w:tcPr>
            <w:tcW w:w="160" w:type="dxa"/>
            <w:vAlign w:val="bottom"/>
            <w:tcBorders>
              <w:top w:val="single" w:sz="8" w:color="auto"/>
            </w:tcBorders>
          </w:tcPr>
          <w:p>
            <w:pPr>
              <w:spacing w:after="0" w:line="197" w:lineRule="exact"/>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rPr>
              <w:t>12</w:t>
            </w:r>
          </w:p>
        </w:tc>
        <w:tc>
          <w:tcPr>
            <w:tcW w:w="740" w:type="dxa"/>
            <w:vAlign w:val="bottom"/>
          </w:tcPr>
          <w:p>
            <w:pPr>
              <w:spacing w:after="0"/>
              <w:rPr>
                <w:sz w:val="17"/>
                <w:szCs w:val="17"/>
                <w:color w:val="auto"/>
              </w:rPr>
            </w:pPr>
          </w:p>
        </w:tc>
        <w:tc>
          <w:tcPr>
            <w:tcW w:w="120" w:type="dxa"/>
            <w:vAlign w:val="bottom"/>
            <w:tcBorders>
              <w:top w:val="single" w:sz="8" w:color="auto"/>
            </w:tcBorders>
          </w:tcPr>
          <w:p>
            <w:pPr>
              <w:spacing w:after="0" w:line="197" w:lineRule="exact"/>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rPr>
              <w:t>1,584</w:t>
            </w:r>
          </w:p>
        </w:tc>
        <w:tc>
          <w:tcPr>
            <w:tcW w:w="20" w:type="dxa"/>
            <w:vAlign w:val="bottom"/>
          </w:tcPr>
          <w:p>
            <w:pPr>
              <w:spacing w:after="0"/>
              <w:rPr>
                <w:sz w:val="17"/>
                <w:szCs w:val="17"/>
                <w:color w:val="auto"/>
              </w:rPr>
            </w:pPr>
          </w:p>
        </w:tc>
      </w:tr>
      <w:tr>
        <w:trPr>
          <w:trHeight w:val="216"/>
        </w:trPr>
        <w:tc>
          <w:tcPr>
            <w:tcW w:w="9020" w:type="dxa"/>
            <w:vAlign w:val="bottom"/>
          </w:tcPr>
          <w:p>
            <w:pPr>
              <w:spacing w:after="0"/>
              <w:rPr>
                <w:sz w:val="20"/>
                <w:szCs w:val="20"/>
                <w:color w:val="auto"/>
              </w:rPr>
            </w:pPr>
            <w:r>
              <w:rPr>
                <w:rFonts w:ascii="Times New Roman" w:cs="Times New Roman" w:eastAsia="Times New Roman" w:hAnsi="Times New Roman"/>
                <w:sz w:val="18"/>
                <w:szCs w:val="18"/>
                <w:color w:val="auto"/>
              </w:rPr>
              <w:t>Due in 2011</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748</w:t>
            </w:r>
          </w:p>
        </w:tc>
      </w:tr>
      <w:tr>
        <w:trPr>
          <w:trHeight w:val="216"/>
        </w:trPr>
        <w:tc>
          <w:tcPr>
            <w:tcW w:w="9020" w:type="dxa"/>
            <w:vAlign w:val="bottom"/>
          </w:tcPr>
          <w:p>
            <w:pPr>
              <w:spacing w:after="0"/>
              <w:rPr>
                <w:sz w:val="20"/>
                <w:szCs w:val="20"/>
                <w:color w:val="auto"/>
              </w:rPr>
            </w:pPr>
            <w:r>
              <w:rPr>
                <w:rFonts w:ascii="Times New Roman" w:cs="Times New Roman" w:eastAsia="Times New Roman" w:hAnsi="Times New Roman"/>
                <w:sz w:val="18"/>
                <w:szCs w:val="18"/>
                <w:color w:val="auto"/>
              </w:rPr>
              <w:t>Due in 2012</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761</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1,865</w:t>
            </w:r>
          </w:p>
        </w:tc>
      </w:tr>
      <w:tr>
        <w:trPr>
          <w:trHeight w:val="216"/>
        </w:trPr>
        <w:tc>
          <w:tcPr>
            <w:tcW w:w="9020" w:type="dxa"/>
            <w:vAlign w:val="bottom"/>
          </w:tcPr>
          <w:p>
            <w:pPr>
              <w:spacing w:after="0"/>
              <w:rPr>
                <w:sz w:val="20"/>
                <w:szCs w:val="20"/>
                <w:color w:val="auto"/>
              </w:rPr>
            </w:pPr>
            <w:r>
              <w:rPr>
                <w:rFonts w:ascii="Times New Roman" w:cs="Times New Roman" w:eastAsia="Times New Roman" w:hAnsi="Times New Roman"/>
                <w:sz w:val="18"/>
                <w:szCs w:val="18"/>
                <w:color w:val="auto"/>
              </w:rPr>
              <w:t>Due in 2013</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150</w:t>
            </w:r>
          </w:p>
        </w:tc>
      </w:tr>
      <w:tr>
        <w:trPr>
          <w:trHeight w:val="216"/>
        </w:trPr>
        <w:tc>
          <w:tcPr>
            <w:tcW w:w="9020" w:type="dxa"/>
            <w:vAlign w:val="bottom"/>
          </w:tcPr>
          <w:p>
            <w:pPr>
              <w:spacing w:after="0"/>
              <w:rPr>
                <w:sz w:val="20"/>
                <w:szCs w:val="20"/>
                <w:color w:val="auto"/>
              </w:rPr>
            </w:pPr>
            <w:r>
              <w:rPr>
                <w:rFonts w:ascii="Times New Roman" w:cs="Times New Roman" w:eastAsia="Times New Roman" w:hAnsi="Times New Roman"/>
                <w:sz w:val="18"/>
                <w:szCs w:val="18"/>
                <w:color w:val="auto"/>
              </w:rPr>
              <w:t>Due in 2014</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971</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902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w:t>
            </w: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w:t>
            </w:r>
          </w:p>
        </w:tc>
      </w:tr>
      <w:tr>
        <w:trPr>
          <w:trHeight w:val="224"/>
        </w:trPr>
        <w:tc>
          <w:tcPr>
            <w:tcW w:w="90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2,131</w:t>
            </w:r>
          </w:p>
        </w:tc>
        <w:tc>
          <w:tcPr>
            <w:tcW w:w="74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4,374</w:t>
            </w:r>
          </w:p>
        </w:tc>
        <w:tc>
          <w:tcPr>
            <w:tcW w:w="20" w:type="dxa"/>
            <w:vAlign w:val="bottom"/>
          </w:tcPr>
          <w:p>
            <w:pPr>
              <w:spacing w:after="0"/>
              <w:rPr>
                <w:sz w:val="19"/>
                <w:szCs w:val="19"/>
                <w:color w:val="auto"/>
              </w:rPr>
            </w:pPr>
          </w:p>
        </w:tc>
      </w:tr>
      <w:tr>
        <w:trPr>
          <w:trHeight w:val="20"/>
        </w:trPr>
        <w:tc>
          <w:tcPr>
            <w:tcW w:w="90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1"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8"/>
          <w:szCs w:val="18"/>
          <w:color w:val="auto"/>
        </w:rPr>
        <w:t>At December 31, 2009, we had approximately $3.5 billion of available funding under our various financing arrangements (comprised of $761 million of availability under our revolving credit facility and approximately $2.7 billion available for use in our vehicle programs). As of December 31, 2009, the committed credit facilities available to us and/or our subsidiaries at the corporate or Avis Budget Car Rental level included: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6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660" w:type="dxa"/>
            <w:vAlign w:val="bottom"/>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20" w:type="dxa"/>
            <w:vAlign w:val="bottom"/>
          </w:tcPr>
          <w:p>
            <w:pPr>
              <w:spacing w:after="0"/>
              <w:rPr>
                <w:sz w:val="18"/>
                <w:szCs w:val="18"/>
                <w:color w:val="auto"/>
              </w:rPr>
            </w:pPr>
          </w:p>
        </w:tc>
        <w:tc>
          <w:tcPr>
            <w:tcW w:w="1760" w:type="dxa"/>
            <w:vAlign w:val="bottom"/>
            <w:gridSpan w:val="3"/>
          </w:tcPr>
          <w:p>
            <w:pPr>
              <w:jc w:val="right"/>
              <w:ind w:right="820"/>
              <w:spacing w:after="0"/>
              <w:rPr>
                <w:sz w:val="20"/>
                <w:szCs w:val="20"/>
                <w:color w:val="auto"/>
              </w:rPr>
            </w:pPr>
            <w:r>
              <w:rPr>
                <w:rFonts w:ascii="Times New Roman" w:cs="Times New Roman" w:eastAsia="Times New Roman" w:hAnsi="Times New Roman"/>
                <w:sz w:val="18"/>
                <w:szCs w:val="18"/>
                <w:b w:val="1"/>
                <w:bCs w:val="1"/>
                <w:color w:val="auto"/>
                <w:w w:val="95"/>
              </w:rPr>
              <w:t>Outstanding</w:t>
            </w:r>
          </w:p>
        </w:tc>
        <w:tc>
          <w:tcPr>
            <w:tcW w:w="120" w:type="dxa"/>
            <w:vAlign w:val="bottom"/>
          </w:tcPr>
          <w:p>
            <w:pPr>
              <w:spacing w:after="0"/>
              <w:rPr>
                <w:sz w:val="18"/>
                <w:szCs w:val="18"/>
                <w:color w:val="auto"/>
              </w:rPr>
            </w:pP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Letters of</w:t>
            </w:r>
          </w:p>
        </w:tc>
        <w:tc>
          <w:tcPr>
            <w:tcW w:w="7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w w:val="95"/>
              </w:rPr>
              <w:t>Available</w:t>
            </w:r>
          </w:p>
        </w:tc>
      </w:tr>
      <w:tr>
        <w:trPr>
          <w:trHeight w:val="230"/>
        </w:trPr>
        <w:tc>
          <w:tcPr>
            <w:tcW w:w="376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2"/>
              </w:rPr>
              <w:t>Capacity</w:t>
            </w:r>
          </w:p>
        </w:tc>
        <w:tc>
          <w:tcPr>
            <w:tcW w:w="820" w:type="dxa"/>
            <w:vAlign w:val="bottom"/>
          </w:tcPr>
          <w:p>
            <w:pPr>
              <w:spacing w:after="0"/>
              <w:rPr>
                <w:sz w:val="20"/>
                <w:szCs w:val="20"/>
                <w:color w:val="auto"/>
              </w:rPr>
            </w:pPr>
          </w:p>
        </w:tc>
        <w:tc>
          <w:tcPr>
            <w:tcW w:w="1760" w:type="dxa"/>
            <w:vAlign w:val="bottom"/>
            <w:gridSpan w:val="3"/>
          </w:tcPr>
          <w:p>
            <w:pPr>
              <w:jc w:val="right"/>
              <w:ind w:right="860"/>
              <w:spacing w:after="0"/>
              <w:rPr>
                <w:sz w:val="20"/>
                <w:szCs w:val="20"/>
                <w:color w:val="auto"/>
              </w:rPr>
            </w:pPr>
            <w:r>
              <w:rPr>
                <w:rFonts w:ascii="Times New Roman" w:cs="Times New Roman" w:eastAsia="Times New Roman" w:hAnsi="Times New Roman"/>
                <w:sz w:val="18"/>
                <w:szCs w:val="18"/>
                <w:b w:val="1"/>
                <w:bCs w:val="1"/>
                <w:color w:val="auto"/>
                <w:w w:val="97"/>
              </w:rPr>
              <w:t>Borrowings</w:t>
            </w:r>
          </w:p>
        </w:tc>
        <w:tc>
          <w:tcPr>
            <w:tcW w:w="18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Credit Issued</w:t>
            </w:r>
          </w:p>
        </w:tc>
        <w:tc>
          <w:tcPr>
            <w:tcW w:w="7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w w:val="98"/>
              </w:rPr>
              <w:t>Capacity</w:t>
            </w:r>
          </w:p>
        </w:tc>
      </w:tr>
      <w:tr>
        <w:trPr>
          <w:trHeight w:val="197"/>
        </w:trPr>
        <w:tc>
          <w:tcPr>
            <w:tcW w:w="37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 xml:space="preserve">Revolving credit facility </w:t>
            </w:r>
            <w:r>
              <w:rPr>
                <w:rFonts w:ascii="Times New Roman" w:cs="Times New Roman" w:eastAsia="Times New Roman" w:hAnsi="Times New Roman"/>
                <w:sz w:val="22"/>
                <w:szCs w:val="22"/>
                <w:color w:val="auto"/>
                <w:vertAlign w:val="superscript"/>
              </w:rPr>
              <w:t>(a)</w:t>
            </w:r>
          </w:p>
        </w:tc>
        <w:tc>
          <w:tcPr>
            <w:tcW w:w="1900" w:type="dxa"/>
            <w:vAlign w:val="bottom"/>
          </w:tcPr>
          <w:p>
            <w:pPr>
              <w:spacing w:after="0"/>
              <w:rPr>
                <w:sz w:val="17"/>
                <w:szCs w:val="17"/>
                <w:color w:val="auto"/>
              </w:rPr>
            </w:pPr>
          </w:p>
        </w:tc>
        <w:tc>
          <w:tcPr>
            <w:tcW w:w="660" w:type="dxa"/>
            <w:vAlign w:val="bottom"/>
            <w:tcBorders>
              <w:top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rPr>
              <w:t>$  1,150</w:t>
            </w:r>
          </w:p>
        </w:tc>
        <w:tc>
          <w:tcPr>
            <w:tcW w:w="820" w:type="dxa"/>
            <w:vAlign w:val="bottom"/>
          </w:tcPr>
          <w:p>
            <w:pPr>
              <w:spacing w:after="0"/>
              <w:rPr>
                <w:sz w:val="17"/>
                <w:szCs w:val="17"/>
                <w:color w:val="auto"/>
              </w:rPr>
            </w:pPr>
          </w:p>
        </w:tc>
        <w:tc>
          <w:tcPr>
            <w:tcW w:w="480" w:type="dxa"/>
            <w:vAlign w:val="bottom"/>
            <w:tcBorders>
              <w:top w:val="single" w:sz="8" w:color="auto"/>
            </w:tcBorders>
          </w:tcPr>
          <w:p>
            <w:pPr>
              <w:jc w:val="right"/>
              <w:ind w:right="314"/>
              <w:spacing w:after="0"/>
              <w:rPr>
                <w:sz w:val="20"/>
                <w:szCs w:val="20"/>
                <w:color w:val="auto"/>
              </w:rPr>
            </w:pPr>
            <w:r>
              <w:rPr>
                <w:rFonts w:ascii="Times New Roman" w:cs="Times New Roman" w:eastAsia="Times New Roman" w:hAnsi="Times New Roman"/>
                <w:sz w:val="16"/>
                <w:szCs w:val="16"/>
                <w:color w:val="auto"/>
                <w:w w:val="74"/>
              </w:rPr>
              <w:t>$</w:t>
            </w:r>
          </w:p>
        </w:tc>
        <w:tc>
          <w:tcPr>
            <w:tcW w:w="460" w:type="dxa"/>
            <w:vAlign w:val="bottom"/>
            <w:tcBorders>
              <w:top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spacing w:after="0"/>
              <w:rPr>
                <w:sz w:val="17"/>
                <w:szCs w:val="17"/>
                <w:color w:val="auto"/>
              </w:rPr>
            </w:pPr>
          </w:p>
        </w:tc>
        <w:tc>
          <w:tcPr>
            <w:tcW w:w="120" w:type="dxa"/>
            <w:vAlign w:val="bottom"/>
            <w:tcBorders>
              <w:top w:val="single" w:sz="8" w:color="auto"/>
            </w:tcBorders>
          </w:tcPr>
          <w:p>
            <w:pPr>
              <w:spacing w:after="0" w:line="197" w:lineRule="exact"/>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tcPr>
          <w:p>
            <w:pPr>
              <w:ind w:left="620"/>
              <w:spacing w:after="0" w:line="197" w:lineRule="exact"/>
              <w:rPr>
                <w:sz w:val="20"/>
                <w:szCs w:val="20"/>
                <w:color w:val="auto"/>
              </w:rPr>
            </w:pPr>
            <w:r>
              <w:rPr>
                <w:rFonts w:ascii="Times New Roman" w:cs="Times New Roman" w:eastAsia="Times New Roman" w:hAnsi="Times New Roman"/>
                <w:sz w:val="18"/>
                <w:szCs w:val="18"/>
                <w:color w:val="auto"/>
                <w:w w:val="88"/>
              </w:rPr>
              <w:t>389</w:t>
            </w:r>
          </w:p>
        </w:tc>
        <w:tc>
          <w:tcPr>
            <w:tcW w:w="820" w:type="dxa"/>
            <w:vAlign w:val="bottom"/>
          </w:tcPr>
          <w:p>
            <w:pPr>
              <w:spacing w:after="0"/>
              <w:rPr>
                <w:sz w:val="17"/>
                <w:szCs w:val="17"/>
                <w:color w:val="auto"/>
              </w:rPr>
            </w:pPr>
          </w:p>
        </w:tc>
        <w:tc>
          <w:tcPr>
            <w:tcW w:w="260" w:type="dxa"/>
            <w:vAlign w:val="bottom"/>
            <w:tcBorders>
              <w:top w:val="single" w:sz="8" w:color="auto"/>
            </w:tcBorders>
          </w:tcPr>
          <w:p>
            <w:pPr>
              <w:spacing w:after="0" w:line="197" w:lineRule="exact"/>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top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rPr>
              <w:t>761</w:t>
            </w:r>
          </w:p>
        </w:tc>
        <w:tc>
          <w:tcPr>
            <w:tcW w:w="20" w:type="dxa"/>
            <w:vAlign w:val="bottom"/>
          </w:tcPr>
          <w:p>
            <w:pPr>
              <w:spacing w:after="0"/>
              <w:rPr>
                <w:sz w:val="17"/>
                <w:szCs w:val="17"/>
                <w:color w:val="auto"/>
              </w:rPr>
            </w:pPr>
          </w:p>
        </w:tc>
      </w:tr>
      <w:tr>
        <w:trPr>
          <w:trHeight w:val="307"/>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Letter of credit facility </w:t>
            </w:r>
            <w:r>
              <w:rPr>
                <w:rFonts w:ascii="Times New Roman" w:cs="Times New Roman" w:eastAsia="Times New Roman" w:hAnsi="Times New Roman"/>
                <w:sz w:val="22"/>
                <w:szCs w:val="22"/>
                <w:color w:val="auto"/>
                <w:vertAlign w:val="superscript"/>
              </w:rPr>
              <w:t>(b)</w:t>
            </w:r>
          </w:p>
        </w:tc>
        <w:tc>
          <w:tcPr>
            <w:tcW w:w="2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8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80" w:type="dxa"/>
            <w:vAlign w:val="bottom"/>
            <w:gridSpan w:val="2"/>
          </w:tcPr>
          <w:p>
            <w:pPr>
              <w:jc w:val="right"/>
              <w:ind w:right="8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170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100</w:t>
            </w:r>
          </w:p>
        </w:tc>
        <w:tc>
          <w:tcPr>
            <w:tcW w:w="260" w:type="dxa"/>
            <w:vAlign w:val="bottom"/>
          </w:tcPr>
          <w:p>
            <w:pPr>
              <w:spacing w:after="0"/>
              <w:rPr>
                <w:sz w:val="24"/>
                <w:szCs w:val="24"/>
                <w:color w:val="auto"/>
              </w:rPr>
            </w:pPr>
          </w:p>
        </w:tc>
        <w:tc>
          <w:tcPr>
            <w:tcW w:w="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r>
      <w:tr>
        <w:trPr>
          <w:trHeight w:val="286"/>
        </w:trPr>
        <w:tc>
          <w:tcPr>
            <w:tcW w:w="3760" w:type="dxa"/>
            <w:vAlign w:val="bottom"/>
          </w:tcPr>
          <w:p>
            <w:pPr>
              <w:spacing w:after="0"/>
              <w:rPr>
                <w:sz w:val="24"/>
                <w:szCs w:val="24"/>
                <w:color w:val="auto"/>
              </w:rPr>
            </w:pPr>
          </w:p>
        </w:tc>
        <w:tc>
          <w:tcPr>
            <w:tcW w:w="2560" w:type="dxa"/>
            <w:vAlign w:val="bottom"/>
            <w:gridSpan w:val="2"/>
          </w:tcPr>
          <w:p>
            <w:pPr>
              <w:jc w:val="right"/>
              <w:ind w:right="432"/>
              <w:spacing w:after="0"/>
              <w:rPr>
                <w:sz w:val="20"/>
                <w:szCs w:val="20"/>
                <w:color w:val="auto"/>
              </w:rPr>
            </w:pPr>
            <w:r>
              <w:rPr>
                <w:rFonts w:ascii="Times New Roman" w:cs="Times New Roman" w:eastAsia="Times New Roman" w:hAnsi="Times New Roman"/>
                <w:sz w:val="18"/>
                <w:szCs w:val="18"/>
                <w:color w:val="auto"/>
              </w:rPr>
              <w:t>48</w:t>
            </w:r>
          </w:p>
        </w:tc>
        <w:tc>
          <w:tcPr>
            <w:tcW w:w="8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455" w:right="239" w:bottom="1440" w:gutter="0" w:footer="0" w:header="0"/>
          <w:type w:val="continuous"/>
        </w:sectPr>
      </w:pPr>
    </w:p>
    <w:bookmarkStart w:id="52" w:name="page53"/>
    <w:bookmarkEnd w:id="5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62" w:lineRule="exact"/>
        <w:rPr>
          <w:sz w:val="20"/>
          <w:szCs w:val="20"/>
          <w:color w:val="auto"/>
        </w:rPr>
      </w:pPr>
    </w:p>
    <w:p>
      <w:pPr>
        <w:ind w:left="340" w:right="60" w:hanging="332"/>
        <w:spacing w:after="0" w:line="243" w:lineRule="auto"/>
        <w:tabs>
          <w:tab w:leader="none" w:pos="340" w:val="left"/>
        </w:tabs>
        <w:numPr>
          <w:ilvl w:val="0"/>
          <w:numId w:val="32"/>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This secured revolving credit facility, which was entered into by Avis Budget Car Rental in April 2006 and amended in December 2008, has a five year term and as of December 31, 2009 bears interest at one month LIBOR plus 400 basis points. The senior credit facilities, which encompass the floating rate term loan and the revolving credit facility, are secured by pledges of all of the capital stock of all of our direct or indirect domestic subsidiaries and up to 66% of the capital stock of each direct foreign subsidiary, subject to certain exceptions, and liens on substantially all of our intellectual property and certain other real and personal property. There is $761 million available capacity for the issuance of letters of credit, while the remaining borrowing capacity is $275 million, as total outstanding borrowings are limited to $275 million under this secured revolving credit facility.</w:t>
      </w:r>
    </w:p>
    <w:p>
      <w:pPr>
        <w:spacing w:after="0" w:line="4" w:lineRule="exact"/>
        <w:rPr>
          <w:rFonts w:ascii="Times New Roman" w:cs="Times New Roman" w:eastAsia="Times New Roman" w:hAnsi="Times New Roman"/>
          <w:sz w:val="22"/>
          <w:szCs w:val="22"/>
          <w:color w:val="auto"/>
          <w:vertAlign w:val="superscript"/>
        </w:rPr>
      </w:pPr>
    </w:p>
    <w:p>
      <w:pPr>
        <w:ind w:left="340" w:hanging="332"/>
        <w:spacing w:after="0" w:line="204" w:lineRule="auto"/>
        <w:tabs>
          <w:tab w:leader="none" w:pos="340" w:val="left"/>
        </w:tabs>
        <w:numPr>
          <w:ilvl w:val="0"/>
          <w:numId w:val="32"/>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Final maturity date is March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-983615</wp:posOffset>
            </wp:positionV>
            <wp:extent cx="72898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available funding under our debt arrangements related to our vehicle programs at December 31, 2009:</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6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Outstanding</w:t>
            </w:r>
          </w:p>
        </w:tc>
        <w:tc>
          <w:tcPr>
            <w:tcW w:w="7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w w:val="95"/>
              </w:rPr>
              <w:t>Available</w:t>
            </w:r>
          </w:p>
        </w:tc>
      </w:tr>
      <w:tr>
        <w:trPr>
          <w:trHeight w:val="230"/>
        </w:trPr>
        <w:tc>
          <w:tcPr>
            <w:tcW w:w="7480" w:type="dxa"/>
            <w:vAlign w:val="bottom"/>
          </w:tcPr>
          <w:p>
            <w:pPr>
              <w:spacing w:after="0"/>
              <w:rPr>
                <w:sz w:val="20"/>
                <w:szCs w:val="20"/>
                <w:color w:val="auto"/>
              </w:rPr>
            </w:pPr>
          </w:p>
        </w:tc>
        <w:tc>
          <w:tcPr>
            <w:tcW w:w="158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Capacity </w:t>
            </w:r>
            <w:r>
              <w:rPr>
                <w:rFonts w:ascii="Times New Roman" w:cs="Times New Roman" w:eastAsia="Times New Roman" w:hAnsi="Times New Roman"/>
                <w:sz w:val="11"/>
                <w:szCs w:val="11"/>
                <w:b w:val="1"/>
                <w:bCs w:val="1"/>
                <w:color w:val="auto"/>
              </w:rPr>
              <w:t>(a)</w:t>
            </w:r>
          </w:p>
        </w:tc>
        <w:tc>
          <w:tcPr>
            <w:tcW w:w="166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Borrowings</w:t>
            </w:r>
          </w:p>
        </w:tc>
        <w:tc>
          <w:tcPr>
            <w:tcW w:w="7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w w:val="98"/>
              </w:rPr>
              <w:t>Capacity</w:t>
            </w:r>
          </w:p>
        </w:tc>
      </w:tr>
      <w:tr>
        <w:trPr>
          <w:trHeight w:val="197"/>
        </w:trPr>
        <w:tc>
          <w:tcPr>
            <w:tcW w:w="7480" w:type="dxa"/>
            <w:vAlign w:val="bottom"/>
          </w:tcPr>
          <w:p>
            <w:pPr>
              <w:spacing w:after="0" w:line="197" w:lineRule="exact"/>
              <w:rPr>
                <w:sz w:val="20"/>
                <w:szCs w:val="20"/>
                <w:color w:val="auto"/>
              </w:rPr>
            </w:pPr>
            <w:r>
              <w:rPr>
                <w:rFonts w:ascii="Times New Roman" w:cs="Times New Roman" w:eastAsia="Times New Roman" w:hAnsi="Times New Roman"/>
                <w:sz w:val="18"/>
                <w:szCs w:val="18"/>
                <w:color w:val="auto"/>
              </w:rPr>
              <w:t xml:space="preserve">Debt due to Avis Budget Rental Car Funding </w:t>
            </w:r>
            <w:r>
              <w:rPr>
                <w:rFonts w:ascii="Times New Roman" w:cs="Times New Roman" w:eastAsia="Times New Roman" w:hAnsi="Times New Roman"/>
                <w:sz w:val="11"/>
                <w:szCs w:val="11"/>
                <w:color w:val="auto"/>
              </w:rPr>
              <w:t>(b)</w:t>
            </w:r>
          </w:p>
        </w:tc>
        <w:tc>
          <w:tcPr>
            <w:tcW w:w="180" w:type="dxa"/>
            <w:vAlign w:val="bottom"/>
            <w:tcBorders>
              <w:top w:val="single" w:sz="8" w:color="auto"/>
            </w:tcBorders>
          </w:tcPr>
          <w:p>
            <w:pPr>
              <w:ind w:left="20"/>
              <w:spacing w:after="0" w:line="197" w:lineRule="exact"/>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rPr>
              <w:t>5,985</w:t>
            </w: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20" w:type="dxa"/>
            <w:vAlign w:val="bottom"/>
            <w:tcBorders>
              <w:top w:val="single" w:sz="8" w:color="auto"/>
            </w:tcBorders>
          </w:tcPr>
          <w:p>
            <w:pPr>
              <w:spacing w:after="0" w:line="197" w:lineRule="exact"/>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rPr>
              <w:t>3,660</w:t>
            </w:r>
          </w:p>
        </w:tc>
        <w:tc>
          <w:tcPr>
            <w:tcW w:w="720" w:type="dxa"/>
            <w:vAlign w:val="bottom"/>
          </w:tcPr>
          <w:p>
            <w:pPr>
              <w:spacing w:after="0"/>
              <w:rPr>
                <w:sz w:val="17"/>
                <w:szCs w:val="17"/>
                <w:color w:val="auto"/>
              </w:rPr>
            </w:pPr>
          </w:p>
        </w:tc>
        <w:tc>
          <w:tcPr>
            <w:tcW w:w="200" w:type="dxa"/>
            <w:vAlign w:val="bottom"/>
            <w:tcBorders>
              <w:top w:val="single" w:sz="8" w:color="auto"/>
            </w:tcBorders>
          </w:tcPr>
          <w:p>
            <w:pPr>
              <w:spacing w:after="0" w:line="197" w:lineRule="exact"/>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rPr>
              <w:t>2,325</w:t>
            </w:r>
          </w:p>
        </w:tc>
        <w:tc>
          <w:tcPr>
            <w:tcW w:w="20" w:type="dxa"/>
            <w:vAlign w:val="bottom"/>
          </w:tcPr>
          <w:p>
            <w:pPr>
              <w:spacing w:after="0"/>
              <w:rPr>
                <w:sz w:val="17"/>
                <w:szCs w:val="17"/>
                <w:color w:val="auto"/>
              </w:rPr>
            </w:pPr>
          </w:p>
        </w:tc>
      </w:tr>
      <w:tr>
        <w:trPr>
          <w:trHeight w:val="216"/>
        </w:trPr>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Budget Truck Financing:</w:t>
            </w: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7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 xml:space="preserve">Budget Truck Funding program </w:t>
            </w:r>
            <w:r>
              <w:rPr>
                <w:rFonts w:ascii="Times New Roman" w:cs="Times New Roman" w:eastAsia="Times New Roman" w:hAnsi="Times New Roman"/>
                <w:sz w:val="11"/>
                <w:szCs w:val="11"/>
                <w:color w:val="auto"/>
              </w:rPr>
              <w:t>(c)</w:t>
            </w:r>
          </w:p>
        </w:tc>
        <w:tc>
          <w:tcPr>
            <w:tcW w:w="18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220</w:t>
            </w: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220</w:t>
            </w:r>
          </w:p>
        </w:tc>
        <w:tc>
          <w:tcPr>
            <w:tcW w:w="20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 xml:space="preserve">Capital leases </w:t>
            </w:r>
            <w:r>
              <w:rPr>
                <w:rFonts w:ascii="Times New Roman" w:cs="Times New Roman" w:eastAsia="Times New Roman" w:hAnsi="Times New Roman"/>
                <w:sz w:val="11"/>
                <w:szCs w:val="11"/>
                <w:color w:val="auto"/>
              </w:rPr>
              <w:t>(d)</w:t>
            </w:r>
          </w:p>
        </w:tc>
        <w:tc>
          <w:tcPr>
            <w:tcW w:w="18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w:t>
            </w: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31</w:t>
            </w:r>
          </w:p>
        </w:tc>
        <w:tc>
          <w:tcPr>
            <w:tcW w:w="20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Other </w:t>
            </w:r>
            <w:r>
              <w:rPr>
                <w:rFonts w:ascii="Times New Roman" w:cs="Times New Roman" w:eastAsia="Times New Roman" w:hAnsi="Times New Roman"/>
                <w:sz w:val="11"/>
                <w:szCs w:val="11"/>
                <w:color w:val="auto"/>
              </w:rPr>
              <w:t>(e)</w:t>
            </w:r>
          </w:p>
        </w:tc>
        <w:tc>
          <w:tcPr>
            <w:tcW w:w="180" w:type="dxa"/>
            <w:vAlign w:val="bottom"/>
          </w:tcPr>
          <w:p>
            <w:pPr>
              <w:spacing w:after="0"/>
              <w:rPr>
                <w:sz w:val="19"/>
                <w:szCs w:val="19"/>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874</w:t>
            </w:r>
          </w:p>
        </w:tc>
        <w:tc>
          <w:tcPr>
            <w:tcW w:w="7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463</w:t>
            </w:r>
          </w:p>
        </w:tc>
        <w:tc>
          <w:tcPr>
            <w:tcW w:w="200" w:type="dxa"/>
            <w:vAlign w:val="bottom"/>
          </w:tcPr>
          <w:p>
            <w:pPr>
              <w:spacing w:after="0"/>
              <w:rPr>
                <w:sz w:val="19"/>
                <w:szCs w:val="19"/>
                <w:color w:val="auto"/>
              </w:rPr>
            </w:pP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411</w:t>
            </w:r>
          </w:p>
        </w:tc>
      </w:tr>
      <w:tr>
        <w:trPr>
          <w:trHeight w:val="224"/>
        </w:trPr>
        <w:tc>
          <w:tcPr>
            <w:tcW w:w="7480" w:type="dxa"/>
            <w:vAlign w:val="bottom"/>
          </w:tcPr>
          <w:p>
            <w:pPr>
              <w:spacing w:after="0"/>
              <w:rPr>
                <w:sz w:val="19"/>
                <w:szCs w:val="19"/>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7,110</w:t>
            </w:r>
          </w:p>
        </w:tc>
        <w:tc>
          <w:tcPr>
            <w:tcW w:w="70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4,374</w:t>
            </w:r>
          </w:p>
        </w:tc>
        <w:tc>
          <w:tcPr>
            <w:tcW w:w="7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2,736</w:t>
            </w:r>
          </w:p>
        </w:tc>
        <w:tc>
          <w:tcPr>
            <w:tcW w:w="20" w:type="dxa"/>
            <w:vAlign w:val="bottom"/>
          </w:tcPr>
          <w:p>
            <w:pPr>
              <w:spacing w:after="0"/>
              <w:rPr>
                <w:sz w:val="19"/>
                <w:szCs w:val="19"/>
                <w:color w:val="auto"/>
              </w:rPr>
            </w:pPr>
          </w:p>
        </w:tc>
      </w:tr>
      <w:tr>
        <w:trPr>
          <w:trHeight w:val="20"/>
        </w:trPr>
        <w:tc>
          <w:tcPr>
            <w:tcW w:w="74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90" w:lineRule="exact"/>
        <w:rPr>
          <w:sz w:val="20"/>
          <w:szCs w:val="20"/>
          <w:color w:val="auto"/>
        </w:rPr>
      </w:pPr>
    </w:p>
    <w:p>
      <w:pPr>
        <w:sectPr>
          <w:pgSz w:w="11900" w:h="16838" w:orient="portrait"/>
          <w:cols w:equalWidth="0" w:num="1">
            <w:col w:w="11420"/>
          </w:cols>
          <w:pgMar w:left="240" w:top="455" w:right="239" w:bottom="1440" w:gutter="0" w:footer="0" w:header="0"/>
        </w:sectPr>
      </w:pPr>
    </w:p>
    <w:p>
      <w:pPr>
        <w:spacing w:after="0"/>
        <w:rPr>
          <w:sz w:val="20"/>
          <w:szCs w:val="20"/>
          <w:color w:val="auto"/>
        </w:rPr>
      </w:pPr>
      <w:r>
        <w:rPr>
          <w:rFonts w:ascii="Times New Roman" w:cs="Times New Roman" w:eastAsia="Times New Roman" w:hAnsi="Times New Roman"/>
          <w:sz w:val="11"/>
          <w:szCs w:val="11"/>
          <w:color w:val="auto"/>
        </w:rPr>
        <w:t>(a)</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(b)</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(c)</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(d)</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(e)</w:t>
      </w:r>
    </w:p>
    <w:p>
      <w:pPr>
        <w:spacing w:after="0" w:line="20" w:lineRule="exact"/>
        <w:rPr>
          <w:sz w:val="20"/>
          <w:szCs w:val="20"/>
          <w:color w:val="auto"/>
        </w:rPr>
      </w:pPr>
      <w:r>
        <w:rPr>
          <w:sz w:val="20"/>
          <w:szCs w:val="20"/>
          <w:color w:val="auto"/>
        </w:rPr>
        <w:br w:type="column"/>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Capacity is subject to maintaining sufficient assets to collateralize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-147320</wp:posOffset>
            </wp:positionV>
            <wp:extent cx="72898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outstanding debt is collateralized by approximately $5.1 billion of underlying vehicles and related assets.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outstanding debt is collateralized by $291 million of underlying vehicles and related assets.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capital leases are collateralized by $41 million of underlying vehicles.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outstanding debt is collateralized by $986 million of vehicles and related assets.</w:t>
      </w:r>
    </w:p>
    <w:p>
      <w:pPr>
        <w:spacing w:after="0" w:line="159" w:lineRule="exact"/>
        <w:rPr>
          <w:sz w:val="20"/>
          <w:szCs w:val="20"/>
          <w:color w:val="auto"/>
        </w:rPr>
      </w:pPr>
    </w:p>
    <w:p>
      <w:pPr>
        <w:sectPr>
          <w:pgSz w:w="11900" w:h="16838" w:orient="portrait"/>
          <w:cols w:equalWidth="0" w:num="2">
            <w:col w:w="140" w:space="200"/>
            <w:col w:w="11080"/>
          </w:cols>
          <w:pgMar w:left="240" w:top="455" w:right="239" w:bottom="1440" w:gutter="0" w:footer="0" w:header="0"/>
          <w:type w:val="continuous"/>
        </w:sectPr>
      </w:pPr>
    </w:p>
    <w:p>
      <w:pPr>
        <w:ind w:right="20"/>
        <w:spacing w:after="0" w:line="275" w:lineRule="auto"/>
        <w:rPr>
          <w:sz w:val="20"/>
          <w:szCs w:val="20"/>
          <w:color w:val="auto"/>
        </w:rPr>
      </w:pPr>
      <w:r>
        <w:rPr>
          <w:rFonts w:ascii="Times New Roman" w:cs="Times New Roman" w:eastAsia="Times New Roman" w:hAnsi="Times New Roman"/>
          <w:sz w:val="18"/>
          <w:szCs w:val="18"/>
          <w:color w:val="auto"/>
        </w:rPr>
        <w:t>The significant terms for our outstanding debt instruments, credit facilities and available funding arrangements as of December 31, 2009 can be found in Notes 17 and 18 to our Consolidated Financial Statements.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Risk</w:t>
      </w:r>
    </w:p>
    <w:p>
      <w:pPr>
        <w:spacing w:after="0" w:line="173" w:lineRule="exact"/>
        <w:rPr>
          <w:sz w:val="20"/>
          <w:szCs w:val="20"/>
          <w:color w:val="auto"/>
        </w:rPr>
      </w:pPr>
    </w:p>
    <w:p>
      <w:pPr>
        <w:ind w:right="200"/>
        <w:spacing w:after="0" w:line="262" w:lineRule="auto"/>
        <w:rPr>
          <w:sz w:val="20"/>
          <w:szCs w:val="20"/>
          <w:color w:val="auto"/>
        </w:rPr>
      </w:pPr>
      <w:r>
        <w:rPr>
          <w:rFonts w:ascii="Times New Roman" w:cs="Times New Roman" w:eastAsia="Times New Roman" w:hAnsi="Times New Roman"/>
          <w:sz w:val="18"/>
          <w:szCs w:val="18"/>
          <w:color w:val="auto"/>
        </w:rPr>
        <w:t>Our primary liquidity needs include the payment of operating expenses, servicing of corporate and vehicle related debt and procurement of rental vehicles to be used in our operations. Our primary sources of funding are operating revenue, cash received upon sale of vehicles, financing activities, borrowings under our vehicle-backed borrowing arrangements and our revolving credit facility.</w:t>
      </w:r>
    </w:p>
    <w:p>
      <w:pPr>
        <w:spacing w:after="0" w:line="132" w:lineRule="exact"/>
        <w:rPr>
          <w:sz w:val="20"/>
          <w:szCs w:val="20"/>
          <w:color w:val="auto"/>
        </w:rPr>
      </w:pPr>
    </w:p>
    <w:p>
      <w:pPr>
        <w:ind w:right="20"/>
        <w:spacing w:after="0" w:line="275" w:lineRule="auto"/>
        <w:rPr>
          <w:sz w:val="20"/>
          <w:szCs w:val="20"/>
          <w:color w:val="auto"/>
        </w:rPr>
      </w:pPr>
      <w:r>
        <w:rPr>
          <w:rFonts w:ascii="Times New Roman" w:cs="Times New Roman" w:eastAsia="Times New Roman" w:hAnsi="Times New Roman"/>
          <w:sz w:val="18"/>
          <w:szCs w:val="18"/>
          <w:color w:val="auto"/>
        </w:rPr>
        <w:t>As we discussed above, as of December 31, 2009, we have cash and cash equivalents of $482 million, available letter of credit capacity under our revolving credit facility of $761 million, and available capacity under our vehicle programs of approximately $2.7 billion.</w:t>
      </w:r>
    </w:p>
    <w:p>
      <w:pPr>
        <w:spacing w:after="0" w:line="120" w:lineRule="exact"/>
        <w:rPr>
          <w:sz w:val="20"/>
          <w:szCs w:val="20"/>
          <w:color w:val="auto"/>
        </w:rPr>
      </w:pPr>
    </w:p>
    <w:p>
      <w:pPr>
        <w:ind w:right="20"/>
        <w:spacing w:after="0" w:line="291" w:lineRule="auto"/>
        <w:rPr>
          <w:sz w:val="20"/>
          <w:szCs w:val="20"/>
          <w:color w:val="auto"/>
        </w:rPr>
      </w:pPr>
      <w:r>
        <w:rPr>
          <w:rFonts w:ascii="Times New Roman" w:cs="Times New Roman" w:eastAsia="Times New Roman" w:hAnsi="Times New Roman"/>
          <w:sz w:val="16"/>
          <w:szCs w:val="16"/>
          <w:color w:val="auto"/>
        </w:rPr>
        <w:t>Our liquidity position has been and may be negatively affected by financial market disruptions and the downturn in the U.S. and worldwide economies, which have resulted in and may result in further unfavorable conditions in the vehicle rental industry, in the asset-backed financing market, and in the credit markets generally. We believe these factors have affected and could further affect the debt ratings assigned to us by credit rating agencies and the cost of our borrowings. Additionally, a downturn in the U.S. economy or a disruption in the credit markets could impact our liquidity due to (i) decreased demand and pricing for vehicles in the used vehicle market, (ii) increased costs associated with, and/or reduced capacity or increased collateral needs under, our financings, (iii) the adverse impact of vehicle manufacturers, including General Motors Company, Ford Motor Company, Chrysler Group LLC, Hyundai Motor America, or Kia Motors America, being unable or unwilling to honor its obligations to repurchase or guarantee the depreciation on the related program vehicles, (iv) disruption in our</w:t>
      </w:r>
    </w:p>
    <w:p>
      <w:pPr>
        <w:spacing w:after="0" w:line="1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420"/>
          </w:cols>
          <w:pgMar w:left="240" w:top="455" w:right="239" w:bottom="1440" w:gutter="0" w:footer="0" w:header="0"/>
          <w:type w:val="continuous"/>
        </w:sectPr>
      </w:pPr>
    </w:p>
    <w:bookmarkStart w:id="53" w:name="page54"/>
    <w:bookmarkEnd w:id="5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180"/>
        <w:spacing w:after="0" w:line="293" w:lineRule="auto"/>
        <w:rPr>
          <w:sz w:val="20"/>
          <w:szCs w:val="20"/>
          <w:color w:val="auto"/>
        </w:rPr>
      </w:pPr>
      <w:r>
        <w:rPr>
          <w:rFonts w:ascii="Times New Roman" w:cs="Times New Roman" w:eastAsia="Times New Roman" w:hAnsi="Times New Roman"/>
          <w:sz w:val="16"/>
          <w:szCs w:val="16"/>
          <w:color w:val="auto"/>
        </w:rPr>
        <w:t>ability to obtain financing due to negative credit events specific to us or affecting the overall debt market, (v) the impact of an insolvency event or actual or potential default by any of the financial guaranty firms that have insured a portion of our outstanding vehicle-backed debt and (vi) the effect of any of Realogy, Wyndham or Travelport being unable or unwilling to honor its obligations under the Separation Agreement and the Tax Sharing Agreement. Financial guaranty firms Ambac Assurance Corporation, MBIA Insurance Corporation, Assured Guaranty Corp. and Syncora Guarantee Inc. currently provide financial guaranties for approximately $1.45 billion, $683 million, $250 million and $125 million, respectively, of our domestic term asset-backed car rental financing. Certain insolvency events by these financial guarantors would result in principal of the related financings being required to be repaid sooner than anticipated.</w:t>
      </w:r>
    </w:p>
    <w:p>
      <w:pPr>
        <w:spacing w:after="0" w:line="111"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Our liquidity position also may be negatively affected if we are unable to remain in compliance with the financial and other covenants associated with our senior credit facilities and other borrowings. As of December 31, 2009, we were in compliance with the financial covenants in our senior credit facilities. Commencing with our fiscal quarter ending June 30, 2010, the requirement to maintain trailing twelve month EBITDA under the financial covenants of our senior credit facilities will be replaced by a maximum leverage ratio.</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principal future contractual obligations as of December 31, 2009:</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340" w:type="dxa"/>
            <w:vAlign w:val="bottom"/>
          </w:tcPr>
          <w:p>
            <w:pPr>
              <w:spacing w:after="0"/>
              <w:rPr>
                <w:sz w:val="20"/>
                <w:szCs w:val="20"/>
                <w:color w:val="auto"/>
              </w:rPr>
            </w:pPr>
          </w:p>
        </w:tc>
        <w:tc>
          <w:tcPr>
            <w:tcW w:w="1800" w:type="dxa"/>
            <w:vAlign w:val="bottom"/>
            <w:gridSpan w:val="3"/>
          </w:tcPr>
          <w:p>
            <w:pPr>
              <w:ind w:left="1340"/>
              <w:spacing w:after="0"/>
              <w:rPr>
                <w:sz w:val="20"/>
                <w:szCs w:val="20"/>
                <w:color w:val="auto"/>
              </w:rPr>
            </w:pPr>
            <w:r>
              <w:rPr>
                <w:rFonts w:ascii="Times New Roman" w:cs="Times New Roman" w:eastAsia="Times New Roman" w:hAnsi="Times New Roman"/>
                <w:sz w:val="18"/>
                <w:szCs w:val="18"/>
                <w:b w:val="1"/>
                <w:bCs w:val="1"/>
                <w:color w:val="auto"/>
              </w:rPr>
              <w:t>2010</w:t>
            </w: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2011</w:t>
            </w:r>
          </w:p>
        </w:tc>
        <w:tc>
          <w:tcPr>
            <w:tcW w:w="340" w:type="dxa"/>
            <w:vAlign w:val="bottom"/>
          </w:tcPr>
          <w:p>
            <w:pPr>
              <w:spacing w:after="0"/>
              <w:rPr>
                <w:sz w:val="20"/>
                <w:szCs w:val="20"/>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2012</w:t>
            </w: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2013</w:t>
            </w:r>
          </w:p>
        </w:tc>
        <w:tc>
          <w:tcPr>
            <w:tcW w:w="340" w:type="dxa"/>
            <w:vAlign w:val="bottom"/>
          </w:tcPr>
          <w:p>
            <w:pPr>
              <w:spacing w:after="0"/>
              <w:rPr>
                <w:sz w:val="20"/>
                <w:szCs w:val="20"/>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2014</w:t>
            </w:r>
          </w:p>
        </w:tc>
        <w:tc>
          <w:tcPr>
            <w:tcW w:w="340" w:type="dxa"/>
            <w:vAlign w:val="bottom"/>
          </w:tcPr>
          <w:p>
            <w:pPr>
              <w:spacing w:after="0"/>
              <w:rPr>
                <w:sz w:val="20"/>
                <w:szCs w:val="20"/>
                <w:color w:val="auto"/>
              </w:rPr>
            </w:pPr>
          </w:p>
        </w:tc>
        <w:tc>
          <w:tcPr>
            <w:tcW w:w="8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w w:val="93"/>
              </w:rPr>
              <w:t>Thereafter</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w w:val="87"/>
              </w:rPr>
              <w:t>Total</w:t>
            </w:r>
          </w:p>
        </w:tc>
      </w:tr>
      <w:tr>
        <w:trPr>
          <w:trHeight w:val="197"/>
        </w:trPr>
        <w:tc>
          <w:tcPr>
            <w:tcW w:w="4340" w:type="dxa"/>
            <w:vAlign w:val="bottom"/>
          </w:tcPr>
          <w:p>
            <w:pPr>
              <w:spacing w:after="0" w:line="197" w:lineRule="exact"/>
              <w:rPr>
                <w:sz w:val="20"/>
                <w:szCs w:val="20"/>
                <w:color w:val="auto"/>
              </w:rPr>
            </w:pPr>
            <w:r>
              <w:rPr>
                <w:rFonts w:ascii="Times New Roman" w:cs="Times New Roman" w:eastAsia="Times New Roman" w:hAnsi="Times New Roman"/>
                <w:sz w:val="18"/>
                <w:szCs w:val="18"/>
                <w:color w:val="auto"/>
              </w:rPr>
              <w:t xml:space="preserve">Long-term debt, including current portion </w:t>
            </w:r>
            <w:r>
              <w:rPr>
                <w:rFonts w:ascii="Times New Roman" w:cs="Times New Roman" w:eastAsia="Times New Roman" w:hAnsi="Times New Roman"/>
                <w:sz w:val="11"/>
                <w:szCs w:val="11"/>
                <w:color w:val="auto"/>
              </w:rPr>
              <w:t>(a)</w:t>
            </w:r>
          </w:p>
        </w:tc>
        <w:tc>
          <w:tcPr>
            <w:tcW w:w="1220" w:type="dxa"/>
            <w:vAlign w:val="bottom"/>
          </w:tcPr>
          <w:p>
            <w:pPr>
              <w:spacing w:after="0"/>
              <w:rPr>
                <w:sz w:val="17"/>
                <w:szCs w:val="17"/>
                <w:color w:val="auto"/>
              </w:rPr>
            </w:pPr>
          </w:p>
        </w:tc>
        <w:tc>
          <w:tcPr>
            <w:tcW w:w="180" w:type="dxa"/>
            <w:vAlign w:val="bottom"/>
            <w:tcBorders>
              <w:top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w w:val="74"/>
              </w:rPr>
              <w:t>$</w:t>
            </w:r>
          </w:p>
        </w:tc>
        <w:tc>
          <w:tcPr>
            <w:tcW w:w="400" w:type="dxa"/>
            <w:vAlign w:val="bottom"/>
            <w:tcBorders>
              <w:top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rPr>
              <w:t>12</w:t>
            </w:r>
          </w:p>
        </w:tc>
        <w:tc>
          <w:tcPr>
            <w:tcW w:w="340" w:type="dxa"/>
            <w:vAlign w:val="bottom"/>
          </w:tcPr>
          <w:p>
            <w:pPr>
              <w:spacing w:after="0"/>
              <w:rPr>
                <w:sz w:val="17"/>
                <w:szCs w:val="17"/>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00" w:type="dxa"/>
            <w:vAlign w:val="bottom"/>
            <w:tcBorders>
              <w:top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rPr>
              <w:t>10</w:t>
            </w:r>
          </w:p>
        </w:tc>
        <w:tc>
          <w:tcPr>
            <w:tcW w:w="340" w:type="dxa"/>
            <w:vAlign w:val="bottom"/>
          </w:tcPr>
          <w:p>
            <w:pPr>
              <w:spacing w:after="0"/>
              <w:rPr>
                <w:sz w:val="17"/>
                <w:szCs w:val="17"/>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00" w:type="dxa"/>
            <w:vAlign w:val="bottom"/>
            <w:tcBorders>
              <w:top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rPr>
              <w:t>761</w:t>
            </w:r>
          </w:p>
        </w:tc>
        <w:tc>
          <w:tcPr>
            <w:tcW w:w="340" w:type="dxa"/>
            <w:vAlign w:val="bottom"/>
          </w:tcPr>
          <w:p>
            <w:pPr>
              <w:spacing w:after="0"/>
              <w:rPr>
                <w:sz w:val="17"/>
                <w:szCs w:val="17"/>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80" w:type="dxa"/>
            <w:vAlign w:val="bottom"/>
            <w:tcBorders>
              <w:top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rPr>
              <w:t>1</w:t>
            </w:r>
          </w:p>
        </w:tc>
        <w:tc>
          <w:tcPr>
            <w:tcW w:w="340" w:type="dxa"/>
            <w:vAlign w:val="bottom"/>
          </w:tcPr>
          <w:p>
            <w:pPr>
              <w:spacing w:after="0"/>
              <w:rPr>
                <w:sz w:val="17"/>
                <w:szCs w:val="17"/>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00" w:type="dxa"/>
            <w:vAlign w:val="bottom"/>
            <w:tcBorders>
              <w:top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rPr>
              <w:t>971</w:t>
            </w:r>
          </w:p>
        </w:tc>
        <w:tc>
          <w:tcPr>
            <w:tcW w:w="340" w:type="dxa"/>
            <w:vAlign w:val="bottom"/>
          </w:tcPr>
          <w:p>
            <w:pPr>
              <w:spacing w:after="0"/>
              <w:rPr>
                <w:sz w:val="17"/>
                <w:szCs w:val="17"/>
                <w:color w:val="auto"/>
              </w:rPr>
            </w:pPr>
          </w:p>
        </w:tc>
        <w:tc>
          <w:tcPr>
            <w:tcW w:w="240" w:type="dxa"/>
            <w:vAlign w:val="bottom"/>
            <w:tcBorders>
              <w:top w:val="single" w:sz="8" w:color="auto"/>
            </w:tcBorders>
          </w:tcPr>
          <w:p>
            <w:pPr>
              <w:spacing w:after="0" w:line="197" w:lineRule="exact"/>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rPr>
              <w:t>376</w:t>
            </w:r>
          </w:p>
        </w:tc>
        <w:tc>
          <w:tcPr>
            <w:tcW w:w="340" w:type="dxa"/>
            <w:vAlign w:val="bottom"/>
          </w:tcPr>
          <w:p>
            <w:pPr>
              <w:spacing w:after="0"/>
              <w:rPr>
                <w:sz w:val="17"/>
                <w:szCs w:val="17"/>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80" w:type="dxa"/>
            <w:vAlign w:val="bottom"/>
            <w:tcBorders>
              <w:top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rPr>
              <w:t>2,131</w:t>
            </w:r>
          </w:p>
        </w:tc>
        <w:tc>
          <w:tcPr>
            <w:tcW w:w="20" w:type="dxa"/>
            <w:vAlign w:val="bottom"/>
          </w:tcPr>
          <w:p>
            <w:pPr>
              <w:spacing w:after="0"/>
              <w:rPr>
                <w:sz w:val="17"/>
                <w:szCs w:val="17"/>
                <w:color w:val="auto"/>
              </w:rPr>
            </w:pPr>
          </w:p>
        </w:tc>
      </w:tr>
      <w:tr>
        <w:trPr>
          <w:trHeight w:val="216"/>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Debt under vehicle programs </w:t>
            </w:r>
            <w:r>
              <w:rPr>
                <w:rFonts w:ascii="Times New Roman" w:cs="Times New Roman" w:eastAsia="Times New Roman" w:hAnsi="Times New Roman"/>
                <w:sz w:val="11"/>
                <w:szCs w:val="11"/>
                <w:color w:val="auto"/>
              </w:rPr>
              <w:t>(b)</w:t>
            </w: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1,584</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748</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1,865</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w w:val="96"/>
              </w:rPr>
              <w:t>150</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4,374</w:t>
            </w:r>
          </w:p>
        </w:tc>
      </w:tr>
      <w:tr>
        <w:trPr>
          <w:trHeight w:val="216"/>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Debt interest</w:t>
            </w: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357</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w w:val="96"/>
              </w:rPr>
              <w:t>113</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1,272</w:t>
            </w:r>
          </w:p>
        </w:tc>
      </w:tr>
      <w:tr>
        <w:trPr>
          <w:trHeight w:val="216"/>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Operating leases </w:t>
            </w:r>
            <w:r>
              <w:rPr>
                <w:rFonts w:ascii="Times New Roman" w:cs="Times New Roman" w:eastAsia="Times New Roman" w:hAnsi="Times New Roman"/>
                <w:sz w:val="11"/>
                <w:szCs w:val="11"/>
                <w:color w:val="auto"/>
              </w:rPr>
              <w:t>(c)</w:t>
            </w: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304</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w w:val="96"/>
              </w:rPr>
              <w:t>179</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1,844</w:t>
            </w:r>
          </w:p>
        </w:tc>
      </w:tr>
      <w:tr>
        <w:trPr>
          <w:trHeight w:val="216"/>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Commitments to purchase vehicles </w:t>
            </w:r>
            <w:r>
              <w:rPr>
                <w:rFonts w:ascii="Times New Roman" w:cs="Times New Roman" w:eastAsia="Times New Roman" w:hAnsi="Times New Roman"/>
                <w:sz w:val="11"/>
                <w:szCs w:val="11"/>
                <w:color w:val="auto"/>
              </w:rPr>
              <w:t>(d)</w:t>
            </w: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4,175</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4,175</w:t>
            </w:r>
          </w:p>
        </w:tc>
      </w:tr>
      <w:tr>
        <w:trPr>
          <w:trHeight w:val="216"/>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Tax obligations </w:t>
            </w:r>
            <w:r>
              <w:rPr>
                <w:rFonts w:ascii="Times New Roman" w:cs="Times New Roman" w:eastAsia="Times New Roman" w:hAnsi="Times New Roman"/>
                <w:sz w:val="11"/>
                <w:szCs w:val="11"/>
                <w:color w:val="auto"/>
              </w:rPr>
              <w:t>(e)</w:t>
            </w: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483</w:t>
            </w:r>
          </w:p>
        </w:tc>
      </w:tr>
      <w:tr>
        <w:trPr>
          <w:trHeight w:val="229"/>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Other purchase commitments </w:t>
            </w:r>
            <w:r>
              <w:rPr>
                <w:rFonts w:ascii="Times New Roman" w:cs="Times New Roman" w:eastAsia="Times New Roman" w:hAnsi="Times New Roman"/>
                <w:sz w:val="11"/>
                <w:szCs w:val="11"/>
                <w:color w:val="auto"/>
              </w:rPr>
              <w:t>(f)</w:t>
            </w:r>
          </w:p>
        </w:tc>
        <w:tc>
          <w:tcPr>
            <w:tcW w:w="1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58</w:t>
            </w:r>
          </w:p>
        </w:tc>
      </w:tr>
      <w:tr>
        <w:trPr>
          <w:trHeight w:val="224"/>
        </w:trPr>
        <w:tc>
          <w:tcPr>
            <w:tcW w:w="4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80" w:type="dxa"/>
            <w:vAlign w:val="bottom"/>
            <w:tcBorders>
              <w:top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w w:val="74"/>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6,959</w:t>
            </w:r>
          </w:p>
        </w:tc>
        <w:tc>
          <w:tcPr>
            <w:tcW w:w="3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u w:val="single" w:color="auto"/>
                <w:color w:val="auto"/>
                <w:w w:val="74"/>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1,539</w:t>
            </w:r>
          </w:p>
        </w:tc>
        <w:tc>
          <w:tcPr>
            <w:tcW w:w="3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u w:val="single" w:color="auto"/>
                <w:color w:val="auto"/>
                <w:w w:val="74"/>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3,140</w:t>
            </w:r>
          </w:p>
        </w:tc>
        <w:tc>
          <w:tcPr>
            <w:tcW w:w="3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u w:val="single" w:color="auto"/>
                <w:color w:val="auto"/>
                <w:w w:val="74"/>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444</w:t>
            </w:r>
          </w:p>
        </w:tc>
        <w:tc>
          <w:tcPr>
            <w:tcW w:w="3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u w:val="single" w:color="auto"/>
                <w:color w:val="auto"/>
                <w:w w:val="74"/>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1,136</w:t>
            </w:r>
          </w:p>
        </w:tc>
        <w:tc>
          <w:tcPr>
            <w:tcW w:w="34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1,119</w:t>
            </w:r>
          </w:p>
        </w:tc>
        <w:tc>
          <w:tcPr>
            <w:tcW w:w="3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u w:val="single" w:color="auto"/>
                <w:color w:val="auto"/>
                <w:w w:val="74"/>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2"/>
              </w:rPr>
              <w:t>14,337</w:t>
            </w:r>
          </w:p>
        </w:tc>
        <w:tc>
          <w:tcPr>
            <w:tcW w:w="20" w:type="dxa"/>
            <w:vAlign w:val="bottom"/>
          </w:tcPr>
          <w:p>
            <w:pPr>
              <w:spacing w:after="0"/>
              <w:rPr>
                <w:sz w:val="19"/>
                <w:szCs w:val="19"/>
                <w:color w:val="auto"/>
              </w:rPr>
            </w:pPr>
          </w:p>
        </w:tc>
      </w:tr>
      <w:tr>
        <w:trPr>
          <w:trHeight w:val="20"/>
        </w:trPr>
        <w:tc>
          <w:tcPr>
            <w:tcW w:w="43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48" w:lineRule="exact"/>
        <w:rPr>
          <w:sz w:val="20"/>
          <w:szCs w:val="20"/>
          <w:color w:val="auto"/>
        </w:rPr>
      </w:pPr>
    </w:p>
    <w:p>
      <w:pPr>
        <w:ind w:left="340" w:right="40" w:hanging="332"/>
        <w:spacing w:after="0" w:line="231" w:lineRule="auto"/>
        <w:tabs>
          <w:tab w:leader="none" w:pos="340" w:val="left"/>
        </w:tabs>
        <w:numPr>
          <w:ilvl w:val="0"/>
          <w:numId w:val="33"/>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Consists primarily of the Company’s $1.0 billion of fixed and floating rate senior notes, $778 million floating rate term loan, and $345 million of convertible senior notes.</w:t>
      </w:r>
    </w:p>
    <w:p>
      <w:pPr>
        <w:spacing w:after="0" w:line="1" w:lineRule="exact"/>
        <w:rPr>
          <w:rFonts w:ascii="Times New Roman" w:cs="Times New Roman" w:eastAsia="Times New Roman" w:hAnsi="Times New Roman"/>
          <w:sz w:val="22"/>
          <w:szCs w:val="22"/>
          <w:color w:val="auto"/>
          <w:vertAlign w:val="superscript"/>
        </w:rPr>
      </w:pPr>
    </w:p>
    <w:p>
      <w:pPr>
        <w:ind w:left="340" w:right="320" w:hanging="332"/>
        <w:spacing w:after="0" w:line="233" w:lineRule="auto"/>
        <w:tabs>
          <w:tab w:leader="none" w:pos="340" w:val="left"/>
        </w:tabs>
        <w:numPr>
          <w:ilvl w:val="0"/>
          <w:numId w:val="33"/>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Represents debt under vehicle programs (including related party debt due to Avis Budget Rental Car Funding, an unconsolidated bankruptcy remote qualifying special purpose limited liability company, see Note 18 to our Consolidated Financial Statements), which was issued to support the purchase of vehicles.</w:t>
      </w:r>
    </w:p>
    <w:p>
      <w:pPr>
        <w:ind w:left="340" w:hanging="332"/>
        <w:spacing w:after="0" w:line="204" w:lineRule="auto"/>
        <w:tabs>
          <w:tab w:leader="none" w:pos="340" w:val="left"/>
        </w:tabs>
        <w:numPr>
          <w:ilvl w:val="0"/>
          <w:numId w:val="33"/>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Operating lease obligations are presented net of sublease rentals to be received (see Note 19 to our Consolidated Financial Statements).</w:t>
      </w:r>
    </w:p>
    <w:p>
      <w:pPr>
        <w:spacing w:after="0" w:line="8" w:lineRule="exact"/>
        <w:rPr>
          <w:rFonts w:ascii="Times New Roman" w:cs="Times New Roman" w:eastAsia="Times New Roman" w:hAnsi="Times New Roman"/>
          <w:sz w:val="22"/>
          <w:szCs w:val="22"/>
          <w:color w:val="auto"/>
          <w:vertAlign w:val="superscript"/>
        </w:rPr>
      </w:pPr>
    </w:p>
    <w:p>
      <w:pPr>
        <w:ind w:left="340" w:right="20" w:hanging="332"/>
        <w:spacing w:after="0" w:line="238" w:lineRule="auto"/>
        <w:tabs>
          <w:tab w:leader="none" w:pos="340" w:val="left"/>
        </w:tabs>
        <w:numPr>
          <w:ilvl w:val="0"/>
          <w:numId w:val="33"/>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Represents commitments to purchase vehicles, the majority of which are from General Motors Company, Ford Motor Company, Hyundai Motor America or Chrysler Group LLC. These commitments are generally subject to the vehicle manufacturers satisfying their obligations under the repurchase and guaranteed depreciation agreements. The purchase of such vehicles is generally financed through financings under vehicle programs in addition to cash received upon the sale of vehicles, many of which were purchased under repurchase and guaranteed depreciation programs (see Note 19 to our Consolidated Financial Statements).</w:t>
      </w:r>
    </w:p>
    <w:p>
      <w:pPr>
        <w:ind w:left="340" w:right="100" w:hanging="332"/>
        <w:spacing w:after="0" w:line="225" w:lineRule="auto"/>
        <w:tabs>
          <w:tab w:leader="none" w:pos="340" w:val="left"/>
        </w:tabs>
        <w:numPr>
          <w:ilvl w:val="0"/>
          <w:numId w:val="33"/>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Primarily represents income tax uncertainties, substantially all of which are subject to indemnification by Realogy and Wyndham and the timing of which is estimated.</w:t>
      </w:r>
    </w:p>
    <w:p>
      <w:pPr>
        <w:ind w:left="340" w:right="60" w:hanging="332"/>
        <w:spacing w:after="0" w:line="225" w:lineRule="auto"/>
        <w:tabs>
          <w:tab w:leader="none" w:pos="340" w:val="left"/>
        </w:tabs>
        <w:numPr>
          <w:ilvl w:val="0"/>
          <w:numId w:val="33"/>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Primarily represents commitments under service contracts for information technology and telecommunications and marketing agreements with travel service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-2081530</wp:posOffset>
            </wp:positionV>
            <wp:extent cx="72898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420"/>
          </w:cols>
          <w:pgMar w:left="240" w:top="455" w:right="239" w:bottom="1440" w:gutter="0" w:footer="0" w:header="0"/>
        </w:sectPr>
      </w:pPr>
    </w:p>
    <w:bookmarkStart w:id="54" w:name="page55"/>
    <w:bookmarkEnd w:id="5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more information regarding guarantees and indemnifications, see Note 19 to our Consolidated Financial Statements.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POLICIES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Accounting Policies</w:t>
      </w:r>
    </w:p>
    <w:p>
      <w:pPr>
        <w:spacing w:after="0" w:line="175"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In presenting our financial statements in conformity with generally accepted accounting principles, we are required to make estimates and assumptions that affect the amounts reported therein. Several of the estimates and assumptions we are required to make relate to matters that are inherently uncertain as they pertain to future events and/or events that are outside of our control. If there is a significant unfavorable change to current conditions, it could result in a material adverse impact to our consolidated results of operations, financial position and liquidity. We believe that the estimates and assumptions we used when preparing our financial statements were the most appropriate at that time. Presented below are those accounting policies that we believe require subjective and complex judgments that could potentially affect reported results. However, our businesses operate in environments where we are paid a fee for a service performed, and therefore the results of the majority of our recurring operations are recorded in our financial statements using accounting policies that are not particularly subjective, nor complex.</w:t>
      </w:r>
    </w:p>
    <w:p>
      <w:pPr>
        <w:spacing w:after="0" w:line="136" w:lineRule="exact"/>
        <w:rPr>
          <w:sz w:val="20"/>
          <w:szCs w:val="20"/>
          <w:color w:val="auto"/>
        </w:rPr>
      </w:pPr>
    </w:p>
    <w:p>
      <w:pPr>
        <w:ind w:right="40"/>
        <w:spacing w:after="0" w:line="293" w:lineRule="auto"/>
        <w:rPr>
          <w:sz w:val="20"/>
          <w:szCs w:val="20"/>
          <w:color w:val="auto"/>
        </w:rPr>
      </w:pPr>
      <w:r>
        <w:rPr>
          <w:rFonts w:ascii="Times New Roman" w:cs="Times New Roman" w:eastAsia="Times New Roman" w:hAnsi="Times New Roman"/>
          <w:sz w:val="16"/>
          <w:szCs w:val="16"/>
          <w:i w:val="1"/>
          <w:iCs w:val="1"/>
          <w:color w:val="auto"/>
        </w:rPr>
        <w:t xml:space="preserve">Goodwill and Other Indefinite-lived Intangible Assets. </w:t>
      </w:r>
      <w:r>
        <w:rPr>
          <w:rFonts w:ascii="Times New Roman" w:cs="Times New Roman" w:eastAsia="Times New Roman" w:hAnsi="Times New Roman"/>
          <w:sz w:val="16"/>
          <w:szCs w:val="16"/>
          <w:color w:val="auto"/>
        </w:rPr>
        <w:t>We have reviewed the carrying value of our goodwill and other indefinite-lived intangible assets for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impairment. In performing this review, we are required to make an assessment of fair value for our goodwill and other indefinite-lived intangible assets. When determining fair value, we utilize various assumptions, including the fair market trading price of our common stock and management’s projections of future cash flows. A change in these underlying assumptions will cause a change in the results of the tests and, as such, could cause the fair value to be less than the respective carrying amount. In such event, we would then be required to record a charge, which would impact earnings. We review the carrying value of goodwill and other indefinite-lived intangible assets for impairment annually, or more frequently if circumstances indicate impairment may have occurred.</w:t>
      </w:r>
    </w:p>
    <w:p>
      <w:pPr>
        <w:spacing w:after="0" w:line="113" w:lineRule="exact"/>
        <w:rPr>
          <w:sz w:val="20"/>
          <w:szCs w:val="20"/>
          <w:color w:val="auto"/>
        </w:rPr>
      </w:pPr>
    </w:p>
    <w:p>
      <w:pPr>
        <w:spacing w:after="0" w:line="296" w:lineRule="auto"/>
        <w:rPr>
          <w:sz w:val="20"/>
          <w:szCs w:val="20"/>
          <w:color w:val="auto"/>
        </w:rPr>
      </w:pPr>
      <w:r>
        <w:rPr>
          <w:rFonts w:ascii="Times New Roman" w:cs="Times New Roman" w:eastAsia="Times New Roman" w:hAnsi="Times New Roman"/>
          <w:sz w:val="16"/>
          <w:szCs w:val="16"/>
          <w:color w:val="auto"/>
        </w:rPr>
        <w:t>Our goodwill and other indefinite-lived intangible assets are allocated among three reporting units. During 2009, there was no impairment of goodwill or other intangible assets. In 2008, a $1,244 million charge was recorded to reflect the impairment of goodwill and the impairment of our tradenames assets. These charges reflect the decline in their fair value below their carrying value, primarily as a result of reduced market valuations for vehicle services and other companies, as well as reduced profit forecasts due to soft economic conditions and increased financing costs. Domestic Car Rental operations recorded $882 million and International Car Rental recorded $275 million, for goodwill and tradename impairment, and Truck Rental recorded $87 million for goodwill impairment.</w:t>
      </w:r>
    </w:p>
    <w:p>
      <w:pPr>
        <w:spacing w:after="0" w:line="106"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Vehicles. </w:t>
      </w:r>
      <w:r>
        <w:rPr>
          <w:rFonts w:ascii="Times New Roman" w:cs="Times New Roman" w:eastAsia="Times New Roman" w:hAnsi="Times New Roman"/>
          <w:sz w:val="18"/>
          <w:szCs w:val="18"/>
          <w:color w:val="auto"/>
        </w:rPr>
        <w:t>We present vehicles at cost, net of accumulated depreciation on the Consolidated Balance Sheets. We record the initial cost of the vehicle net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incentives and allowances from manufactures. We acquire our rental vehicles either through repurchase and guaranteed depreciation programs with certain automobile manufacturers or outside of such programs. For rental vehicles purchased under such programs, we depreciate the vehicles such that the net book value on the date of sale or return to the manufacturers is intended to equal the contractual guaranteed residual values. For vehicles acquired outside of manufacturer repurchase and guaranteed depreciation programs, we depreciate based on the vehicles’ estimated residual market values and their expected dates of disposition. See Note 2 to our Consolidated Financial Statements.</w:t>
      </w:r>
    </w:p>
    <w:p>
      <w:pPr>
        <w:spacing w:after="0" w:line="139" w:lineRule="exact"/>
        <w:rPr>
          <w:sz w:val="20"/>
          <w:szCs w:val="20"/>
          <w:color w:val="auto"/>
        </w:rPr>
      </w:pPr>
    </w:p>
    <w:p>
      <w:pPr>
        <w:ind w:right="12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Income Taxes. </w:t>
      </w:r>
      <w:r>
        <w:rPr>
          <w:rFonts w:ascii="Times New Roman" w:cs="Times New Roman" w:eastAsia="Times New Roman" w:hAnsi="Times New Roman"/>
          <w:sz w:val="18"/>
          <w:szCs w:val="18"/>
          <w:color w:val="auto"/>
        </w:rPr>
        <w:t>We account for income taxes under the asset and liability method, which requires the recognition of deferred tax assets and liabilities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expected future tax consequences of events that have been included in the financial statements. Under this method, deferred tax assets and liabilities are determined based on the differences between the financial statement and tax bases of assets and liabilities using enacted tax rates in effect for the year in which the differences are expected to reverse. The effect of a change in tax rates on deferred tax assets and liabilities is recognized in income in the period that includes the enactment date.</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420"/>
          </w:cols>
          <w:pgMar w:left="240" w:top="455" w:right="239" w:bottom="1440" w:gutter="0" w:footer="0" w:header="0"/>
        </w:sectPr>
      </w:pPr>
    </w:p>
    <w:bookmarkStart w:id="55" w:name="page56"/>
    <w:bookmarkEnd w:id="5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We record net deferred tax assets to the extent we believe these assets will more likely than not be realized. In making such determination, we consider all available positive and negative evidence, including scheduled reversals of deferred tax liabilities, projected future taxable income, tax planning strategies and recent results of operations. In the event we were to determine that we would be able to realize deferred income tax assets in the future in excess of their net recorded amount, we would make an adjustment to the valuation allowance which would reduce the provision for income taxes. Currently the Company does not record valuation allowances on the majority of its tax loss carryforwards as there are adequate deferred tax liabilities that could be realized within the carryforward period.</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2 and 10 to our Consolidated Financial Statements for more information regarding income taxes.</w:t>
      </w:r>
    </w:p>
    <w:p>
      <w:pPr>
        <w:spacing w:after="0" w:line="16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Financial Instruments. </w:t>
      </w:r>
      <w:r>
        <w:rPr>
          <w:rFonts w:ascii="Times New Roman" w:cs="Times New Roman" w:eastAsia="Times New Roman" w:hAnsi="Times New Roman"/>
          <w:sz w:val="18"/>
          <w:szCs w:val="18"/>
          <w:color w:val="auto"/>
        </w:rPr>
        <w:t>We estimate fair values for each of our financial instruments, including derivative instruments. Most of these financial instruments are 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publicly traded on an organized exchange. In the absence of quoted market prices, we must develop an estimate of fair value using dealer quotes, present value cash flow models, option pricing models or other conventional valuation methods, as appropriate. The use of these fair value techniques involves significant judgments and assumptions, including estimates of future interest rate levels based on interest rate yield curves, credit spreads of the Company and counterparties, volatility factors, and an estimation of the timing of future cash flows. The use of different assumptions may have a material effect on the estimated fair value amounts recorded in the financial statements, which are disclosed in Note 23 to our Consolidated Financial Statements. In addition, hedge accounting requires that at the beginning of each hedge period, we justify an expectation that the relationship between the changes in fair value of derivatives designated as hedges compared to changes in the fair value of the underlying hedged items will be highly effective. This effectiveness assessment, which is performed at least quarterly, involves an estimation of changes in fair value resulting from changes in interest rates, as well as the probability of the occurrence of transactions for cash flow hedges. The use of different assumptions and changing market conditions may impact the results of the effectiveness assessment and ultimately the timing of when changes in derivative fair values and the underlying hedged items are recorded in earnings. See “Item 7A. Quantitative and Qualitative Disclosures about Market Risk” for a discussion of the effect of hypothetical changes to these assumptions.</w:t>
      </w:r>
    </w:p>
    <w:p>
      <w:pPr>
        <w:spacing w:after="0" w:line="137"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Public Liability, Property Damage and Other Insurance Liabilities. </w:t>
      </w:r>
      <w:r>
        <w:rPr>
          <w:rFonts w:ascii="Times New Roman" w:cs="Times New Roman" w:eastAsia="Times New Roman" w:hAnsi="Times New Roman"/>
          <w:sz w:val="18"/>
          <w:szCs w:val="18"/>
          <w:color w:val="auto"/>
        </w:rPr>
        <w:t>Insurance liabilities on our Consolidated Balance Sheets include additional liability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insurance, personal effects protection insurance, public liability, property damage and personal accident insurance claims for which we are self-insured. We estimate the required liability of such claims on an undiscounted basis utilizing an actuarial method that is based upon various assumptions which include, but are not limited to, our historical loss experience and projected loss development factors. The required liability is also subject to adjustment in the future based upon changes in claims experience, including changes in the number of incidents and changes in the ultimate cost per incident.</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Adoption of New Accounting Pronouncements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2009, we adopted the following standards as a result of the issuance of new accounting pronouncements:</w:t>
      </w:r>
    </w:p>
    <w:p>
      <w:pPr>
        <w:spacing w:after="0" w:line="212" w:lineRule="exact"/>
        <w:rPr>
          <w:sz w:val="20"/>
          <w:szCs w:val="20"/>
          <w:color w:val="auto"/>
        </w:rPr>
      </w:pPr>
    </w:p>
    <w:p>
      <w:pPr>
        <w:ind w:left="780" w:right="200" w:hanging="326"/>
        <w:spacing w:after="0" w:line="257" w:lineRule="auto"/>
        <w:tabs>
          <w:tab w:leader="none" w:pos="7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SFAS No. 141(R), “Business Combinations” and FASB Staff Position FAS 141(R)-1, “Accounting for Assets Acquired and Liabilities Assumed in a Business Combination That Arise from Contingencies”, as codified in ASC topic 805, </w:t>
      </w:r>
      <w:r>
        <w:rPr>
          <w:rFonts w:ascii="Times New Roman" w:cs="Times New Roman" w:eastAsia="Times New Roman" w:hAnsi="Times New Roman"/>
          <w:sz w:val="18"/>
          <w:szCs w:val="18"/>
          <w:i w:val="1"/>
          <w:iCs w:val="1"/>
          <w:color w:val="auto"/>
        </w:rPr>
        <w:t>Business Combinations</w:t>
      </w:r>
    </w:p>
    <w:p>
      <w:pPr>
        <w:spacing w:after="0" w:line="1" w:lineRule="exact"/>
        <w:rPr>
          <w:rFonts w:ascii="Times New Roman" w:cs="Times New Roman" w:eastAsia="Times New Roman" w:hAnsi="Times New Roman"/>
          <w:sz w:val="18"/>
          <w:szCs w:val="18"/>
          <w:color w:val="auto"/>
        </w:rPr>
      </w:pPr>
    </w:p>
    <w:p>
      <w:pPr>
        <w:ind w:left="780" w:right="520" w:hanging="326"/>
        <w:spacing w:after="0" w:line="250" w:lineRule="auto"/>
        <w:tabs>
          <w:tab w:leader="none" w:pos="7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SFAS No. 160, “Noncontrolling Interests in Consolidated Financial Statements—an amendment of ARB No. 51”, as codified in ASC topic 810, </w:t>
      </w:r>
      <w:r>
        <w:rPr>
          <w:rFonts w:ascii="Times New Roman" w:cs="Times New Roman" w:eastAsia="Times New Roman" w:hAnsi="Times New Roman"/>
          <w:sz w:val="18"/>
          <w:szCs w:val="18"/>
          <w:i w:val="1"/>
          <w:iCs w:val="1"/>
          <w:color w:val="auto"/>
        </w:rPr>
        <w:t>Consolidation</w:t>
      </w:r>
    </w:p>
    <w:p>
      <w:pPr>
        <w:ind w:left="780" w:right="160" w:hanging="326"/>
        <w:spacing w:after="0" w:line="250" w:lineRule="auto"/>
        <w:tabs>
          <w:tab w:leader="none" w:pos="7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SFAS No. 161, “Disclosures about Derivative Instruments and Hedging Activities – an amendment of FASB Statement No. 133”, as codified in ASC topic 815, </w:t>
      </w:r>
      <w:r>
        <w:rPr>
          <w:rFonts w:ascii="Times New Roman" w:cs="Times New Roman" w:eastAsia="Times New Roman" w:hAnsi="Times New Roman"/>
          <w:sz w:val="18"/>
          <w:szCs w:val="18"/>
          <w:i w:val="1"/>
          <w:iCs w:val="1"/>
          <w:color w:val="auto"/>
        </w:rPr>
        <w:t>Derivatives and Hedging</w:t>
      </w:r>
    </w:p>
    <w:p>
      <w:pPr>
        <w:ind w:left="780" w:hanging="326"/>
        <w:spacing w:after="0"/>
        <w:tabs>
          <w:tab w:leader="none" w:pos="7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FSP No. FAS 142-3 “Determination of the Useful Life of Intangible Assets”, as codified in ASC topic 350, </w:t>
      </w:r>
      <w:r>
        <w:rPr>
          <w:rFonts w:ascii="Times New Roman" w:cs="Times New Roman" w:eastAsia="Times New Roman" w:hAnsi="Times New Roman"/>
          <w:sz w:val="18"/>
          <w:szCs w:val="18"/>
          <w:i w:val="1"/>
          <w:iCs w:val="1"/>
          <w:color w:val="auto"/>
        </w:rPr>
        <w:t>Intangibles—Goodwill and Other</w:t>
      </w:r>
    </w:p>
    <w:p>
      <w:pPr>
        <w:spacing w:after="0" w:line="9" w:lineRule="exact"/>
        <w:rPr>
          <w:rFonts w:ascii="Times New Roman" w:cs="Times New Roman" w:eastAsia="Times New Roman" w:hAnsi="Times New Roman"/>
          <w:sz w:val="18"/>
          <w:szCs w:val="18"/>
          <w:color w:val="auto"/>
        </w:rPr>
      </w:pPr>
    </w:p>
    <w:p>
      <w:pPr>
        <w:ind w:left="780" w:right="860" w:hanging="326"/>
        <w:spacing w:after="0" w:line="261" w:lineRule="auto"/>
        <w:tabs>
          <w:tab w:leader="none" w:pos="7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FSP No. FAS 115-2 and FAS 124-2, “Recognition and Presentation of Other-Than-Temporary Impairments”, as codified in ASC topic 320, </w:t>
      </w:r>
      <w:r>
        <w:rPr>
          <w:rFonts w:ascii="Times New Roman" w:cs="Times New Roman" w:eastAsia="Times New Roman" w:hAnsi="Times New Roman"/>
          <w:sz w:val="18"/>
          <w:szCs w:val="18"/>
          <w:i w:val="1"/>
          <w:iCs w:val="1"/>
          <w:color w:val="auto"/>
        </w:rPr>
        <w:t>Investments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Debt and Equity Securities</w:t>
      </w:r>
    </w:p>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420"/>
          </w:cols>
          <w:pgMar w:left="240" w:top="455" w:right="239" w:bottom="1440" w:gutter="0" w:footer="0" w:header="0"/>
        </w:sectPr>
      </w:pPr>
    </w:p>
    <w:bookmarkStart w:id="56" w:name="page57"/>
    <w:bookmarkEnd w:id="5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780" w:right="60" w:hanging="326"/>
        <w:spacing w:after="0" w:line="258" w:lineRule="auto"/>
        <w:tabs>
          <w:tab w:leader="none" w:pos="7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FSP No. FAS 132(R)-1, “Employers’ Disclosure about Postretirement Benefit Plan Assets”, as codified in ASC topic 715, </w:t>
      </w:r>
      <w:r>
        <w:rPr>
          <w:rFonts w:ascii="Times New Roman" w:cs="Times New Roman" w:eastAsia="Times New Roman" w:hAnsi="Times New Roman"/>
          <w:sz w:val="18"/>
          <w:szCs w:val="18"/>
          <w:i w:val="1"/>
          <w:iCs w:val="1"/>
          <w:color w:val="auto"/>
        </w:rPr>
        <w:t>Compensation—Retirement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Benefits</w:t>
      </w:r>
    </w:p>
    <w:p>
      <w:pPr>
        <w:spacing w:after="0" w:line="1"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EITF Issue No. 08-6, “Equity Method Investment Accounting Considerations”, as codified in ASC topic 320, </w:t>
      </w:r>
      <w:r>
        <w:rPr>
          <w:rFonts w:ascii="Times New Roman" w:cs="Times New Roman" w:eastAsia="Times New Roman" w:hAnsi="Times New Roman"/>
          <w:sz w:val="16"/>
          <w:szCs w:val="16"/>
          <w:i w:val="1"/>
          <w:iCs w:val="1"/>
          <w:color w:val="auto"/>
        </w:rPr>
        <w:t>Investments</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Debt and Equity Securities</w:t>
      </w:r>
    </w:p>
    <w:p>
      <w:pPr>
        <w:spacing w:after="0" w:line="32" w:lineRule="exact"/>
        <w:rPr>
          <w:rFonts w:ascii="Times New Roman" w:cs="Times New Roman" w:eastAsia="Times New Roman" w:hAnsi="Times New Roman"/>
          <w:sz w:val="16"/>
          <w:szCs w:val="16"/>
          <w:color w:val="auto"/>
        </w:rPr>
      </w:pPr>
    </w:p>
    <w:p>
      <w:pPr>
        <w:ind w:left="780" w:right="580" w:hanging="326"/>
        <w:spacing w:after="0" w:line="250" w:lineRule="auto"/>
        <w:tabs>
          <w:tab w:leader="none" w:pos="7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FASB Staff Position FAS 107-1 and APB 28-1, “Interim Disclosures about Fair Value of Financial Instruments”, as codified in ASC topic 825, </w:t>
      </w:r>
      <w:r>
        <w:rPr>
          <w:rFonts w:ascii="Times New Roman" w:cs="Times New Roman" w:eastAsia="Times New Roman" w:hAnsi="Times New Roman"/>
          <w:sz w:val="18"/>
          <w:szCs w:val="18"/>
          <w:i w:val="1"/>
          <w:iCs w:val="1"/>
          <w:color w:val="auto"/>
        </w:rPr>
        <w:t>Financial Instruments</w:t>
      </w:r>
    </w:p>
    <w:p>
      <w:pPr>
        <w:ind w:left="780" w:hanging="326"/>
        <w:spacing w:after="0"/>
        <w:tabs>
          <w:tab w:leader="none" w:pos="7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SFAS No. 165, “Subsequent Events”, as codified in ASC topic 855, </w:t>
      </w:r>
      <w:r>
        <w:rPr>
          <w:rFonts w:ascii="Times New Roman" w:cs="Times New Roman" w:eastAsia="Times New Roman" w:hAnsi="Times New Roman"/>
          <w:sz w:val="18"/>
          <w:szCs w:val="18"/>
          <w:i w:val="1"/>
          <w:iCs w:val="1"/>
          <w:color w:val="auto"/>
        </w:rPr>
        <w:t>Subsequent Events</w:t>
      </w:r>
    </w:p>
    <w:p>
      <w:pPr>
        <w:spacing w:after="0" w:line="9" w:lineRule="exact"/>
        <w:rPr>
          <w:rFonts w:ascii="Times New Roman" w:cs="Times New Roman" w:eastAsia="Times New Roman" w:hAnsi="Times New Roman"/>
          <w:sz w:val="18"/>
          <w:szCs w:val="18"/>
          <w:color w:val="auto"/>
        </w:rPr>
      </w:pPr>
    </w:p>
    <w:p>
      <w:pPr>
        <w:ind w:left="780" w:right="280" w:hanging="326"/>
        <w:spacing w:after="0" w:line="250" w:lineRule="auto"/>
        <w:tabs>
          <w:tab w:leader="none" w:pos="7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SFAS No. 168, “The FASB Accounting Standards Codification and the Hierarchy of Generally Accepted Accounting Principles—a replacement of FASB Statement No. 162”, as codified in ASC topic 105, </w:t>
      </w:r>
      <w:r>
        <w:rPr>
          <w:rFonts w:ascii="Times New Roman" w:cs="Times New Roman" w:eastAsia="Times New Roman" w:hAnsi="Times New Roman"/>
          <w:sz w:val="18"/>
          <w:szCs w:val="18"/>
          <w:i w:val="1"/>
          <w:iCs w:val="1"/>
          <w:color w:val="auto"/>
        </w:rPr>
        <w:t>Generally Accepted Accounting Principles</w:t>
      </w:r>
    </w:p>
    <w:p>
      <w:pPr>
        <w:ind w:left="780" w:hanging="326"/>
        <w:spacing w:after="0"/>
        <w:tabs>
          <w:tab w:leader="none" w:pos="7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ASU No. 2009-05, “Measuring Liabilities at Fair Value”</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will adopt the following recently issued accounting pronouncements as required:</w:t>
      </w:r>
    </w:p>
    <w:p>
      <w:pPr>
        <w:spacing w:after="0" w:line="212" w:lineRule="exact"/>
        <w:rPr>
          <w:sz w:val="20"/>
          <w:szCs w:val="20"/>
          <w:color w:val="auto"/>
        </w:rPr>
      </w:pPr>
    </w:p>
    <w:p>
      <w:pPr>
        <w:ind w:left="780" w:hanging="326"/>
        <w:spacing w:after="0"/>
        <w:tabs>
          <w:tab w:leader="none" w:pos="7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ASU No. 2009-16, “Accounting for Transfers of Financial Assets”</w:t>
      </w:r>
    </w:p>
    <w:p>
      <w:pPr>
        <w:spacing w:after="0" w:line="21"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ASU No. 2009-17, “ Accounting by Enterprises Involved with Variable Interest Entities”</w:t>
      </w:r>
    </w:p>
    <w:p>
      <w:pPr>
        <w:spacing w:after="0" w:line="9"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ASU No. 2010-6, “Fair Value Measurements and Disclosures”</w:t>
      </w:r>
    </w:p>
    <w:p>
      <w:pPr>
        <w:spacing w:after="0" w:line="159" w:lineRule="exact"/>
        <w:rPr>
          <w:sz w:val="20"/>
          <w:szCs w:val="20"/>
          <w:color w:val="auto"/>
        </w:rPr>
      </w:pPr>
    </w:p>
    <w:p>
      <w:pPr>
        <w:ind w:right="280"/>
        <w:spacing w:after="0" w:line="438" w:lineRule="auto"/>
        <w:rPr>
          <w:sz w:val="20"/>
          <w:szCs w:val="20"/>
          <w:color w:val="auto"/>
        </w:rPr>
      </w:pPr>
      <w:r>
        <w:rPr>
          <w:rFonts w:ascii="Times New Roman" w:cs="Times New Roman" w:eastAsia="Times New Roman" w:hAnsi="Times New Roman"/>
          <w:sz w:val="18"/>
          <w:szCs w:val="18"/>
          <w:color w:val="auto"/>
        </w:rPr>
        <w:t xml:space="preserve">For detailed information regarding these pronouncements and the impact thereof on our business, see Notes 1 and 2 to our Consolidated Financial Statements. </w:t>
      </w:r>
      <w:r>
        <w:rPr>
          <w:rFonts w:ascii="Times New Roman" w:cs="Times New Roman" w:eastAsia="Times New Roman" w:hAnsi="Times New Roman"/>
          <w:sz w:val="18"/>
          <w:szCs w:val="18"/>
          <w:b w:val="1"/>
          <w:bCs w:val="1"/>
          <w:color w:val="auto"/>
        </w:rPr>
        <w:t>ITEM 7A. QUANTITATIVE AND QUALITATIVE DISCLOSURES ABOUT MARKET RISK</w:t>
      </w:r>
    </w:p>
    <w:p>
      <w:pPr>
        <w:spacing w:after="0" w:line="1"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We use various financial instruments, particularly swap contracts, futures and options contracts, to manage and reduce the interest rate risk related specifically to our debt. Foreign currency forwards are also used to manage and reduce the foreign currency exchange rate risk associated with our foreign currency denominated receivables and forecasted royalties, forecasted earnings of foreign subsidiaries and other transactions. We also use derivative commodity instruments to manage and reduce the risk of changing unleaded gasoline prices.</w:t>
      </w:r>
    </w:p>
    <w:p>
      <w:pPr>
        <w:spacing w:after="0" w:line="136"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8"/>
          <w:szCs w:val="18"/>
          <w:color w:val="auto"/>
        </w:rPr>
        <w:t>We are exclusively an end user of these instruments, which are commonly referred to as derivatives. We do not engage in trading, market-making or other speculative activities in the derivatives markets. More detailed information about these financial instruments is provided in Note 23 to our Consolidated Financial Statements.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principal market exposures are interest and foreign currency rate risks.</w:t>
      </w:r>
    </w:p>
    <w:p>
      <w:pPr>
        <w:spacing w:after="0" w:line="212" w:lineRule="exact"/>
        <w:rPr>
          <w:sz w:val="20"/>
          <w:szCs w:val="20"/>
          <w:color w:val="auto"/>
        </w:rPr>
      </w:pPr>
    </w:p>
    <w:p>
      <w:pPr>
        <w:ind w:left="780" w:right="60" w:hanging="326"/>
        <w:spacing w:after="0" w:line="262" w:lineRule="auto"/>
        <w:tabs>
          <w:tab w:leader="none" w:pos="7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primary interest rate exposure at December 31, 2009 was interest rate fluctuations in the United States, specifically LIBOR and commercial paper interest rates due to their impact on variable rate borrowings and other interest rate sensitive liabilities. We anticipate that LIBOR and commercial paper rates will remain a primary market risk exposure for the foreseeable future.</w:t>
      </w:r>
    </w:p>
    <w:p>
      <w:pPr>
        <w:spacing w:after="0" w:line="172" w:lineRule="exact"/>
        <w:rPr>
          <w:rFonts w:ascii="Times New Roman" w:cs="Times New Roman" w:eastAsia="Times New Roman" w:hAnsi="Times New Roman"/>
          <w:sz w:val="18"/>
          <w:szCs w:val="18"/>
          <w:color w:val="auto"/>
        </w:rPr>
      </w:pPr>
    </w:p>
    <w:p>
      <w:pPr>
        <w:jc w:val="both"/>
        <w:ind w:left="780" w:right="40" w:hanging="326"/>
        <w:spacing w:after="0" w:line="339" w:lineRule="auto"/>
        <w:tabs>
          <w:tab w:leader="none" w:pos="78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have foreign currency rate exposure to exchange rate fluctuations worldwide and particularly with respect to the Australian dollar, Canadian dollar and the New Zealand dollar. We anticipate that such foreign currency exchange rate risk will remain a market risk exposure for the foreseeable future.</w:t>
      </w:r>
    </w:p>
    <w:p>
      <w:pPr>
        <w:spacing w:after="0" w:line="114" w:lineRule="exact"/>
        <w:rPr>
          <w:rFonts w:ascii="Times New Roman" w:cs="Times New Roman" w:eastAsia="Times New Roman" w:hAnsi="Times New Roman"/>
          <w:sz w:val="16"/>
          <w:szCs w:val="16"/>
          <w:color w:val="auto"/>
        </w:rPr>
      </w:pPr>
    </w:p>
    <w:p>
      <w:pPr>
        <w:ind w:left="780" w:right="360" w:hanging="326"/>
        <w:spacing w:after="0" w:line="275" w:lineRule="auto"/>
        <w:tabs>
          <w:tab w:leader="none" w:pos="7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commodity price exposure related to fluctuations in the price of unleaded gasoline. We anticipate that such commodity risk will remain a market risk exposure for the foreseeable future.</w:t>
      </w:r>
    </w:p>
    <w:p>
      <w:pPr>
        <w:spacing w:after="0" w:line="120" w:lineRule="exact"/>
        <w:rPr>
          <w:sz w:val="20"/>
          <w:szCs w:val="20"/>
          <w:color w:val="auto"/>
        </w:rPr>
      </w:pPr>
    </w:p>
    <w:p>
      <w:pPr>
        <w:ind w:right="160"/>
        <w:spacing w:after="0" w:line="339" w:lineRule="auto"/>
        <w:rPr>
          <w:sz w:val="20"/>
          <w:szCs w:val="20"/>
          <w:color w:val="auto"/>
        </w:rPr>
      </w:pPr>
      <w:r>
        <w:rPr>
          <w:rFonts w:ascii="Times New Roman" w:cs="Times New Roman" w:eastAsia="Times New Roman" w:hAnsi="Times New Roman"/>
          <w:sz w:val="16"/>
          <w:szCs w:val="16"/>
          <w:color w:val="auto"/>
        </w:rPr>
        <w:t>We assess our market risk based on changes in interest and foreign currency exchange rates utilizing a sensitivity analysis. The sensitivity analysis measures the potential impact on earnings, fair values and cash flows based on a hypothetical 10% change (increase and decrease) in interest and currency rates.</w:t>
      </w:r>
    </w:p>
    <w:p>
      <w:pPr>
        <w:spacing w:after="0" w:line="74" w:lineRule="exact"/>
        <w:rPr>
          <w:sz w:val="20"/>
          <w:szCs w:val="20"/>
          <w:color w:val="auto"/>
        </w:rPr>
      </w:pPr>
    </w:p>
    <w:p>
      <w:pPr>
        <w:ind w:right="240"/>
        <w:spacing w:after="0" w:line="339" w:lineRule="auto"/>
        <w:rPr>
          <w:sz w:val="20"/>
          <w:szCs w:val="20"/>
          <w:color w:val="auto"/>
        </w:rPr>
      </w:pPr>
      <w:r>
        <w:rPr>
          <w:rFonts w:ascii="Times New Roman" w:cs="Times New Roman" w:eastAsia="Times New Roman" w:hAnsi="Times New Roman"/>
          <w:sz w:val="16"/>
          <w:szCs w:val="16"/>
          <w:color w:val="auto"/>
        </w:rPr>
        <w:t>We use a duration-based model in determining the impact of interest rate shifts on our debt portfolio and interest rate derivative portfolios. The primary assumption used in this model is that a 10% increase or decrease in the benchmark interest rate produces a parallel shift in the yield curve across all maturities.</w:t>
      </w:r>
    </w:p>
    <w:p>
      <w:pPr>
        <w:spacing w:after="0" w:line="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400"/>
          </w:cols>
          <w:pgMar w:left="240" w:top="455" w:right="259" w:bottom="1440" w:gutter="0" w:footer="0" w:header="0"/>
        </w:sectPr>
      </w:pPr>
    </w:p>
    <w:bookmarkStart w:id="57" w:name="page58"/>
    <w:bookmarkEnd w:id="5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jc w:val="both"/>
        <w:ind w:right="360"/>
        <w:spacing w:after="0" w:line="258" w:lineRule="auto"/>
        <w:rPr>
          <w:sz w:val="20"/>
          <w:szCs w:val="20"/>
          <w:color w:val="auto"/>
        </w:rPr>
      </w:pPr>
      <w:r>
        <w:rPr>
          <w:rFonts w:ascii="Times New Roman" w:cs="Times New Roman" w:eastAsia="Times New Roman" w:hAnsi="Times New Roman"/>
          <w:sz w:val="18"/>
          <w:szCs w:val="18"/>
          <w:color w:val="auto"/>
        </w:rPr>
        <w:t>Our total market risk is influenced by a wide variety of factors including the volatility present within the markets and the liquidity of the markets. There are certain limitations inherent in the sensitivity analyses presented. While probably the most meaningful analysis, these “shock tests” are constrained by several factors, including the necessity to conduct the analysis based on a single point in time and the inability to include the complex market reactions that normally would arise from the market shifts modeled.</w:t>
      </w:r>
    </w:p>
    <w:p>
      <w:pPr>
        <w:spacing w:after="0" w:line="136" w:lineRule="exact"/>
        <w:rPr>
          <w:sz w:val="20"/>
          <w:szCs w:val="20"/>
          <w:color w:val="auto"/>
        </w:rPr>
      </w:pPr>
    </w:p>
    <w:p>
      <w:pPr>
        <w:ind w:right="220"/>
        <w:spacing w:after="0" w:line="262" w:lineRule="auto"/>
        <w:rPr>
          <w:sz w:val="20"/>
          <w:szCs w:val="20"/>
          <w:color w:val="auto"/>
        </w:rPr>
      </w:pPr>
      <w:r>
        <w:rPr>
          <w:rFonts w:ascii="Times New Roman" w:cs="Times New Roman" w:eastAsia="Times New Roman" w:hAnsi="Times New Roman"/>
          <w:sz w:val="18"/>
          <w:szCs w:val="18"/>
          <w:color w:val="auto"/>
        </w:rPr>
        <w:t>We used December 31, 2009, 2008 and 2007 market rates on outstanding financial instruments to perform the sensitivity analyses separately for each of our market risk exposures. The estimates are based on the market risk sensitive portfolios described in the preceding paragraphs and assume instantaneous, parallel shifts in interest rate yield curves and exchange rates.</w:t>
      </w:r>
    </w:p>
    <w:p>
      <w:pPr>
        <w:spacing w:after="0" w:line="132" w:lineRule="exact"/>
        <w:rPr>
          <w:sz w:val="20"/>
          <w:szCs w:val="20"/>
          <w:color w:val="auto"/>
        </w:rPr>
      </w:pPr>
    </w:p>
    <w:p>
      <w:pPr>
        <w:ind w:right="140"/>
        <w:spacing w:after="0" w:line="262" w:lineRule="auto"/>
        <w:rPr>
          <w:sz w:val="20"/>
          <w:szCs w:val="20"/>
          <w:color w:val="auto"/>
        </w:rPr>
      </w:pPr>
      <w:r>
        <w:rPr>
          <w:rFonts w:ascii="Times New Roman" w:cs="Times New Roman" w:eastAsia="Times New Roman" w:hAnsi="Times New Roman"/>
          <w:sz w:val="18"/>
          <w:szCs w:val="18"/>
          <w:color w:val="auto"/>
        </w:rPr>
        <w:t>We have determined that the impact of a 10% change in interest rates would not have a material impact on our operating income, fair values and cash flows. We have determined that the impact of a 10% change in foreign currency exchange rates on our earnings, fair values and cash flows would not be material. While these results may be used as benchmarks, they should not be viewed as forecasts.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Consolidated Financial Statements and Consolidated Financial Statement Index commencing on Page F-1 hereof.</w:t>
      </w:r>
    </w:p>
    <w:p>
      <w:pPr>
        <w:spacing w:after="0" w:line="16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212" w:lineRule="exact"/>
        <w:rPr>
          <w:sz w:val="20"/>
          <w:szCs w:val="20"/>
          <w:color w:val="auto"/>
        </w:rPr>
      </w:pPr>
    </w:p>
    <w:p>
      <w:pPr>
        <w:ind w:left="460" w:hanging="452"/>
        <w:spacing w:after="0" w:line="259" w:lineRule="auto"/>
        <w:tabs>
          <w:tab w:leader="none" w:pos="4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Disclosure Controls and Procedures. </w:t>
      </w:r>
      <w:r>
        <w:rPr>
          <w:rFonts w:ascii="Times New Roman" w:cs="Times New Roman" w:eastAsia="Times New Roman" w:hAnsi="Times New Roman"/>
          <w:sz w:val="18"/>
          <w:szCs w:val="18"/>
          <w:color w:val="auto"/>
        </w:rPr>
        <w:t>Our management, with the participation of our Chief Executive Officer and Chief Financial Officer, has evaluated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effectiveness of our disclosure controls and procedures (as such term is defined in Rules 13a-15(e) and 15d-15(e) under the Securities Exchange Act of 1934, as amended (the “Exchange Act”)) as of the end of the period covered by this report. Based on such evaluation, our Chief Executive Officer and Chief Financial Officer have concluded that, as of the end of such period, our disclosure controls and procedures are effective.</w:t>
      </w:r>
    </w:p>
    <w:p>
      <w:pPr>
        <w:spacing w:after="0" w:line="173" w:lineRule="exact"/>
        <w:rPr>
          <w:rFonts w:ascii="Times New Roman" w:cs="Times New Roman" w:eastAsia="Times New Roman" w:hAnsi="Times New Roman"/>
          <w:sz w:val="18"/>
          <w:szCs w:val="18"/>
          <w:color w:val="auto"/>
        </w:rPr>
      </w:pPr>
    </w:p>
    <w:p>
      <w:pPr>
        <w:ind w:left="460" w:right="20" w:hanging="452"/>
        <w:spacing w:after="0" w:line="293" w:lineRule="auto"/>
        <w:tabs>
          <w:tab w:leader="none" w:pos="46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Management’s Annual Report on Internal Control over Financial Reporting. </w:t>
      </w:r>
      <w:r>
        <w:rPr>
          <w:rFonts w:ascii="Times New Roman" w:cs="Times New Roman" w:eastAsia="Times New Roman" w:hAnsi="Times New Roman"/>
          <w:sz w:val="16"/>
          <w:szCs w:val="16"/>
          <w:color w:val="auto"/>
        </w:rPr>
        <w:t>Our management is responsible for establishing and maintaining adequate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xml:space="preserve">internal control over financial reporting, as defined in Rules 13a-15(f) and 15d-15(f) under the Exchange Act. Our management assessed the effectiveness of our internal control over financial reporting as of December 31, 2009. In making this assessment, management used the criteria set forth by the Committee of Sponsoring Organizations of the Treadway Commission (COSO) in </w:t>
      </w:r>
      <w:r>
        <w:rPr>
          <w:rFonts w:ascii="Times New Roman" w:cs="Times New Roman" w:eastAsia="Times New Roman" w:hAnsi="Times New Roman"/>
          <w:sz w:val="16"/>
          <w:szCs w:val="16"/>
          <w:i w:val="1"/>
          <w:iCs w:val="1"/>
          <w:color w:val="auto"/>
        </w:rPr>
        <w:t>Internal Control—Integrated Framework.</w:t>
      </w:r>
      <w:r>
        <w:rPr>
          <w:rFonts w:ascii="Times New Roman" w:cs="Times New Roman" w:eastAsia="Times New Roman" w:hAnsi="Times New Roman"/>
          <w:sz w:val="16"/>
          <w:szCs w:val="16"/>
          <w:color w:val="auto"/>
        </w:rPr>
        <w:t xml:space="preserve"> Based on this assessment, our management believes that, as of December 31, 2009, our internal control over financial reporting is effective. Our independent registered public accounting firm has issued an attestation report on the effectiveness of the Company’s internal control over financial reporting, which is included below.</w:t>
      </w:r>
    </w:p>
    <w:p>
      <w:pPr>
        <w:spacing w:after="0" w:line="151" w:lineRule="exact"/>
        <w:rPr>
          <w:rFonts w:ascii="Times New Roman" w:cs="Times New Roman" w:eastAsia="Times New Roman" w:hAnsi="Times New Roman"/>
          <w:sz w:val="16"/>
          <w:szCs w:val="16"/>
          <w:color w:val="auto"/>
        </w:rPr>
      </w:pPr>
    </w:p>
    <w:p>
      <w:pPr>
        <w:ind w:left="460" w:right="280" w:hanging="452"/>
        <w:spacing w:after="0" w:line="264" w:lineRule="auto"/>
        <w:tabs>
          <w:tab w:leader="none" w:pos="4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Changes in Internal Control Over Financial Reporting. </w:t>
      </w:r>
      <w:r>
        <w:rPr>
          <w:rFonts w:ascii="Times New Roman" w:cs="Times New Roman" w:eastAsia="Times New Roman" w:hAnsi="Times New Roman"/>
          <w:sz w:val="18"/>
          <w:szCs w:val="18"/>
          <w:color w:val="auto"/>
        </w:rPr>
        <w:t>There have not been any changes in the Company’s internal control over financial reporting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such term is defined in Rules 13a-15(f) and 15d-15(f) under the Exchange Act) during the Company’s fiscal fourth quarter 2009 that have materially affected, or are reasonably likely to materially affect, the Company’s internal control over financial reporting.</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400"/>
          </w:cols>
          <w:pgMar w:left="240" w:top="455" w:right="259" w:bottom="1440" w:gutter="0" w:footer="0" w:header="0"/>
        </w:sectPr>
      </w:pPr>
    </w:p>
    <w:bookmarkStart w:id="58" w:name="page59"/>
    <w:bookmarkEnd w:id="5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right="5400"/>
        <w:spacing w:after="0" w:line="439" w:lineRule="auto"/>
        <w:rPr>
          <w:sz w:val="20"/>
          <w:szCs w:val="20"/>
          <w:color w:val="auto"/>
        </w:rPr>
      </w:pPr>
      <w:r>
        <w:rPr>
          <w:rFonts w:ascii="Times New Roman" w:cs="Times New Roman" w:eastAsia="Times New Roman" w:hAnsi="Times New Roman"/>
          <w:sz w:val="18"/>
          <w:szCs w:val="18"/>
          <w:b w:val="1"/>
          <w:bCs w:val="1"/>
          <w:color w:val="auto"/>
        </w:rPr>
        <w:t xml:space="preserve">REPORT OF INDEPENDENT REGISTERED PUBLIC ACCOUNTING FIRM </w:t>
      </w:r>
      <w:r>
        <w:rPr>
          <w:rFonts w:ascii="Times New Roman" w:cs="Times New Roman" w:eastAsia="Times New Roman" w:hAnsi="Times New Roman"/>
          <w:sz w:val="18"/>
          <w:szCs w:val="18"/>
          <w:color w:val="auto"/>
        </w:rPr>
        <w:t>To the Board of Directors and Stockholders of Avis Budget Group, Inc.</w:t>
      </w:r>
    </w:p>
    <w:p>
      <w:pPr>
        <w:spacing w:after="0" w:line="1"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 xml:space="preserve">We have audited the internal control over financial reporting of Avis Budget Group, Inc. and subsidiaries (the “Company”) as of December 31, 2009, based on criteria established in </w:t>
      </w:r>
      <w:r>
        <w:rPr>
          <w:rFonts w:ascii="Times New Roman" w:cs="Times New Roman" w:eastAsia="Times New Roman" w:hAnsi="Times New Roman"/>
          <w:sz w:val="18"/>
          <w:szCs w:val="18"/>
          <w:i w:val="1"/>
          <w:iCs w:val="1"/>
          <w:color w:val="auto"/>
        </w:rPr>
        <w:t>Internal Control—Integrated Framework</w:t>
      </w:r>
      <w:r>
        <w:rPr>
          <w:rFonts w:ascii="Times New Roman" w:cs="Times New Roman" w:eastAsia="Times New Roman" w:hAnsi="Times New Roman"/>
          <w:sz w:val="18"/>
          <w:szCs w:val="18"/>
          <w:color w:val="auto"/>
        </w:rPr>
        <w:t xml:space="preserve"> issued by the Committee of Sponsoring Organizations of the Treadway Commission. The Company’s management is responsible for maintaining effective internal control over financial reporting and for its assessment of the effectiveness of internal control over financial reporting, included in the accompanying </w:t>
      </w:r>
      <w:r>
        <w:rPr>
          <w:rFonts w:ascii="Times New Roman" w:cs="Times New Roman" w:eastAsia="Times New Roman" w:hAnsi="Times New Roman"/>
          <w:sz w:val="18"/>
          <w:szCs w:val="18"/>
          <w:i w:val="1"/>
          <w:iCs w:val="1"/>
          <w:color w:val="auto"/>
        </w:rPr>
        <w:t>Management’s Annual Report on Internal Control over Financial Reporting.</w:t>
      </w:r>
      <w:r>
        <w:rPr>
          <w:rFonts w:ascii="Times New Roman" w:cs="Times New Roman" w:eastAsia="Times New Roman" w:hAnsi="Times New Roman"/>
          <w:sz w:val="18"/>
          <w:szCs w:val="18"/>
          <w:color w:val="auto"/>
        </w:rPr>
        <w:t xml:space="preserve"> Our responsibility is to express an opinion on the Company’s internal control over financial reporting based on our audit.</w:t>
      </w:r>
    </w:p>
    <w:p>
      <w:pPr>
        <w:spacing w:after="0" w:line="13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3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by, or under the supervision of, the company’s principal executive and principal financial officers, or persons performing similar functions, and effected by the company’s board of directors, management, and other personnel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43"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Because of the inherent limitations of internal control over financial reporting, including the possibility of collusion or improper management override of controls, material misstatements due to error or fraud may not be prevented or detected on a timely basis. Also, projections of any evaluation of the effectiveness of the internal control over financial reporting to future periods are subject to the risk that the controls may become inadequate because of changes in conditions, or that the degree of compliance with the policies or procedures may deteriorate.</w:t>
      </w:r>
    </w:p>
    <w:p>
      <w:pPr>
        <w:spacing w:after="0" w:line="136" w:lineRule="exact"/>
        <w:rPr>
          <w:sz w:val="20"/>
          <w:szCs w:val="20"/>
          <w:color w:val="auto"/>
        </w:rPr>
      </w:pPr>
    </w:p>
    <w:p>
      <w:pPr>
        <w:ind w:right="60"/>
        <w:spacing w:after="0" w:line="275" w:lineRule="auto"/>
        <w:rPr>
          <w:sz w:val="20"/>
          <w:szCs w:val="20"/>
          <w:color w:val="auto"/>
        </w:rPr>
      </w:pPr>
      <w:r>
        <w:rPr>
          <w:rFonts w:ascii="Times New Roman" w:cs="Times New Roman" w:eastAsia="Times New Roman" w:hAnsi="Times New Roman"/>
          <w:sz w:val="18"/>
          <w:szCs w:val="18"/>
          <w:color w:val="auto"/>
        </w:rPr>
        <w:t xml:space="preserve">In our opinion, the Company maintained, in all material respects, effective internal control over financial reporting as of December 31, 2009, based on the criteria established in </w:t>
      </w:r>
      <w:r>
        <w:rPr>
          <w:rFonts w:ascii="Times New Roman" w:cs="Times New Roman" w:eastAsia="Times New Roman" w:hAnsi="Times New Roman"/>
          <w:sz w:val="18"/>
          <w:szCs w:val="18"/>
          <w:i w:val="1"/>
          <w:iCs w:val="1"/>
          <w:color w:val="auto"/>
        </w:rPr>
        <w:t>Internal Control—Integrated Framework</w:t>
      </w:r>
      <w:r>
        <w:rPr>
          <w:rFonts w:ascii="Times New Roman" w:cs="Times New Roman" w:eastAsia="Times New Roman" w:hAnsi="Times New Roman"/>
          <w:sz w:val="18"/>
          <w:szCs w:val="18"/>
          <w:color w:val="auto"/>
        </w:rPr>
        <w:t xml:space="preserve"> issued by the Committee of Sponsoring Organizations of the Treadway Commission.</w:t>
      </w:r>
    </w:p>
    <w:p>
      <w:pPr>
        <w:spacing w:after="0" w:line="120"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8"/>
          <w:szCs w:val="18"/>
          <w:color w:val="auto"/>
        </w:rPr>
        <w:t>We have also audited, in accordance with the standards of the Public Company Accounting Oversight Board (United States), the consolidated financial statements and financial statement schedule as of and for the year ended December 31, 2009 of the Company and our report dated February 23, 2010 expressed an unqualified opinion on those financial statements and financial statement schedule.</w:t>
      </w:r>
    </w:p>
    <w:p>
      <w:pPr>
        <w:spacing w:after="0" w:line="132"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6"/>
          <w:szCs w:val="16"/>
          <w:color w:val="auto"/>
        </w:rPr>
        <w:t>DELOITTE &amp; TOUCHE LLP</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23, 2010</w:t>
      </w:r>
    </w:p>
    <w:p>
      <w:pPr>
        <w:spacing w:after="0" w:line="1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420"/>
          </w:cols>
          <w:pgMar w:left="240" w:top="455" w:right="239" w:bottom="1440" w:gutter="0" w:footer="0" w:header="0"/>
        </w:sectPr>
      </w:pPr>
    </w:p>
    <w:bookmarkStart w:id="59" w:name="page60"/>
    <w:bookmarkEnd w:id="5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9B.</w:t>
      </w:r>
      <w:r>
        <w:rPr>
          <w:sz w:val="20"/>
          <w:szCs w:val="20"/>
          <w:color w:val="auto"/>
        </w:rPr>
        <w:tab/>
      </w:r>
      <w:r>
        <w:rPr>
          <w:rFonts w:ascii="Times New Roman" w:cs="Times New Roman" w:eastAsia="Times New Roman" w:hAnsi="Times New Roman"/>
          <w:sz w:val="16"/>
          <w:szCs w:val="16"/>
          <w:b w:val="1"/>
          <w:bCs w:val="1"/>
          <w:color w:val="auto"/>
        </w:rPr>
        <w:t>OTHER INFORMATION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69"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173" w:lineRule="exact"/>
        <w:rPr>
          <w:sz w:val="20"/>
          <w:szCs w:val="20"/>
          <w:color w:val="auto"/>
        </w:rPr>
      </w:pPr>
    </w:p>
    <w:p>
      <w:pPr>
        <w:ind w:right="320"/>
        <w:spacing w:after="0" w:line="275" w:lineRule="auto"/>
        <w:rPr>
          <w:sz w:val="20"/>
          <w:szCs w:val="20"/>
          <w:color w:val="auto"/>
        </w:rPr>
      </w:pPr>
      <w:r>
        <w:rPr>
          <w:rFonts w:ascii="Times New Roman" w:cs="Times New Roman" w:eastAsia="Times New Roman" w:hAnsi="Times New Roman"/>
          <w:sz w:val="18"/>
          <w:szCs w:val="18"/>
          <w:color w:val="auto"/>
        </w:rPr>
        <w:t>The information contained in the Company’s Annual Proxy Statement under the sections titled “Board of Directors”, “Executive Officers” and “Section 16(a) Beneficial Ownership Reporting Compliance” is incorporated herein by reference in response to this item.</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173" w:lineRule="exact"/>
        <w:rPr>
          <w:sz w:val="20"/>
          <w:szCs w:val="20"/>
          <w:color w:val="auto"/>
        </w:rPr>
      </w:pPr>
    </w:p>
    <w:p>
      <w:pPr>
        <w:ind w:right="180"/>
        <w:spacing w:after="0" w:line="275" w:lineRule="auto"/>
        <w:rPr>
          <w:sz w:val="20"/>
          <w:szCs w:val="20"/>
          <w:color w:val="auto"/>
        </w:rPr>
      </w:pPr>
      <w:r>
        <w:rPr>
          <w:rFonts w:ascii="Times New Roman" w:cs="Times New Roman" w:eastAsia="Times New Roman" w:hAnsi="Times New Roman"/>
          <w:sz w:val="18"/>
          <w:szCs w:val="18"/>
          <w:color w:val="auto"/>
        </w:rPr>
        <w:t>The information contained in the Company’s Annual Proxy Statement under the section titled “Executive Compensation” is incorporated herein by reference in response to this item.</w:t>
      </w:r>
    </w:p>
    <w:p>
      <w:pPr>
        <w:spacing w:after="0" w:line="158" w:lineRule="exact"/>
        <w:rPr>
          <w:sz w:val="20"/>
          <w:szCs w:val="20"/>
          <w:color w:val="auto"/>
        </w:rPr>
      </w:pPr>
    </w:p>
    <w:p>
      <w:pPr>
        <w:ind w:left="1040" w:right="720" w:hanging="1025"/>
        <w:spacing w:after="0" w:line="277" w:lineRule="auto"/>
        <w:tabs>
          <w:tab w:leader="none" w:pos="1020" w:val="left"/>
        </w:tabs>
        <w:rPr>
          <w:sz w:val="20"/>
          <w:szCs w:val="20"/>
          <w:color w:val="auto"/>
        </w:rPr>
      </w:pPr>
      <w:r>
        <w:rPr>
          <w:rFonts w:ascii="Times New Roman" w:cs="Times New Roman" w:eastAsia="Times New Roman" w:hAnsi="Times New Roman"/>
          <w:sz w:val="18"/>
          <w:szCs w:val="18"/>
          <w:b w:val="1"/>
          <w:bCs w:val="1"/>
          <w:color w:val="auto"/>
        </w:rPr>
        <w:t>ITEM 12.</w:t>
      </w:r>
      <w:r>
        <w:rPr>
          <w:sz w:val="20"/>
          <w:szCs w:val="20"/>
          <w:color w:val="auto"/>
        </w:rPr>
        <w:tab/>
      </w:r>
      <w:r>
        <w:rPr>
          <w:rFonts w:ascii="Times New Roman" w:cs="Times New Roman" w:eastAsia="Times New Roman" w:hAnsi="Times New Roman"/>
          <w:sz w:val="18"/>
          <w:szCs w:val="18"/>
          <w:b w:val="1"/>
          <w:bCs w:val="1"/>
          <w:color w:val="auto"/>
        </w:rPr>
        <w:t>SECURITY OWNERSHIP OF CERTAIN BENEFICIAL OWNERS AND MANAGEMENT AND RELATED STOCKHOLDER MATTERS</w:t>
      </w:r>
    </w:p>
    <w:p>
      <w:pPr>
        <w:spacing w:after="0" w:line="118" w:lineRule="exact"/>
        <w:rPr>
          <w:sz w:val="20"/>
          <w:szCs w:val="20"/>
          <w:color w:val="auto"/>
        </w:rPr>
      </w:pPr>
    </w:p>
    <w:p>
      <w:pPr>
        <w:ind w:right="20"/>
        <w:spacing w:after="0" w:line="275" w:lineRule="auto"/>
        <w:rPr>
          <w:sz w:val="20"/>
          <w:szCs w:val="20"/>
          <w:color w:val="auto"/>
        </w:rPr>
      </w:pPr>
      <w:r>
        <w:rPr>
          <w:rFonts w:ascii="Times New Roman" w:cs="Times New Roman" w:eastAsia="Times New Roman" w:hAnsi="Times New Roman"/>
          <w:sz w:val="18"/>
          <w:szCs w:val="18"/>
          <w:color w:val="auto"/>
        </w:rPr>
        <w:t>The information contained in the Company’s Annual Proxy Statement under the section titled “Security Ownership of Certain Beneficial Owners” is incorporated herein by reference in response to this item.</w:t>
      </w:r>
    </w:p>
    <w:p>
      <w:pPr>
        <w:spacing w:after="0" w:line="120" w:lineRule="exact"/>
        <w:rPr>
          <w:sz w:val="20"/>
          <w:szCs w:val="20"/>
          <w:color w:val="auto"/>
        </w:rPr>
      </w:pPr>
    </w:p>
    <w:p>
      <w:pPr>
        <w:ind w:right="260"/>
        <w:spacing w:after="0" w:line="275" w:lineRule="auto"/>
        <w:rPr>
          <w:sz w:val="20"/>
          <w:szCs w:val="20"/>
          <w:color w:val="auto"/>
        </w:rPr>
      </w:pPr>
      <w:r>
        <w:rPr>
          <w:rFonts w:ascii="Times New Roman" w:cs="Times New Roman" w:eastAsia="Times New Roman" w:hAnsi="Times New Roman"/>
          <w:sz w:val="18"/>
          <w:szCs w:val="18"/>
          <w:color w:val="auto"/>
        </w:rPr>
        <w:t>Information concerning our equity compensation plans is included in Part II of this report under the caption “Securities Authorized For Issuance Under Equity Compensation Plans”.</w:t>
      </w:r>
    </w:p>
    <w:p>
      <w:pPr>
        <w:spacing w:after="0" w:line="158"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6"/>
          <w:szCs w:val="16"/>
          <w:b w:val="1"/>
          <w:bCs w:val="1"/>
          <w:color w:val="auto"/>
        </w:rPr>
        <w:t>CERTAIN RELATIONSHIPS AND RELATED TRANSACTIONS, AND DIRECTOR INDEPENDENCE</w:t>
      </w:r>
    </w:p>
    <w:p>
      <w:pPr>
        <w:spacing w:after="0" w:line="173" w:lineRule="exact"/>
        <w:rPr>
          <w:sz w:val="20"/>
          <w:szCs w:val="20"/>
          <w:color w:val="auto"/>
        </w:rPr>
      </w:pPr>
    </w:p>
    <w:p>
      <w:pPr>
        <w:ind w:right="260"/>
        <w:spacing w:after="0" w:line="275" w:lineRule="auto"/>
        <w:rPr>
          <w:sz w:val="20"/>
          <w:szCs w:val="20"/>
          <w:color w:val="auto"/>
        </w:rPr>
      </w:pPr>
      <w:r>
        <w:rPr>
          <w:rFonts w:ascii="Times New Roman" w:cs="Times New Roman" w:eastAsia="Times New Roman" w:hAnsi="Times New Roman"/>
          <w:sz w:val="18"/>
          <w:szCs w:val="18"/>
          <w:color w:val="auto"/>
        </w:rPr>
        <w:t>The information contained in the Company’s Annual Proxy Statement under the section titled “Certain Relationships and Related Transactions” and “Board of Directors” is incorporated herein by reference in response to this item.</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173"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The information contained in the Company’s Annual Proxy Statement under the section titled “Ratification of Appointment of Auditors” is incorporated herein by reference in response to this item.</w:t>
      </w:r>
    </w:p>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15(A)(1) FINANCIAL STATEMENTS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Consolidated Financial Statements and Consolidated Financial Statements Index commencing on page F-1 hereof.</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15(A)(2) FINANCIAL STATEMENT SCHEDULES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Schedule II—Valuation and Qualifying Account for the years ended December 31, 2009, 2008 and 2007 commencing on page G-1 hereof.</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15(A)(3) EXHIBITS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Exhibit Index commencing on page H-1 hereof.</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400"/>
          </w:cols>
          <w:pgMar w:left="240" w:top="455" w:right="259" w:bottom="1440" w:gutter="0" w:footer="0" w:header="0"/>
        </w:sectPr>
      </w:pPr>
    </w:p>
    <w:bookmarkStart w:id="60" w:name="page61"/>
    <w:bookmarkEnd w:id="6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3" w:lineRule="exact"/>
        <w:rPr>
          <w:sz w:val="20"/>
          <w:szCs w:val="20"/>
          <w:color w:val="auto"/>
        </w:rPr>
      </w:pPr>
    </w:p>
    <w:p>
      <w:pPr>
        <w:ind w:right="220"/>
        <w:spacing w:after="0" w:line="275"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60"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AVIS BUDGET GROUP, INC.</w:t>
      </w:r>
    </w:p>
    <w:p>
      <w:pPr>
        <w:spacing w:after="0" w:line="117" w:lineRule="exact"/>
        <w:rPr>
          <w:sz w:val="20"/>
          <w:szCs w:val="20"/>
          <w:color w:val="auto"/>
        </w:rPr>
      </w:pPr>
    </w:p>
    <w:tbl>
      <w:tblPr>
        <w:tblLayout w:type="fixed"/>
        <w:tblInd w:w="6860" w:type="dxa"/>
        <w:tblCellMar>
          <w:top w:w="0" w:type="dxa"/>
          <w:left w:w="0" w:type="dxa"/>
          <w:bottom w:w="0" w:type="dxa"/>
          <w:right w:w="0" w:type="dxa"/>
        </w:tblCellMar>
      </w:tblPr>
      <w:tr>
        <w:trPr>
          <w:trHeight w:val="229"/>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/s/ BRETT D. WEINBLATT</w:t>
            </w:r>
          </w:p>
        </w:tc>
      </w:tr>
      <w:tr>
        <w:trPr>
          <w:trHeight w:val="208"/>
        </w:trPr>
        <w:tc>
          <w:tcPr>
            <w:tcW w:w="320" w:type="dxa"/>
            <w:vAlign w:val="bottom"/>
          </w:tcPr>
          <w:p>
            <w:pPr>
              <w:spacing w:after="0"/>
              <w:rPr>
                <w:sz w:val="18"/>
                <w:szCs w:val="18"/>
                <w:color w:val="auto"/>
              </w:rPr>
            </w:pPr>
          </w:p>
        </w:tc>
        <w:tc>
          <w:tcPr>
            <w:tcW w:w="4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Brett D. Weinblatt</w:t>
            </w:r>
          </w:p>
        </w:tc>
      </w:tr>
      <w:tr>
        <w:trPr>
          <w:trHeight w:val="218"/>
        </w:trPr>
        <w:tc>
          <w:tcPr>
            <w:tcW w:w="320" w:type="dxa"/>
            <w:vAlign w:val="bottom"/>
          </w:tcPr>
          <w:p>
            <w:pPr>
              <w:spacing w:after="0"/>
              <w:rPr>
                <w:sz w:val="18"/>
                <w:szCs w:val="18"/>
                <w:color w:val="auto"/>
              </w:rPr>
            </w:pPr>
          </w:p>
        </w:tc>
        <w:tc>
          <w:tcPr>
            <w:tcW w:w="424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7"/>
              </w:rPr>
              <w:t>Senior Vice President and Chief Accounting Officer</w:t>
            </w:r>
          </w:p>
        </w:tc>
      </w:tr>
      <w:tr>
        <w:trPr>
          <w:trHeight w:val="228"/>
        </w:trPr>
        <w:tc>
          <w:tcPr>
            <w:tcW w:w="320" w:type="dxa"/>
            <w:vAlign w:val="bottom"/>
          </w:tcPr>
          <w:p>
            <w:pPr>
              <w:spacing w:after="0"/>
              <w:rPr>
                <w:sz w:val="19"/>
                <w:szCs w:val="19"/>
                <w:color w:val="auto"/>
              </w:rPr>
            </w:pPr>
          </w:p>
        </w:tc>
        <w:tc>
          <w:tcPr>
            <w:tcW w:w="4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Date: February 23, 2010</w:t>
            </w:r>
          </w:p>
        </w:tc>
      </w:tr>
    </w:tbl>
    <w:p>
      <w:pPr>
        <w:spacing w:after="0" w:line="150" w:lineRule="exact"/>
        <w:rPr>
          <w:sz w:val="20"/>
          <w:szCs w:val="20"/>
          <w:color w:val="auto"/>
        </w:rPr>
      </w:pPr>
    </w:p>
    <w:p>
      <w:pPr>
        <w:ind w:right="160"/>
        <w:spacing w:after="0" w:line="275"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22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Signature</w:t>
            </w:r>
          </w:p>
        </w:tc>
        <w:tc>
          <w:tcPr>
            <w:tcW w:w="22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2340" w:type="dxa"/>
            <w:vAlign w:val="bottom"/>
            <w:gridSpan w:val="2"/>
          </w:tcPr>
          <w:p>
            <w:pPr>
              <w:jc w:val="center"/>
              <w:ind w:right="2080"/>
              <w:spacing w:after="0"/>
              <w:rPr>
                <w:sz w:val="20"/>
                <w:szCs w:val="20"/>
                <w:color w:val="auto"/>
              </w:rPr>
            </w:pPr>
            <w:r>
              <w:rPr>
                <w:rFonts w:ascii="Times New Roman" w:cs="Times New Roman" w:eastAsia="Times New Roman" w:hAnsi="Times New Roman"/>
                <w:sz w:val="14"/>
                <w:szCs w:val="14"/>
                <w:b w:val="1"/>
                <w:bCs w:val="1"/>
                <w:color w:val="auto"/>
                <w:w w:val="92"/>
              </w:rPr>
              <w:t>Title</w:t>
            </w:r>
          </w:p>
        </w:tc>
        <w:tc>
          <w:tcPr>
            <w:tcW w:w="820" w:type="dxa"/>
            <w:vAlign w:val="bottom"/>
          </w:tcPr>
          <w:p>
            <w:pPr>
              <w:spacing w:after="0"/>
              <w:rPr>
                <w:sz w:val="14"/>
                <w:szCs w:val="14"/>
                <w:color w:val="auto"/>
              </w:rPr>
            </w:pPr>
          </w:p>
        </w:tc>
        <w:tc>
          <w:tcPr>
            <w:tcW w:w="80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w w:val="92"/>
              </w:rPr>
              <w:t>Date</w:t>
            </w:r>
          </w:p>
        </w:tc>
      </w:tr>
      <w:tr>
        <w:trPr>
          <w:trHeight w:val="20"/>
        </w:trPr>
        <w:tc>
          <w:tcPr>
            <w:tcW w:w="22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424"/>
        </w:trPr>
        <w:tc>
          <w:tcPr>
            <w:tcW w:w="50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7"/>
              </w:rPr>
              <w:t>/s/ RONALD L. NELSON</w:t>
            </w:r>
          </w:p>
        </w:tc>
        <w:tc>
          <w:tcPr>
            <w:tcW w:w="4380" w:type="dxa"/>
            <w:vAlign w:val="bottom"/>
            <w:gridSpan w:val="3"/>
          </w:tcPr>
          <w:p>
            <w:pPr>
              <w:jc w:val="center"/>
              <w:ind w:right="60"/>
              <w:spacing w:after="0"/>
              <w:rPr>
                <w:sz w:val="20"/>
                <w:szCs w:val="20"/>
                <w:color w:val="auto"/>
              </w:rPr>
            </w:pPr>
            <w:r>
              <w:rPr>
                <w:rFonts w:ascii="Times New Roman" w:cs="Times New Roman" w:eastAsia="Times New Roman" w:hAnsi="Times New Roman"/>
                <w:sz w:val="18"/>
                <w:szCs w:val="18"/>
                <w:color w:val="auto"/>
                <w:w w:val="97"/>
              </w:rPr>
              <w:t>Chairman of the Board, Chief Executive Officer and</w:t>
            </w:r>
          </w:p>
        </w:tc>
        <w:tc>
          <w:tcPr>
            <w:tcW w:w="1620" w:type="dxa"/>
            <w:vAlign w:val="bottom"/>
            <w:gridSpan w:val="3"/>
          </w:tcPr>
          <w:p>
            <w:pPr>
              <w:jc w:val="center"/>
              <w:ind w:left="232"/>
              <w:spacing w:after="0"/>
              <w:rPr>
                <w:sz w:val="20"/>
                <w:szCs w:val="20"/>
                <w:color w:val="auto"/>
              </w:rPr>
            </w:pPr>
            <w:r>
              <w:rPr>
                <w:rFonts w:ascii="Times New Roman" w:cs="Times New Roman" w:eastAsia="Times New Roman" w:hAnsi="Times New Roman"/>
                <w:sz w:val="18"/>
                <w:szCs w:val="18"/>
                <w:color w:val="auto"/>
                <w:w w:val="98"/>
              </w:rPr>
              <w:t>February 23, 2010</w:t>
            </w:r>
          </w:p>
        </w:tc>
      </w:tr>
      <w:tr>
        <w:trPr>
          <w:trHeight w:val="224"/>
        </w:trPr>
        <w:tc>
          <w:tcPr>
            <w:tcW w:w="50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7"/>
              </w:rPr>
              <w:t>(Ronald L. Nelson)</w:t>
            </w:r>
          </w:p>
        </w:tc>
        <w:tc>
          <w:tcPr>
            <w:tcW w:w="4380" w:type="dxa"/>
            <w:vAlign w:val="bottom"/>
            <w:gridSpan w:val="3"/>
          </w:tcPr>
          <w:p>
            <w:pPr>
              <w:jc w:val="center"/>
              <w:ind w:right="40"/>
              <w:spacing w:after="0"/>
              <w:rPr>
                <w:sz w:val="20"/>
                <w:szCs w:val="20"/>
                <w:color w:val="auto"/>
              </w:rPr>
            </w:pPr>
            <w:r>
              <w:rPr>
                <w:rFonts w:ascii="Times New Roman" w:cs="Times New Roman" w:eastAsia="Times New Roman" w:hAnsi="Times New Roman"/>
                <w:sz w:val="18"/>
                <w:szCs w:val="18"/>
                <w:color w:val="auto"/>
                <w:w w:val="96"/>
              </w:rPr>
              <w:t>Director</w:t>
            </w: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r>
      <w:tr>
        <w:trPr>
          <w:trHeight w:val="432"/>
        </w:trPr>
        <w:tc>
          <w:tcPr>
            <w:tcW w:w="50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6"/>
              </w:rPr>
              <w:t>/s/ F. ROBERT SALERNO</w:t>
            </w:r>
          </w:p>
        </w:tc>
        <w:tc>
          <w:tcPr>
            <w:tcW w:w="4380" w:type="dxa"/>
            <w:vAlign w:val="bottom"/>
            <w:gridSpan w:val="3"/>
          </w:tcPr>
          <w:p>
            <w:pPr>
              <w:jc w:val="center"/>
              <w:ind w:right="40"/>
              <w:spacing w:after="0"/>
              <w:rPr>
                <w:sz w:val="20"/>
                <w:szCs w:val="20"/>
                <w:color w:val="auto"/>
              </w:rPr>
            </w:pPr>
            <w:r>
              <w:rPr>
                <w:rFonts w:ascii="Times New Roman" w:cs="Times New Roman" w:eastAsia="Times New Roman" w:hAnsi="Times New Roman"/>
                <w:sz w:val="18"/>
                <w:szCs w:val="18"/>
                <w:color w:val="auto"/>
                <w:w w:val="97"/>
              </w:rPr>
              <w:t>President, Chief Operating Officer and Director</w:t>
            </w:r>
          </w:p>
        </w:tc>
        <w:tc>
          <w:tcPr>
            <w:tcW w:w="1620" w:type="dxa"/>
            <w:vAlign w:val="bottom"/>
            <w:gridSpan w:val="3"/>
          </w:tcPr>
          <w:p>
            <w:pPr>
              <w:jc w:val="center"/>
              <w:ind w:left="232"/>
              <w:spacing w:after="0"/>
              <w:rPr>
                <w:sz w:val="20"/>
                <w:szCs w:val="20"/>
                <w:color w:val="auto"/>
              </w:rPr>
            </w:pPr>
            <w:r>
              <w:rPr>
                <w:rFonts w:ascii="Times New Roman" w:cs="Times New Roman" w:eastAsia="Times New Roman" w:hAnsi="Times New Roman"/>
                <w:sz w:val="18"/>
                <w:szCs w:val="18"/>
                <w:color w:val="auto"/>
                <w:w w:val="98"/>
              </w:rPr>
              <w:t>February 23, 2010</w:t>
            </w:r>
          </w:p>
        </w:tc>
      </w:tr>
      <w:tr>
        <w:trPr>
          <w:trHeight w:val="223"/>
        </w:trPr>
        <w:tc>
          <w:tcPr>
            <w:tcW w:w="50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7"/>
              </w:rPr>
              <w:t>(F. Robert Salerno)</w:t>
            </w:r>
          </w:p>
        </w:tc>
        <w:tc>
          <w:tcPr>
            <w:tcW w:w="2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r>
      <w:tr>
        <w:trPr>
          <w:trHeight w:val="432"/>
        </w:trPr>
        <w:tc>
          <w:tcPr>
            <w:tcW w:w="50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6"/>
              </w:rPr>
              <w:t>/s/ DAVID B. WYSHNER</w:t>
            </w:r>
          </w:p>
        </w:tc>
        <w:tc>
          <w:tcPr>
            <w:tcW w:w="4380" w:type="dxa"/>
            <w:vAlign w:val="bottom"/>
            <w:gridSpan w:val="3"/>
          </w:tcPr>
          <w:p>
            <w:pPr>
              <w:jc w:val="center"/>
              <w:ind w:right="40"/>
              <w:spacing w:after="0"/>
              <w:rPr>
                <w:sz w:val="20"/>
                <w:szCs w:val="20"/>
                <w:color w:val="auto"/>
              </w:rPr>
            </w:pPr>
            <w:r>
              <w:rPr>
                <w:rFonts w:ascii="Times New Roman" w:cs="Times New Roman" w:eastAsia="Times New Roman" w:hAnsi="Times New Roman"/>
                <w:sz w:val="18"/>
                <w:szCs w:val="18"/>
                <w:color w:val="auto"/>
                <w:w w:val="97"/>
              </w:rPr>
              <w:t>Executive Vice President and Chief Financial Officer</w:t>
            </w:r>
          </w:p>
        </w:tc>
        <w:tc>
          <w:tcPr>
            <w:tcW w:w="1620" w:type="dxa"/>
            <w:vAlign w:val="bottom"/>
            <w:gridSpan w:val="3"/>
          </w:tcPr>
          <w:p>
            <w:pPr>
              <w:jc w:val="center"/>
              <w:ind w:left="232"/>
              <w:spacing w:after="0"/>
              <w:rPr>
                <w:sz w:val="20"/>
                <w:szCs w:val="20"/>
                <w:color w:val="auto"/>
              </w:rPr>
            </w:pPr>
            <w:r>
              <w:rPr>
                <w:rFonts w:ascii="Times New Roman" w:cs="Times New Roman" w:eastAsia="Times New Roman" w:hAnsi="Times New Roman"/>
                <w:sz w:val="18"/>
                <w:szCs w:val="18"/>
                <w:color w:val="auto"/>
                <w:w w:val="98"/>
              </w:rPr>
              <w:t>February 23, 2010</w:t>
            </w:r>
          </w:p>
        </w:tc>
      </w:tr>
      <w:tr>
        <w:trPr>
          <w:trHeight w:val="223"/>
        </w:trPr>
        <w:tc>
          <w:tcPr>
            <w:tcW w:w="50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5"/>
              </w:rPr>
              <w:t>(David B. Wyshner)</w:t>
            </w:r>
          </w:p>
        </w:tc>
        <w:tc>
          <w:tcPr>
            <w:tcW w:w="2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r>
      <w:tr>
        <w:trPr>
          <w:trHeight w:val="432"/>
        </w:trPr>
        <w:tc>
          <w:tcPr>
            <w:tcW w:w="50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7"/>
              </w:rPr>
              <w:t>/s/ BRETT D. WEINBLATT</w:t>
            </w:r>
          </w:p>
        </w:tc>
        <w:tc>
          <w:tcPr>
            <w:tcW w:w="4380" w:type="dxa"/>
            <w:vAlign w:val="bottom"/>
            <w:gridSpan w:val="3"/>
          </w:tcPr>
          <w:p>
            <w:pPr>
              <w:jc w:val="center"/>
              <w:ind w:right="40"/>
              <w:spacing w:after="0"/>
              <w:rPr>
                <w:sz w:val="20"/>
                <w:szCs w:val="20"/>
                <w:color w:val="auto"/>
              </w:rPr>
            </w:pPr>
            <w:r>
              <w:rPr>
                <w:rFonts w:ascii="Times New Roman" w:cs="Times New Roman" w:eastAsia="Times New Roman" w:hAnsi="Times New Roman"/>
                <w:sz w:val="18"/>
                <w:szCs w:val="18"/>
                <w:color w:val="auto"/>
                <w:w w:val="97"/>
              </w:rPr>
              <w:t>Senior Vice President and Chief Accounting Officer</w:t>
            </w:r>
          </w:p>
        </w:tc>
        <w:tc>
          <w:tcPr>
            <w:tcW w:w="1620" w:type="dxa"/>
            <w:vAlign w:val="bottom"/>
            <w:gridSpan w:val="3"/>
          </w:tcPr>
          <w:p>
            <w:pPr>
              <w:jc w:val="center"/>
              <w:ind w:left="232"/>
              <w:spacing w:after="0"/>
              <w:rPr>
                <w:sz w:val="20"/>
                <w:szCs w:val="20"/>
                <w:color w:val="auto"/>
              </w:rPr>
            </w:pPr>
            <w:r>
              <w:rPr>
                <w:rFonts w:ascii="Times New Roman" w:cs="Times New Roman" w:eastAsia="Times New Roman" w:hAnsi="Times New Roman"/>
                <w:sz w:val="18"/>
                <w:szCs w:val="18"/>
                <w:color w:val="auto"/>
                <w:w w:val="98"/>
              </w:rPr>
              <w:t>February 23, 2010</w:t>
            </w:r>
          </w:p>
        </w:tc>
      </w:tr>
      <w:tr>
        <w:trPr>
          <w:trHeight w:val="223"/>
        </w:trPr>
        <w:tc>
          <w:tcPr>
            <w:tcW w:w="50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6"/>
              </w:rPr>
              <w:t>(Brett D. Weinblatt)</w:t>
            </w:r>
          </w:p>
        </w:tc>
        <w:tc>
          <w:tcPr>
            <w:tcW w:w="2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r>
      <w:tr>
        <w:trPr>
          <w:trHeight w:val="432"/>
        </w:trPr>
        <w:tc>
          <w:tcPr>
            <w:tcW w:w="50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7"/>
              </w:rPr>
              <w:t>/s/ MARY C. CHOKSI</w:t>
            </w:r>
          </w:p>
        </w:tc>
        <w:tc>
          <w:tcPr>
            <w:tcW w:w="4380" w:type="dxa"/>
            <w:vAlign w:val="bottom"/>
            <w:gridSpan w:val="3"/>
          </w:tcPr>
          <w:p>
            <w:pPr>
              <w:jc w:val="center"/>
              <w:ind w:right="40"/>
              <w:spacing w:after="0"/>
              <w:rPr>
                <w:sz w:val="20"/>
                <w:szCs w:val="20"/>
                <w:color w:val="auto"/>
              </w:rPr>
            </w:pPr>
            <w:r>
              <w:rPr>
                <w:rFonts w:ascii="Times New Roman" w:cs="Times New Roman" w:eastAsia="Times New Roman" w:hAnsi="Times New Roman"/>
                <w:sz w:val="18"/>
                <w:szCs w:val="18"/>
                <w:color w:val="auto"/>
                <w:w w:val="96"/>
              </w:rPr>
              <w:t>Director</w:t>
            </w:r>
          </w:p>
        </w:tc>
        <w:tc>
          <w:tcPr>
            <w:tcW w:w="1620" w:type="dxa"/>
            <w:vAlign w:val="bottom"/>
            <w:gridSpan w:val="3"/>
          </w:tcPr>
          <w:p>
            <w:pPr>
              <w:jc w:val="center"/>
              <w:ind w:left="232"/>
              <w:spacing w:after="0"/>
              <w:rPr>
                <w:sz w:val="20"/>
                <w:szCs w:val="20"/>
                <w:color w:val="auto"/>
              </w:rPr>
            </w:pPr>
            <w:r>
              <w:rPr>
                <w:rFonts w:ascii="Times New Roman" w:cs="Times New Roman" w:eastAsia="Times New Roman" w:hAnsi="Times New Roman"/>
                <w:sz w:val="18"/>
                <w:szCs w:val="18"/>
                <w:color w:val="auto"/>
                <w:w w:val="98"/>
              </w:rPr>
              <w:t>February 23, 2010</w:t>
            </w:r>
          </w:p>
        </w:tc>
      </w:tr>
      <w:tr>
        <w:trPr>
          <w:trHeight w:val="223"/>
        </w:trPr>
        <w:tc>
          <w:tcPr>
            <w:tcW w:w="50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7"/>
              </w:rPr>
              <w:t>(Mary C. Choksi)</w:t>
            </w:r>
          </w:p>
        </w:tc>
        <w:tc>
          <w:tcPr>
            <w:tcW w:w="2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r>
      <w:tr>
        <w:trPr>
          <w:trHeight w:val="432"/>
        </w:trPr>
        <w:tc>
          <w:tcPr>
            <w:tcW w:w="50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8"/>
              </w:rPr>
              <w:t>/s/ LEONARD S. COLEMAN, JR.</w:t>
            </w:r>
          </w:p>
        </w:tc>
        <w:tc>
          <w:tcPr>
            <w:tcW w:w="4380" w:type="dxa"/>
            <w:vAlign w:val="bottom"/>
            <w:gridSpan w:val="3"/>
          </w:tcPr>
          <w:p>
            <w:pPr>
              <w:jc w:val="center"/>
              <w:ind w:right="40"/>
              <w:spacing w:after="0"/>
              <w:rPr>
                <w:sz w:val="20"/>
                <w:szCs w:val="20"/>
                <w:color w:val="auto"/>
              </w:rPr>
            </w:pPr>
            <w:r>
              <w:rPr>
                <w:rFonts w:ascii="Times New Roman" w:cs="Times New Roman" w:eastAsia="Times New Roman" w:hAnsi="Times New Roman"/>
                <w:sz w:val="18"/>
                <w:szCs w:val="18"/>
                <w:color w:val="auto"/>
                <w:w w:val="96"/>
              </w:rPr>
              <w:t>Director</w:t>
            </w:r>
          </w:p>
        </w:tc>
        <w:tc>
          <w:tcPr>
            <w:tcW w:w="1620" w:type="dxa"/>
            <w:vAlign w:val="bottom"/>
            <w:gridSpan w:val="3"/>
          </w:tcPr>
          <w:p>
            <w:pPr>
              <w:jc w:val="center"/>
              <w:ind w:left="232"/>
              <w:spacing w:after="0"/>
              <w:rPr>
                <w:sz w:val="20"/>
                <w:szCs w:val="20"/>
                <w:color w:val="auto"/>
              </w:rPr>
            </w:pPr>
            <w:r>
              <w:rPr>
                <w:rFonts w:ascii="Times New Roman" w:cs="Times New Roman" w:eastAsia="Times New Roman" w:hAnsi="Times New Roman"/>
                <w:sz w:val="18"/>
                <w:szCs w:val="18"/>
                <w:color w:val="auto"/>
                <w:w w:val="98"/>
              </w:rPr>
              <w:t>February 23, 2010</w:t>
            </w:r>
          </w:p>
        </w:tc>
      </w:tr>
      <w:tr>
        <w:trPr>
          <w:trHeight w:val="223"/>
        </w:trPr>
        <w:tc>
          <w:tcPr>
            <w:tcW w:w="50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6"/>
              </w:rPr>
              <w:t>(Leonard S. Coleman, Jr.)</w:t>
            </w:r>
          </w:p>
        </w:tc>
        <w:tc>
          <w:tcPr>
            <w:tcW w:w="2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r>
      <w:tr>
        <w:trPr>
          <w:trHeight w:val="432"/>
        </w:trPr>
        <w:tc>
          <w:tcPr>
            <w:tcW w:w="50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7"/>
              </w:rPr>
              <w:t>/s/ MARTIN L. EDELMAN</w:t>
            </w:r>
          </w:p>
        </w:tc>
        <w:tc>
          <w:tcPr>
            <w:tcW w:w="4380" w:type="dxa"/>
            <w:vAlign w:val="bottom"/>
            <w:gridSpan w:val="3"/>
          </w:tcPr>
          <w:p>
            <w:pPr>
              <w:jc w:val="center"/>
              <w:ind w:right="40"/>
              <w:spacing w:after="0"/>
              <w:rPr>
                <w:sz w:val="20"/>
                <w:szCs w:val="20"/>
                <w:color w:val="auto"/>
              </w:rPr>
            </w:pPr>
            <w:r>
              <w:rPr>
                <w:rFonts w:ascii="Times New Roman" w:cs="Times New Roman" w:eastAsia="Times New Roman" w:hAnsi="Times New Roman"/>
                <w:sz w:val="18"/>
                <w:szCs w:val="18"/>
                <w:color w:val="auto"/>
                <w:w w:val="96"/>
              </w:rPr>
              <w:t>Director</w:t>
            </w:r>
          </w:p>
        </w:tc>
        <w:tc>
          <w:tcPr>
            <w:tcW w:w="1620" w:type="dxa"/>
            <w:vAlign w:val="bottom"/>
            <w:gridSpan w:val="3"/>
          </w:tcPr>
          <w:p>
            <w:pPr>
              <w:jc w:val="center"/>
              <w:ind w:left="232"/>
              <w:spacing w:after="0"/>
              <w:rPr>
                <w:sz w:val="20"/>
                <w:szCs w:val="20"/>
                <w:color w:val="auto"/>
              </w:rPr>
            </w:pPr>
            <w:r>
              <w:rPr>
                <w:rFonts w:ascii="Times New Roman" w:cs="Times New Roman" w:eastAsia="Times New Roman" w:hAnsi="Times New Roman"/>
                <w:sz w:val="18"/>
                <w:szCs w:val="18"/>
                <w:color w:val="auto"/>
                <w:w w:val="98"/>
              </w:rPr>
              <w:t>February 23, 2010</w:t>
            </w:r>
          </w:p>
        </w:tc>
      </w:tr>
      <w:tr>
        <w:trPr>
          <w:trHeight w:val="223"/>
        </w:trPr>
        <w:tc>
          <w:tcPr>
            <w:tcW w:w="50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6"/>
              </w:rPr>
              <w:t>(Martin L. Edelman)</w:t>
            </w:r>
          </w:p>
        </w:tc>
        <w:tc>
          <w:tcPr>
            <w:tcW w:w="2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r>
      <w:tr>
        <w:trPr>
          <w:trHeight w:val="432"/>
        </w:trPr>
        <w:tc>
          <w:tcPr>
            <w:tcW w:w="50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6"/>
              </w:rPr>
              <w:t>/s/ JOHN D. HARDY, JR.</w:t>
            </w:r>
          </w:p>
        </w:tc>
        <w:tc>
          <w:tcPr>
            <w:tcW w:w="4380" w:type="dxa"/>
            <w:vAlign w:val="bottom"/>
            <w:gridSpan w:val="3"/>
          </w:tcPr>
          <w:p>
            <w:pPr>
              <w:jc w:val="center"/>
              <w:ind w:right="40"/>
              <w:spacing w:after="0"/>
              <w:rPr>
                <w:sz w:val="20"/>
                <w:szCs w:val="20"/>
                <w:color w:val="auto"/>
              </w:rPr>
            </w:pPr>
            <w:r>
              <w:rPr>
                <w:rFonts w:ascii="Times New Roman" w:cs="Times New Roman" w:eastAsia="Times New Roman" w:hAnsi="Times New Roman"/>
                <w:sz w:val="18"/>
                <w:szCs w:val="18"/>
                <w:color w:val="auto"/>
                <w:w w:val="96"/>
              </w:rPr>
              <w:t>Director</w:t>
            </w:r>
          </w:p>
        </w:tc>
        <w:tc>
          <w:tcPr>
            <w:tcW w:w="1620" w:type="dxa"/>
            <w:vAlign w:val="bottom"/>
            <w:gridSpan w:val="3"/>
          </w:tcPr>
          <w:p>
            <w:pPr>
              <w:jc w:val="center"/>
              <w:ind w:left="232"/>
              <w:spacing w:after="0"/>
              <w:rPr>
                <w:sz w:val="20"/>
                <w:szCs w:val="20"/>
                <w:color w:val="auto"/>
              </w:rPr>
            </w:pPr>
            <w:r>
              <w:rPr>
                <w:rFonts w:ascii="Times New Roman" w:cs="Times New Roman" w:eastAsia="Times New Roman" w:hAnsi="Times New Roman"/>
                <w:sz w:val="18"/>
                <w:szCs w:val="18"/>
                <w:color w:val="auto"/>
                <w:w w:val="98"/>
              </w:rPr>
              <w:t>February 23, 2010</w:t>
            </w:r>
          </w:p>
        </w:tc>
      </w:tr>
      <w:tr>
        <w:trPr>
          <w:trHeight w:val="223"/>
        </w:trPr>
        <w:tc>
          <w:tcPr>
            <w:tcW w:w="50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7"/>
              </w:rPr>
              <w:t>(John D. Hardy, Jr.)</w:t>
            </w:r>
          </w:p>
        </w:tc>
        <w:tc>
          <w:tcPr>
            <w:tcW w:w="2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r>
      <w:tr>
        <w:trPr>
          <w:trHeight w:val="432"/>
        </w:trPr>
        <w:tc>
          <w:tcPr>
            <w:tcW w:w="50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5"/>
              </w:rPr>
              <w:t>/s/ LYNN KROMINGA</w:t>
            </w:r>
          </w:p>
        </w:tc>
        <w:tc>
          <w:tcPr>
            <w:tcW w:w="4380" w:type="dxa"/>
            <w:vAlign w:val="bottom"/>
            <w:gridSpan w:val="3"/>
          </w:tcPr>
          <w:p>
            <w:pPr>
              <w:jc w:val="center"/>
              <w:ind w:right="40"/>
              <w:spacing w:after="0"/>
              <w:rPr>
                <w:sz w:val="20"/>
                <w:szCs w:val="20"/>
                <w:color w:val="auto"/>
              </w:rPr>
            </w:pPr>
            <w:r>
              <w:rPr>
                <w:rFonts w:ascii="Times New Roman" w:cs="Times New Roman" w:eastAsia="Times New Roman" w:hAnsi="Times New Roman"/>
                <w:sz w:val="18"/>
                <w:szCs w:val="18"/>
                <w:color w:val="auto"/>
                <w:w w:val="96"/>
              </w:rPr>
              <w:t>Director</w:t>
            </w:r>
          </w:p>
        </w:tc>
        <w:tc>
          <w:tcPr>
            <w:tcW w:w="1620" w:type="dxa"/>
            <w:vAlign w:val="bottom"/>
            <w:gridSpan w:val="3"/>
          </w:tcPr>
          <w:p>
            <w:pPr>
              <w:jc w:val="center"/>
              <w:ind w:left="232"/>
              <w:spacing w:after="0"/>
              <w:rPr>
                <w:sz w:val="20"/>
                <w:szCs w:val="20"/>
                <w:color w:val="auto"/>
              </w:rPr>
            </w:pPr>
            <w:r>
              <w:rPr>
                <w:rFonts w:ascii="Times New Roman" w:cs="Times New Roman" w:eastAsia="Times New Roman" w:hAnsi="Times New Roman"/>
                <w:sz w:val="18"/>
                <w:szCs w:val="18"/>
                <w:color w:val="auto"/>
                <w:w w:val="98"/>
              </w:rPr>
              <w:t>February 23, 2010</w:t>
            </w:r>
          </w:p>
        </w:tc>
      </w:tr>
      <w:tr>
        <w:trPr>
          <w:trHeight w:val="223"/>
        </w:trPr>
        <w:tc>
          <w:tcPr>
            <w:tcW w:w="50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7"/>
              </w:rPr>
              <w:t>(Lynn Krominga)</w:t>
            </w:r>
          </w:p>
        </w:tc>
        <w:tc>
          <w:tcPr>
            <w:tcW w:w="2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r>
      <w:tr>
        <w:trPr>
          <w:trHeight w:val="432"/>
        </w:trPr>
        <w:tc>
          <w:tcPr>
            <w:tcW w:w="50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6"/>
              </w:rPr>
              <w:t>/s/ EDUARDO G. MESTRE</w:t>
            </w:r>
          </w:p>
        </w:tc>
        <w:tc>
          <w:tcPr>
            <w:tcW w:w="4380" w:type="dxa"/>
            <w:vAlign w:val="bottom"/>
            <w:gridSpan w:val="3"/>
          </w:tcPr>
          <w:p>
            <w:pPr>
              <w:jc w:val="center"/>
              <w:ind w:right="40"/>
              <w:spacing w:after="0"/>
              <w:rPr>
                <w:sz w:val="20"/>
                <w:szCs w:val="20"/>
                <w:color w:val="auto"/>
              </w:rPr>
            </w:pPr>
            <w:r>
              <w:rPr>
                <w:rFonts w:ascii="Times New Roman" w:cs="Times New Roman" w:eastAsia="Times New Roman" w:hAnsi="Times New Roman"/>
                <w:sz w:val="18"/>
                <w:szCs w:val="18"/>
                <w:color w:val="auto"/>
                <w:w w:val="96"/>
              </w:rPr>
              <w:t>Director</w:t>
            </w:r>
          </w:p>
        </w:tc>
        <w:tc>
          <w:tcPr>
            <w:tcW w:w="1620" w:type="dxa"/>
            <w:vAlign w:val="bottom"/>
            <w:gridSpan w:val="3"/>
          </w:tcPr>
          <w:p>
            <w:pPr>
              <w:jc w:val="center"/>
              <w:ind w:left="232"/>
              <w:spacing w:after="0"/>
              <w:rPr>
                <w:sz w:val="20"/>
                <w:szCs w:val="20"/>
                <w:color w:val="auto"/>
              </w:rPr>
            </w:pPr>
            <w:r>
              <w:rPr>
                <w:rFonts w:ascii="Times New Roman" w:cs="Times New Roman" w:eastAsia="Times New Roman" w:hAnsi="Times New Roman"/>
                <w:sz w:val="18"/>
                <w:szCs w:val="18"/>
                <w:color w:val="auto"/>
                <w:w w:val="98"/>
              </w:rPr>
              <w:t>February 23, 2010</w:t>
            </w:r>
          </w:p>
        </w:tc>
      </w:tr>
      <w:tr>
        <w:trPr>
          <w:trHeight w:val="223"/>
        </w:trPr>
        <w:tc>
          <w:tcPr>
            <w:tcW w:w="50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6"/>
              </w:rPr>
              <w:t>(Eduardo G. Mestre)</w:t>
            </w:r>
          </w:p>
        </w:tc>
        <w:tc>
          <w:tcPr>
            <w:tcW w:w="2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r>
      <w:tr>
        <w:trPr>
          <w:trHeight w:val="432"/>
        </w:trPr>
        <w:tc>
          <w:tcPr>
            <w:tcW w:w="50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7"/>
              </w:rPr>
              <w:t>/s/ STENDER E. SWEENEY</w:t>
            </w:r>
          </w:p>
        </w:tc>
        <w:tc>
          <w:tcPr>
            <w:tcW w:w="4380" w:type="dxa"/>
            <w:vAlign w:val="bottom"/>
            <w:gridSpan w:val="3"/>
          </w:tcPr>
          <w:p>
            <w:pPr>
              <w:jc w:val="center"/>
              <w:ind w:right="40"/>
              <w:spacing w:after="0"/>
              <w:rPr>
                <w:sz w:val="20"/>
                <w:szCs w:val="20"/>
                <w:color w:val="auto"/>
              </w:rPr>
            </w:pPr>
            <w:r>
              <w:rPr>
                <w:rFonts w:ascii="Times New Roman" w:cs="Times New Roman" w:eastAsia="Times New Roman" w:hAnsi="Times New Roman"/>
                <w:sz w:val="18"/>
                <w:szCs w:val="18"/>
                <w:color w:val="auto"/>
                <w:w w:val="96"/>
              </w:rPr>
              <w:t>Director</w:t>
            </w:r>
          </w:p>
        </w:tc>
        <w:tc>
          <w:tcPr>
            <w:tcW w:w="1620" w:type="dxa"/>
            <w:vAlign w:val="bottom"/>
            <w:gridSpan w:val="3"/>
          </w:tcPr>
          <w:p>
            <w:pPr>
              <w:jc w:val="center"/>
              <w:ind w:left="232"/>
              <w:spacing w:after="0"/>
              <w:rPr>
                <w:sz w:val="20"/>
                <w:szCs w:val="20"/>
                <w:color w:val="auto"/>
              </w:rPr>
            </w:pPr>
            <w:r>
              <w:rPr>
                <w:rFonts w:ascii="Times New Roman" w:cs="Times New Roman" w:eastAsia="Times New Roman" w:hAnsi="Times New Roman"/>
                <w:sz w:val="18"/>
                <w:szCs w:val="18"/>
                <w:color w:val="auto"/>
                <w:w w:val="98"/>
              </w:rPr>
              <w:t>February 23, 2010</w:t>
            </w:r>
          </w:p>
        </w:tc>
      </w:tr>
      <w:tr>
        <w:trPr>
          <w:trHeight w:val="223"/>
        </w:trPr>
        <w:tc>
          <w:tcPr>
            <w:tcW w:w="50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7"/>
              </w:rPr>
              <w:t>(Stender E. Sweeney)</w:t>
            </w:r>
          </w:p>
        </w:tc>
        <w:tc>
          <w:tcPr>
            <w:tcW w:w="2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r>
      <w:tr>
        <w:trPr>
          <w:trHeight w:val="364"/>
        </w:trPr>
        <w:tc>
          <w:tcPr>
            <w:tcW w:w="2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2040" w:type="dxa"/>
            <w:vAlign w:val="bottom"/>
          </w:tcPr>
          <w:p>
            <w:pPr>
              <w:jc w:val="right"/>
              <w:ind w:right="1192"/>
              <w:spacing w:after="0"/>
              <w:rPr>
                <w:sz w:val="20"/>
                <w:szCs w:val="20"/>
                <w:color w:val="auto"/>
              </w:rPr>
            </w:pPr>
            <w:r>
              <w:rPr>
                <w:rFonts w:ascii="Times New Roman" w:cs="Times New Roman" w:eastAsia="Times New Roman" w:hAnsi="Times New Roman"/>
                <w:sz w:val="18"/>
                <w:szCs w:val="18"/>
                <w:color w:val="auto"/>
              </w:rPr>
              <w:t>57</w:t>
            </w:r>
          </w:p>
        </w:tc>
        <w:tc>
          <w:tcPr>
            <w:tcW w:w="26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r>
    </w:tbl>
    <w:p>
      <w:pPr>
        <w:sectPr>
          <w:pgSz w:w="11900" w:h="16838" w:orient="portrait"/>
          <w:cols w:equalWidth="0" w:num="1">
            <w:col w:w="11420"/>
          </w:cols>
          <w:pgMar w:left="240" w:top="455" w:right="239" w:bottom="1440" w:gutter="0" w:footer="0" w:header="0"/>
        </w:sectPr>
      </w:pPr>
    </w:p>
    <w:bookmarkStart w:id="61" w:name="page62"/>
    <w:bookmarkEnd w:id="6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080" w:type="dxa"/>
            <w:vAlign w:val="bottom"/>
          </w:tcPr>
          <w:p>
            <w:pPr>
              <w:spacing w:after="0"/>
              <w:rPr>
                <w:sz w:val="20"/>
                <w:szCs w:val="20"/>
                <w:color w:val="auto"/>
              </w:rPr>
            </w:pPr>
          </w:p>
        </w:tc>
        <w:tc>
          <w:tcPr>
            <w:tcW w:w="7980" w:type="dxa"/>
            <w:vAlign w:val="bottom"/>
            <w:gridSpan w:val="6"/>
          </w:tcPr>
          <w:p>
            <w:pPr>
              <w:ind w:left="340"/>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tc>
        <w:tc>
          <w:tcPr>
            <w:tcW w:w="360" w:type="dxa"/>
            <w:vAlign w:val="bottom"/>
          </w:tcPr>
          <w:p>
            <w:pPr>
              <w:spacing w:after="0"/>
              <w:rPr>
                <w:sz w:val="20"/>
                <w:szCs w:val="20"/>
                <w:color w:val="auto"/>
              </w:rPr>
            </w:pPr>
          </w:p>
        </w:tc>
      </w:tr>
      <w:tr>
        <w:trPr>
          <w:trHeight w:val="420"/>
        </w:trPr>
        <w:tc>
          <w:tcPr>
            <w:tcW w:w="30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1"/>
              </w:rPr>
              <w:t>Page</w:t>
            </w:r>
          </w:p>
        </w:tc>
      </w:tr>
      <w:tr>
        <w:trPr>
          <w:trHeight w:val="278"/>
        </w:trPr>
        <w:tc>
          <w:tcPr>
            <w:tcW w:w="11060" w:type="dxa"/>
            <w:vAlign w:val="bottom"/>
            <w:gridSpan w:val="7"/>
          </w:tcPr>
          <w:p>
            <w:pPr>
              <w:spacing w:after="0"/>
              <w:rPr>
                <w:rFonts w:ascii="Times New Roman" w:cs="Times New Roman" w:eastAsia="Times New Roman" w:hAnsi="Times New Roman"/>
                <w:sz w:val="18"/>
                <w:szCs w:val="18"/>
                <w:color w:val="0000EE"/>
              </w:rPr>
            </w:pPr>
            <w:hyperlink w:anchor="page63">
              <w:r>
                <w:rPr>
                  <w:rFonts w:ascii="Times New Roman" w:cs="Times New Roman" w:eastAsia="Times New Roman" w:hAnsi="Times New Roman"/>
                  <w:sz w:val="18"/>
                  <w:szCs w:val="18"/>
                  <w:color w:val="0000EE"/>
                </w:rPr>
                <w:t>Report of Independent Registered Public Accounting Firm</w:t>
              </w:r>
            </w:hyperlink>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F-2</w:t>
            </w:r>
          </w:p>
        </w:tc>
      </w:tr>
      <w:tr>
        <w:trPr>
          <w:trHeight w:val="20"/>
        </w:trPr>
        <w:tc>
          <w:tcPr>
            <w:tcW w:w="308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304"/>
        </w:trPr>
        <w:tc>
          <w:tcPr>
            <w:tcW w:w="6700" w:type="dxa"/>
            <w:vAlign w:val="bottom"/>
            <w:tcBorders>
              <w:bottom w:val="single" w:sz="8" w:color="0000EE"/>
            </w:tcBorders>
            <w:gridSpan w:val="4"/>
          </w:tcPr>
          <w:p>
            <w:pPr>
              <w:spacing w:after="0"/>
              <w:rPr>
                <w:rFonts w:ascii="Times New Roman" w:cs="Times New Roman" w:eastAsia="Times New Roman" w:hAnsi="Times New Roman"/>
                <w:sz w:val="18"/>
                <w:szCs w:val="18"/>
                <w:color w:val="0000EE"/>
                <w:w w:val="97"/>
              </w:rPr>
            </w:pPr>
            <w:hyperlink w:anchor="page64">
              <w:r>
                <w:rPr>
                  <w:rFonts w:ascii="Times New Roman" w:cs="Times New Roman" w:eastAsia="Times New Roman" w:hAnsi="Times New Roman"/>
                  <w:sz w:val="18"/>
                  <w:szCs w:val="18"/>
                  <w:color w:val="0000EE"/>
                  <w:w w:val="97"/>
                </w:rPr>
                <w:t>Consolidated Statements of Operations for the years ended December 31, 2009, 2008 and 2007</w:t>
              </w:r>
            </w:hyperlink>
          </w:p>
        </w:tc>
        <w:tc>
          <w:tcPr>
            <w:tcW w:w="4360" w:type="dxa"/>
            <w:vAlign w:val="bottom"/>
            <w:gridSpan w:val="3"/>
          </w:tcPr>
          <w:p>
            <w:pPr>
              <w:spacing w:after="0"/>
              <w:rPr>
                <w:sz w:val="24"/>
                <w:szCs w:val="24"/>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F-3</w:t>
            </w:r>
          </w:p>
        </w:tc>
      </w:tr>
      <w:tr>
        <w:trPr>
          <w:trHeight w:val="304"/>
        </w:trPr>
        <w:tc>
          <w:tcPr>
            <w:tcW w:w="11060" w:type="dxa"/>
            <w:vAlign w:val="bottom"/>
            <w:gridSpan w:val="7"/>
          </w:tcPr>
          <w:p>
            <w:pPr>
              <w:spacing w:after="0"/>
              <w:rPr>
                <w:rFonts w:ascii="Times New Roman" w:cs="Times New Roman" w:eastAsia="Times New Roman" w:hAnsi="Times New Roman"/>
                <w:sz w:val="18"/>
                <w:szCs w:val="18"/>
                <w:color w:val="0000EE"/>
              </w:rPr>
            </w:pPr>
            <w:hyperlink w:anchor="page65">
              <w:r>
                <w:rPr>
                  <w:rFonts w:ascii="Times New Roman" w:cs="Times New Roman" w:eastAsia="Times New Roman" w:hAnsi="Times New Roman"/>
                  <w:sz w:val="18"/>
                  <w:szCs w:val="18"/>
                  <w:color w:val="0000EE"/>
                </w:rPr>
                <w:t>Consolidated Balance Sheets as of December 31, 2009 and 2008</w:t>
              </w:r>
            </w:hyperlink>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F-4</w:t>
            </w:r>
          </w:p>
        </w:tc>
      </w:tr>
      <w:tr>
        <w:trPr>
          <w:trHeight w:val="20"/>
        </w:trPr>
        <w:tc>
          <w:tcPr>
            <w:tcW w:w="3080" w:type="dxa"/>
            <w:vAlign w:val="bottom"/>
            <w:shd w:val="clear" w:color="auto" w:fill="0000EE"/>
          </w:tcPr>
          <w:p>
            <w:pPr>
              <w:spacing w:after="0" w:line="20" w:lineRule="exact"/>
              <w:rPr>
                <w:sz w:val="1"/>
                <w:szCs w:val="1"/>
                <w:color w:val="auto"/>
              </w:rPr>
            </w:pPr>
          </w:p>
        </w:tc>
        <w:tc>
          <w:tcPr>
            <w:tcW w:w="1460" w:type="dxa"/>
            <w:vAlign w:val="bottom"/>
            <w:gridSpan w:val="2"/>
            <w:shd w:val="clear" w:color="auto" w:fill="0000EE"/>
          </w:tcPr>
          <w:p>
            <w:pPr>
              <w:spacing w:after="0" w:line="20" w:lineRule="exact"/>
              <w:rPr>
                <w:sz w:val="1"/>
                <w:szCs w:val="1"/>
                <w:color w:val="auto"/>
              </w:rPr>
            </w:pPr>
          </w:p>
        </w:tc>
        <w:tc>
          <w:tcPr>
            <w:tcW w:w="220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304"/>
        </w:trPr>
        <w:tc>
          <w:tcPr>
            <w:tcW w:w="11060" w:type="dxa"/>
            <w:vAlign w:val="bottom"/>
            <w:gridSpan w:val="7"/>
          </w:tcPr>
          <w:p>
            <w:pPr>
              <w:spacing w:after="0"/>
              <w:rPr>
                <w:rFonts w:ascii="Times New Roman" w:cs="Times New Roman" w:eastAsia="Times New Roman" w:hAnsi="Times New Roman"/>
                <w:sz w:val="18"/>
                <w:szCs w:val="18"/>
                <w:color w:val="0000EE"/>
              </w:rPr>
            </w:pPr>
            <w:hyperlink w:anchor="page66">
              <w:r>
                <w:rPr>
                  <w:rFonts w:ascii="Times New Roman" w:cs="Times New Roman" w:eastAsia="Times New Roman" w:hAnsi="Times New Roman"/>
                  <w:sz w:val="18"/>
                  <w:szCs w:val="18"/>
                  <w:color w:val="0000EE"/>
                </w:rPr>
                <w:t>Consolidated Statements of Cash Flows for the years ended December 31, 2009, 2008 and 2007</w:t>
              </w:r>
            </w:hyperlink>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F-5</w:t>
            </w:r>
          </w:p>
        </w:tc>
      </w:tr>
      <w:tr>
        <w:trPr>
          <w:trHeight w:val="20"/>
        </w:trPr>
        <w:tc>
          <w:tcPr>
            <w:tcW w:w="3080" w:type="dxa"/>
            <w:vAlign w:val="bottom"/>
            <w:shd w:val="clear" w:color="auto" w:fill="0000EE"/>
          </w:tcPr>
          <w:p>
            <w:pPr>
              <w:spacing w:after="0" w:line="20" w:lineRule="exact"/>
              <w:rPr>
                <w:sz w:val="1"/>
                <w:szCs w:val="1"/>
                <w:color w:val="auto"/>
              </w:rPr>
            </w:pPr>
          </w:p>
        </w:tc>
        <w:tc>
          <w:tcPr>
            <w:tcW w:w="3660" w:type="dxa"/>
            <w:vAlign w:val="bottom"/>
            <w:gridSpan w:val="4"/>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304"/>
        </w:trPr>
        <w:tc>
          <w:tcPr>
            <w:tcW w:w="7460" w:type="dxa"/>
            <w:vAlign w:val="bottom"/>
            <w:tcBorders>
              <w:bottom w:val="single" w:sz="8" w:color="0000EE"/>
            </w:tcBorders>
            <w:gridSpan w:val="6"/>
          </w:tcPr>
          <w:p>
            <w:pPr>
              <w:spacing w:after="0"/>
              <w:rPr>
                <w:rFonts w:ascii="Times New Roman" w:cs="Times New Roman" w:eastAsia="Times New Roman" w:hAnsi="Times New Roman"/>
                <w:sz w:val="18"/>
                <w:szCs w:val="18"/>
                <w:color w:val="0000EE"/>
                <w:w w:val="98"/>
              </w:rPr>
            </w:pPr>
            <w:hyperlink w:anchor="page68">
              <w:r>
                <w:rPr>
                  <w:rFonts w:ascii="Times New Roman" w:cs="Times New Roman" w:eastAsia="Times New Roman" w:hAnsi="Times New Roman"/>
                  <w:sz w:val="18"/>
                  <w:szCs w:val="18"/>
                  <w:color w:val="0000EE"/>
                  <w:w w:val="98"/>
                </w:rPr>
                <w:t>Consolidated Statements of Stockholders’ Equity for the years ended December 31, 2009, 2008 and 2007</w:t>
              </w:r>
            </w:hyperlink>
          </w:p>
        </w:tc>
        <w:tc>
          <w:tcPr>
            <w:tcW w:w="360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F-7</w:t>
            </w:r>
          </w:p>
        </w:tc>
      </w:tr>
      <w:tr>
        <w:trPr>
          <w:trHeight w:val="304"/>
        </w:trPr>
        <w:tc>
          <w:tcPr>
            <w:tcW w:w="11060" w:type="dxa"/>
            <w:vAlign w:val="bottom"/>
            <w:gridSpan w:val="7"/>
          </w:tcPr>
          <w:p>
            <w:pPr>
              <w:spacing w:after="0"/>
              <w:rPr>
                <w:rFonts w:ascii="Times New Roman" w:cs="Times New Roman" w:eastAsia="Times New Roman" w:hAnsi="Times New Roman"/>
                <w:sz w:val="18"/>
                <w:szCs w:val="18"/>
                <w:color w:val="0000EE"/>
              </w:rPr>
            </w:pPr>
            <w:hyperlink w:anchor="page70">
              <w:r>
                <w:rPr>
                  <w:rFonts w:ascii="Times New Roman" w:cs="Times New Roman" w:eastAsia="Times New Roman" w:hAnsi="Times New Roman"/>
                  <w:sz w:val="18"/>
                  <w:szCs w:val="18"/>
                  <w:color w:val="0000EE"/>
                </w:rPr>
                <w:t>Notes to Consolidated Financial Statements</w:t>
              </w:r>
            </w:hyperlink>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F-9</w:t>
            </w:r>
          </w:p>
        </w:tc>
      </w:tr>
      <w:tr>
        <w:trPr>
          <w:trHeight w:val="20"/>
        </w:trPr>
        <w:tc>
          <w:tcPr>
            <w:tcW w:w="3080" w:type="dxa"/>
            <w:vAlign w:val="bottom"/>
            <w:shd w:val="clear" w:color="auto" w:fill="0000EE"/>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bl>
    <w:p>
      <w:pPr>
        <w:sectPr>
          <w:pgSz w:w="11900" w:h="16838" w:orient="portrait"/>
          <w:cols w:equalWidth="0" w:num="1">
            <w:col w:w="11420"/>
          </w:cols>
          <w:pgMar w:left="240" w:top="455" w:right="239" w:bottom="1440" w:gutter="0" w:footer="0" w:header="0"/>
        </w:sectPr>
      </w:pPr>
    </w:p>
    <w:bookmarkStart w:id="62" w:name="page63"/>
    <w:bookmarkEnd w:id="6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right="5400"/>
        <w:spacing w:after="0" w:line="439" w:lineRule="auto"/>
        <w:rPr>
          <w:sz w:val="20"/>
          <w:szCs w:val="20"/>
          <w:color w:val="auto"/>
        </w:rPr>
      </w:pPr>
      <w:r>
        <w:rPr>
          <w:rFonts w:ascii="Times New Roman" w:cs="Times New Roman" w:eastAsia="Times New Roman" w:hAnsi="Times New Roman"/>
          <w:sz w:val="18"/>
          <w:szCs w:val="18"/>
          <w:b w:val="1"/>
          <w:bCs w:val="1"/>
          <w:color w:val="auto"/>
        </w:rPr>
        <w:t xml:space="preserve">REPORT OF INDEPENDENT REGISTERED PUBLIC ACCOUNTING FIRM </w:t>
      </w:r>
      <w:r>
        <w:rPr>
          <w:rFonts w:ascii="Times New Roman" w:cs="Times New Roman" w:eastAsia="Times New Roman" w:hAnsi="Times New Roman"/>
          <w:sz w:val="18"/>
          <w:szCs w:val="18"/>
          <w:color w:val="auto"/>
        </w:rPr>
        <w:t>To the Board of Directors and Stockholders of Avis Budget Group, Inc.</w:t>
      </w:r>
    </w:p>
    <w:p>
      <w:pPr>
        <w:spacing w:after="0" w:line="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Avis Budget Group, Inc. and subsidiaries (the “Company”) as of December 31, 2009 and 2008, and the related consolidated statements of operations, stockholders’ equity, and cash flows for each of the three years in the period ended December 31, 2009. Our audits also included the financial statement schedule listed in the Index at Item 15. These financial statements and financial statement schedule are the responsibility of the Company’s management. Our responsibility is to express an opinion on these financial statements and financial statement schedule based on our audits.</w:t>
      </w:r>
    </w:p>
    <w:p>
      <w:pPr>
        <w:spacing w:after="0" w:line="139"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39"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In our opinion, such consolidated financial statements present fairly, in all material respects, the financial position of the Company as of December 31, 2009 and 2008, and the results of its operations and its cash flows for each of the three years in the period ended December 31, 2009, in conformity with accounting principles generally accepted in the United States of America. Also, in our opinion, such financial statement schedule, when considered in relation to the basic consolidated financial statements taken as a whole, presents fairly, in all material respects, the information set forth therein.</w:t>
      </w:r>
    </w:p>
    <w:p>
      <w:pPr>
        <w:spacing w:after="0" w:line="136"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 xml:space="preserve">We have also audited, in accordance with the standards of the Public Company Accounting Oversight Board (United States), the Company’s internal control over financial reporting as of December 31, 2009, based on the criteria established in </w:t>
      </w:r>
      <w:r>
        <w:rPr>
          <w:rFonts w:ascii="Times New Roman" w:cs="Times New Roman" w:eastAsia="Times New Roman" w:hAnsi="Times New Roman"/>
          <w:sz w:val="18"/>
          <w:szCs w:val="18"/>
          <w:i w:val="1"/>
          <w:iCs w:val="1"/>
          <w:color w:val="auto"/>
        </w:rPr>
        <w:t>Internal Control—Integrated Framework</w:t>
      </w:r>
      <w:r>
        <w:rPr>
          <w:rFonts w:ascii="Times New Roman" w:cs="Times New Roman" w:eastAsia="Times New Roman" w:hAnsi="Times New Roman"/>
          <w:sz w:val="18"/>
          <w:szCs w:val="18"/>
          <w:color w:val="auto"/>
        </w:rPr>
        <w:t xml:space="preserve"> issued by the Committee of Sponsoring Organizations of the Treadway Commission and our report dated February 23, 2010 expressed an unqualified opinion on the Company’s internal control over financial reporting.</w:t>
      </w:r>
    </w:p>
    <w:p>
      <w:pPr>
        <w:spacing w:after="0" w:line="136"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6"/>
          <w:szCs w:val="16"/>
          <w:color w:val="auto"/>
        </w:rPr>
        <w:t>DELOITTE &amp; TOUCHE LLP</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23, 2010</w:t>
      </w:r>
    </w:p>
    <w:p>
      <w:pPr>
        <w:spacing w:after="0" w:line="1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w:t>
      </w:r>
    </w:p>
    <w:p>
      <w:pPr>
        <w:sectPr>
          <w:pgSz w:w="11900" w:h="16838" w:orient="portrait"/>
          <w:cols w:equalWidth="0" w:num="1">
            <w:col w:w="11420"/>
          </w:cols>
          <w:pgMar w:left="240" w:top="455" w:right="239" w:bottom="1440" w:gutter="0" w:footer="0" w:header="0"/>
        </w:sectPr>
      </w:pPr>
    </w:p>
    <w:bookmarkStart w:id="63" w:name="page64"/>
    <w:bookmarkEnd w:id="6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Avis Budget Group, Inc.</w:t>
      </w:r>
    </w:p>
    <w:p>
      <w:pPr>
        <w:spacing w:after="0" w:line="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 millions, except per share data)</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622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00" w:type="dxa"/>
            <w:vAlign w:val="bottom"/>
            <w:gridSpan w:val="9"/>
          </w:tcPr>
          <w:p>
            <w:pPr>
              <w:jc w:val="right"/>
              <w:ind w:right="378"/>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0" w:type="dxa"/>
            <w:vAlign w:val="bottom"/>
          </w:tcPr>
          <w:p>
            <w:pPr>
              <w:spacing w:after="0"/>
              <w:rPr>
                <w:sz w:val="1"/>
                <w:szCs w:val="1"/>
                <w:color w:val="auto"/>
              </w:rPr>
            </w:pPr>
          </w:p>
        </w:tc>
      </w:tr>
      <w:tr>
        <w:trPr>
          <w:trHeight w:val="211"/>
        </w:trPr>
        <w:tc>
          <w:tcPr>
            <w:tcW w:w="62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36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44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w w:val="88"/>
              </w:rPr>
              <w:t>2009</w:t>
            </w:r>
          </w:p>
        </w:tc>
        <w:tc>
          <w:tcPr>
            <w:tcW w:w="30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48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w w:val="94"/>
              </w:rPr>
              <w:t>2008</w:t>
            </w:r>
          </w:p>
        </w:tc>
        <w:tc>
          <w:tcPr>
            <w:tcW w:w="540" w:type="dxa"/>
            <w:vAlign w:val="bottom"/>
            <w:tcBorders>
              <w:top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46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w w:val="94"/>
              </w:rPr>
              <w:t>2007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6220" w:type="dxa"/>
            <w:vAlign w:val="bottom"/>
            <w:vMerge w:val="continue"/>
          </w:tcPr>
          <w:p>
            <w:pPr>
              <w:spacing w:after="0"/>
              <w:rPr>
                <w:sz w:val="16"/>
                <w:szCs w:val="16"/>
                <w:color w:val="auto"/>
              </w:rPr>
            </w:pPr>
          </w:p>
        </w:tc>
        <w:tc>
          <w:tcPr>
            <w:tcW w:w="2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Vehicle rental</w:t>
            </w:r>
          </w:p>
        </w:tc>
        <w:tc>
          <w:tcPr>
            <w:tcW w:w="2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3,906</w:t>
            </w:r>
          </w:p>
        </w:tc>
        <w:tc>
          <w:tcPr>
            <w:tcW w:w="30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4,564</w:t>
            </w:r>
          </w:p>
        </w:tc>
        <w:tc>
          <w:tcPr>
            <w:tcW w:w="5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4,667</w:t>
            </w:r>
          </w:p>
        </w:tc>
        <w:tc>
          <w:tcPr>
            <w:tcW w:w="0" w:type="dxa"/>
            <w:vAlign w:val="bottom"/>
          </w:tcPr>
          <w:p>
            <w:pPr>
              <w:spacing w:after="0"/>
              <w:rPr>
                <w:sz w:val="1"/>
                <w:szCs w:val="1"/>
                <w:color w:val="auto"/>
              </w:rPr>
            </w:pPr>
          </w:p>
        </w:tc>
      </w:tr>
      <w:tr>
        <w:trPr>
          <w:trHeight w:val="228"/>
        </w:trPr>
        <w:tc>
          <w:tcPr>
            <w:tcW w:w="6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2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1,225</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1,420</w:t>
            </w: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1,319</w:t>
            </w:r>
          </w:p>
        </w:tc>
        <w:tc>
          <w:tcPr>
            <w:tcW w:w="0" w:type="dxa"/>
            <w:vAlign w:val="bottom"/>
          </w:tcPr>
          <w:p>
            <w:pPr>
              <w:spacing w:after="0"/>
              <w:rPr>
                <w:sz w:val="1"/>
                <w:szCs w:val="1"/>
                <w:color w:val="auto"/>
              </w:rPr>
            </w:pPr>
          </w:p>
        </w:tc>
      </w:tr>
      <w:tr>
        <w:trPr>
          <w:trHeight w:val="224"/>
        </w:trPr>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Net revenues</w:t>
            </w:r>
          </w:p>
        </w:tc>
        <w:tc>
          <w:tcPr>
            <w:tcW w:w="23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5,131</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5,984</w:t>
            </w:r>
          </w:p>
        </w:tc>
        <w:tc>
          <w:tcPr>
            <w:tcW w:w="54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5,986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2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Operating</w:t>
            </w:r>
          </w:p>
        </w:tc>
        <w:tc>
          <w:tcPr>
            <w:tcW w:w="2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2,636</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3,147</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3,033</w:t>
            </w:r>
          </w:p>
        </w:tc>
        <w:tc>
          <w:tcPr>
            <w:tcW w:w="0" w:type="dxa"/>
            <w:vAlign w:val="bottom"/>
          </w:tcPr>
          <w:p>
            <w:pPr>
              <w:spacing w:after="0"/>
              <w:rPr>
                <w:sz w:val="1"/>
                <w:szCs w:val="1"/>
                <w:color w:val="auto"/>
              </w:rPr>
            </w:pPr>
          </w:p>
        </w:tc>
      </w:tr>
      <w:tr>
        <w:trPr>
          <w:trHeight w:val="216"/>
        </w:trPr>
        <w:tc>
          <w:tcPr>
            <w:tcW w:w="6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Vehicle depreciation and lease charges, net</w:t>
            </w:r>
          </w:p>
        </w:tc>
        <w:tc>
          <w:tcPr>
            <w:tcW w:w="2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1,425</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1,697</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1,571</w:t>
            </w:r>
          </w:p>
        </w:tc>
        <w:tc>
          <w:tcPr>
            <w:tcW w:w="0" w:type="dxa"/>
            <w:vAlign w:val="bottom"/>
          </w:tcPr>
          <w:p>
            <w:pPr>
              <w:spacing w:after="0"/>
              <w:rPr>
                <w:sz w:val="1"/>
                <w:szCs w:val="1"/>
                <w:color w:val="auto"/>
              </w:rPr>
            </w:pPr>
          </w:p>
        </w:tc>
      </w:tr>
      <w:tr>
        <w:trPr>
          <w:trHeight w:val="216"/>
        </w:trPr>
        <w:tc>
          <w:tcPr>
            <w:tcW w:w="6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658</w:t>
            </w:r>
          </w:p>
        </w:tc>
        <w:tc>
          <w:tcPr>
            <w:tcW w:w="0" w:type="dxa"/>
            <w:vAlign w:val="bottom"/>
          </w:tcPr>
          <w:p>
            <w:pPr>
              <w:spacing w:after="0"/>
              <w:rPr>
                <w:sz w:val="1"/>
                <w:szCs w:val="1"/>
                <w:color w:val="auto"/>
              </w:rPr>
            </w:pPr>
          </w:p>
        </w:tc>
      </w:tr>
      <w:tr>
        <w:trPr>
          <w:trHeight w:val="216"/>
        </w:trPr>
        <w:tc>
          <w:tcPr>
            <w:tcW w:w="6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Vehicle interest, net</w:t>
            </w:r>
          </w:p>
        </w:tc>
        <w:tc>
          <w:tcPr>
            <w:tcW w:w="2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0" w:type="dxa"/>
            <w:vAlign w:val="bottom"/>
          </w:tcPr>
          <w:p>
            <w:pPr>
              <w:spacing w:after="0"/>
              <w:rPr>
                <w:sz w:val="1"/>
                <w:szCs w:val="1"/>
                <w:color w:val="auto"/>
              </w:rPr>
            </w:pPr>
          </w:p>
        </w:tc>
      </w:tr>
      <w:tr>
        <w:trPr>
          <w:trHeight w:val="216"/>
        </w:trPr>
        <w:tc>
          <w:tcPr>
            <w:tcW w:w="6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Non-vehicle related depreciation and amortization</w:t>
            </w:r>
          </w:p>
        </w:tc>
        <w:tc>
          <w:tcPr>
            <w:tcW w:w="2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16"/>
        </w:trPr>
        <w:tc>
          <w:tcPr>
            <w:tcW w:w="6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 expense related to corporate debt, net</w:t>
            </w:r>
          </w:p>
        </w:tc>
        <w:tc>
          <w:tcPr>
            <w:tcW w:w="2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0" w:type="dxa"/>
            <w:vAlign w:val="bottom"/>
          </w:tcPr>
          <w:p>
            <w:pPr>
              <w:spacing w:after="0"/>
              <w:rPr>
                <w:sz w:val="1"/>
                <w:szCs w:val="1"/>
                <w:color w:val="auto"/>
              </w:rPr>
            </w:pPr>
          </w:p>
        </w:tc>
      </w:tr>
      <w:tr>
        <w:trPr>
          <w:trHeight w:val="216"/>
        </w:trPr>
        <w:tc>
          <w:tcPr>
            <w:tcW w:w="6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Restructuring charges</w:t>
            </w:r>
          </w:p>
        </w:tc>
        <w:tc>
          <w:tcPr>
            <w:tcW w:w="2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Impairment</w:t>
            </w:r>
          </w:p>
        </w:tc>
        <w:tc>
          <w:tcPr>
            <w:tcW w:w="2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1,262</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1,195</w:t>
            </w:r>
          </w:p>
        </w:tc>
        <w:tc>
          <w:tcPr>
            <w:tcW w:w="0" w:type="dxa"/>
            <w:vAlign w:val="bottom"/>
          </w:tcPr>
          <w:p>
            <w:pPr>
              <w:spacing w:after="0"/>
              <w:rPr>
                <w:sz w:val="1"/>
                <w:szCs w:val="1"/>
                <w:color w:val="auto"/>
              </w:rPr>
            </w:pPr>
          </w:p>
        </w:tc>
      </w:tr>
      <w:tr>
        <w:trPr>
          <w:trHeight w:val="228"/>
        </w:trPr>
        <w:tc>
          <w:tcPr>
            <w:tcW w:w="6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Separation costs, net</w:t>
            </w:r>
          </w:p>
        </w:tc>
        <w:tc>
          <w:tcPr>
            <w:tcW w:w="2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458"/>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24"/>
        </w:trPr>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Total expenses</w:t>
            </w:r>
          </w:p>
        </w:tc>
        <w:tc>
          <w:tcPr>
            <w:tcW w:w="23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5,208</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7,327</w:t>
            </w:r>
          </w:p>
        </w:tc>
        <w:tc>
          <w:tcPr>
            <w:tcW w:w="54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6,978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 before income taxes</w:t>
            </w:r>
          </w:p>
        </w:tc>
        <w:tc>
          <w:tcPr>
            <w:tcW w:w="2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7"/>
              </w:rPr>
              <w:t>(1,343)</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Benefit from income taxes</w:t>
            </w:r>
          </w:p>
        </w:tc>
        <w:tc>
          <w:tcPr>
            <w:tcW w:w="2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158"/>
              <w:spacing w:after="0"/>
              <w:rPr>
                <w:sz w:val="20"/>
                <w:szCs w:val="20"/>
                <w:color w:val="auto"/>
              </w:rPr>
            </w:pPr>
            <w:r>
              <w:rPr>
                <w:rFonts w:ascii="Times New Roman" w:cs="Times New Roman" w:eastAsia="Times New Roman" w:hAnsi="Times New Roman"/>
                <w:sz w:val="18"/>
                <w:szCs w:val="18"/>
                <w:color w:val="auto"/>
              </w:rPr>
              <w:t>(30)</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398"/>
              <w:spacing w:after="0"/>
              <w:rPr>
                <w:sz w:val="20"/>
                <w:szCs w:val="20"/>
                <w:color w:val="auto"/>
              </w:rPr>
            </w:pPr>
            <w:r>
              <w:rPr>
                <w:rFonts w:ascii="Times New Roman" w:cs="Times New Roman" w:eastAsia="Times New Roman" w:hAnsi="Times New Roman"/>
                <w:sz w:val="18"/>
                <w:szCs w:val="18"/>
                <w:color w:val="auto"/>
              </w:rPr>
              <w:t>(219)</w:t>
            </w:r>
          </w:p>
        </w:tc>
        <w:tc>
          <w:tcPr>
            <w:tcW w:w="8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11"/>
        </w:trPr>
        <w:tc>
          <w:tcPr>
            <w:tcW w:w="6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 from continuing operations</w:t>
            </w:r>
          </w:p>
        </w:tc>
        <w:tc>
          <w:tcPr>
            <w:tcW w:w="23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7"/>
              </w:rPr>
              <w:t>(1,124)</w:t>
            </w:r>
          </w:p>
        </w:tc>
        <w:tc>
          <w:tcPr>
            <w:tcW w:w="54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Loss from discontinued operations, net of tax</w:t>
            </w:r>
          </w:p>
        </w:tc>
        <w:tc>
          <w:tcPr>
            <w:tcW w:w="2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58"/>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8"/>
        </w:trPr>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Gain on disposal of discontinued operations, net of tax</w:t>
            </w:r>
          </w:p>
        </w:tc>
        <w:tc>
          <w:tcPr>
            <w:tcW w:w="2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458"/>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24"/>
        </w:trPr>
        <w:tc>
          <w:tcPr>
            <w:tcW w:w="6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23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300" w:type="dxa"/>
            <w:vAlign w:val="bottom"/>
          </w:tcPr>
          <w:p>
            <w:pPr>
              <w:jc w:val="right"/>
              <w:ind w:right="158"/>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(1,124</w:t>
            </w:r>
          </w:p>
        </w:tc>
        <w:tc>
          <w:tcPr>
            <w:tcW w:w="540" w:type="dxa"/>
            <w:vAlign w:val="bottom"/>
          </w:tcPr>
          <w:p>
            <w:pPr>
              <w:jc w:val="right"/>
              <w:ind w:right="398"/>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(916</w:t>
            </w:r>
          </w:p>
        </w:tc>
        <w:tc>
          <w:tcPr>
            <w:tcW w:w="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62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Earnings (loss) per share, basic and diluted:</w:t>
            </w:r>
          </w:p>
        </w:tc>
        <w:tc>
          <w:tcPr>
            <w:tcW w:w="2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220" w:type="dxa"/>
            <w:vAlign w:val="bottom"/>
            <w:vMerge w:val="continue"/>
          </w:tcPr>
          <w:p>
            <w:pPr>
              <w:spacing w:after="0"/>
              <w:rPr>
                <w:sz w:val="17"/>
                <w:szCs w:val="17"/>
                <w:color w:val="auto"/>
              </w:rPr>
            </w:pPr>
          </w:p>
        </w:tc>
        <w:tc>
          <w:tcPr>
            <w:tcW w:w="2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2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Loss from continuing operations</w:t>
            </w:r>
          </w:p>
        </w:tc>
        <w:tc>
          <w:tcPr>
            <w:tcW w:w="2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158"/>
              <w:spacing w:after="0"/>
              <w:rPr>
                <w:sz w:val="20"/>
                <w:szCs w:val="20"/>
                <w:color w:val="auto"/>
              </w:rPr>
            </w:pPr>
            <w:r>
              <w:rPr>
                <w:rFonts w:ascii="Times New Roman" w:cs="Times New Roman" w:eastAsia="Times New Roman" w:hAnsi="Times New Roman"/>
                <w:sz w:val="18"/>
                <w:szCs w:val="18"/>
                <w:color w:val="auto"/>
              </w:rPr>
              <w:t>(0.46)</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398"/>
              <w:spacing w:after="0"/>
              <w:rPr>
                <w:sz w:val="20"/>
                <w:szCs w:val="20"/>
                <w:color w:val="auto"/>
              </w:rPr>
            </w:pPr>
            <w:r>
              <w:rPr>
                <w:rFonts w:ascii="Times New Roman" w:cs="Times New Roman" w:eastAsia="Times New Roman" w:hAnsi="Times New Roman"/>
                <w:sz w:val="18"/>
                <w:szCs w:val="18"/>
                <w:color w:val="auto"/>
                <w:w w:val="98"/>
              </w:rPr>
              <w:t>(11.04)</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(9.18)</w:t>
            </w:r>
          </w:p>
        </w:tc>
        <w:tc>
          <w:tcPr>
            <w:tcW w:w="0" w:type="dxa"/>
            <w:vAlign w:val="bottom"/>
          </w:tcPr>
          <w:p>
            <w:pPr>
              <w:spacing w:after="0"/>
              <w:rPr>
                <w:sz w:val="1"/>
                <w:szCs w:val="1"/>
                <w:color w:val="auto"/>
              </w:rPr>
            </w:pPr>
          </w:p>
        </w:tc>
      </w:tr>
      <w:tr>
        <w:trPr>
          <w:trHeight w:val="228"/>
        </w:trPr>
        <w:tc>
          <w:tcPr>
            <w:tcW w:w="62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Net loss</w:t>
            </w:r>
          </w:p>
        </w:tc>
        <w:tc>
          <w:tcPr>
            <w:tcW w:w="2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158"/>
              <w:spacing w:after="0"/>
              <w:rPr>
                <w:sz w:val="20"/>
                <w:szCs w:val="20"/>
                <w:color w:val="auto"/>
              </w:rPr>
            </w:pPr>
            <w:r>
              <w:rPr>
                <w:rFonts w:ascii="Times New Roman" w:cs="Times New Roman" w:eastAsia="Times New Roman" w:hAnsi="Times New Roman"/>
                <w:sz w:val="18"/>
                <w:szCs w:val="18"/>
                <w:color w:val="auto"/>
              </w:rPr>
              <w:t>(0.46)</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398"/>
              <w:spacing w:after="0"/>
              <w:rPr>
                <w:sz w:val="20"/>
                <w:szCs w:val="20"/>
                <w:color w:val="auto"/>
              </w:rPr>
            </w:pPr>
            <w:r>
              <w:rPr>
                <w:rFonts w:ascii="Times New Roman" w:cs="Times New Roman" w:eastAsia="Times New Roman" w:hAnsi="Times New Roman"/>
                <w:sz w:val="18"/>
                <w:szCs w:val="18"/>
                <w:color w:val="auto"/>
                <w:w w:val="98"/>
              </w:rPr>
              <w:t>(11.04)</w:t>
            </w:r>
          </w:p>
        </w:tc>
        <w:tc>
          <w:tcPr>
            <w:tcW w:w="8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(8.88)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F-3</w:t>
      </w:r>
    </w:p>
    <w:p>
      <w:pPr>
        <w:sectPr>
          <w:pgSz w:w="11900" w:h="16838" w:orient="portrait"/>
          <w:cols w:equalWidth="0" w:num="1">
            <w:col w:w="11380"/>
          </w:cols>
          <w:pgMar w:left="240" w:top="455" w:right="279" w:bottom="1440" w:gutter="0" w:footer="0" w:header="0"/>
        </w:sectPr>
      </w:pPr>
    </w:p>
    <w:bookmarkStart w:id="64" w:name="page65"/>
    <w:bookmarkEnd w:id="6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Avis Budget Group, Inc.</w:t>
      </w:r>
    </w:p>
    <w:p>
      <w:pPr>
        <w:spacing w:after="0" w:line="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 millions, except share data)</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9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gridSpan w:val="5"/>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11"/>
        </w:trPr>
        <w:tc>
          <w:tcPr>
            <w:tcW w:w="98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00" w:type="dxa"/>
            <w:vAlign w:val="bottom"/>
            <w:tcBorders>
              <w:top w:val="single" w:sz="8" w:color="auto"/>
              <w:bottom w:val="single" w:sz="8" w:color="auto"/>
            </w:tcBorders>
          </w:tcPr>
          <w:p>
            <w:pPr>
              <w:spacing w:after="0"/>
              <w:rPr>
                <w:sz w:val="18"/>
                <w:szCs w:val="18"/>
                <w:color w:val="auto"/>
              </w:rPr>
            </w:pPr>
          </w:p>
        </w:tc>
        <w:tc>
          <w:tcPr>
            <w:tcW w:w="48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w w:val="99"/>
              </w:rPr>
              <w:t>2009</w:t>
            </w:r>
          </w:p>
        </w:tc>
        <w:tc>
          <w:tcPr>
            <w:tcW w:w="340" w:type="dxa"/>
            <w:vAlign w:val="bottom"/>
            <w:tcBorders>
              <w:top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w w:val="99"/>
              </w:rPr>
              <w:t>2008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98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982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w:t>
            </w:r>
          </w:p>
        </w:tc>
        <w:tc>
          <w:tcPr>
            <w:tcW w:w="3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258</w:t>
            </w:r>
          </w:p>
        </w:tc>
        <w:tc>
          <w:tcPr>
            <w:tcW w:w="0" w:type="dxa"/>
            <w:vAlign w:val="bottom"/>
          </w:tcPr>
          <w:p>
            <w:pPr>
              <w:spacing w:after="0"/>
              <w:rPr>
                <w:sz w:val="1"/>
                <w:szCs w:val="1"/>
                <w:color w:val="auto"/>
              </w:rPr>
            </w:pPr>
          </w:p>
        </w:tc>
      </w:tr>
      <w:tr>
        <w:trPr>
          <w:trHeight w:val="216"/>
        </w:trPr>
        <w:tc>
          <w:tcPr>
            <w:tcW w:w="98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Receivables (net of allowance for doubtful accounts of $14 and $17)</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360</w:t>
            </w:r>
          </w:p>
        </w:tc>
        <w:tc>
          <w:tcPr>
            <w:tcW w:w="0" w:type="dxa"/>
            <w:vAlign w:val="bottom"/>
          </w:tcPr>
          <w:p>
            <w:pPr>
              <w:spacing w:after="0"/>
              <w:rPr>
                <w:sz w:val="1"/>
                <w:szCs w:val="1"/>
                <w:color w:val="auto"/>
              </w:rPr>
            </w:pPr>
          </w:p>
        </w:tc>
      </w:tr>
      <w:tr>
        <w:trPr>
          <w:trHeight w:val="216"/>
        </w:trPr>
        <w:tc>
          <w:tcPr>
            <w:tcW w:w="98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Deferred income taxes</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28"/>
        </w:trPr>
        <w:tc>
          <w:tcPr>
            <w:tcW w:w="98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current assets</w:t>
            </w: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851</w:t>
            </w: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380</w:t>
            </w:r>
          </w:p>
        </w:tc>
        <w:tc>
          <w:tcPr>
            <w:tcW w:w="0" w:type="dxa"/>
            <w:vAlign w:val="bottom"/>
          </w:tcPr>
          <w:p>
            <w:pPr>
              <w:spacing w:after="0"/>
              <w:rPr>
                <w:sz w:val="1"/>
                <w:szCs w:val="1"/>
                <w:color w:val="auto"/>
              </w:rPr>
            </w:pPr>
          </w:p>
        </w:tc>
      </w:tr>
      <w:tr>
        <w:trPr>
          <w:trHeight w:val="224"/>
        </w:trPr>
        <w:tc>
          <w:tcPr>
            <w:tcW w:w="982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1,730</w:t>
            </w:r>
          </w:p>
        </w:tc>
        <w:tc>
          <w:tcPr>
            <w:tcW w:w="3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1"/>
        </w:trPr>
        <w:tc>
          <w:tcPr>
            <w:tcW w:w="982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0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485</w:t>
            </w:r>
          </w:p>
        </w:tc>
        <w:tc>
          <w:tcPr>
            <w:tcW w:w="0" w:type="dxa"/>
            <w:vAlign w:val="bottom"/>
          </w:tcPr>
          <w:p>
            <w:pPr>
              <w:spacing w:after="0"/>
              <w:rPr>
                <w:sz w:val="1"/>
                <w:szCs w:val="1"/>
                <w:color w:val="auto"/>
              </w:rPr>
            </w:pPr>
          </w:p>
        </w:tc>
      </w:tr>
      <w:tr>
        <w:trPr>
          <w:trHeight w:val="216"/>
        </w:trPr>
        <w:tc>
          <w:tcPr>
            <w:tcW w:w="982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503</w:t>
            </w:r>
          </w:p>
        </w:tc>
        <w:tc>
          <w:tcPr>
            <w:tcW w:w="0" w:type="dxa"/>
            <w:vAlign w:val="bottom"/>
          </w:tcPr>
          <w:p>
            <w:pPr>
              <w:spacing w:after="0"/>
              <w:rPr>
                <w:sz w:val="1"/>
                <w:szCs w:val="1"/>
                <w:color w:val="auto"/>
              </w:rPr>
            </w:pPr>
          </w:p>
        </w:tc>
      </w:tr>
      <w:tr>
        <w:trPr>
          <w:trHeight w:val="216"/>
        </w:trPr>
        <w:tc>
          <w:tcPr>
            <w:tcW w:w="982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16"/>
        </w:trPr>
        <w:tc>
          <w:tcPr>
            <w:tcW w:w="9820" w:type="dxa"/>
            <w:vAlign w:val="bottom"/>
          </w:tcPr>
          <w:p>
            <w:pPr>
              <w:spacing w:after="0"/>
              <w:rPr>
                <w:sz w:val="20"/>
                <w:szCs w:val="20"/>
                <w:color w:val="auto"/>
              </w:rPr>
            </w:pPr>
            <w:r>
              <w:rPr>
                <w:rFonts w:ascii="Times New Roman" w:cs="Times New Roman" w:eastAsia="Times New Roman" w:hAnsi="Times New Roman"/>
                <w:sz w:val="18"/>
                <w:szCs w:val="18"/>
                <w:color w:val="auto"/>
              </w:rPr>
              <w:t>Other intangibles, net</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467</w:t>
            </w:r>
          </w:p>
        </w:tc>
        <w:tc>
          <w:tcPr>
            <w:tcW w:w="0" w:type="dxa"/>
            <w:vAlign w:val="bottom"/>
          </w:tcPr>
          <w:p>
            <w:pPr>
              <w:spacing w:after="0"/>
              <w:rPr>
                <w:sz w:val="1"/>
                <w:szCs w:val="1"/>
                <w:color w:val="auto"/>
              </w:rPr>
            </w:pPr>
          </w:p>
        </w:tc>
      </w:tr>
      <w:tr>
        <w:trPr>
          <w:trHeight w:val="228"/>
        </w:trPr>
        <w:tc>
          <w:tcPr>
            <w:tcW w:w="982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889</w:t>
            </w:r>
          </w:p>
        </w:tc>
        <w:tc>
          <w:tcPr>
            <w:tcW w:w="0" w:type="dxa"/>
            <w:vAlign w:val="bottom"/>
          </w:tcPr>
          <w:p>
            <w:pPr>
              <w:spacing w:after="0"/>
              <w:rPr>
                <w:sz w:val="1"/>
                <w:szCs w:val="1"/>
                <w:color w:val="auto"/>
              </w:rPr>
            </w:pPr>
          </w:p>
        </w:tc>
      </w:tr>
      <w:tr>
        <w:trPr>
          <w:trHeight w:val="224"/>
        </w:trPr>
        <w:tc>
          <w:tcPr>
            <w:tcW w:w="9820" w:type="dxa"/>
            <w:vAlign w:val="bottom"/>
          </w:tcPr>
          <w:p>
            <w:pPr>
              <w:spacing w:after="0"/>
              <w:rPr>
                <w:sz w:val="20"/>
                <w:szCs w:val="20"/>
                <w:color w:val="auto"/>
              </w:rPr>
            </w:pPr>
            <w:r>
              <w:rPr>
                <w:rFonts w:ascii="Times New Roman" w:cs="Times New Roman" w:eastAsia="Times New Roman" w:hAnsi="Times New Roman"/>
                <w:sz w:val="18"/>
                <w:szCs w:val="18"/>
                <w:color w:val="auto"/>
              </w:rPr>
              <w:t>Total assets exclusive of assets under vehicle programs</w:t>
            </w:r>
          </w:p>
        </w:tc>
        <w:tc>
          <w:tcPr>
            <w:tcW w:w="100" w:type="dxa"/>
            <w:vAlign w:val="bottom"/>
            <w:tcBorders>
              <w:top w:val="single" w:sz="8" w:color="auto"/>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3,571</w:t>
            </w:r>
          </w:p>
        </w:tc>
        <w:tc>
          <w:tcPr>
            <w:tcW w:w="34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9820" w:type="dxa"/>
            <w:vAlign w:val="bottom"/>
          </w:tcPr>
          <w:p>
            <w:pPr>
              <w:spacing w:after="0"/>
              <w:rPr>
                <w:sz w:val="20"/>
                <w:szCs w:val="20"/>
                <w:color w:val="auto"/>
              </w:rPr>
            </w:pPr>
            <w:r>
              <w:rPr>
                <w:rFonts w:ascii="Times New Roman" w:cs="Times New Roman" w:eastAsia="Times New Roman" w:hAnsi="Times New Roman"/>
                <w:sz w:val="18"/>
                <w:szCs w:val="18"/>
                <w:color w:val="auto"/>
              </w:rPr>
              <w:t>Assets under vehicle programs:</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Program cash</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6"/>
        </w:trPr>
        <w:tc>
          <w:tcPr>
            <w:tcW w:w="98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Vehicles, net</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5,967</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7,164</w:t>
            </w:r>
          </w:p>
        </w:tc>
        <w:tc>
          <w:tcPr>
            <w:tcW w:w="0" w:type="dxa"/>
            <w:vAlign w:val="bottom"/>
          </w:tcPr>
          <w:p>
            <w:pPr>
              <w:spacing w:after="0"/>
              <w:rPr>
                <w:sz w:val="1"/>
                <w:szCs w:val="1"/>
                <w:color w:val="auto"/>
              </w:rPr>
            </w:pPr>
          </w:p>
        </w:tc>
      </w:tr>
      <w:tr>
        <w:trPr>
          <w:trHeight w:val="216"/>
        </w:trPr>
        <w:tc>
          <w:tcPr>
            <w:tcW w:w="98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Receivables from vehicle manufacturers and other</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533</w:t>
            </w:r>
          </w:p>
        </w:tc>
        <w:tc>
          <w:tcPr>
            <w:tcW w:w="0" w:type="dxa"/>
            <w:vAlign w:val="bottom"/>
          </w:tcPr>
          <w:p>
            <w:pPr>
              <w:spacing w:after="0"/>
              <w:rPr>
                <w:sz w:val="1"/>
                <w:szCs w:val="1"/>
                <w:color w:val="auto"/>
              </w:rPr>
            </w:pPr>
          </w:p>
        </w:tc>
      </w:tr>
      <w:tr>
        <w:trPr>
          <w:trHeight w:val="229"/>
        </w:trPr>
        <w:tc>
          <w:tcPr>
            <w:tcW w:w="98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Investment in Avis Budget Rental Car Funding (AESOP) LLC—related party</w:t>
            </w: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117</w:t>
            </w:r>
          </w:p>
        </w:tc>
        <w:tc>
          <w:tcPr>
            <w:tcW w:w="0" w:type="dxa"/>
            <w:vAlign w:val="bottom"/>
          </w:tcPr>
          <w:p>
            <w:pPr>
              <w:spacing w:after="0"/>
              <w:rPr>
                <w:sz w:val="1"/>
                <w:szCs w:val="1"/>
                <w:color w:val="auto"/>
              </w:rPr>
            </w:pPr>
          </w:p>
        </w:tc>
      </w:tr>
      <w:tr>
        <w:trPr>
          <w:trHeight w:val="223"/>
        </w:trPr>
        <w:tc>
          <w:tcPr>
            <w:tcW w:w="98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6,522</w:t>
            </w:r>
          </w:p>
        </w:tc>
        <w:tc>
          <w:tcPr>
            <w:tcW w:w="34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7,826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9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2"/>
              </w:rPr>
              <w:t>10,093</w:t>
            </w:r>
          </w:p>
        </w:tc>
        <w:tc>
          <w:tcPr>
            <w:tcW w:w="34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u w:val="single" w:color="auto"/>
                <w:color w:val="auto"/>
                <w:w w:val="74"/>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11,318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8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98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82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Accounts payable and other current liabilities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1,272</w:t>
            </w:r>
          </w:p>
        </w:tc>
        <w:tc>
          <w:tcPr>
            <w:tcW w:w="3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901</w:t>
            </w:r>
          </w:p>
        </w:tc>
        <w:tc>
          <w:tcPr>
            <w:tcW w:w="0" w:type="dxa"/>
            <w:vAlign w:val="bottom"/>
          </w:tcPr>
          <w:p>
            <w:pPr>
              <w:spacing w:after="0"/>
              <w:rPr>
                <w:sz w:val="1"/>
                <w:szCs w:val="1"/>
                <w:color w:val="auto"/>
              </w:rPr>
            </w:pPr>
          </w:p>
        </w:tc>
      </w:tr>
      <w:tr>
        <w:trPr>
          <w:trHeight w:val="228"/>
        </w:trPr>
        <w:tc>
          <w:tcPr>
            <w:tcW w:w="98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24"/>
        </w:trPr>
        <w:tc>
          <w:tcPr>
            <w:tcW w:w="982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1,284</w:t>
            </w:r>
          </w:p>
        </w:tc>
        <w:tc>
          <w:tcPr>
            <w:tcW w:w="3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1"/>
        </w:trPr>
        <w:tc>
          <w:tcPr>
            <w:tcW w:w="982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10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2,119</w:t>
            </w: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1,779</w:t>
            </w:r>
          </w:p>
        </w:tc>
        <w:tc>
          <w:tcPr>
            <w:tcW w:w="0" w:type="dxa"/>
            <w:vAlign w:val="bottom"/>
          </w:tcPr>
          <w:p>
            <w:pPr>
              <w:spacing w:after="0"/>
              <w:rPr>
                <w:sz w:val="1"/>
                <w:szCs w:val="1"/>
                <w:color w:val="auto"/>
              </w:rPr>
            </w:pPr>
          </w:p>
        </w:tc>
      </w:tr>
      <w:tr>
        <w:trPr>
          <w:trHeight w:val="228"/>
        </w:trPr>
        <w:tc>
          <w:tcPr>
            <w:tcW w:w="982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w:t>
            </w: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1,121</w:t>
            </w:r>
          </w:p>
        </w:tc>
        <w:tc>
          <w:tcPr>
            <w:tcW w:w="0" w:type="dxa"/>
            <w:vAlign w:val="bottom"/>
          </w:tcPr>
          <w:p>
            <w:pPr>
              <w:spacing w:after="0"/>
              <w:rPr>
                <w:sz w:val="1"/>
                <w:szCs w:val="1"/>
                <w:color w:val="auto"/>
              </w:rPr>
            </w:pPr>
          </w:p>
        </w:tc>
      </w:tr>
      <w:tr>
        <w:trPr>
          <w:trHeight w:val="224"/>
        </w:trPr>
        <w:tc>
          <w:tcPr>
            <w:tcW w:w="982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 exclusive of liabilities under vehicle programs</w:t>
            </w:r>
          </w:p>
        </w:tc>
        <w:tc>
          <w:tcPr>
            <w:tcW w:w="100" w:type="dxa"/>
            <w:vAlign w:val="bottom"/>
            <w:tcBorders>
              <w:top w:val="single" w:sz="8" w:color="auto"/>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4,033</w:t>
            </w:r>
          </w:p>
        </w:tc>
        <w:tc>
          <w:tcPr>
            <w:tcW w:w="34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3,811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9820" w:type="dxa"/>
            <w:vAlign w:val="bottom"/>
          </w:tcPr>
          <w:p>
            <w:pPr>
              <w:spacing w:after="0"/>
              <w:rPr>
                <w:sz w:val="20"/>
                <w:szCs w:val="20"/>
                <w:color w:val="auto"/>
              </w:rPr>
            </w:pPr>
            <w:r>
              <w:rPr>
                <w:rFonts w:ascii="Times New Roman" w:cs="Times New Roman" w:eastAsia="Times New Roman" w:hAnsi="Times New Roman"/>
                <w:sz w:val="18"/>
                <w:szCs w:val="18"/>
                <w:color w:val="auto"/>
              </w:rPr>
              <w:t>Liabilities under vehicle programs:</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Debt</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714</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892</w:t>
            </w:r>
          </w:p>
        </w:tc>
        <w:tc>
          <w:tcPr>
            <w:tcW w:w="0" w:type="dxa"/>
            <w:vAlign w:val="bottom"/>
          </w:tcPr>
          <w:p>
            <w:pPr>
              <w:spacing w:after="0"/>
              <w:rPr>
                <w:sz w:val="1"/>
                <w:szCs w:val="1"/>
                <w:color w:val="auto"/>
              </w:rPr>
            </w:pPr>
          </w:p>
        </w:tc>
      </w:tr>
      <w:tr>
        <w:trPr>
          <w:trHeight w:val="216"/>
        </w:trPr>
        <w:tc>
          <w:tcPr>
            <w:tcW w:w="98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Debt due to Avis Budget Rental Car Funding (AESOP) LLC—related party</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3,660</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5,142</w:t>
            </w:r>
          </w:p>
        </w:tc>
        <w:tc>
          <w:tcPr>
            <w:tcW w:w="0" w:type="dxa"/>
            <w:vAlign w:val="bottom"/>
          </w:tcPr>
          <w:p>
            <w:pPr>
              <w:spacing w:after="0"/>
              <w:rPr>
                <w:sz w:val="1"/>
                <w:szCs w:val="1"/>
                <w:color w:val="auto"/>
              </w:rPr>
            </w:pPr>
          </w:p>
        </w:tc>
      </w:tr>
      <w:tr>
        <w:trPr>
          <w:trHeight w:val="216"/>
        </w:trPr>
        <w:tc>
          <w:tcPr>
            <w:tcW w:w="98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Deferred income taxes</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1,267</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1,188</w:t>
            </w:r>
          </w:p>
        </w:tc>
        <w:tc>
          <w:tcPr>
            <w:tcW w:w="0" w:type="dxa"/>
            <w:vAlign w:val="bottom"/>
          </w:tcPr>
          <w:p>
            <w:pPr>
              <w:spacing w:after="0"/>
              <w:rPr>
                <w:sz w:val="1"/>
                <w:szCs w:val="1"/>
                <w:color w:val="auto"/>
              </w:rPr>
            </w:pPr>
          </w:p>
        </w:tc>
      </w:tr>
      <w:tr>
        <w:trPr>
          <w:trHeight w:val="229"/>
        </w:trPr>
        <w:tc>
          <w:tcPr>
            <w:tcW w:w="98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192</w:t>
            </w:r>
          </w:p>
        </w:tc>
        <w:tc>
          <w:tcPr>
            <w:tcW w:w="0" w:type="dxa"/>
            <w:vAlign w:val="bottom"/>
          </w:tcPr>
          <w:p>
            <w:pPr>
              <w:spacing w:after="0"/>
              <w:rPr>
                <w:sz w:val="1"/>
                <w:szCs w:val="1"/>
                <w:color w:val="auto"/>
              </w:rPr>
            </w:pPr>
          </w:p>
        </w:tc>
      </w:tr>
      <w:tr>
        <w:trPr>
          <w:trHeight w:val="223"/>
        </w:trPr>
        <w:tc>
          <w:tcPr>
            <w:tcW w:w="98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5,838</w:t>
            </w:r>
          </w:p>
        </w:tc>
        <w:tc>
          <w:tcPr>
            <w:tcW w:w="34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7,414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982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contingencies (Note 19)</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2"/>
        </w:trPr>
        <w:tc>
          <w:tcPr>
            <w:tcW w:w="982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8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Preferred stock, $.01 par value—authorized 10 million shares; none issued and outstanding</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98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Common stock, $.01 par value—authorized 250 million shares; issued 136,931,540 and 136,812,802 shares</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98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9,098</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9,197</w:t>
            </w:r>
          </w:p>
        </w:tc>
        <w:tc>
          <w:tcPr>
            <w:tcW w:w="0" w:type="dxa"/>
            <w:vAlign w:val="bottom"/>
          </w:tcPr>
          <w:p>
            <w:pPr>
              <w:spacing w:after="0"/>
              <w:rPr>
                <w:sz w:val="1"/>
                <w:szCs w:val="1"/>
                <w:color w:val="auto"/>
              </w:rPr>
            </w:pPr>
          </w:p>
        </w:tc>
      </w:tr>
      <w:tr>
        <w:trPr>
          <w:trHeight w:val="216"/>
        </w:trPr>
        <w:tc>
          <w:tcPr>
            <w:tcW w:w="98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Accumulated deficit</w:t>
            </w:r>
          </w:p>
        </w:tc>
        <w:tc>
          <w:tcPr>
            <w:tcW w:w="10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w w:val="98"/>
              </w:rPr>
              <w:t>(2,691)</w:t>
            </w:r>
          </w:p>
        </w:tc>
        <w:tc>
          <w:tcPr>
            <w:tcW w:w="8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(2,644)</w:t>
            </w:r>
          </w:p>
        </w:tc>
        <w:tc>
          <w:tcPr>
            <w:tcW w:w="0" w:type="dxa"/>
            <w:vAlign w:val="bottom"/>
          </w:tcPr>
          <w:p>
            <w:pPr>
              <w:spacing w:after="0"/>
              <w:rPr>
                <w:sz w:val="1"/>
                <w:szCs w:val="1"/>
                <w:color w:val="auto"/>
              </w:rPr>
            </w:pPr>
          </w:p>
        </w:tc>
      </w:tr>
      <w:tr>
        <w:trPr>
          <w:trHeight w:val="216"/>
        </w:trPr>
        <w:tc>
          <w:tcPr>
            <w:tcW w:w="98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10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(37)</w:t>
            </w:r>
          </w:p>
        </w:tc>
        <w:tc>
          <w:tcPr>
            <w:tcW w:w="8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0" w:type="dxa"/>
            <w:vAlign w:val="bottom"/>
          </w:tcPr>
          <w:p>
            <w:pPr>
              <w:spacing w:after="0"/>
              <w:rPr>
                <w:sz w:val="1"/>
                <w:szCs w:val="1"/>
                <w:color w:val="auto"/>
              </w:rPr>
            </w:pPr>
          </w:p>
        </w:tc>
      </w:tr>
      <w:tr>
        <w:trPr>
          <w:trHeight w:val="228"/>
        </w:trPr>
        <w:tc>
          <w:tcPr>
            <w:tcW w:w="98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Treasury stock, at cost—34,612,016 and 35,030,086 shares</w:t>
            </w:r>
          </w:p>
        </w:tc>
        <w:tc>
          <w:tcPr>
            <w:tcW w:w="100" w:type="dxa"/>
            <w:vAlign w:val="bottom"/>
          </w:tcPr>
          <w:p>
            <w:pPr>
              <w:spacing w:after="0"/>
              <w:rPr>
                <w:sz w:val="19"/>
                <w:szCs w:val="19"/>
                <w:color w:val="auto"/>
              </w:rPr>
            </w:pPr>
          </w:p>
        </w:tc>
        <w:tc>
          <w:tcPr>
            <w:tcW w:w="8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w w:val="98"/>
              </w:rPr>
              <w:t>(6,149)</w:t>
            </w:r>
          </w:p>
        </w:tc>
        <w:tc>
          <w:tcPr>
            <w:tcW w:w="80" w:type="dxa"/>
            <w:vAlign w:val="bottom"/>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(6,267)</w:t>
            </w:r>
          </w:p>
        </w:tc>
        <w:tc>
          <w:tcPr>
            <w:tcW w:w="0" w:type="dxa"/>
            <w:vAlign w:val="bottom"/>
          </w:tcPr>
          <w:p>
            <w:pPr>
              <w:spacing w:after="0"/>
              <w:rPr>
                <w:sz w:val="1"/>
                <w:szCs w:val="1"/>
                <w:color w:val="auto"/>
              </w:rPr>
            </w:pPr>
          </w:p>
        </w:tc>
      </w:tr>
      <w:tr>
        <w:trPr>
          <w:trHeight w:val="224"/>
        </w:trPr>
        <w:tc>
          <w:tcPr>
            <w:tcW w:w="9820" w:type="dxa"/>
            <w:vAlign w:val="bottom"/>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00" w:type="dxa"/>
            <w:vAlign w:val="bottom"/>
            <w:tcBorders>
              <w:top w:val="single" w:sz="8" w:color="auto"/>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34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9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2"/>
              </w:rPr>
              <w:t>10,093</w:t>
            </w:r>
          </w:p>
        </w:tc>
        <w:tc>
          <w:tcPr>
            <w:tcW w:w="34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u w:val="single" w:color="auto"/>
                <w:color w:val="auto"/>
                <w:w w:val="74"/>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11,318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8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F-4</w:t>
      </w:r>
    </w:p>
    <w:p>
      <w:pPr>
        <w:sectPr>
          <w:pgSz w:w="11900" w:h="16838" w:orient="portrait"/>
          <w:cols w:equalWidth="0" w:num="1">
            <w:col w:w="11380"/>
          </w:cols>
          <w:pgMar w:left="240" w:top="455" w:right="279" w:bottom="1440" w:gutter="0" w:footer="0" w:header="0"/>
        </w:sectPr>
      </w:pPr>
    </w:p>
    <w:bookmarkStart w:id="65" w:name="page66"/>
    <w:bookmarkEnd w:id="6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Avis Budget Group, Inc.</w:t>
      </w:r>
    </w:p>
    <w:p>
      <w:pPr>
        <w:spacing w:after="0" w:line="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8320" w:type="dxa"/>
            <w:vAlign w:val="bottom"/>
          </w:tcPr>
          <w:p>
            <w:pPr>
              <w:spacing w:after="0"/>
              <w:rPr>
                <w:sz w:val="20"/>
                <w:szCs w:val="20"/>
                <w:color w:val="auto"/>
              </w:rPr>
            </w:pPr>
          </w:p>
        </w:tc>
        <w:tc>
          <w:tcPr>
            <w:tcW w:w="3060" w:type="dxa"/>
            <w:vAlign w:val="bottom"/>
            <w:gridSpan w:val="7"/>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0" w:type="dxa"/>
            <w:vAlign w:val="bottom"/>
          </w:tcPr>
          <w:p>
            <w:pPr>
              <w:spacing w:after="0"/>
              <w:rPr>
                <w:sz w:val="1"/>
                <w:szCs w:val="1"/>
                <w:color w:val="auto"/>
              </w:rPr>
            </w:pPr>
          </w:p>
        </w:tc>
      </w:tr>
      <w:tr>
        <w:trPr>
          <w:trHeight w:val="211"/>
        </w:trPr>
        <w:tc>
          <w:tcPr>
            <w:tcW w:w="83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54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2009</w:t>
            </w:r>
          </w:p>
        </w:tc>
        <w:tc>
          <w:tcPr>
            <w:tcW w:w="6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2008</w:t>
            </w:r>
          </w:p>
        </w:tc>
        <w:tc>
          <w:tcPr>
            <w:tcW w:w="3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gridSpan w:val="2"/>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2007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8320" w:type="dxa"/>
            <w:vAlign w:val="bottom"/>
            <w:vMerge w:val="continue"/>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620" w:type="dxa"/>
            <w:vAlign w:val="bottom"/>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16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   (47)</w:t>
            </w: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w w:val="97"/>
              </w:rPr>
              <w:t>$(1,124)</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(916)</w:t>
            </w:r>
          </w:p>
        </w:tc>
        <w:tc>
          <w:tcPr>
            <w:tcW w:w="0" w:type="dxa"/>
            <w:vAlign w:val="bottom"/>
          </w:tcPr>
          <w:p>
            <w:pPr>
              <w:spacing w:after="0"/>
              <w:rPr>
                <w:sz w:val="1"/>
                <w:szCs w:val="1"/>
                <w:color w:val="auto"/>
              </w:rPr>
            </w:pPr>
          </w:p>
        </w:tc>
      </w:tr>
      <w:tr>
        <w:trPr>
          <w:trHeight w:val="228"/>
        </w:trPr>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Adjustments to arrive at loss from continuing operations</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11"/>
        </w:trPr>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Loss from continuing operations</w:t>
            </w: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620" w:type="dxa"/>
            <w:vAlign w:val="bottom"/>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(1,124)</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Adjustments to reconcile loss from continuing operations to net cash provided by operating activities</w:t>
            </w:r>
          </w:p>
        </w:tc>
        <w:tc>
          <w:tcPr>
            <w:tcW w:w="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exclusive of vehicle programs:</w:t>
            </w:r>
          </w:p>
        </w:tc>
        <w:tc>
          <w:tcPr>
            <w:tcW w:w="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Non-vehicle related depreciation and amortization</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6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340" w:type="dxa"/>
            <w:vAlign w:val="bottom"/>
          </w:tcPr>
          <w:p>
            <w:pPr>
              <w:spacing w:after="0"/>
              <w:rPr>
                <w:sz w:val="18"/>
                <w:szCs w:val="18"/>
                <w:color w:val="auto"/>
              </w:rPr>
            </w:pPr>
          </w:p>
        </w:tc>
        <w:tc>
          <w:tcPr>
            <w:tcW w:w="10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16"/>
        </w:trPr>
        <w:tc>
          <w:tcPr>
            <w:tcW w:w="8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Deferred income taxes</w:t>
            </w:r>
          </w:p>
        </w:tc>
        <w:tc>
          <w:tcPr>
            <w:tcW w:w="116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(60)</w:t>
            </w: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(241)</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16"/>
        </w:trPr>
        <w:tc>
          <w:tcPr>
            <w:tcW w:w="8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Impairment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6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1,262</w:t>
            </w:r>
          </w:p>
        </w:tc>
        <w:tc>
          <w:tcPr>
            <w:tcW w:w="340" w:type="dxa"/>
            <w:vAlign w:val="bottom"/>
          </w:tcPr>
          <w:p>
            <w:pPr>
              <w:spacing w:after="0"/>
              <w:rPr>
                <w:sz w:val="18"/>
                <w:szCs w:val="18"/>
                <w:color w:val="auto"/>
              </w:rPr>
            </w:pPr>
          </w:p>
        </w:tc>
        <w:tc>
          <w:tcPr>
            <w:tcW w:w="10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1,195</w:t>
            </w:r>
          </w:p>
        </w:tc>
        <w:tc>
          <w:tcPr>
            <w:tcW w:w="0" w:type="dxa"/>
            <w:vAlign w:val="bottom"/>
          </w:tcPr>
          <w:p>
            <w:pPr>
              <w:spacing w:after="0"/>
              <w:rPr>
                <w:sz w:val="1"/>
                <w:szCs w:val="1"/>
                <w:color w:val="auto"/>
              </w:rPr>
            </w:pPr>
          </w:p>
        </w:tc>
      </w:tr>
      <w:tr>
        <w:trPr>
          <w:trHeight w:val="216"/>
        </w:trPr>
        <w:tc>
          <w:tcPr>
            <w:tcW w:w="8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change in assets and liabilities, excluding the impact of acquisitions and dispositions:</w:t>
            </w:r>
          </w:p>
        </w:tc>
        <w:tc>
          <w:tcPr>
            <w:tcW w:w="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Receivables</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6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340" w:type="dxa"/>
            <w:vAlign w:val="bottom"/>
          </w:tcPr>
          <w:p>
            <w:pPr>
              <w:spacing w:after="0"/>
              <w:rPr>
                <w:sz w:val="18"/>
                <w:szCs w:val="18"/>
                <w:color w:val="auto"/>
              </w:rPr>
            </w:pP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83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Income taxes</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6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340" w:type="dxa"/>
            <w:vAlign w:val="bottom"/>
          </w:tcPr>
          <w:p>
            <w:pPr>
              <w:spacing w:after="0"/>
              <w:rPr>
                <w:sz w:val="18"/>
                <w:szCs w:val="18"/>
                <w:color w:val="auto"/>
              </w:rPr>
            </w:pPr>
          </w:p>
        </w:tc>
        <w:tc>
          <w:tcPr>
            <w:tcW w:w="10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16"/>
        </w:trPr>
        <w:tc>
          <w:tcPr>
            <w:tcW w:w="83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Accounts payable and other current liabilities</w:t>
            </w:r>
          </w:p>
        </w:tc>
        <w:tc>
          <w:tcPr>
            <w:tcW w:w="116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(19)</w:t>
            </w: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(40)</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0" w:type="dxa"/>
            <w:vAlign w:val="bottom"/>
          </w:tcPr>
          <w:p>
            <w:pPr>
              <w:spacing w:after="0"/>
              <w:rPr>
                <w:sz w:val="1"/>
                <w:szCs w:val="1"/>
                <w:color w:val="auto"/>
              </w:rPr>
            </w:pPr>
          </w:p>
        </w:tc>
      </w:tr>
      <w:tr>
        <w:trPr>
          <w:trHeight w:val="228"/>
        </w:trPr>
        <w:tc>
          <w:tcPr>
            <w:tcW w:w="83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Other, net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6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340" w:type="dxa"/>
            <w:vAlign w:val="bottom"/>
          </w:tcPr>
          <w:p>
            <w:pPr>
              <w:spacing w:after="0"/>
              <w:rPr>
                <w:sz w:val="19"/>
                <w:szCs w:val="19"/>
                <w:color w:val="auto"/>
              </w:rPr>
            </w:pP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24"/>
        </w:trPr>
        <w:tc>
          <w:tcPr>
            <w:tcW w:w="8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 exclusive of vehicle programs</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62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3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Vehicle programs:</w:t>
            </w:r>
          </w:p>
        </w:tc>
        <w:tc>
          <w:tcPr>
            <w:tcW w:w="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Vehicle depreciation</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1,391</w:t>
            </w:r>
          </w:p>
        </w:tc>
        <w:tc>
          <w:tcPr>
            <w:tcW w:w="6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1,639</w:t>
            </w:r>
          </w:p>
        </w:tc>
        <w:tc>
          <w:tcPr>
            <w:tcW w:w="340" w:type="dxa"/>
            <w:vAlign w:val="bottom"/>
          </w:tcPr>
          <w:p>
            <w:pPr>
              <w:spacing w:after="0"/>
              <w:rPr>
                <w:sz w:val="19"/>
                <w:szCs w:val="19"/>
                <w:color w:val="auto"/>
              </w:rPr>
            </w:pPr>
          </w:p>
        </w:tc>
        <w:tc>
          <w:tcPr>
            <w:tcW w:w="10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1,565</w:t>
            </w:r>
          </w:p>
        </w:tc>
        <w:tc>
          <w:tcPr>
            <w:tcW w:w="0" w:type="dxa"/>
            <w:vAlign w:val="bottom"/>
          </w:tcPr>
          <w:p>
            <w:pPr>
              <w:spacing w:after="0"/>
              <w:rPr>
                <w:sz w:val="1"/>
                <w:szCs w:val="1"/>
                <w:color w:val="auto"/>
              </w:rPr>
            </w:pPr>
          </w:p>
        </w:tc>
      </w:tr>
      <w:tr>
        <w:trPr>
          <w:trHeight w:val="223"/>
        </w:trPr>
        <w:tc>
          <w:tcPr>
            <w:tcW w:w="832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1,391</w:t>
            </w:r>
          </w:p>
        </w:tc>
        <w:tc>
          <w:tcPr>
            <w:tcW w:w="62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1,639</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1,491</w:t>
            </w:r>
          </w:p>
        </w:tc>
        <w:tc>
          <w:tcPr>
            <w:tcW w:w="620" w:type="dxa"/>
            <w:vAlign w:val="bottom"/>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1,704</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additions</w:t>
            </w:r>
          </w:p>
        </w:tc>
        <w:tc>
          <w:tcPr>
            <w:tcW w:w="116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(39)</w:t>
            </w: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(83)</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216"/>
        </w:trPr>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Proceeds received on asset sales</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6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340" w:type="dxa"/>
            <w:vAlign w:val="bottom"/>
          </w:tcPr>
          <w:p>
            <w:pPr>
              <w:spacing w:after="0"/>
              <w:rPr>
                <w:sz w:val="18"/>
                <w:szCs w:val="18"/>
                <w:color w:val="auto"/>
              </w:rPr>
            </w:pPr>
          </w:p>
        </w:tc>
        <w:tc>
          <w:tcPr>
            <w:tcW w:w="10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16"/>
        </w:trPr>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Payments received from (made to) Realogy and Wyndham, net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62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r>
        <w:trPr>
          <w:trHeight w:val="216"/>
        </w:trPr>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Net assets acquired (net of cash acquired) and acquisition-related payments</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(88)</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6"/>
        </w:trPr>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sale of investment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10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216"/>
        </w:trPr>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Purchase of equity investment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28"/>
        </w:trPr>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Other, net</w:t>
            </w:r>
          </w:p>
        </w:tc>
        <w:tc>
          <w:tcPr>
            <w:tcW w:w="116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(2)</w:t>
            </w: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(14)</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24"/>
        </w:trPr>
        <w:tc>
          <w:tcPr>
            <w:tcW w:w="8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 exclusive of vehicle programs</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62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3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Vehicle programs:</w:t>
            </w:r>
          </w:p>
        </w:tc>
        <w:tc>
          <w:tcPr>
            <w:tcW w:w="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Decrease (increase) in program cash</w:t>
            </w:r>
          </w:p>
        </w:tc>
        <w:tc>
          <w:tcPr>
            <w:tcW w:w="116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(145)</w:t>
            </w: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(11)</w:t>
            </w:r>
          </w:p>
        </w:tc>
        <w:tc>
          <w:tcPr>
            <w:tcW w:w="10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6"/>
        </w:trPr>
        <w:tc>
          <w:tcPr>
            <w:tcW w:w="8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Investment in vehicles</w:t>
            </w:r>
          </w:p>
        </w:tc>
        <w:tc>
          <w:tcPr>
            <w:tcW w:w="116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(6,775)</w:t>
            </w: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(8,608)</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(10,633)</w:t>
            </w:r>
          </w:p>
        </w:tc>
        <w:tc>
          <w:tcPr>
            <w:tcW w:w="0" w:type="dxa"/>
            <w:vAlign w:val="bottom"/>
          </w:tcPr>
          <w:p>
            <w:pPr>
              <w:spacing w:after="0"/>
              <w:rPr>
                <w:sz w:val="1"/>
                <w:szCs w:val="1"/>
                <w:color w:val="auto"/>
              </w:rPr>
            </w:pPr>
          </w:p>
        </w:tc>
      </w:tr>
      <w:tr>
        <w:trPr>
          <w:trHeight w:val="216"/>
        </w:trPr>
        <w:tc>
          <w:tcPr>
            <w:tcW w:w="8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Proceeds received on disposition of vehicles</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7,144</w:t>
            </w:r>
          </w:p>
        </w:tc>
        <w:tc>
          <w:tcPr>
            <w:tcW w:w="6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6,722</w:t>
            </w:r>
          </w:p>
        </w:tc>
        <w:tc>
          <w:tcPr>
            <w:tcW w:w="340" w:type="dxa"/>
            <w:vAlign w:val="bottom"/>
          </w:tcPr>
          <w:p>
            <w:pPr>
              <w:spacing w:after="0"/>
              <w:rPr>
                <w:sz w:val="18"/>
                <w:szCs w:val="18"/>
                <w:color w:val="auto"/>
              </w:rPr>
            </w:pPr>
          </w:p>
        </w:tc>
        <w:tc>
          <w:tcPr>
            <w:tcW w:w="10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8,864</w:t>
            </w:r>
          </w:p>
        </w:tc>
        <w:tc>
          <w:tcPr>
            <w:tcW w:w="0" w:type="dxa"/>
            <w:vAlign w:val="bottom"/>
          </w:tcPr>
          <w:p>
            <w:pPr>
              <w:spacing w:after="0"/>
              <w:rPr>
                <w:sz w:val="1"/>
                <w:szCs w:val="1"/>
                <w:color w:val="auto"/>
              </w:rPr>
            </w:pPr>
          </w:p>
        </w:tc>
      </w:tr>
      <w:tr>
        <w:trPr>
          <w:trHeight w:val="229"/>
        </w:trPr>
        <w:tc>
          <w:tcPr>
            <w:tcW w:w="8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net</w:t>
            </w:r>
          </w:p>
        </w:tc>
        <w:tc>
          <w:tcPr>
            <w:tcW w:w="116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(33)</w:t>
            </w: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(28)</w:t>
            </w:r>
          </w:p>
        </w:tc>
        <w:tc>
          <w:tcPr>
            <w:tcW w:w="10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832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62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(1,925)</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cash provided by (used in) investing activities</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620" w:type="dxa"/>
            <w:vAlign w:val="bottom"/>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(2,096)</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1"/>
        </w:trPr>
        <w:tc>
          <w:tcPr>
            <w:tcW w:w="8320" w:type="dxa"/>
            <w:vAlign w:val="bottom"/>
          </w:tcPr>
          <w:p>
            <w:pPr>
              <w:ind w:left="5600"/>
              <w:spacing w:after="0"/>
              <w:rPr>
                <w:sz w:val="20"/>
                <w:szCs w:val="20"/>
                <w:color w:val="auto"/>
              </w:rPr>
            </w:pPr>
            <w:r>
              <w:rPr>
                <w:rFonts w:ascii="Times New Roman" w:cs="Times New Roman" w:eastAsia="Times New Roman" w:hAnsi="Times New Roman"/>
                <w:sz w:val="18"/>
                <w:szCs w:val="18"/>
                <w:color w:val="auto"/>
              </w:rPr>
              <w:t>F-5</w:t>
            </w:r>
          </w:p>
        </w:tc>
        <w:tc>
          <w:tcPr>
            <w:tcW w:w="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455" w:right="279" w:bottom="1440" w:gutter="0" w:footer="0" w:header="0"/>
        </w:sectPr>
      </w:pPr>
    </w:p>
    <w:bookmarkStart w:id="66" w:name="page67"/>
    <w:bookmarkEnd w:id="6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Avis Budget Group, Inc.</w:t>
      </w:r>
    </w:p>
    <w:p>
      <w:pPr>
        <w:spacing w:after="0" w:line="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 (Continued)</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70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gridSpan w:val="7"/>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Year Ended December 31,</w:t>
            </w:r>
          </w:p>
        </w:tc>
        <w:tc>
          <w:tcPr>
            <w:tcW w:w="56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70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11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w w:val="94"/>
              </w:rPr>
              <w:t>2009</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w w:val="94"/>
              </w:rPr>
              <w:t>2008</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2007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7060" w:type="dxa"/>
            <w:vAlign w:val="bottom"/>
            <w:vMerge w:val="continue"/>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borrowings</w:t>
            </w: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Principal payments on borrowings</w:t>
            </w: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232"/>
              <w:spacing w:after="0"/>
              <w:rPr>
                <w:sz w:val="20"/>
                <w:szCs w:val="20"/>
                <w:color w:val="auto"/>
              </w:rPr>
            </w:pPr>
            <w:r>
              <w:rPr>
                <w:rFonts w:ascii="Times New Roman" w:cs="Times New Roman" w:eastAsia="Times New Roman" w:hAnsi="Times New Roman"/>
                <w:sz w:val="18"/>
                <w:szCs w:val="18"/>
                <w:color w:val="auto"/>
              </w:rPr>
              <w:t>(111)</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16"/>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warrant issuance</w:t>
            </w: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Purchase of call options</w:t>
            </w: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232"/>
              <w:spacing w:after="0"/>
              <w:rPr>
                <w:sz w:val="20"/>
                <w:szCs w:val="20"/>
                <w:color w:val="auto"/>
              </w:rPr>
            </w:pPr>
            <w:r>
              <w:rPr>
                <w:rFonts w:ascii="Times New Roman" w:cs="Times New Roman" w:eastAsia="Times New Roman" w:hAnsi="Times New Roman"/>
                <w:sz w:val="18"/>
                <w:szCs w:val="18"/>
                <w:color w:val="auto"/>
              </w:rPr>
              <w:t>(95)</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(33)</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Issuances of common stock</w:t>
            </w: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28"/>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Other, net</w:t>
            </w: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gridSpan w:val="2"/>
          </w:tcPr>
          <w:p>
            <w:pPr>
              <w:jc w:val="right"/>
              <w:ind w:right="232"/>
              <w:spacing w:after="0"/>
              <w:rPr>
                <w:sz w:val="20"/>
                <w:szCs w:val="20"/>
                <w:color w:val="auto"/>
              </w:rPr>
            </w:pPr>
            <w:r>
              <w:rPr>
                <w:rFonts w:ascii="Times New Roman" w:cs="Times New Roman" w:eastAsia="Times New Roman" w:hAnsi="Times New Roman"/>
                <w:sz w:val="18"/>
                <w:szCs w:val="18"/>
                <w:color w:val="auto"/>
              </w:rPr>
              <w:t>(13)</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(28)</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4"/>
        </w:trPr>
        <w:tc>
          <w:tcPr>
            <w:tcW w:w="7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cash provided by (used in) financing activities exclusive of vehicle programs</w:t>
            </w:r>
          </w:p>
        </w:tc>
        <w:tc>
          <w:tcPr>
            <w:tcW w:w="110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0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Vehicle programs:</w:t>
            </w: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Proceeds from borrowings</w:t>
            </w: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7,527</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8,476</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10,565</w:t>
            </w:r>
          </w:p>
        </w:tc>
        <w:tc>
          <w:tcPr>
            <w:tcW w:w="0" w:type="dxa"/>
            <w:vAlign w:val="bottom"/>
          </w:tcPr>
          <w:p>
            <w:pPr>
              <w:spacing w:after="0"/>
              <w:rPr>
                <w:sz w:val="1"/>
                <w:szCs w:val="1"/>
                <w:color w:val="auto"/>
              </w:rPr>
            </w:pPr>
          </w:p>
        </w:tc>
      </w:tr>
      <w:tr>
        <w:trPr>
          <w:trHeight w:val="216"/>
        </w:trPr>
        <w:tc>
          <w:tcPr>
            <w:tcW w:w="7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Principal payments on borrowings</w:t>
            </w: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232"/>
              <w:spacing w:after="0"/>
              <w:rPr>
                <w:sz w:val="20"/>
                <w:szCs w:val="20"/>
                <w:color w:val="auto"/>
              </w:rPr>
            </w:pPr>
            <w:r>
              <w:rPr>
                <w:rFonts w:ascii="Times New Roman" w:cs="Times New Roman" w:eastAsia="Times New Roman" w:hAnsi="Times New Roman"/>
                <w:sz w:val="18"/>
                <w:szCs w:val="18"/>
                <w:color w:val="auto"/>
                <w:w w:val="95"/>
              </w:rPr>
              <w:t>(9,147)</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w w:val="95"/>
              </w:rPr>
              <w:t>(8,060)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7"/>
              </w:rPr>
              <w:t>(10,236)</w:t>
            </w:r>
          </w:p>
        </w:tc>
        <w:tc>
          <w:tcPr>
            <w:tcW w:w="0" w:type="dxa"/>
            <w:vAlign w:val="bottom"/>
          </w:tcPr>
          <w:p>
            <w:pPr>
              <w:spacing w:after="0"/>
              <w:rPr>
                <w:sz w:val="1"/>
                <w:szCs w:val="1"/>
                <w:color w:val="auto"/>
              </w:rPr>
            </w:pPr>
          </w:p>
        </w:tc>
      </w:tr>
      <w:tr>
        <w:trPr>
          <w:trHeight w:val="216"/>
        </w:trPr>
        <w:tc>
          <w:tcPr>
            <w:tcW w:w="7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change in short-term borrowings</w:t>
            </w: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232"/>
              <w:spacing w:after="0"/>
              <w:rPr>
                <w:sz w:val="20"/>
                <w:szCs w:val="20"/>
                <w:color w:val="auto"/>
              </w:rPr>
            </w:pPr>
            <w:r>
              <w:rPr>
                <w:rFonts w:ascii="Times New Roman" w:cs="Times New Roman" w:eastAsia="Times New Roman" w:hAnsi="Times New Roman"/>
                <w:sz w:val="18"/>
                <w:szCs w:val="18"/>
                <w:color w:val="auto"/>
              </w:rPr>
              <w:t>(107)</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152</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229"/>
        </w:trPr>
        <w:tc>
          <w:tcPr>
            <w:tcW w:w="7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net</w:t>
            </w: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gridSpan w:val="2"/>
          </w:tcPr>
          <w:p>
            <w:pPr>
              <w:jc w:val="right"/>
              <w:ind w:right="232"/>
              <w:spacing w:after="0"/>
              <w:rPr>
                <w:sz w:val="20"/>
                <w:szCs w:val="20"/>
                <w:color w:val="auto"/>
              </w:rPr>
            </w:pPr>
            <w:r>
              <w:rPr>
                <w:rFonts w:ascii="Times New Roman" w:cs="Times New Roman" w:eastAsia="Times New Roman" w:hAnsi="Times New Roman"/>
                <w:sz w:val="18"/>
                <w:szCs w:val="18"/>
                <w:color w:val="auto"/>
              </w:rPr>
              <w:t>(26)</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(34)</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23"/>
        </w:trPr>
        <w:tc>
          <w:tcPr>
            <w:tcW w:w="70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3"/>
              </w:rPr>
              <w:t>(1,753)</w:t>
            </w: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534</w:t>
            </w: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cash provided by (used in) financing activities</w:t>
            </w:r>
          </w:p>
        </w:tc>
        <w:tc>
          <w:tcPr>
            <w:tcW w:w="11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3"/>
              </w:rPr>
              <w:t>(1,465)</w:t>
            </w: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463</w:t>
            </w: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Effect of changes in exchange rates on cash and cash equivalents</w:t>
            </w: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1"/>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Net increase in cash and cash equivalents</w:t>
            </w: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44</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28"/>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214</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172</w:t>
            </w:r>
          </w:p>
        </w:tc>
        <w:tc>
          <w:tcPr>
            <w:tcW w:w="0" w:type="dxa"/>
            <w:vAlign w:val="bottom"/>
          </w:tcPr>
          <w:p>
            <w:pPr>
              <w:spacing w:after="0"/>
              <w:rPr>
                <w:sz w:val="1"/>
                <w:szCs w:val="1"/>
                <w:color w:val="auto"/>
              </w:rPr>
            </w:pPr>
          </w:p>
        </w:tc>
      </w:tr>
      <w:tr>
        <w:trPr>
          <w:trHeight w:val="224"/>
        </w:trPr>
        <w:tc>
          <w:tcPr>
            <w:tcW w:w="7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end of period</w:t>
            </w:r>
          </w:p>
        </w:tc>
        <w:tc>
          <w:tcPr>
            <w:tcW w:w="11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482</w:t>
            </w: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w:t>
            </w:r>
          </w:p>
        </w:tc>
        <w:tc>
          <w:tcPr>
            <w:tcW w:w="1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060" w:type="dxa"/>
            <w:vAlign w:val="bottom"/>
            <w:vMerge w:val="continue"/>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Interest payments</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w:t>
            </w:r>
          </w:p>
        </w:tc>
        <w:tc>
          <w:tcPr>
            <w:tcW w:w="38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468</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461</w:t>
            </w:r>
          </w:p>
        </w:tc>
        <w:tc>
          <w:tcPr>
            <w:tcW w:w="0" w:type="dxa"/>
            <w:vAlign w:val="bottom"/>
          </w:tcPr>
          <w:p>
            <w:pPr>
              <w:spacing w:after="0"/>
              <w:rPr>
                <w:sz w:val="1"/>
                <w:szCs w:val="1"/>
                <w:color w:val="auto"/>
              </w:rPr>
            </w:pPr>
          </w:p>
        </w:tc>
      </w:tr>
      <w:tr>
        <w:trPr>
          <w:trHeight w:val="228"/>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Income tax payments (refunds), net</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380" w:type="dxa"/>
            <w:vAlign w:val="bottom"/>
          </w:tcPr>
          <w:p>
            <w:pPr>
              <w:spacing w:after="0"/>
              <w:rPr>
                <w:sz w:val="19"/>
                <w:szCs w:val="19"/>
                <w:color w:val="auto"/>
              </w:rPr>
            </w:pP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15</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F-6</w:t>
      </w:r>
    </w:p>
    <w:p>
      <w:pPr>
        <w:sectPr>
          <w:pgSz w:w="11900" w:h="16838" w:orient="portrait"/>
          <w:cols w:equalWidth="0" w:num="1">
            <w:col w:w="11380"/>
          </w:cols>
          <w:pgMar w:left="240" w:top="455" w:right="279" w:bottom="1440" w:gutter="0" w:footer="0" w:header="0"/>
        </w:sectPr>
      </w:pPr>
    </w:p>
    <w:bookmarkStart w:id="67" w:name="page68"/>
    <w:bookmarkEnd w:id="6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Avis Budget Group, Inc.</w:t>
      </w:r>
    </w:p>
    <w:p>
      <w:pPr>
        <w:spacing w:after="0" w:line="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40" w:type="dxa"/>
            <w:vAlign w:val="bottom"/>
          </w:tcPr>
          <w:p>
            <w:pPr>
              <w:spacing w:after="0"/>
              <w:rPr>
                <w:sz w:val="13"/>
                <w:szCs w:val="13"/>
                <w:color w:val="auto"/>
              </w:rPr>
            </w:pPr>
          </w:p>
        </w:tc>
        <w:tc>
          <w:tcPr>
            <w:tcW w:w="1060" w:type="dxa"/>
            <w:vAlign w:val="bottom"/>
            <w:gridSpan w:val="3"/>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w w:val="97"/>
              </w:rPr>
              <w:t>Common Stock</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w w:val="95"/>
              </w:rPr>
              <w:t>Accumulated</w:t>
            </w:r>
          </w:p>
        </w:tc>
        <w:tc>
          <w:tcPr>
            <w:tcW w:w="1600" w:type="dxa"/>
            <w:vAlign w:val="bottom"/>
            <w:gridSpan w:val="6"/>
            <w:vMerge w:val="restart"/>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4340" w:type="dxa"/>
            <w:vAlign w:val="bottom"/>
          </w:tcPr>
          <w:p>
            <w:pPr>
              <w:spacing w:after="0"/>
              <w:rPr>
                <w:sz w:val="13"/>
                <w:szCs w:val="13"/>
                <w:color w:val="auto"/>
              </w:rPr>
            </w:pPr>
          </w:p>
        </w:tc>
        <w:tc>
          <w:tcPr>
            <w:tcW w:w="1060" w:type="dxa"/>
            <w:vAlign w:val="bottom"/>
            <w:gridSpan w:val="3"/>
            <w:vMerge w:val="continue"/>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0" w:type="dxa"/>
            <w:vAlign w:val="bottom"/>
            <w:gridSpan w:val="3"/>
          </w:tcPr>
          <w:p>
            <w:pPr>
              <w:ind w:left="20"/>
              <w:spacing w:after="0" w:line="152"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0" w:type="dxa"/>
            <w:vAlign w:val="bottom"/>
            <w:gridSpan w:val="2"/>
          </w:tcPr>
          <w:p>
            <w:pPr>
              <w:jc w:val="center"/>
              <w:ind w:right="440"/>
              <w:spacing w:after="0" w:line="152" w:lineRule="exact"/>
              <w:rPr>
                <w:sz w:val="20"/>
                <w:szCs w:val="20"/>
                <w:color w:val="auto"/>
              </w:rPr>
            </w:pPr>
            <w:r>
              <w:rPr>
                <w:rFonts w:ascii="Times New Roman" w:cs="Times New Roman" w:eastAsia="Times New Roman" w:hAnsi="Times New Roman"/>
                <w:sz w:val="14"/>
                <w:szCs w:val="14"/>
                <w:b w:val="1"/>
                <w:bCs w:val="1"/>
                <w:color w:val="auto"/>
              </w:rPr>
              <w:t>Other</w:t>
            </w:r>
          </w:p>
        </w:tc>
        <w:tc>
          <w:tcPr>
            <w:tcW w:w="1600" w:type="dxa"/>
            <w:vAlign w:val="bottom"/>
            <w:gridSpan w:val="6"/>
            <w:vMerge w:val="continue"/>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gridSpan w:val="2"/>
          </w:tcPr>
          <w:p>
            <w:pPr>
              <w:jc w:val="right"/>
              <w:ind w:right="300"/>
              <w:spacing w:after="0" w:line="152"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25"/>
        </w:trPr>
        <w:tc>
          <w:tcPr>
            <w:tcW w:w="4340" w:type="dxa"/>
            <w:vAlign w:val="bottom"/>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gridSpan w:val="2"/>
          </w:tcPr>
          <w:p>
            <w:pPr>
              <w:jc w:val="right"/>
              <w:ind w:right="480"/>
              <w:spacing w:after="0" w:line="125" w:lineRule="exact"/>
              <w:rPr>
                <w:sz w:val="20"/>
                <w:szCs w:val="20"/>
                <w:color w:val="auto"/>
              </w:rPr>
            </w:pPr>
            <w:r>
              <w:rPr>
                <w:rFonts w:ascii="Times New Roman" w:cs="Times New Roman" w:eastAsia="Times New Roman" w:hAnsi="Times New Roman"/>
                <w:sz w:val="14"/>
                <w:szCs w:val="14"/>
                <w:b w:val="1"/>
                <w:bCs w:val="1"/>
                <w:color w:val="auto"/>
                <w:w w:val="91"/>
              </w:rPr>
              <w:t>Paid-in</w:t>
            </w:r>
          </w:p>
        </w:tc>
        <w:tc>
          <w:tcPr>
            <w:tcW w:w="880" w:type="dxa"/>
            <w:vAlign w:val="bottom"/>
            <w:gridSpan w:val="3"/>
          </w:tcPr>
          <w:p>
            <w:pPr>
              <w:spacing w:after="0" w:line="125" w:lineRule="exact"/>
              <w:rPr>
                <w:sz w:val="20"/>
                <w:szCs w:val="20"/>
                <w:color w:val="auto"/>
              </w:rPr>
            </w:pPr>
            <w:r>
              <w:rPr>
                <w:rFonts w:ascii="Times New Roman" w:cs="Times New Roman" w:eastAsia="Times New Roman" w:hAnsi="Times New Roman"/>
                <w:sz w:val="14"/>
                <w:szCs w:val="14"/>
                <w:b w:val="1"/>
                <w:bCs w:val="1"/>
                <w:color w:val="auto"/>
              </w:rPr>
              <w:t>Retained</w:t>
            </w:r>
          </w:p>
        </w:tc>
        <w:tc>
          <w:tcPr>
            <w:tcW w:w="1280" w:type="dxa"/>
            <w:vAlign w:val="bottom"/>
            <w:gridSpan w:val="3"/>
          </w:tcPr>
          <w:p>
            <w:pPr>
              <w:spacing w:after="0" w:line="125"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38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360" w:type="dxa"/>
            <w:vAlign w:val="bottom"/>
          </w:tcPr>
          <w:p>
            <w:pPr>
              <w:spacing w:after="0"/>
              <w:rPr>
                <w:sz w:val="10"/>
                <w:szCs w:val="10"/>
                <w:color w:val="auto"/>
              </w:rPr>
            </w:pPr>
          </w:p>
        </w:tc>
        <w:tc>
          <w:tcPr>
            <w:tcW w:w="840" w:type="dxa"/>
            <w:vAlign w:val="bottom"/>
            <w:gridSpan w:val="3"/>
          </w:tcPr>
          <w:p>
            <w:pPr>
              <w:spacing w:after="0" w:line="125" w:lineRule="exact"/>
              <w:rPr>
                <w:sz w:val="20"/>
                <w:szCs w:val="20"/>
                <w:color w:val="auto"/>
              </w:rPr>
            </w:pPr>
            <w:r>
              <w:rPr>
                <w:rFonts w:ascii="Times New Roman" w:cs="Times New Roman" w:eastAsia="Times New Roman" w:hAnsi="Times New Roman"/>
                <w:sz w:val="14"/>
                <w:szCs w:val="14"/>
                <w:b w:val="1"/>
                <w:bCs w:val="1"/>
                <w:color w:val="auto"/>
                <w:w w:val="99"/>
              </w:rPr>
              <w:t>Stockholders’</w:t>
            </w:r>
          </w:p>
        </w:tc>
        <w:tc>
          <w:tcPr>
            <w:tcW w:w="0" w:type="dxa"/>
            <w:vAlign w:val="bottom"/>
          </w:tcPr>
          <w:p>
            <w:pPr>
              <w:spacing w:after="0"/>
              <w:rPr>
                <w:sz w:val="1"/>
                <w:szCs w:val="1"/>
                <w:color w:val="auto"/>
              </w:rPr>
            </w:pPr>
          </w:p>
        </w:tc>
      </w:tr>
      <w:tr>
        <w:trPr>
          <w:trHeight w:val="165"/>
        </w:trPr>
        <w:tc>
          <w:tcPr>
            <w:tcW w:w="43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Balance at January 1, 2007</w:t>
            </w: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3"/>
              </w:rPr>
              <w:t>Shares</w:t>
            </w:r>
          </w:p>
        </w:tc>
        <w:tc>
          <w:tcPr>
            <w:tcW w:w="280" w:type="dxa"/>
            <w:vAlign w:val="bottom"/>
          </w:tcPr>
          <w:p>
            <w:pPr>
              <w:spacing w:after="0"/>
              <w:rPr>
                <w:sz w:val="14"/>
                <w:szCs w:val="14"/>
                <w:color w:val="auto"/>
              </w:rPr>
            </w:pPr>
          </w:p>
        </w:tc>
        <w:tc>
          <w:tcPr>
            <w:tcW w:w="4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w w:val="93"/>
              </w:rPr>
              <w:t>Amount</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w w:val="94"/>
              </w:rPr>
              <w:t>Capital</w:t>
            </w:r>
          </w:p>
        </w:tc>
        <w:tc>
          <w:tcPr>
            <w:tcW w:w="380" w:type="dxa"/>
            <w:vAlign w:val="bottom"/>
          </w:tcPr>
          <w:p>
            <w:pPr>
              <w:spacing w:after="0"/>
              <w:rPr>
                <w:sz w:val="14"/>
                <w:szCs w:val="14"/>
                <w:color w:val="auto"/>
              </w:rPr>
            </w:pPr>
          </w:p>
        </w:tc>
        <w:tc>
          <w:tcPr>
            <w:tcW w:w="8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280" w:type="dxa"/>
            <w:vAlign w:val="bottom"/>
            <w:gridSpan w:val="3"/>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4"/>
              </w:rPr>
              <w:t>Income (Loss)</w:t>
            </w:r>
          </w:p>
        </w:tc>
        <w:tc>
          <w:tcPr>
            <w:tcW w:w="6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w w:val="88"/>
              </w:rPr>
              <w:t>Shares</w:t>
            </w:r>
          </w:p>
        </w:tc>
        <w:tc>
          <w:tcPr>
            <w:tcW w:w="160" w:type="dxa"/>
            <w:vAlign w:val="bottom"/>
          </w:tcPr>
          <w:p>
            <w:pPr>
              <w:spacing w:after="0"/>
              <w:rPr>
                <w:sz w:val="14"/>
                <w:szCs w:val="14"/>
                <w:color w:val="auto"/>
              </w:rPr>
            </w:pPr>
          </w:p>
        </w:tc>
        <w:tc>
          <w:tcPr>
            <w:tcW w:w="840" w:type="dxa"/>
            <w:vAlign w:val="bottom"/>
            <w:gridSpan w:val="3"/>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w w:val="93"/>
              </w:rPr>
              <w:t>Amount</w:t>
            </w:r>
          </w:p>
        </w:tc>
        <w:tc>
          <w:tcPr>
            <w:tcW w:w="140" w:type="dxa"/>
            <w:vAlign w:val="bottom"/>
          </w:tcPr>
          <w:p>
            <w:pPr>
              <w:spacing w:after="0"/>
              <w:rPr>
                <w:sz w:val="14"/>
                <w:szCs w:val="14"/>
                <w:color w:val="auto"/>
              </w:rPr>
            </w:pP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0"/>
        </w:trPr>
        <w:tc>
          <w:tcPr>
            <w:tcW w:w="4340" w:type="dxa"/>
            <w:vAlign w:val="bottom"/>
            <w:vMerge w:val="continue"/>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8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6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60" w:type="dxa"/>
            <w:vAlign w:val="bottom"/>
            <w:vMerge w:val="restart"/>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6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5"/>
        </w:trPr>
        <w:tc>
          <w:tcPr>
            <w:tcW w:w="4340" w:type="dxa"/>
            <w:vAlign w:val="bottom"/>
            <w:vMerge w:val="continue"/>
          </w:tcPr>
          <w:p>
            <w:pPr>
              <w:spacing w:after="0"/>
              <w:rPr>
                <w:sz w:val="10"/>
                <w:szCs w:val="10"/>
                <w:color w:val="auto"/>
              </w:rPr>
            </w:pPr>
          </w:p>
        </w:tc>
        <w:tc>
          <w:tcPr>
            <w:tcW w:w="400" w:type="dxa"/>
            <w:vAlign w:val="bottom"/>
          </w:tcPr>
          <w:p>
            <w:pPr>
              <w:jc w:val="right"/>
              <w:spacing w:after="0" w:line="125" w:lineRule="exact"/>
              <w:rPr>
                <w:sz w:val="20"/>
                <w:szCs w:val="20"/>
                <w:color w:val="auto"/>
              </w:rPr>
            </w:pPr>
            <w:r>
              <w:rPr>
                <w:rFonts w:ascii="Times New Roman" w:cs="Times New Roman" w:eastAsia="Times New Roman" w:hAnsi="Times New Roman"/>
                <w:sz w:val="14"/>
                <w:szCs w:val="14"/>
                <w:color w:val="auto"/>
              </w:rPr>
              <w:t>135.5</w:t>
            </w:r>
          </w:p>
        </w:tc>
        <w:tc>
          <w:tcPr>
            <w:tcW w:w="280" w:type="dxa"/>
            <w:vAlign w:val="bottom"/>
            <w:vMerge w:val="continue"/>
          </w:tcPr>
          <w:p>
            <w:pPr>
              <w:spacing w:after="0"/>
              <w:rPr>
                <w:sz w:val="10"/>
                <w:szCs w:val="10"/>
                <w:color w:val="auto"/>
              </w:rPr>
            </w:pPr>
          </w:p>
        </w:tc>
        <w:tc>
          <w:tcPr>
            <w:tcW w:w="380" w:type="dxa"/>
            <w:vAlign w:val="bottom"/>
          </w:tcPr>
          <w:p>
            <w:pPr>
              <w:spacing w:after="0" w:line="125"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jc w:val="right"/>
              <w:spacing w:after="0" w:line="125" w:lineRule="exact"/>
              <w:rPr>
                <w:sz w:val="20"/>
                <w:szCs w:val="20"/>
                <w:color w:val="auto"/>
              </w:rPr>
            </w:pPr>
            <w:r>
              <w:rPr>
                <w:rFonts w:ascii="Times New Roman" w:cs="Times New Roman" w:eastAsia="Times New Roman" w:hAnsi="Times New Roman"/>
                <w:sz w:val="14"/>
                <w:szCs w:val="14"/>
                <w:color w:val="auto"/>
              </w:rPr>
              <w:t>1</w:t>
            </w:r>
          </w:p>
        </w:tc>
        <w:tc>
          <w:tcPr>
            <w:tcW w:w="280" w:type="dxa"/>
            <w:vAlign w:val="bottom"/>
            <w:vMerge w:val="continue"/>
          </w:tcPr>
          <w:p>
            <w:pPr>
              <w:spacing w:after="0"/>
              <w:rPr>
                <w:sz w:val="10"/>
                <w:szCs w:val="10"/>
                <w:color w:val="auto"/>
              </w:rPr>
            </w:pPr>
          </w:p>
        </w:tc>
        <w:tc>
          <w:tcPr>
            <w:tcW w:w="100" w:type="dxa"/>
            <w:vAlign w:val="bottom"/>
          </w:tcPr>
          <w:p>
            <w:pPr>
              <w:spacing w:after="0" w:line="125"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spacing w:after="0" w:line="125" w:lineRule="exact"/>
              <w:rPr>
                <w:sz w:val="20"/>
                <w:szCs w:val="20"/>
                <w:color w:val="auto"/>
              </w:rPr>
            </w:pPr>
            <w:r>
              <w:rPr>
                <w:rFonts w:ascii="Times New Roman" w:cs="Times New Roman" w:eastAsia="Times New Roman" w:hAnsi="Times New Roman"/>
                <w:sz w:val="14"/>
                <w:szCs w:val="14"/>
                <w:color w:val="auto"/>
              </w:rPr>
              <w:t>9,664</w:t>
            </w:r>
          </w:p>
        </w:tc>
        <w:tc>
          <w:tcPr>
            <w:tcW w:w="380" w:type="dxa"/>
            <w:vAlign w:val="bottom"/>
            <w:vMerge w:val="continue"/>
          </w:tcPr>
          <w:p>
            <w:pPr>
              <w:spacing w:after="0"/>
              <w:rPr>
                <w:sz w:val="10"/>
                <w:szCs w:val="10"/>
                <w:color w:val="auto"/>
              </w:rPr>
            </w:pPr>
          </w:p>
        </w:tc>
        <w:tc>
          <w:tcPr>
            <w:tcW w:w="120" w:type="dxa"/>
            <w:vAlign w:val="bottom"/>
          </w:tcPr>
          <w:p>
            <w:pPr>
              <w:spacing w:after="0" w:line="125" w:lineRule="exact"/>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jc w:val="right"/>
              <w:spacing w:after="0" w:line="125" w:lineRule="exact"/>
              <w:rPr>
                <w:sz w:val="20"/>
                <w:szCs w:val="20"/>
                <w:color w:val="auto"/>
              </w:rPr>
            </w:pPr>
            <w:r>
              <w:rPr>
                <w:rFonts w:ascii="Times New Roman" w:cs="Times New Roman" w:eastAsia="Times New Roman" w:hAnsi="Times New Roman"/>
                <w:sz w:val="14"/>
                <w:szCs w:val="14"/>
                <w:color w:val="auto"/>
              </w:rPr>
              <w:t>(586)</w:t>
            </w:r>
          </w:p>
        </w:tc>
        <w:tc>
          <w:tcPr>
            <w:tcW w:w="360" w:type="dxa"/>
            <w:vAlign w:val="bottom"/>
            <w:vMerge w:val="continue"/>
          </w:tcPr>
          <w:p>
            <w:pPr>
              <w:spacing w:after="0"/>
              <w:rPr>
                <w:sz w:val="10"/>
                <w:szCs w:val="10"/>
                <w:color w:val="auto"/>
              </w:rPr>
            </w:pPr>
          </w:p>
        </w:tc>
        <w:tc>
          <w:tcPr>
            <w:tcW w:w="80" w:type="dxa"/>
            <w:vAlign w:val="bottom"/>
          </w:tcPr>
          <w:p>
            <w:pPr>
              <w:spacing w:after="0" w:line="125" w:lineRule="exact"/>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spacing w:after="0" w:line="125" w:lineRule="exact"/>
              <w:rPr>
                <w:sz w:val="20"/>
                <w:szCs w:val="20"/>
                <w:color w:val="auto"/>
              </w:rPr>
            </w:pPr>
            <w:r>
              <w:rPr>
                <w:rFonts w:ascii="Times New Roman" w:cs="Times New Roman" w:eastAsia="Times New Roman" w:hAnsi="Times New Roman"/>
                <w:sz w:val="14"/>
                <w:szCs w:val="14"/>
                <w:color w:val="auto"/>
              </w:rPr>
              <w:t>68</w:t>
            </w:r>
          </w:p>
        </w:tc>
        <w:tc>
          <w:tcPr>
            <w:tcW w:w="360" w:type="dxa"/>
            <w:vAlign w:val="bottom"/>
            <w:vMerge w:val="continue"/>
          </w:tcPr>
          <w:p>
            <w:pPr>
              <w:spacing w:after="0"/>
              <w:rPr>
                <w:sz w:val="10"/>
                <w:szCs w:val="10"/>
                <w:color w:val="auto"/>
              </w:rPr>
            </w:pPr>
          </w:p>
        </w:tc>
        <w:tc>
          <w:tcPr>
            <w:tcW w:w="600" w:type="dxa"/>
            <w:vAlign w:val="bottom"/>
            <w:gridSpan w:val="2"/>
          </w:tcPr>
          <w:p>
            <w:pPr>
              <w:jc w:val="right"/>
              <w:ind w:right="160"/>
              <w:spacing w:after="0" w:line="125" w:lineRule="exact"/>
              <w:rPr>
                <w:sz w:val="20"/>
                <w:szCs w:val="20"/>
                <w:color w:val="auto"/>
              </w:rPr>
            </w:pPr>
            <w:r>
              <w:rPr>
                <w:rFonts w:ascii="Times New Roman" w:cs="Times New Roman" w:eastAsia="Times New Roman" w:hAnsi="Times New Roman"/>
                <w:sz w:val="14"/>
                <w:szCs w:val="14"/>
                <w:color w:val="auto"/>
              </w:rPr>
              <w:t>(34.3)</w:t>
            </w:r>
          </w:p>
        </w:tc>
        <w:tc>
          <w:tcPr>
            <w:tcW w:w="160" w:type="dxa"/>
            <w:vAlign w:val="bottom"/>
            <w:vMerge w:val="continue"/>
          </w:tcPr>
          <w:p>
            <w:pPr>
              <w:spacing w:after="0"/>
              <w:rPr>
                <w:sz w:val="10"/>
                <w:szCs w:val="10"/>
                <w:color w:val="auto"/>
              </w:rPr>
            </w:pPr>
          </w:p>
        </w:tc>
        <w:tc>
          <w:tcPr>
            <w:tcW w:w="100" w:type="dxa"/>
            <w:vAlign w:val="bottom"/>
          </w:tcPr>
          <w:p>
            <w:pPr>
              <w:jc w:val="right"/>
              <w:spacing w:after="0" w:line="125" w:lineRule="exact"/>
              <w:rPr>
                <w:sz w:val="20"/>
                <w:szCs w:val="20"/>
                <w:color w:val="auto"/>
              </w:rPr>
            </w:pPr>
            <w:r>
              <w:rPr>
                <w:rFonts w:ascii="Times New Roman" w:cs="Times New Roman" w:eastAsia="Times New Roman" w:hAnsi="Times New Roman"/>
                <w:sz w:val="11"/>
                <w:szCs w:val="11"/>
                <w:color w:val="auto"/>
                <w:w w:val="71"/>
              </w:rPr>
              <w:t>$</w:t>
            </w:r>
          </w:p>
        </w:tc>
        <w:tc>
          <w:tcPr>
            <w:tcW w:w="380" w:type="dxa"/>
            <w:vAlign w:val="bottom"/>
          </w:tcPr>
          <w:p>
            <w:pPr>
              <w:jc w:val="right"/>
              <w:spacing w:after="0" w:line="125" w:lineRule="exact"/>
              <w:rPr>
                <w:sz w:val="20"/>
                <w:szCs w:val="20"/>
                <w:color w:val="auto"/>
              </w:rPr>
            </w:pPr>
            <w:r>
              <w:rPr>
                <w:rFonts w:ascii="Times New Roman" w:cs="Times New Roman" w:eastAsia="Times New Roman" w:hAnsi="Times New Roman"/>
                <w:sz w:val="14"/>
                <w:szCs w:val="14"/>
                <w:color w:val="auto"/>
                <w:w w:val="88"/>
              </w:rPr>
              <w:t>(6,704)</w:t>
            </w:r>
          </w:p>
        </w:tc>
        <w:tc>
          <w:tcPr>
            <w:tcW w:w="360" w:type="dxa"/>
            <w:vAlign w:val="bottom"/>
            <w:vMerge w:val="continue"/>
          </w:tcPr>
          <w:p>
            <w:pPr>
              <w:spacing w:after="0"/>
              <w:rPr>
                <w:sz w:val="10"/>
                <w:szCs w:val="10"/>
                <w:color w:val="auto"/>
              </w:rPr>
            </w:pPr>
          </w:p>
        </w:tc>
        <w:tc>
          <w:tcPr>
            <w:tcW w:w="140" w:type="dxa"/>
            <w:vAlign w:val="bottom"/>
          </w:tcPr>
          <w:p>
            <w:pPr>
              <w:spacing w:after="0" w:line="125"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line="125" w:lineRule="exact"/>
              <w:rPr>
                <w:sz w:val="20"/>
                <w:szCs w:val="20"/>
                <w:color w:val="auto"/>
              </w:rPr>
            </w:pPr>
            <w:r>
              <w:rPr>
                <w:rFonts w:ascii="Times New Roman" w:cs="Times New Roman" w:eastAsia="Times New Roman" w:hAnsi="Times New Roman"/>
                <w:sz w:val="14"/>
                <w:szCs w:val="14"/>
                <w:color w:val="auto"/>
              </w:rPr>
              <w:t>2,443</w:t>
            </w:r>
          </w:p>
        </w:tc>
        <w:tc>
          <w:tcPr>
            <w:tcW w:w="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4340" w:type="dxa"/>
            <w:vAlign w:val="bottom"/>
          </w:tcPr>
          <w:p>
            <w:pPr>
              <w:spacing w:after="0" w:line="153" w:lineRule="exact"/>
              <w:rPr>
                <w:sz w:val="20"/>
                <w:szCs w:val="20"/>
                <w:color w:val="auto"/>
              </w:rPr>
            </w:pPr>
            <w:r>
              <w:rPr>
                <w:rFonts w:ascii="Times New Roman" w:cs="Times New Roman" w:eastAsia="Times New Roman" w:hAnsi="Times New Roman"/>
                <w:sz w:val="14"/>
                <w:szCs w:val="14"/>
                <w:b w:val="1"/>
                <w:bCs w:val="1"/>
                <w:color w:val="auto"/>
              </w:rPr>
              <w:t>Comprehensive loss:</w:t>
            </w:r>
          </w:p>
        </w:tc>
        <w:tc>
          <w:tcPr>
            <w:tcW w:w="4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3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4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3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6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(916)</w:t>
            </w:r>
          </w:p>
        </w:tc>
        <w:tc>
          <w:tcPr>
            <w:tcW w:w="80" w:type="dxa"/>
            <w:vAlign w:val="bottom"/>
          </w:tcPr>
          <w:p>
            <w:pPr>
              <w:spacing w:after="0"/>
              <w:rPr>
                <w:sz w:val="12"/>
                <w:szCs w:val="12"/>
                <w:color w:val="auto"/>
              </w:rPr>
            </w:pPr>
          </w:p>
        </w:tc>
        <w:tc>
          <w:tcPr>
            <w:tcW w:w="1200" w:type="dxa"/>
            <w:vAlign w:val="bottom"/>
            <w:gridSpan w:val="2"/>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3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Currency translation adjustment</w:t>
            </w:r>
          </w:p>
        </w:tc>
        <w:tc>
          <w:tcPr>
            <w:tcW w:w="4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3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gridSpan w:val="2"/>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50</w:t>
            </w:r>
          </w:p>
        </w:tc>
        <w:tc>
          <w:tcPr>
            <w:tcW w:w="3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3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Unrealized losses on cash flow hedges, net of tax of $59</w:t>
            </w:r>
          </w:p>
        </w:tc>
        <w:tc>
          <w:tcPr>
            <w:tcW w:w="4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3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(93)</w:t>
            </w:r>
          </w:p>
        </w:tc>
        <w:tc>
          <w:tcPr>
            <w:tcW w:w="3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4340" w:type="dxa"/>
            <w:vAlign w:val="bottom"/>
          </w:tcPr>
          <w:p>
            <w:pPr>
              <w:spacing w:after="0"/>
              <w:rPr>
                <w:sz w:val="20"/>
                <w:szCs w:val="20"/>
                <w:color w:val="auto"/>
              </w:rPr>
            </w:pPr>
            <w:r>
              <w:rPr>
                <w:rFonts w:ascii="Times New Roman" w:cs="Times New Roman" w:eastAsia="Times New Roman" w:hAnsi="Times New Roman"/>
                <w:sz w:val="14"/>
                <w:szCs w:val="14"/>
                <w:color w:val="auto"/>
              </w:rPr>
              <w:t>Pension liability adjustment, net of tax of $(5)</w:t>
            </w: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color w:val="auto"/>
              </w:rPr>
              <w:t>7</w:t>
            </w: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3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Total comprehensive loss</w:t>
            </w: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(952)</w:t>
            </w:r>
          </w:p>
        </w:tc>
        <w:tc>
          <w:tcPr>
            <w:tcW w:w="0" w:type="dxa"/>
            <w:vAlign w:val="bottom"/>
          </w:tcPr>
          <w:p>
            <w:pPr>
              <w:spacing w:after="0"/>
              <w:rPr>
                <w:sz w:val="1"/>
                <w:szCs w:val="1"/>
                <w:color w:val="auto"/>
              </w:rPr>
            </w:pPr>
          </w:p>
        </w:tc>
      </w:tr>
      <w:tr>
        <w:trPr>
          <w:trHeight w:val="190"/>
        </w:trPr>
        <w:tc>
          <w:tcPr>
            <w:tcW w:w="4340" w:type="dxa"/>
            <w:vAlign w:val="bottom"/>
          </w:tcPr>
          <w:p>
            <w:pPr>
              <w:spacing w:after="0"/>
              <w:rPr>
                <w:sz w:val="20"/>
                <w:szCs w:val="20"/>
                <w:color w:val="auto"/>
              </w:rPr>
            </w:pPr>
            <w:r>
              <w:rPr>
                <w:rFonts w:ascii="Times New Roman" w:cs="Times New Roman" w:eastAsia="Times New Roman" w:hAnsi="Times New Roman"/>
                <w:sz w:val="14"/>
                <w:szCs w:val="14"/>
                <w:color w:val="auto"/>
              </w:rPr>
              <w:t>Adoption of FIN 48</w:t>
            </w: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6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(18)</w:t>
            </w:r>
          </w:p>
        </w:tc>
        <w:tc>
          <w:tcPr>
            <w:tcW w:w="80" w:type="dxa"/>
            <w:vAlign w:val="bottom"/>
          </w:tcPr>
          <w:p>
            <w:pPr>
              <w:spacing w:after="0"/>
              <w:rPr>
                <w:sz w:val="16"/>
                <w:szCs w:val="16"/>
                <w:color w:val="auto"/>
              </w:rPr>
            </w:pPr>
          </w:p>
        </w:tc>
        <w:tc>
          <w:tcPr>
            <w:tcW w:w="120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0" w:type="dxa"/>
            <w:vAlign w:val="bottom"/>
          </w:tcPr>
          <w:p>
            <w:pPr>
              <w:spacing w:after="0"/>
              <w:rPr>
                <w:sz w:val="1"/>
                <w:szCs w:val="1"/>
                <w:color w:val="auto"/>
              </w:rPr>
            </w:pPr>
          </w:p>
        </w:tc>
      </w:tr>
      <w:tr>
        <w:trPr>
          <w:trHeight w:val="149"/>
        </w:trPr>
        <w:tc>
          <w:tcPr>
            <w:tcW w:w="43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activity related to restricted stock units</w:t>
            </w:r>
          </w:p>
        </w:tc>
        <w:tc>
          <w:tcPr>
            <w:tcW w:w="4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(60)</w:t>
            </w:r>
          </w:p>
        </w:tc>
        <w:tc>
          <w:tcPr>
            <w:tcW w:w="12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gridSpan w:val="2"/>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0.3</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72</w:t>
            </w: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149"/>
        </w:trPr>
        <w:tc>
          <w:tcPr>
            <w:tcW w:w="43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Exercise of stock options</w:t>
            </w:r>
          </w:p>
        </w:tc>
        <w:tc>
          <w:tcPr>
            <w:tcW w:w="4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w:t>
            </w:r>
          </w:p>
        </w:tc>
        <w:tc>
          <w:tcPr>
            <w:tcW w:w="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(207)</w:t>
            </w:r>
          </w:p>
        </w:tc>
        <w:tc>
          <w:tcPr>
            <w:tcW w:w="12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gridSpan w:val="2"/>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256</w:t>
            </w: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49</w:t>
            </w:r>
          </w:p>
        </w:tc>
        <w:tc>
          <w:tcPr>
            <w:tcW w:w="0" w:type="dxa"/>
            <w:vAlign w:val="bottom"/>
          </w:tcPr>
          <w:p>
            <w:pPr>
              <w:spacing w:after="0"/>
              <w:rPr>
                <w:sz w:val="1"/>
                <w:szCs w:val="1"/>
                <w:color w:val="auto"/>
              </w:rPr>
            </w:pPr>
          </w:p>
        </w:tc>
      </w:tr>
      <w:tr>
        <w:trPr>
          <w:trHeight w:val="149"/>
        </w:trPr>
        <w:tc>
          <w:tcPr>
            <w:tcW w:w="43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Tax benefit from exercise of stock options</w:t>
            </w:r>
          </w:p>
        </w:tc>
        <w:tc>
          <w:tcPr>
            <w:tcW w:w="4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380"/>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gridSpan w:val="2"/>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0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49"/>
        </w:trPr>
        <w:tc>
          <w:tcPr>
            <w:tcW w:w="43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Activity related to employee stock purchase plan</w:t>
            </w:r>
          </w:p>
        </w:tc>
        <w:tc>
          <w:tcPr>
            <w:tcW w:w="4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(3)</w:t>
            </w:r>
          </w:p>
        </w:tc>
        <w:tc>
          <w:tcPr>
            <w:tcW w:w="12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gridSpan w:val="2"/>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w:t>
            </w: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49"/>
        </w:trPr>
        <w:tc>
          <w:tcPr>
            <w:tcW w:w="43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Post-separation dividend adjustment</w:t>
            </w:r>
          </w:p>
        </w:tc>
        <w:tc>
          <w:tcPr>
            <w:tcW w:w="4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(66)</w:t>
            </w:r>
          </w:p>
        </w:tc>
        <w:tc>
          <w:tcPr>
            <w:tcW w:w="12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gridSpan w:val="2"/>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(66)</w:t>
            </w:r>
          </w:p>
        </w:tc>
        <w:tc>
          <w:tcPr>
            <w:tcW w:w="0" w:type="dxa"/>
            <w:vAlign w:val="bottom"/>
          </w:tcPr>
          <w:p>
            <w:pPr>
              <w:spacing w:after="0"/>
              <w:rPr>
                <w:sz w:val="1"/>
                <w:szCs w:val="1"/>
                <w:color w:val="auto"/>
              </w:rPr>
            </w:pPr>
          </w:p>
        </w:tc>
      </w:tr>
      <w:tr>
        <w:trPr>
          <w:trHeight w:val="161"/>
        </w:trPr>
        <w:tc>
          <w:tcPr>
            <w:tcW w:w="4340" w:type="dxa"/>
            <w:vAlign w:val="bottom"/>
          </w:tcPr>
          <w:p>
            <w:pPr>
              <w:spacing w:after="0"/>
              <w:rPr>
                <w:sz w:val="20"/>
                <w:szCs w:val="20"/>
                <w:color w:val="auto"/>
              </w:rPr>
            </w:pPr>
            <w:r>
              <w:rPr>
                <w:rFonts w:ascii="Times New Roman" w:cs="Times New Roman" w:eastAsia="Times New Roman" w:hAnsi="Times New Roman"/>
                <w:sz w:val="14"/>
                <w:szCs w:val="14"/>
                <w:color w:val="auto"/>
              </w:rPr>
              <w:t>Other</w:t>
            </w: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(9)</w:t>
            </w:r>
          </w:p>
        </w:tc>
        <w:tc>
          <w:tcPr>
            <w:tcW w:w="12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20"/>
        </w:trPr>
        <w:tc>
          <w:tcPr>
            <w:tcW w:w="4340" w:type="dxa"/>
            <w:vAlign w:val="bottom"/>
            <w:vMerge w:val="restart"/>
          </w:tcPr>
          <w:p>
            <w:pPr>
              <w:spacing w:after="0" w:line="159" w:lineRule="exact"/>
              <w:rPr>
                <w:sz w:val="20"/>
                <w:szCs w:val="20"/>
                <w:color w:val="auto"/>
              </w:rPr>
            </w:pPr>
            <w:r>
              <w:rPr>
                <w:rFonts w:ascii="Times New Roman" w:cs="Times New Roman" w:eastAsia="Times New Roman" w:hAnsi="Times New Roman"/>
                <w:sz w:val="14"/>
                <w:szCs w:val="14"/>
                <w:b w:val="1"/>
                <w:bCs w:val="1"/>
                <w:color w:val="auto"/>
              </w:rPr>
              <w:t>Balance at December 31, 2007</w:t>
            </w:r>
          </w:p>
        </w:tc>
        <w:tc>
          <w:tcPr>
            <w:tcW w:w="4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4340" w:type="dxa"/>
            <w:vAlign w:val="bottom"/>
            <w:vMerge w:val="continue"/>
          </w:tcPr>
          <w:p>
            <w:pPr>
              <w:spacing w:after="0"/>
              <w:rPr>
                <w:sz w:val="12"/>
                <w:szCs w:val="12"/>
                <w:color w:val="auto"/>
              </w:rPr>
            </w:pPr>
          </w:p>
        </w:tc>
        <w:tc>
          <w:tcPr>
            <w:tcW w:w="400" w:type="dxa"/>
            <w:vAlign w:val="bottom"/>
          </w:tcPr>
          <w:p>
            <w:pPr>
              <w:jc w:val="right"/>
              <w:spacing w:after="0" w:line="139" w:lineRule="exact"/>
              <w:rPr>
                <w:sz w:val="20"/>
                <w:szCs w:val="20"/>
                <w:color w:val="auto"/>
              </w:rPr>
            </w:pPr>
            <w:r>
              <w:rPr>
                <w:rFonts w:ascii="Times New Roman" w:cs="Times New Roman" w:eastAsia="Times New Roman" w:hAnsi="Times New Roman"/>
                <w:sz w:val="14"/>
                <w:szCs w:val="14"/>
                <w:color w:val="auto"/>
              </w:rPr>
              <w:t>136.7</w:t>
            </w:r>
          </w:p>
        </w:tc>
        <w:tc>
          <w:tcPr>
            <w:tcW w:w="660" w:type="dxa"/>
            <w:vAlign w:val="bottom"/>
            <w:gridSpan w:val="2"/>
          </w:tcPr>
          <w:p>
            <w:pPr>
              <w:ind w:left="280"/>
              <w:spacing w:after="0" w:line="13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jc w:val="right"/>
              <w:spacing w:after="0" w:line="139" w:lineRule="exact"/>
              <w:rPr>
                <w:sz w:val="20"/>
                <w:szCs w:val="20"/>
                <w:color w:val="auto"/>
              </w:rPr>
            </w:pPr>
            <w:r>
              <w:rPr>
                <w:rFonts w:ascii="Times New Roman" w:cs="Times New Roman" w:eastAsia="Times New Roman" w:hAnsi="Times New Roman"/>
                <w:sz w:val="14"/>
                <w:szCs w:val="14"/>
                <w:color w:val="auto"/>
              </w:rPr>
              <w:t>1</w:t>
            </w:r>
          </w:p>
        </w:tc>
        <w:tc>
          <w:tcPr>
            <w:tcW w:w="380" w:type="dxa"/>
            <w:vAlign w:val="bottom"/>
            <w:gridSpan w:val="2"/>
          </w:tcPr>
          <w:p>
            <w:pPr>
              <w:ind w:left="280"/>
              <w:spacing w:after="0" w:line="13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380"/>
              <w:spacing w:after="0" w:line="139" w:lineRule="exact"/>
              <w:rPr>
                <w:sz w:val="20"/>
                <w:szCs w:val="20"/>
                <w:color w:val="auto"/>
              </w:rPr>
            </w:pPr>
            <w:r>
              <w:rPr>
                <w:rFonts w:ascii="Times New Roman" w:cs="Times New Roman" w:eastAsia="Times New Roman" w:hAnsi="Times New Roman"/>
                <w:sz w:val="14"/>
                <w:szCs w:val="14"/>
                <w:color w:val="auto"/>
              </w:rPr>
              <w:t>9,320</w:t>
            </w:r>
          </w:p>
        </w:tc>
        <w:tc>
          <w:tcPr>
            <w:tcW w:w="120" w:type="dxa"/>
            <w:vAlign w:val="bottom"/>
          </w:tcPr>
          <w:p>
            <w:pPr>
              <w:spacing w:after="0" w:line="13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320"/>
              <w:spacing w:after="0" w:line="139" w:lineRule="exact"/>
              <w:rPr>
                <w:sz w:val="20"/>
                <w:szCs w:val="20"/>
                <w:color w:val="auto"/>
              </w:rPr>
            </w:pPr>
            <w:r>
              <w:rPr>
                <w:rFonts w:ascii="Times New Roman" w:cs="Times New Roman" w:eastAsia="Times New Roman" w:hAnsi="Times New Roman"/>
                <w:sz w:val="14"/>
                <w:szCs w:val="14"/>
                <w:color w:val="auto"/>
              </w:rPr>
              <w:t>(1,520)</w:t>
            </w:r>
          </w:p>
        </w:tc>
        <w:tc>
          <w:tcPr>
            <w:tcW w:w="80" w:type="dxa"/>
            <w:vAlign w:val="bottom"/>
          </w:tcPr>
          <w:p>
            <w:pPr>
              <w:spacing w:after="0" w:line="139" w:lineRule="exact"/>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gridSpan w:val="2"/>
          </w:tcPr>
          <w:p>
            <w:pPr>
              <w:jc w:val="right"/>
              <w:ind w:right="360"/>
              <w:spacing w:after="0" w:line="139" w:lineRule="exact"/>
              <w:rPr>
                <w:sz w:val="20"/>
                <w:szCs w:val="20"/>
                <w:color w:val="auto"/>
              </w:rPr>
            </w:pPr>
            <w:r>
              <w:rPr>
                <w:rFonts w:ascii="Times New Roman" w:cs="Times New Roman" w:eastAsia="Times New Roman" w:hAnsi="Times New Roman"/>
                <w:sz w:val="14"/>
                <w:szCs w:val="14"/>
                <w:color w:val="auto"/>
              </w:rPr>
              <w:t>32</w:t>
            </w:r>
          </w:p>
        </w:tc>
        <w:tc>
          <w:tcPr>
            <w:tcW w:w="600" w:type="dxa"/>
            <w:vAlign w:val="bottom"/>
            <w:gridSpan w:val="2"/>
          </w:tcPr>
          <w:p>
            <w:pPr>
              <w:jc w:val="right"/>
              <w:ind w:right="160"/>
              <w:spacing w:after="0" w:line="139" w:lineRule="exact"/>
              <w:rPr>
                <w:sz w:val="20"/>
                <w:szCs w:val="20"/>
                <w:color w:val="auto"/>
              </w:rPr>
            </w:pPr>
            <w:r>
              <w:rPr>
                <w:rFonts w:ascii="Times New Roman" w:cs="Times New Roman" w:eastAsia="Times New Roman" w:hAnsi="Times New Roman"/>
                <w:sz w:val="14"/>
                <w:szCs w:val="14"/>
                <w:color w:val="auto"/>
              </w:rPr>
              <w:t>(32.7)</w:t>
            </w:r>
          </w:p>
        </w:tc>
        <w:tc>
          <w:tcPr>
            <w:tcW w:w="260" w:type="dxa"/>
            <w:vAlign w:val="bottom"/>
            <w:gridSpan w:val="2"/>
          </w:tcPr>
          <w:p>
            <w:pPr>
              <w:jc w:val="right"/>
              <w:spacing w:after="0" w:line="13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320"/>
              <w:spacing w:after="0" w:line="139" w:lineRule="exact"/>
              <w:rPr>
                <w:sz w:val="20"/>
                <w:szCs w:val="20"/>
                <w:color w:val="auto"/>
              </w:rPr>
            </w:pPr>
            <w:r>
              <w:rPr>
                <w:rFonts w:ascii="Times New Roman" w:cs="Times New Roman" w:eastAsia="Times New Roman" w:hAnsi="Times New Roman"/>
                <w:sz w:val="14"/>
                <w:szCs w:val="14"/>
                <w:color w:val="auto"/>
                <w:w w:val="97"/>
              </w:rPr>
              <w:t>(6,368)</w:t>
            </w:r>
          </w:p>
        </w:tc>
        <w:tc>
          <w:tcPr>
            <w:tcW w:w="140" w:type="dxa"/>
            <w:vAlign w:val="bottom"/>
          </w:tcPr>
          <w:p>
            <w:pPr>
              <w:spacing w:after="0" w:line="13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jc w:val="right"/>
              <w:ind w:right="40"/>
              <w:spacing w:after="0" w:line="139" w:lineRule="exact"/>
              <w:rPr>
                <w:sz w:val="20"/>
                <w:szCs w:val="20"/>
                <w:color w:val="auto"/>
              </w:rPr>
            </w:pPr>
            <w:r>
              <w:rPr>
                <w:rFonts w:ascii="Times New Roman" w:cs="Times New Roman" w:eastAsia="Times New Roman" w:hAnsi="Times New Roman"/>
                <w:sz w:val="14"/>
                <w:szCs w:val="14"/>
                <w:color w:val="auto"/>
              </w:rPr>
              <w:t>1,465</w:t>
            </w:r>
          </w:p>
        </w:tc>
        <w:tc>
          <w:tcPr>
            <w:tcW w:w="0" w:type="dxa"/>
            <w:vAlign w:val="bottom"/>
          </w:tcPr>
          <w:p>
            <w:pPr>
              <w:spacing w:after="0"/>
              <w:rPr>
                <w:sz w:val="1"/>
                <w:szCs w:val="1"/>
                <w:color w:val="auto"/>
              </w:rPr>
            </w:pPr>
          </w:p>
        </w:tc>
      </w:tr>
      <w:tr>
        <w:trPr>
          <w:trHeight w:val="153"/>
        </w:trPr>
        <w:tc>
          <w:tcPr>
            <w:tcW w:w="4340" w:type="dxa"/>
            <w:vAlign w:val="bottom"/>
          </w:tcPr>
          <w:p>
            <w:pPr>
              <w:spacing w:after="0" w:line="153" w:lineRule="exact"/>
              <w:rPr>
                <w:sz w:val="20"/>
                <w:szCs w:val="20"/>
                <w:color w:val="auto"/>
              </w:rPr>
            </w:pPr>
            <w:r>
              <w:rPr>
                <w:rFonts w:ascii="Times New Roman" w:cs="Times New Roman" w:eastAsia="Times New Roman" w:hAnsi="Times New Roman"/>
                <w:sz w:val="14"/>
                <w:szCs w:val="14"/>
                <w:b w:val="1"/>
                <w:bCs w:val="1"/>
                <w:color w:val="auto"/>
              </w:rPr>
              <w:t>Comprehensive loss:</w:t>
            </w:r>
          </w:p>
        </w:tc>
        <w:tc>
          <w:tcPr>
            <w:tcW w:w="4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3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4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3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6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(1,124)</w:t>
            </w:r>
          </w:p>
        </w:tc>
        <w:tc>
          <w:tcPr>
            <w:tcW w:w="80" w:type="dxa"/>
            <w:vAlign w:val="bottom"/>
          </w:tcPr>
          <w:p>
            <w:pPr>
              <w:spacing w:after="0"/>
              <w:rPr>
                <w:sz w:val="12"/>
                <w:szCs w:val="12"/>
                <w:color w:val="auto"/>
              </w:rPr>
            </w:pPr>
          </w:p>
        </w:tc>
        <w:tc>
          <w:tcPr>
            <w:tcW w:w="1200" w:type="dxa"/>
            <w:vAlign w:val="bottom"/>
            <w:gridSpan w:val="2"/>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3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Currency translation adjustment</w:t>
            </w:r>
          </w:p>
        </w:tc>
        <w:tc>
          <w:tcPr>
            <w:tcW w:w="4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3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(110)</w:t>
            </w:r>
          </w:p>
        </w:tc>
        <w:tc>
          <w:tcPr>
            <w:tcW w:w="3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3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Unrealized losses on cash flow hedges, net of tax of $56</w:t>
            </w:r>
          </w:p>
        </w:tc>
        <w:tc>
          <w:tcPr>
            <w:tcW w:w="4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3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(86)</w:t>
            </w:r>
          </w:p>
        </w:tc>
        <w:tc>
          <w:tcPr>
            <w:tcW w:w="3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340" w:type="dxa"/>
            <w:vAlign w:val="bottom"/>
          </w:tcPr>
          <w:p>
            <w:pPr>
              <w:spacing w:after="0" w:line="145" w:lineRule="exact"/>
              <w:rPr>
                <w:sz w:val="20"/>
                <w:szCs w:val="20"/>
                <w:color w:val="auto"/>
              </w:rPr>
            </w:pPr>
            <w:r>
              <w:rPr>
                <w:rFonts w:ascii="Times New Roman" w:cs="Times New Roman" w:eastAsia="Times New Roman" w:hAnsi="Times New Roman"/>
                <w:sz w:val="14"/>
                <w:szCs w:val="14"/>
                <w:color w:val="auto"/>
              </w:rPr>
              <w:t>Pension liability adjustment, net of tax of $20</w:t>
            </w:r>
          </w:p>
        </w:tc>
        <w:tc>
          <w:tcPr>
            <w:tcW w:w="40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380"/>
              <w:spacing w:after="0" w:line="145"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40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gridSpan w:val="2"/>
          </w:tcPr>
          <w:p>
            <w:pPr>
              <w:jc w:val="right"/>
              <w:ind w:right="320"/>
              <w:spacing w:after="0" w:line="145" w:lineRule="exact"/>
              <w:rPr>
                <w:sz w:val="20"/>
                <w:szCs w:val="20"/>
                <w:color w:val="auto"/>
              </w:rPr>
            </w:pPr>
            <w:r>
              <w:rPr>
                <w:rFonts w:ascii="Times New Roman" w:cs="Times New Roman" w:eastAsia="Times New Roman" w:hAnsi="Times New Roman"/>
                <w:sz w:val="14"/>
                <w:szCs w:val="14"/>
                <w:color w:val="auto"/>
              </w:rPr>
              <w:t>(30)</w:t>
            </w:r>
          </w:p>
        </w:tc>
        <w:tc>
          <w:tcPr>
            <w:tcW w:w="38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360"/>
              <w:spacing w:after="0" w:line="145"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4340" w:type="dxa"/>
            <w:vAlign w:val="bottom"/>
          </w:tcPr>
          <w:p>
            <w:pPr>
              <w:spacing w:after="0" w:line="153" w:lineRule="exact"/>
              <w:rPr>
                <w:sz w:val="20"/>
                <w:szCs w:val="20"/>
                <w:color w:val="auto"/>
              </w:rPr>
            </w:pPr>
            <w:r>
              <w:rPr>
                <w:rFonts w:ascii="Times New Roman" w:cs="Times New Roman" w:eastAsia="Times New Roman" w:hAnsi="Times New Roman"/>
                <w:sz w:val="14"/>
                <w:szCs w:val="14"/>
                <w:b w:val="1"/>
                <w:bCs w:val="1"/>
                <w:color w:val="auto"/>
              </w:rPr>
              <w:t>Total comprehensive loss</w:t>
            </w:r>
          </w:p>
        </w:tc>
        <w:tc>
          <w:tcPr>
            <w:tcW w:w="4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gridSpan w:val="2"/>
          </w:tcPr>
          <w:p>
            <w:pPr>
              <w:jc w:val="right"/>
              <w:spacing w:after="0" w:line="153" w:lineRule="exact"/>
              <w:rPr>
                <w:sz w:val="20"/>
                <w:szCs w:val="20"/>
                <w:color w:val="auto"/>
              </w:rPr>
            </w:pPr>
            <w:r>
              <w:rPr>
                <w:rFonts w:ascii="Times New Roman" w:cs="Times New Roman" w:eastAsia="Times New Roman" w:hAnsi="Times New Roman"/>
                <w:sz w:val="14"/>
                <w:szCs w:val="14"/>
                <w:color w:val="auto"/>
              </w:rPr>
              <w:t>(1,350)</w:t>
            </w:r>
          </w:p>
        </w:tc>
        <w:tc>
          <w:tcPr>
            <w:tcW w:w="0" w:type="dxa"/>
            <w:vAlign w:val="bottom"/>
          </w:tcPr>
          <w:p>
            <w:pPr>
              <w:spacing w:after="0"/>
              <w:rPr>
                <w:sz w:val="1"/>
                <w:szCs w:val="1"/>
                <w:color w:val="auto"/>
              </w:rPr>
            </w:pPr>
          </w:p>
        </w:tc>
      </w:tr>
      <w:tr>
        <w:trPr>
          <w:trHeight w:val="149"/>
        </w:trPr>
        <w:tc>
          <w:tcPr>
            <w:tcW w:w="43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activity related to restricted stock units</w:t>
            </w:r>
          </w:p>
        </w:tc>
        <w:tc>
          <w:tcPr>
            <w:tcW w:w="4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0.1</w:t>
            </w:r>
          </w:p>
        </w:tc>
        <w:tc>
          <w:tcPr>
            <w:tcW w:w="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(94)</w:t>
            </w:r>
          </w:p>
        </w:tc>
        <w:tc>
          <w:tcPr>
            <w:tcW w:w="12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gridSpan w:val="2"/>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0.4</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105</w:t>
            </w: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149"/>
        </w:trPr>
        <w:tc>
          <w:tcPr>
            <w:tcW w:w="43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Exercise of stock options</w:t>
            </w:r>
          </w:p>
        </w:tc>
        <w:tc>
          <w:tcPr>
            <w:tcW w:w="4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gridSpan w:val="2"/>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43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Repurchases of common stock</w:t>
            </w:r>
          </w:p>
        </w:tc>
        <w:tc>
          <w:tcPr>
            <w:tcW w:w="4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3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gridSpan w:val="2"/>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(2.9)</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(33)</w:t>
            </w:r>
          </w:p>
        </w:tc>
        <w:tc>
          <w:tcPr>
            <w:tcW w:w="140" w:type="dxa"/>
            <w:vAlign w:val="bottom"/>
          </w:tcPr>
          <w:p>
            <w:pPr>
              <w:spacing w:after="0"/>
              <w:rPr>
                <w:sz w:val="12"/>
                <w:szCs w:val="12"/>
                <w:color w:val="auto"/>
              </w:rPr>
            </w:pPr>
          </w:p>
        </w:tc>
        <w:tc>
          <w:tcPr>
            <w:tcW w:w="7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(33)</w:t>
            </w:r>
          </w:p>
        </w:tc>
        <w:tc>
          <w:tcPr>
            <w:tcW w:w="0" w:type="dxa"/>
            <w:vAlign w:val="bottom"/>
          </w:tcPr>
          <w:p>
            <w:pPr>
              <w:spacing w:after="0"/>
              <w:rPr>
                <w:sz w:val="1"/>
                <w:szCs w:val="1"/>
                <w:color w:val="auto"/>
              </w:rPr>
            </w:pPr>
          </w:p>
        </w:tc>
      </w:tr>
      <w:tr>
        <w:trPr>
          <w:trHeight w:val="149"/>
        </w:trPr>
        <w:tc>
          <w:tcPr>
            <w:tcW w:w="43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Activity related to employee stock purchase plan</w:t>
            </w:r>
          </w:p>
        </w:tc>
        <w:tc>
          <w:tcPr>
            <w:tcW w:w="4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(27)</w:t>
            </w:r>
          </w:p>
        </w:tc>
        <w:tc>
          <w:tcPr>
            <w:tcW w:w="12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gridSpan w:val="2"/>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0.2</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28</w:t>
            </w: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49"/>
        </w:trPr>
        <w:tc>
          <w:tcPr>
            <w:tcW w:w="43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Post-separation dividend adjustment</w:t>
            </w:r>
          </w:p>
        </w:tc>
        <w:tc>
          <w:tcPr>
            <w:tcW w:w="4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(3)</w:t>
            </w:r>
          </w:p>
        </w:tc>
        <w:tc>
          <w:tcPr>
            <w:tcW w:w="12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gridSpan w:val="2"/>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161"/>
        </w:trPr>
        <w:tc>
          <w:tcPr>
            <w:tcW w:w="4340" w:type="dxa"/>
            <w:vAlign w:val="bottom"/>
          </w:tcPr>
          <w:p>
            <w:pPr>
              <w:spacing w:after="0"/>
              <w:rPr>
                <w:sz w:val="20"/>
                <w:szCs w:val="20"/>
                <w:color w:val="auto"/>
              </w:rPr>
            </w:pPr>
            <w:r>
              <w:rPr>
                <w:rFonts w:ascii="Times New Roman" w:cs="Times New Roman" w:eastAsia="Times New Roman" w:hAnsi="Times New Roman"/>
                <w:sz w:val="14"/>
                <w:szCs w:val="14"/>
                <w:color w:val="auto"/>
              </w:rPr>
              <w:t>Other</w:t>
            </w: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4"/>
                <w:szCs w:val="14"/>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20"/>
        </w:trPr>
        <w:tc>
          <w:tcPr>
            <w:tcW w:w="43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Balance at December 31, 2008</w:t>
            </w:r>
          </w:p>
        </w:tc>
        <w:tc>
          <w:tcPr>
            <w:tcW w:w="4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340" w:type="dxa"/>
            <w:vAlign w:val="bottom"/>
            <w:vMerge w:val="continue"/>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136.8</w:t>
            </w:r>
          </w:p>
        </w:tc>
        <w:tc>
          <w:tcPr>
            <w:tcW w:w="66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38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color w:val="auto"/>
              </w:rPr>
              <w:t>9,197</w:t>
            </w:r>
          </w:p>
        </w:tc>
        <w:tc>
          <w:tcPr>
            <w:tcW w:w="12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(2,644)</w:t>
            </w:r>
          </w:p>
        </w:tc>
        <w:tc>
          <w:tcPr>
            <w:tcW w:w="80" w:type="dxa"/>
            <w:vAlign w:val="bottom"/>
          </w:tcPr>
          <w:p>
            <w:pPr>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(194)</w:t>
            </w: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(35.0)</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w w:val="97"/>
              </w:rPr>
              <w:t>(6,267)</w:t>
            </w:r>
          </w:p>
        </w:tc>
        <w:tc>
          <w:tcPr>
            <w:tcW w:w="1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93</w:t>
            </w:r>
          </w:p>
        </w:tc>
        <w:tc>
          <w:tcPr>
            <w:tcW w:w="0" w:type="dxa"/>
            <w:vAlign w:val="bottom"/>
          </w:tcPr>
          <w:p>
            <w:pPr>
              <w:spacing w:after="0"/>
              <w:rPr>
                <w:sz w:val="1"/>
                <w:szCs w:val="1"/>
                <w:color w:val="auto"/>
              </w:rPr>
            </w:pPr>
          </w:p>
        </w:tc>
      </w:tr>
    </w:tbl>
    <w:p>
      <w:pPr>
        <w:spacing w:after="0" w:line="1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F-7</w:t>
      </w:r>
    </w:p>
    <w:p>
      <w:pPr>
        <w:sectPr>
          <w:pgSz w:w="11900" w:h="16838" w:orient="portrait"/>
          <w:cols w:equalWidth="0" w:num="1">
            <w:col w:w="11380"/>
          </w:cols>
          <w:pgMar w:left="240" w:top="455" w:right="279" w:bottom="1440" w:gutter="0" w:footer="0" w:header="0"/>
        </w:sectPr>
      </w:pPr>
    </w:p>
    <w:bookmarkStart w:id="68" w:name="page69"/>
    <w:bookmarkEnd w:id="6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Avis Budget Group, Inc.</w:t>
      </w:r>
    </w:p>
    <w:p>
      <w:pPr>
        <w:spacing w:after="0" w:line="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 (Continued)</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tcPr>
          <w:p>
            <w:pPr>
              <w:spacing w:after="0"/>
              <w:rPr>
                <w:sz w:val="13"/>
                <w:szCs w:val="13"/>
                <w:color w:val="auto"/>
              </w:rPr>
            </w:pPr>
          </w:p>
        </w:tc>
        <w:tc>
          <w:tcPr>
            <w:tcW w:w="11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8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w w:val="95"/>
              </w:rPr>
              <w:t>Accumulated</w:t>
            </w:r>
          </w:p>
        </w:tc>
        <w:tc>
          <w:tcPr>
            <w:tcW w:w="1760" w:type="dxa"/>
            <w:vAlign w:val="bottom"/>
            <w:gridSpan w:val="6"/>
            <w:vMerge w:val="restart"/>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3780" w:type="dxa"/>
            <w:vAlign w:val="bottom"/>
          </w:tcPr>
          <w:p>
            <w:pPr>
              <w:spacing w:after="0"/>
              <w:rPr>
                <w:sz w:val="13"/>
                <w:szCs w:val="13"/>
                <w:color w:val="auto"/>
              </w:rPr>
            </w:pPr>
          </w:p>
        </w:tc>
        <w:tc>
          <w:tcPr>
            <w:tcW w:w="1120" w:type="dxa"/>
            <w:vAlign w:val="bottom"/>
            <w:gridSpan w:val="3"/>
            <w:vMerge w:val="continue"/>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60" w:type="dxa"/>
            <w:vAlign w:val="bottom"/>
            <w:gridSpan w:val="3"/>
          </w:tcPr>
          <w:p>
            <w:pPr>
              <w:spacing w:after="0" w:line="152"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80" w:type="dxa"/>
            <w:vAlign w:val="bottom"/>
            <w:gridSpan w:val="2"/>
          </w:tcPr>
          <w:p>
            <w:pPr>
              <w:jc w:val="center"/>
              <w:ind w:right="540"/>
              <w:spacing w:after="0" w:line="152" w:lineRule="exact"/>
              <w:rPr>
                <w:sz w:val="20"/>
                <w:szCs w:val="20"/>
                <w:color w:val="auto"/>
              </w:rPr>
            </w:pPr>
            <w:r>
              <w:rPr>
                <w:rFonts w:ascii="Times New Roman" w:cs="Times New Roman" w:eastAsia="Times New Roman" w:hAnsi="Times New Roman"/>
                <w:sz w:val="14"/>
                <w:szCs w:val="14"/>
                <w:b w:val="1"/>
                <w:bCs w:val="1"/>
                <w:color w:val="auto"/>
                <w:w w:val="94"/>
              </w:rPr>
              <w:t>Other</w:t>
            </w:r>
          </w:p>
        </w:tc>
        <w:tc>
          <w:tcPr>
            <w:tcW w:w="1760" w:type="dxa"/>
            <w:vAlign w:val="bottom"/>
            <w:gridSpan w:val="6"/>
            <w:vMerge w:val="continue"/>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gridSpan w:val="2"/>
          </w:tcPr>
          <w:p>
            <w:pPr>
              <w:jc w:val="right"/>
              <w:ind w:right="300"/>
              <w:spacing w:after="0" w:line="152"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25"/>
        </w:trPr>
        <w:tc>
          <w:tcPr>
            <w:tcW w:w="3780" w:type="dxa"/>
            <w:vAlign w:val="bottom"/>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gridSpan w:val="2"/>
          </w:tcPr>
          <w:p>
            <w:pPr>
              <w:jc w:val="right"/>
              <w:ind w:right="340"/>
              <w:spacing w:after="0" w:line="125" w:lineRule="exact"/>
              <w:rPr>
                <w:sz w:val="20"/>
                <w:szCs w:val="20"/>
                <w:color w:val="auto"/>
              </w:rPr>
            </w:pPr>
            <w:r>
              <w:rPr>
                <w:rFonts w:ascii="Times New Roman" w:cs="Times New Roman" w:eastAsia="Times New Roman" w:hAnsi="Times New Roman"/>
                <w:sz w:val="14"/>
                <w:szCs w:val="14"/>
                <w:b w:val="1"/>
                <w:bCs w:val="1"/>
                <w:color w:val="auto"/>
                <w:w w:val="96"/>
              </w:rPr>
              <w:t>Paid-in</w:t>
            </w:r>
          </w:p>
        </w:tc>
        <w:tc>
          <w:tcPr>
            <w:tcW w:w="220" w:type="dxa"/>
            <w:vAlign w:val="bottom"/>
          </w:tcPr>
          <w:p>
            <w:pPr>
              <w:spacing w:after="0"/>
              <w:rPr>
                <w:sz w:val="10"/>
                <w:szCs w:val="10"/>
                <w:color w:val="auto"/>
              </w:rPr>
            </w:pPr>
          </w:p>
        </w:tc>
        <w:tc>
          <w:tcPr>
            <w:tcW w:w="760" w:type="dxa"/>
            <w:vAlign w:val="bottom"/>
            <w:gridSpan w:val="3"/>
          </w:tcPr>
          <w:p>
            <w:pPr>
              <w:jc w:val="right"/>
              <w:ind w:right="240"/>
              <w:spacing w:after="0" w:line="125" w:lineRule="exact"/>
              <w:rPr>
                <w:sz w:val="20"/>
                <w:szCs w:val="20"/>
                <w:color w:val="auto"/>
              </w:rPr>
            </w:pPr>
            <w:r>
              <w:rPr>
                <w:rFonts w:ascii="Times New Roman" w:cs="Times New Roman" w:eastAsia="Times New Roman" w:hAnsi="Times New Roman"/>
                <w:sz w:val="14"/>
                <w:szCs w:val="14"/>
                <w:b w:val="1"/>
                <w:bCs w:val="1"/>
                <w:color w:val="auto"/>
                <w:w w:val="93"/>
              </w:rPr>
              <w:t>Retained</w:t>
            </w:r>
          </w:p>
        </w:tc>
        <w:tc>
          <w:tcPr>
            <w:tcW w:w="200" w:type="dxa"/>
            <w:vAlign w:val="bottom"/>
          </w:tcPr>
          <w:p>
            <w:pPr>
              <w:spacing w:after="0"/>
              <w:rPr>
                <w:sz w:val="10"/>
                <w:szCs w:val="10"/>
                <w:color w:val="auto"/>
              </w:rPr>
            </w:pPr>
          </w:p>
        </w:tc>
        <w:tc>
          <w:tcPr>
            <w:tcW w:w="1360" w:type="dxa"/>
            <w:vAlign w:val="bottom"/>
            <w:gridSpan w:val="3"/>
          </w:tcPr>
          <w:p>
            <w:pPr>
              <w:jc w:val="center"/>
              <w:ind w:right="460"/>
              <w:spacing w:after="0" w:line="125" w:lineRule="exact"/>
              <w:rPr>
                <w:sz w:val="20"/>
                <w:szCs w:val="20"/>
                <w:color w:val="auto"/>
              </w:rPr>
            </w:pPr>
            <w:r>
              <w:rPr>
                <w:rFonts w:ascii="Times New Roman" w:cs="Times New Roman" w:eastAsia="Times New Roman" w:hAnsi="Times New Roman"/>
                <w:sz w:val="14"/>
                <w:szCs w:val="14"/>
                <w:b w:val="1"/>
                <w:bCs w:val="1"/>
                <w:color w:val="auto"/>
                <w:w w:val="96"/>
              </w:rPr>
              <w:t>Comprehensive</w:t>
            </w:r>
          </w:p>
        </w:tc>
        <w:tc>
          <w:tcPr>
            <w:tcW w:w="38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440" w:type="dxa"/>
            <w:vAlign w:val="bottom"/>
          </w:tcPr>
          <w:p>
            <w:pPr>
              <w:spacing w:after="0"/>
              <w:rPr>
                <w:sz w:val="10"/>
                <w:szCs w:val="10"/>
                <w:color w:val="auto"/>
              </w:rPr>
            </w:pPr>
          </w:p>
        </w:tc>
        <w:tc>
          <w:tcPr>
            <w:tcW w:w="840" w:type="dxa"/>
            <w:vAlign w:val="bottom"/>
            <w:gridSpan w:val="3"/>
          </w:tcPr>
          <w:p>
            <w:pPr>
              <w:spacing w:after="0" w:line="125" w:lineRule="exact"/>
              <w:rPr>
                <w:sz w:val="20"/>
                <w:szCs w:val="20"/>
                <w:color w:val="auto"/>
              </w:rPr>
            </w:pPr>
            <w:r>
              <w:rPr>
                <w:rFonts w:ascii="Times New Roman" w:cs="Times New Roman" w:eastAsia="Times New Roman" w:hAnsi="Times New Roman"/>
                <w:sz w:val="14"/>
                <w:szCs w:val="14"/>
                <w:b w:val="1"/>
                <w:bCs w:val="1"/>
                <w:color w:val="auto"/>
                <w:w w:val="99"/>
              </w:rPr>
              <w:t>Stockholders’</w:t>
            </w:r>
          </w:p>
        </w:tc>
        <w:tc>
          <w:tcPr>
            <w:tcW w:w="0" w:type="dxa"/>
            <w:vAlign w:val="bottom"/>
          </w:tcPr>
          <w:p>
            <w:pPr>
              <w:spacing w:after="0"/>
              <w:rPr>
                <w:sz w:val="1"/>
                <w:szCs w:val="1"/>
                <w:color w:val="auto"/>
              </w:rPr>
            </w:pPr>
          </w:p>
        </w:tc>
      </w:tr>
      <w:tr>
        <w:trPr>
          <w:trHeight w:val="165"/>
        </w:trPr>
        <w:tc>
          <w:tcPr>
            <w:tcW w:w="37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Balance at January 1, 2009</w:t>
            </w: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88"/>
              </w:rPr>
              <w:t>Shares</w:t>
            </w:r>
          </w:p>
        </w:tc>
        <w:tc>
          <w:tcPr>
            <w:tcW w:w="380" w:type="dxa"/>
            <w:vAlign w:val="bottom"/>
          </w:tcPr>
          <w:p>
            <w:pPr>
              <w:spacing w:after="0"/>
              <w:rPr>
                <w:sz w:val="14"/>
                <w:szCs w:val="14"/>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93"/>
              </w:rPr>
              <w:t>Amount</w:t>
            </w: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w w:val="94"/>
              </w:rPr>
              <w:t>Capital</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91"/>
              </w:rPr>
              <w:t>Earnings</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Income (Loss)</w:t>
            </w:r>
          </w:p>
        </w:tc>
        <w:tc>
          <w:tcPr>
            <w:tcW w:w="460" w:type="dxa"/>
            <w:vAlign w:val="bottom"/>
          </w:tcPr>
          <w:p>
            <w:pPr>
              <w:spacing w:after="0"/>
              <w:rPr>
                <w:sz w:val="14"/>
                <w:szCs w:val="14"/>
                <w:color w:val="auto"/>
              </w:rPr>
            </w:pPr>
          </w:p>
        </w:tc>
        <w:tc>
          <w:tcPr>
            <w:tcW w:w="6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w w:val="88"/>
              </w:rPr>
              <w:t>Shares</w:t>
            </w:r>
          </w:p>
        </w:tc>
        <w:tc>
          <w:tcPr>
            <w:tcW w:w="220" w:type="dxa"/>
            <w:vAlign w:val="bottom"/>
          </w:tcPr>
          <w:p>
            <w:pPr>
              <w:spacing w:after="0"/>
              <w:rPr>
                <w:sz w:val="14"/>
                <w:szCs w:val="14"/>
                <w:color w:val="auto"/>
              </w:rPr>
            </w:pPr>
          </w:p>
        </w:tc>
        <w:tc>
          <w:tcPr>
            <w:tcW w:w="920" w:type="dxa"/>
            <w:vAlign w:val="bottom"/>
            <w:gridSpan w:val="3"/>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w w:val="89"/>
              </w:rPr>
              <w:t>Amount</w:t>
            </w:r>
          </w:p>
        </w:tc>
        <w:tc>
          <w:tcPr>
            <w:tcW w:w="140" w:type="dxa"/>
            <w:vAlign w:val="bottom"/>
          </w:tcPr>
          <w:p>
            <w:pPr>
              <w:spacing w:after="0"/>
              <w:rPr>
                <w:sz w:val="14"/>
                <w:szCs w:val="14"/>
                <w:color w:val="auto"/>
              </w:rPr>
            </w:pP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0"/>
        </w:trPr>
        <w:tc>
          <w:tcPr>
            <w:tcW w:w="3780" w:type="dxa"/>
            <w:vAlign w:val="bottom"/>
            <w:vMerge w:val="continue"/>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8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60" w:type="dxa"/>
            <w:vAlign w:val="bottom"/>
            <w:vMerge w:val="restart"/>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4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3780" w:type="dxa"/>
            <w:vAlign w:val="bottom"/>
            <w:vMerge w:val="continue"/>
          </w:tcPr>
          <w:p>
            <w:pPr>
              <w:spacing w:after="0"/>
              <w:rPr>
                <w:sz w:val="14"/>
                <w:szCs w:val="1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136.8</w:t>
            </w:r>
          </w:p>
        </w:tc>
        <w:tc>
          <w:tcPr>
            <w:tcW w:w="380" w:type="dxa"/>
            <w:vAlign w:val="bottom"/>
            <w:vMerge w:val="continue"/>
          </w:tcPr>
          <w:p>
            <w:pPr>
              <w:spacing w:after="0"/>
              <w:rPr>
                <w:sz w:val="14"/>
                <w:szCs w:val="14"/>
                <w:color w:val="auto"/>
              </w:rPr>
            </w:pPr>
          </w:p>
        </w:tc>
        <w:tc>
          <w:tcPr>
            <w:tcW w:w="360" w:type="dxa"/>
            <w:vAlign w:val="bottom"/>
          </w:tcPr>
          <w:p>
            <w:pPr>
              <w:jc w:val="right"/>
              <w:ind w:right="238"/>
              <w:spacing w:after="0"/>
              <w:rPr>
                <w:sz w:val="20"/>
                <w:szCs w:val="20"/>
                <w:color w:val="auto"/>
              </w:rPr>
            </w:pPr>
            <w:r>
              <w:rPr>
                <w:rFonts w:ascii="Times New Roman" w:cs="Times New Roman" w:eastAsia="Times New Roman" w:hAnsi="Times New Roman"/>
                <w:sz w:val="11"/>
                <w:szCs w:val="11"/>
                <w:color w:val="auto"/>
                <w:w w:val="71"/>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360" w:type="dxa"/>
            <w:vAlign w:val="bottom"/>
          </w:tcPr>
          <w:p>
            <w:pPr>
              <w:spacing w:after="0"/>
              <w:rPr>
                <w:sz w:val="14"/>
                <w:szCs w:val="14"/>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9,197</w:t>
            </w:r>
          </w:p>
        </w:tc>
        <w:tc>
          <w:tcPr>
            <w:tcW w:w="240" w:type="dxa"/>
            <w:vAlign w:val="bottom"/>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2"/>
              </w:rPr>
              <w:t>(2,644)</w:t>
            </w:r>
          </w:p>
        </w:tc>
        <w:tc>
          <w:tcPr>
            <w:tcW w:w="240" w:type="dxa"/>
            <w:vAlign w:val="bottom"/>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(194)</w:t>
            </w:r>
          </w:p>
        </w:tc>
        <w:tc>
          <w:tcPr>
            <w:tcW w:w="460" w:type="dxa"/>
            <w:vAlign w:val="bottom"/>
            <w:vMerge w:val="continue"/>
          </w:tcPr>
          <w:p>
            <w:pPr>
              <w:spacing w:after="0"/>
              <w:rPr>
                <w:sz w:val="14"/>
                <w:szCs w:val="14"/>
                <w:color w:val="auto"/>
              </w:rPr>
            </w:pP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(35.0)</w:t>
            </w:r>
          </w:p>
        </w:tc>
        <w:tc>
          <w:tcPr>
            <w:tcW w:w="220" w:type="dxa"/>
            <w:vAlign w:val="bottom"/>
            <w:vMerge w:val="continue"/>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8"/>
              </w:rPr>
              <w:t>(6,267)</w:t>
            </w:r>
          </w:p>
        </w:tc>
        <w:tc>
          <w:tcPr>
            <w:tcW w:w="440" w:type="dxa"/>
            <w:vAlign w:val="bottom"/>
            <w:vMerge w:val="continue"/>
          </w:tcPr>
          <w:p>
            <w:pPr>
              <w:spacing w:after="0"/>
              <w:rPr>
                <w:sz w:val="14"/>
                <w:szCs w:val="14"/>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w:t>
            </w:r>
          </w:p>
        </w:tc>
        <w:tc>
          <w:tcPr>
            <w:tcW w:w="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37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Comprehensive income:</w:t>
            </w: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3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3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80" w:type="dxa"/>
            <w:vAlign w:val="bottom"/>
            <w:gridSpan w:val="2"/>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78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(47)</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2"/>
                <w:szCs w:val="12"/>
                <w:color w:val="auto"/>
              </w:rPr>
            </w:pPr>
          </w:p>
        </w:tc>
        <w:tc>
          <w:tcPr>
            <w:tcW w:w="62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Currency translation adjustment</w:t>
            </w:r>
          </w:p>
        </w:tc>
        <w:tc>
          <w:tcPr>
            <w:tcW w:w="3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80" w:type="dxa"/>
            <w:vAlign w:val="bottom"/>
            <w:gridSpan w:val="2"/>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78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104</w:t>
            </w:r>
          </w:p>
        </w:tc>
        <w:tc>
          <w:tcPr>
            <w:tcW w:w="460" w:type="dxa"/>
            <w:vAlign w:val="bottom"/>
          </w:tcPr>
          <w:p>
            <w:pPr>
              <w:spacing w:after="0"/>
              <w:rPr>
                <w:sz w:val="12"/>
                <w:szCs w:val="12"/>
                <w:color w:val="auto"/>
              </w:rPr>
            </w:pPr>
          </w:p>
        </w:tc>
        <w:tc>
          <w:tcPr>
            <w:tcW w:w="62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Unrealized gains on cash flow hedges, net of tax of $(28)</w:t>
            </w:r>
          </w:p>
        </w:tc>
        <w:tc>
          <w:tcPr>
            <w:tcW w:w="3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80" w:type="dxa"/>
            <w:vAlign w:val="bottom"/>
            <w:gridSpan w:val="2"/>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78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43</w:t>
            </w:r>
          </w:p>
        </w:tc>
        <w:tc>
          <w:tcPr>
            <w:tcW w:w="460" w:type="dxa"/>
            <w:vAlign w:val="bottom"/>
          </w:tcPr>
          <w:p>
            <w:pPr>
              <w:spacing w:after="0"/>
              <w:rPr>
                <w:sz w:val="12"/>
                <w:szCs w:val="12"/>
                <w:color w:val="auto"/>
              </w:rPr>
            </w:pPr>
          </w:p>
        </w:tc>
        <w:tc>
          <w:tcPr>
            <w:tcW w:w="62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3780" w:type="dxa"/>
            <w:vAlign w:val="bottom"/>
          </w:tcPr>
          <w:p>
            <w:pPr>
              <w:spacing w:after="0"/>
              <w:rPr>
                <w:sz w:val="20"/>
                <w:szCs w:val="20"/>
                <w:color w:val="auto"/>
              </w:rPr>
            </w:pPr>
            <w:r>
              <w:rPr>
                <w:rFonts w:ascii="Times New Roman" w:cs="Times New Roman" w:eastAsia="Times New Roman" w:hAnsi="Times New Roman"/>
                <w:sz w:val="14"/>
                <w:szCs w:val="14"/>
                <w:color w:val="auto"/>
              </w:rPr>
              <w:t>Pension liability adjustment, net of tax of $(7)</w:t>
            </w: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8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460" w:type="dxa"/>
            <w:vAlign w:val="bottom"/>
          </w:tcPr>
          <w:p>
            <w:pPr>
              <w:spacing w:after="0"/>
              <w:rPr>
                <w:sz w:val="15"/>
                <w:szCs w:val="15"/>
                <w:color w:val="auto"/>
              </w:rPr>
            </w:pPr>
          </w:p>
        </w:tc>
        <w:tc>
          <w:tcPr>
            <w:tcW w:w="6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37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Total comprehensive income</w:t>
            </w:r>
          </w:p>
        </w:tc>
        <w:tc>
          <w:tcPr>
            <w:tcW w:w="3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110</w:t>
            </w:r>
          </w:p>
        </w:tc>
        <w:tc>
          <w:tcPr>
            <w:tcW w:w="0" w:type="dxa"/>
            <w:vAlign w:val="bottom"/>
          </w:tcPr>
          <w:p>
            <w:pPr>
              <w:spacing w:after="0"/>
              <w:rPr>
                <w:sz w:val="1"/>
                <w:szCs w:val="1"/>
                <w:color w:val="auto"/>
              </w:rPr>
            </w:pPr>
          </w:p>
        </w:tc>
      </w:tr>
      <w:tr>
        <w:trPr>
          <w:trHeight w:val="231"/>
        </w:trPr>
        <w:tc>
          <w:tcPr>
            <w:tcW w:w="3780" w:type="dxa"/>
            <w:vAlign w:val="bottom"/>
          </w:tcPr>
          <w:p>
            <w:pPr>
              <w:spacing w:after="0"/>
              <w:rPr>
                <w:sz w:val="20"/>
                <w:szCs w:val="20"/>
                <w:color w:val="auto"/>
              </w:rPr>
            </w:pPr>
            <w:r>
              <w:rPr>
                <w:rFonts w:ascii="Times New Roman" w:cs="Times New Roman" w:eastAsia="Times New Roman" w:hAnsi="Times New Roman"/>
                <w:sz w:val="14"/>
                <w:szCs w:val="14"/>
                <w:color w:val="auto"/>
              </w:rPr>
              <w:t>Issuance of warrants</w:t>
            </w: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8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0"/>
                <w:szCs w:val="20"/>
                <w:color w:val="auto"/>
              </w:rPr>
            </w:pP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62</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20"/>
                <w:szCs w:val="20"/>
                <w:color w:val="auto"/>
              </w:rPr>
            </w:pPr>
          </w:p>
        </w:tc>
        <w:tc>
          <w:tcPr>
            <w:tcW w:w="6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62</w:t>
            </w:r>
          </w:p>
        </w:tc>
        <w:tc>
          <w:tcPr>
            <w:tcW w:w="0" w:type="dxa"/>
            <w:vAlign w:val="bottom"/>
          </w:tcPr>
          <w:p>
            <w:pPr>
              <w:spacing w:after="0"/>
              <w:rPr>
                <w:sz w:val="1"/>
                <w:szCs w:val="1"/>
                <w:color w:val="auto"/>
              </w:rPr>
            </w:pPr>
          </w:p>
        </w:tc>
      </w:tr>
      <w:tr>
        <w:trPr>
          <w:trHeight w:val="149"/>
        </w:trPr>
        <w:tc>
          <w:tcPr>
            <w:tcW w:w="3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Purchase of call options, net of tax of $36</w:t>
            </w:r>
          </w:p>
        </w:tc>
        <w:tc>
          <w:tcPr>
            <w:tcW w:w="3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80" w:type="dxa"/>
            <w:vAlign w:val="bottom"/>
            <w:gridSpan w:val="2"/>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7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(59)</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2"/>
                <w:szCs w:val="12"/>
                <w:color w:val="auto"/>
              </w:rPr>
            </w:pPr>
          </w:p>
        </w:tc>
        <w:tc>
          <w:tcPr>
            <w:tcW w:w="62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(59)</w:t>
            </w:r>
          </w:p>
        </w:tc>
        <w:tc>
          <w:tcPr>
            <w:tcW w:w="0" w:type="dxa"/>
            <w:vAlign w:val="bottom"/>
          </w:tcPr>
          <w:p>
            <w:pPr>
              <w:spacing w:after="0"/>
              <w:rPr>
                <w:sz w:val="1"/>
                <w:szCs w:val="1"/>
                <w:color w:val="auto"/>
              </w:rPr>
            </w:pPr>
          </w:p>
        </w:tc>
      </w:tr>
      <w:tr>
        <w:trPr>
          <w:trHeight w:val="149"/>
        </w:trPr>
        <w:tc>
          <w:tcPr>
            <w:tcW w:w="3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activity related to restricted stock units</w:t>
            </w:r>
          </w:p>
        </w:tc>
        <w:tc>
          <w:tcPr>
            <w:tcW w:w="3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0.1</w:t>
            </w:r>
          </w:p>
        </w:tc>
        <w:tc>
          <w:tcPr>
            <w:tcW w:w="3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80" w:type="dxa"/>
            <w:vAlign w:val="bottom"/>
            <w:gridSpan w:val="2"/>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7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(101)</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2"/>
                <w:szCs w:val="12"/>
                <w:color w:val="auto"/>
              </w:rPr>
            </w:pPr>
          </w:p>
        </w:tc>
        <w:tc>
          <w:tcPr>
            <w:tcW w:w="62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0.4</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115</w:t>
            </w: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14</w:t>
            </w:r>
          </w:p>
        </w:tc>
        <w:tc>
          <w:tcPr>
            <w:tcW w:w="0" w:type="dxa"/>
            <w:vAlign w:val="bottom"/>
          </w:tcPr>
          <w:p>
            <w:pPr>
              <w:spacing w:after="0"/>
              <w:rPr>
                <w:sz w:val="1"/>
                <w:szCs w:val="1"/>
                <w:color w:val="auto"/>
              </w:rPr>
            </w:pPr>
          </w:p>
        </w:tc>
      </w:tr>
      <w:tr>
        <w:trPr>
          <w:trHeight w:val="149"/>
        </w:trPr>
        <w:tc>
          <w:tcPr>
            <w:tcW w:w="3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Activity related to employee stock purchase plan</w:t>
            </w:r>
          </w:p>
        </w:tc>
        <w:tc>
          <w:tcPr>
            <w:tcW w:w="3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80" w:type="dxa"/>
            <w:vAlign w:val="bottom"/>
            <w:gridSpan w:val="2"/>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7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(3)</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2"/>
                <w:szCs w:val="12"/>
                <w:color w:val="auto"/>
              </w:rPr>
            </w:pPr>
          </w:p>
        </w:tc>
        <w:tc>
          <w:tcPr>
            <w:tcW w:w="62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w:t>
            </w: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3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Post-separation dividend adjustment</w:t>
            </w:r>
          </w:p>
        </w:tc>
        <w:tc>
          <w:tcPr>
            <w:tcW w:w="3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80" w:type="dxa"/>
            <w:vAlign w:val="bottom"/>
            <w:gridSpan w:val="2"/>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78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2"/>
                <w:szCs w:val="12"/>
                <w:color w:val="auto"/>
              </w:rPr>
            </w:pPr>
          </w:p>
        </w:tc>
        <w:tc>
          <w:tcPr>
            <w:tcW w:w="62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61"/>
        </w:trPr>
        <w:tc>
          <w:tcPr>
            <w:tcW w:w="3780" w:type="dxa"/>
            <w:vAlign w:val="bottom"/>
          </w:tcPr>
          <w:p>
            <w:pPr>
              <w:spacing w:after="0"/>
              <w:rPr>
                <w:sz w:val="20"/>
                <w:szCs w:val="20"/>
                <w:color w:val="auto"/>
              </w:rPr>
            </w:pPr>
            <w:r>
              <w:rPr>
                <w:rFonts w:ascii="Times New Roman" w:cs="Times New Roman" w:eastAsia="Times New Roman" w:hAnsi="Times New Roman"/>
                <w:sz w:val="14"/>
                <w:szCs w:val="14"/>
                <w:color w:val="auto"/>
              </w:rPr>
              <w:t>Other</w:t>
            </w: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1</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4"/>
                <w:szCs w:val="14"/>
                <w:color w:val="auto"/>
              </w:rPr>
            </w:pPr>
          </w:p>
        </w:tc>
        <w:tc>
          <w:tcPr>
            <w:tcW w:w="6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20"/>
        </w:trPr>
        <w:tc>
          <w:tcPr>
            <w:tcW w:w="37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Balance at December 31, 2009</w:t>
            </w:r>
          </w:p>
        </w:tc>
        <w:tc>
          <w:tcPr>
            <w:tcW w:w="3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780" w:type="dxa"/>
            <w:vAlign w:val="bottom"/>
            <w:vMerge w:val="continue"/>
          </w:tcPr>
          <w:p>
            <w:pPr>
              <w:spacing w:after="0"/>
              <w:rPr>
                <w:sz w:val="13"/>
                <w:szCs w:val="13"/>
                <w:color w:val="auto"/>
              </w:rPr>
            </w:pPr>
          </w:p>
        </w:tc>
        <w:tc>
          <w:tcPr>
            <w:tcW w:w="3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136.9</w:t>
            </w:r>
          </w:p>
        </w:tc>
        <w:tc>
          <w:tcPr>
            <w:tcW w:w="740" w:type="dxa"/>
            <w:vAlign w:val="bottom"/>
            <w:gridSpan w:val="2"/>
          </w:tcPr>
          <w:p>
            <w:pPr>
              <w:jc w:val="right"/>
              <w:ind w:right="238"/>
              <w:spacing w:after="0" w:line="155"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1</w:t>
            </w:r>
          </w:p>
        </w:tc>
        <w:tc>
          <w:tcPr>
            <w:tcW w:w="360" w:type="dxa"/>
            <w:vAlign w:val="bottom"/>
          </w:tcPr>
          <w:p>
            <w:pPr>
              <w:spacing w:after="0"/>
              <w:rPr>
                <w:sz w:val="13"/>
                <w:szCs w:val="13"/>
                <w:color w:val="auto"/>
              </w:rPr>
            </w:pPr>
          </w:p>
        </w:tc>
        <w:tc>
          <w:tcPr>
            <w:tcW w:w="8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gridSpan w:val="2"/>
          </w:tcPr>
          <w:p>
            <w:pPr>
              <w:jc w:val="right"/>
              <w:ind w:right="240"/>
              <w:spacing w:after="0" w:line="155" w:lineRule="exact"/>
              <w:rPr>
                <w:sz w:val="20"/>
                <w:szCs w:val="20"/>
                <w:color w:val="auto"/>
              </w:rPr>
            </w:pPr>
            <w:r>
              <w:rPr>
                <w:rFonts w:ascii="Times New Roman" w:cs="Times New Roman" w:eastAsia="Times New Roman" w:hAnsi="Times New Roman"/>
                <w:sz w:val="14"/>
                <w:szCs w:val="14"/>
                <w:color w:val="auto"/>
              </w:rPr>
              <w:t>9,098</w:t>
            </w:r>
          </w:p>
        </w:tc>
        <w:tc>
          <w:tcPr>
            <w:tcW w:w="340" w:type="dxa"/>
            <w:vAlign w:val="bottom"/>
            <w:gridSpan w:val="2"/>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tcPr>
          <w:p>
            <w:pPr>
              <w:jc w:val="right"/>
              <w:ind w:right="200"/>
              <w:spacing w:after="0" w:line="155" w:lineRule="exact"/>
              <w:rPr>
                <w:sz w:val="20"/>
                <w:szCs w:val="20"/>
                <w:color w:val="auto"/>
              </w:rPr>
            </w:pPr>
            <w:r>
              <w:rPr>
                <w:rFonts w:ascii="Times New Roman" w:cs="Times New Roman" w:eastAsia="Times New Roman" w:hAnsi="Times New Roman"/>
                <w:sz w:val="14"/>
                <w:szCs w:val="14"/>
                <w:color w:val="auto"/>
              </w:rPr>
              <w:t>(2,691)</w:t>
            </w:r>
          </w:p>
        </w:tc>
        <w:tc>
          <w:tcPr>
            <w:tcW w:w="280" w:type="dxa"/>
            <w:vAlign w:val="bottom"/>
            <w:gridSpan w:val="2"/>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tcPr>
          <w:p>
            <w:pPr>
              <w:jc w:val="right"/>
              <w:ind w:right="400"/>
              <w:spacing w:after="0" w:line="155" w:lineRule="exact"/>
              <w:rPr>
                <w:sz w:val="20"/>
                <w:szCs w:val="20"/>
                <w:color w:val="auto"/>
              </w:rPr>
            </w:pPr>
            <w:r>
              <w:rPr>
                <w:rFonts w:ascii="Times New Roman" w:cs="Times New Roman" w:eastAsia="Times New Roman" w:hAnsi="Times New Roman"/>
                <w:sz w:val="14"/>
                <w:szCs w:val="14"/>
                <w:color w:val="auto"/>
              </w:rPr>
              <w:t>(37)</w:t>
            </w:r>
          </w:p>
        </w:tc>
        <w:tc>
          <w:tcPr>
            <w:tcW w:w="620" w:type="dxa"/>
            <w:vAlign w:val="bottom"/>
            <w:gridSpan w:val="2"/>
          </w:tcPr>
          <w:p>
            <w:pPr>
              <w:jc w:val="right"/>
              <w:ind w:right="200"/>
              <w:spacing w:after="0" w:line="155" w:lineRule="exact"/>
              <w:rPr>
                <w:sz w:val="20"/>
                <w:szCs w:val="20"/>
                <w:color w:val="auto"/>
              </w:rPr>
            </w:pPr>
            <w:r>
              <w:rPr>
                <w:rFonts w:ascii="Times New Roman" w:cs="Times New Roman" w:eastAsia="Times New Roman" w:hAnsi="Times New Roman"/>
                <w:sz w:val="14"/>
                <w:szCs w:val="14"/>
                <w:color w:val="auto"/>
              </w:rPr>
              <w:t>(34.6)</w:t>
            </w:r>
          </w:p>
        </w:tc>
        <w:tc>
          <w:tcPr>
            <w:tcW w:w="320" w:type="dxa"/>
            <w:vAlign w:val="bottom"/>
            <w:gridSpan w:val="2"/>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400"/>
              <w:spacing w:after="0" w:line="155" w:lineRule="exact"/>
              <w:rPr>
                <w:sz w:val="20"/>
                <w:szCs w:val="20"/>
                <w:color w:val="auto"/>
              </w:rPr>
            </w:pPr>
            <w:r>
              <w:rPr>
                <w:rFonts w:ascii="Times New Roman" w:cs="Times New Roman" w:eastAsia="Times New Roman" w:hAnsi="Times New Roman"/>
                <w:sz w:val="14"/>
                <w:szCs w:val="14"/>
                <w:color w:val="auto"/>
                <w:w w:val="97"/>
              </w:rPr>
              <w:t>(6,149)</w:t>
            </w:r>
          </w:p>
        </w:tc>
        <w:tc>
          <w:tcPr>
            <w:tcW w:w="14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jc w:val="right"/>
              <w:ind w:right="40"/>
              <w:spacing w:after="0" w:line="155" w:lineRule="exact"/>
              <w:rPr>
                <w:sz w:val="20"/>
                <w:szCs w:val="20"/>
                <w:color w:val="auto"/>
              </w:rPr>
            </w:pPr>
            <w:r>
              <w:rPr>
                <w:rFonts w:ascii="Times New Roman" w:cs="Times New Roman" w:eastAsia="Times New Roman" w:hAnsi="Times New Roman"/>
                <w:sz w:val="14"/>
                <w:szCs w:val="14"/>
                <w:color w:val="auto"/>
              </w:rPr>
              <w:t>222</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F-8</w:t>
      </w:r>
    </w:p>
    <w:p>
      <w:pPr>
        <w:sectPr>
          <w:pgSz w:w="11900" w:h="16838" w:orient="portrait"/>
          <w:cols w:equalWidth="0" w:num="1">
            <w:col w:w="11380"/>
          </w:cols>
          <w:pgMar w:left="240" w:top="455" w:right="279" w:bottom="1440" w:gutter="0" w:footer="0" w:header="0"/>
        </w:sectPr>
      </w:pPr>
    </w:p>
    <w:bookmarkStart w:id="69" w:name="page70"/>
    <w:bookmarkEnd w:id="6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Avis Budget Group, Inc.</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(Unless otherwise noted, all dollar amounts are in millions, except per share amounts)</w:t>
      </w:r>
    </w:p>
    <w:p>
      <w:pPr>
        <w:spacing w:after="0" w:line="197" w:lineRule="exact"/>
        <w:rPr>
          <w:sz w:val="20"/>
          <w:szCs w:val="20"/>
          <w:color w:val="auto"/>
        </w:rPr>
      </w:pPr>
    </w:p>
    <w:p>
      <w:pPr>
        <w:ind w:left="340" w:hanging="332"/>
        <w:spacing w:after="0"/>
        <w:tabs>
          <w:tab w:leader="none" w:pos="340"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Presentation</w:t>
      </w:r>
    </w:p>
    <w:p>
      <w:pPr>
        <w:spacing w:after="0" w:line="173" w:lineRule="exact"/>
        <w:rPr>
          <w:rFonts w:ascii="Times New Roman" w:cs="Times New Roman" w:eastAsia="Times New Roman" w:hAnsi="Times New Roman"/>
          <w:sz w:val="18"/>
          <w:szCs w:val="18"/>
          <w:b w:val="1"/>
          <w:bCs w:val="1"/>
          <w:color w:val="auto"/>
        </w:rPr>
      </w:pPr>
    </w:p>
    <w:p>
      <w:pPr>
        <w:ind w:left="360" w:right="160"/>
        <w:spacing w:after="0" w:line="26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Avis Budget Group, Inc. provides car and truck rentals and ancillary services to businesses and consumers in the United States and internationally. The accompanying Consolidated Financial Statements include the accounts and transactions of Avis Budget Group, Inc. and its subsidiaries (“Avis Budget”), as well as entities in which Avis Budget directly or indirectly has a controlling financial interest (collectively, the “Company”).</w:t>
      </w:r>
    </w:p>
    <w:p>
      <w:pPr>
        <w:spacing w:after="0" w:line="132" w:lineRule="exact"/>
        <w:rPr>
          <w:rFonts w:ascii="Times New Roman" w:cs="Times New Roman" w:eastAsia="Times New Roman" w:hAnsi="Times New Roman"/>
          <w:sz w:val="18"/>
          <w:szCs w:val="18"/>
          <w:b w:val="1"/>
          <w:bCs w:val="1"/>
          <w:color w:val="auto"/>
        </w:rPr>
      </w:pPr>
    </w:p>
    <w:p>
      <w:pPr>
        <w:ind w:left="3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operates in the following business segments:</w:t>
      </w:r>
    </w:p>
    <w:p>
      <w:pPr>
        <w:spacing w:after="0" w:line="209" w:lineRule="exact"/>
        <w:rPr>
          <w:rFonts w:ascii="Times New Roman" w:cs="Times New Roman" w:eastAsia="Times New Roman" w:hAnsi="Times New Roman"/>
          <w:sz w:val="18"/>
          <w:szCs w:val="18"/>
          <w:b w:val="1"/>
          <w:bCs w:val="1"/>
          <w:color w:val="auto"/>
        </w:rPr>
      </w:pPr>
    </w:p>
    <w:p>
      <w:pPr>
        <w:ind w:left="1000" w:hanging="317"/>
        <w:spacing w:after="0"/>
        <w:tabs>
          <w:tab w:leader="none" w:pos="100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Domestic Car Rental</w:t>
      </w:r>
      <w:r>
        <w:rPr>
          <w:rFonts w:ascii="Times New Roman" w:cs="Times New Roman" w:eastAsia="Times New Roman" w:hAnsi="Times New Roman"/>
          <w:sz w:val="18"/>
          <w:szCs w:val="18"/>
          <w:color w:val="auto"/>
        </w:rPr>
        <w:t>—provides car rentals and ancillary products and services in the United States.</w:t>
      </w:r>
    </w:p>
    <w:p>
      <w:pPr>
        <w:spacing w:after="0" w:line="211" w:lineRule="exact"/>
        <w:rPr>
          <w:rFonts w:ascii="Times New Roman" w:cs="Times New Roman" w:eastAsia="Times New Roman" w:hAnsi="Times New Roman"/>
          <w:sz w:val="18"/>
          <w:szCs w:val="18"/>
          <w:color w:val="auto"/>
        </w:rPr>
      </w:pPr>
    </w:p>
    <w:p>
      <w:pPr>
        <w:ind w:left="1000" w:right="140" w:hanging="317"/>
        <w:spacing w:after="0" w:line="277" w:lineRule="auto"/>
        <w:tabs>
          <w:tab w:leader="none" w:pos="100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International Car Rental</w:t>
      </w:r>
      <w:r>
        <w:rPr>
          <w:rFonts w:ascii="Times New Roman" w:cs="Times New Roman" w:eastAsia="Times New Roman" w:hAnsi="Times New Roman"/>
          <w:sz w:val="18"/>
          <w:szCs w:val="18"/>
          <w:color w:val="auto"/>
        </w:rPr>
        <w:t>—provides vehicle rentals and ancillary products and services primarily in Argentina, Australia, Canada, New Zealand,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Puerto Rico and the U.S. Virgin Islands.</w:t>
      </w:r>
    </w:p>
    <w:p>
      <w:pPr>
        <w:spacing w:after="0" w:line="156"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Truck Rental</w:t>
      </w:r>
      <w:r>
        <w:rPr>
          <w:rFonts w:ascii="Times New Roman" w:cs="Times New Roman" w:eastAsia="Times New Roman" w:hAnsi="Times New Roman"/>
          <w:sz w:val="18"/>
          <w:szCs w:val="18"/>
          <w:color w:val="auto"/>
        </w:rPr>
        <w:t>—provides truck rentals and related services to consumers and light commercial users in the United States.</w:t>
      </w:r>
    </w:p>
    <w:p>
      <w:pPr>
        <w:spacing w:after="0" w:line="173" w:lineRule="exact"/>
        <w:rPr>
          <w:sz w:val="20"/>
          <w:szCs w:val="20"/>
          <w:color w:val="auto"/>
        </w:rPr>
      </w:pPr>
    </w:p>
    <w:p>
      <w:pPr>
        <w:ind w:left="360" w:right="240"/>
        <w:spacing w:after="0" w:line="262" w:lineRule="auto"/>
        <w:rPr>
          <w:sz w:val="20"/>
          <w:szCs w:val="20"/>
          <w:color w:val="auto"/>
        </w:rPr>
      </w:pPr>
      <w:r>
        <w:rPr>
          <w:rFonts w:ascii="Times New Roman" w:cs="Times New Roman" w:eastAsia="Times New Roman" w:hAnsi="Times New Roman"/>
          <w:sz w:val="18"/>
          <w:szCs w:val="18"/>
          <w:color w:val="auto"/>
        </w:rPr>
        <w:t>In presenting the Consolidated Financial Statements in accordance with accounting principles generally accepted in the United States, management makes estimates and assumptions that affect the amounts reported and related disclosures. Estimates, by their nature, are based on judgment and available information. Accordingly, actual results could differ from those estimates.</w:t>
      </w:r>
    </w:p>
    <w:p>
      <w:pPr>
        <w:spacing w:after="0" w:line="130" w:lineRule="exact"/>
        <w:rPr>
          <w:sz w:val="20"/>
          <w:szCs w:val="20"/>
          <w:color w:val="auto"/>
        </w:rPr>
      </w:pPr>
    </w:p>
    <w:p>
      <w:pPr>
        <w:ind w:left="360" w:right="12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Vehicle Programs. </w:t>
      </w:r>
      <w:r>
        <w:rPr>
          <w:rFonts w:ascii="Times New Roman" w:cs="Times New Roman" w:eastAsia="Times New Roman" w:hAnsi="Times New Roman"/>
          <w:sz w:val="18"/>
          <w:szCs w:val="18"/>
          <w:color w:val="auto"/>
        </w:rPr>
        <w:t>The Company presents separately the financial data of its vehicle programs. These programs are distinct from the Company’s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activities since the assets under vehicle programs are generally funded through the issuance of debt that is collateralized by such assets. The income generated by these assets is used, in part, to repay the principal and interest associated with the debt. Cash inflows and outflows relating to the generation or acquisition of such assets and the principal debt repayment or financing of such assets are classified as activities of the Company’s vehicle programs. The Company believes it is appropriate to segregate the financial data of its vehicle programs because, ultimately, the source of repayment of such debt is the realization of such assets.</w:t>
      </w:r>
    </w:p>
    <w:p>
      <w:pPr>
        <w:spacing w:after="0" w:line="139" w:lineRule="exact"/>
        <w:rPr>
          <w:sz w:val="20"/>
          <w:szCs w:val="20"/>
          <w:color w:val="auto"/>
        </w:rPr>
      </w:pPr>
    </w:p>
    <w:p>
      <w:pPr>
        <w:ind w:left="360"/>
        <w:spacing w:after="0" w:line="255" w:lineRule="auto"/>
        <w:rPr>
          <w:sz w:val="20"/>
          <w:szCs w:val="20"/>
          <w:color w:val="auto"/>
        </w:rPr>
      </w:pPr>
      <w:r>
        <w:rPr>
          <w:rFonts w:ascii="Times New Roman" w:cs="Times New Roman" w:eastAsia="Times New Roman" w:hAnsi="Times New Roman"/>
          <w:sz w:val="18"/>
          <w:szCs w:val="18"/>
          <w:i w:val="1"/>
          <w:iCs w:val="1"/>
          <w:color w:val="auto"/>
        </w:rPr>
        <w:t>Changes in Accounting Estimate</w:t>
      </w:r>
      <w:r>
        <w:rPr>
          <w:rFonts w:ascii="Times New Roman" w:cs="Times New Roman" w:eastAsia="Times New Roman" w:hAnsi="Times New Roman"/>
          <w:sz w:val="18"/>
          <w:szCs w:val="18"/>
          <w:color w:val="auto"/>
        </w:rPr>
        <w:t>. In fourth quarter 2008, the Company increased the assumed service lives of its Truck Rental segment’s model year 2004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later diesel trucks and model year 2005 and later gas trucks. This extension of service lives reflects the Company’s expectation that it will purchase and dispose of fewer trucks each year than previously projected, thereby lengthening average hold periods for its trucks. This change will also affect the value the Company realizes upon disposition of trucks. The change in estimate, effective as of October 1, 2008, was accounted for prospectively and resulted in a decrease in depreciation expense of approximately $4 million, and decreased net loss by approximately $3 million ($0.02 per diluted share), for the year ended December 31, 2008.</w:t>
      </w:r>
    </w:p>
    <w:p>
      <w:pPr>
        <w:spacing w:after="0" w:line="141" w:lineRule="exact"/>
        <w:rPr>
          <w:sz w:val="20"/>
          <w:szCs w:val="20"/>
          <w:color w:val="auto"/>
        </w:rPr>
      </w:pPr>
    </w:p>
    <w:p>
      <w:pPr>
        <w:ind w:left="360" w:right="20"/>
        <w:spacing w:after="0" w:line="256" w:lineRule="auto"/>
        <w:rPr>
          <w:sz w:val="20"/>
          <w:szCs w:val="20"/>
          <w:color w:val="auto"/>
        </w:rPr>
      </w:pPr>
      <w:r>
        <w:rPr>
          <w:rFonts w:ascii="Times New Roman" w:cs="Times New Roman" w:eastAsia="Times New Roman" w:hAnsi="Times New Roman"/>
          <w:sz w:val="18"/>
          <w:szCs w:val="18"/>
          <w:color w:val="auto"/>
        </w:rPr>
        <w:t>In fourth quarter 2007, the Company revised the assumed service lives of its truck fleet, for model years 2004 and later, to better reflect the projected hold periods of these vehicles. The Company believes that its decision to retain these trucks longer than previously anticipated will allow it to reduce cash outflow related to fleet costs. This change will also affect the value the Company realizes upon the disposition of trucks. The change in estimate, effective as of October 1, 2007, was accounted for prospectively and resulted in a decrease in depreciation expense of approximately $5 million, and decreased net loss by approximately $3 million ($0.03 per diluted share), for the year ended December 31, 2007.</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F-9</w:t>
      </w:r>
    </w:p>
    <w:p>
      <w:pPr>
        <w:sectPr>
          <w:pgSz w:w="11900" w:h="16838" w:orient="portrait"/>
          <w:cols w:equalWidth="0" w:num="1">
            <w:col w:w="11420"/>
          </w:cols>
          <w:pgMar w:left="240" w:top="455" w:right="239" w:bottom="1440" w:gutter="0" w:footer="0" w:header="0"/>
        </w:sectPr>
      </w:pPr>
    </w:p>
    <w:bookmarkStart w:id="70" w:name="page71"/>
    <w:bookmarkEnd w:id="7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360" w:right="180"/>
        <w:spacing w:after="0" w:line="256" w:lineRule="auto"/>
        <w:rPr>
          <w:sz w:val="20"/>
          <w:szCs w:val="20"/>
          <w:color w:val="auto"/>
        </w:rPr>
      </w:pPr>
      <w:r>
        <w:rPr>
          <w:rFonts w:ascii="Times New Roman" w:cs="Times New Roman" w:eastAsia="Times New Roman" w:hAnsi="Times New Roman"/>
          <w:sz w:val="18"/>
          <w:szCs w:val="18"/>
          <w:color w:val="auto"/>
        </w:rPr>
        <w:t>In fourth quarter 2007, the Company revised its estimates for recording depreciation expense related to certain vehicles covered by repurchase and guaranteed depreciation agreements in light of longer projected hold periods. Once these vehicles are held longer than the Company’s average hold period, they will be depreciated at monthly rates consistent with their contractually guaranteed residual values. This change in estimate, effective as of October 1, 2007, was accounted for prospectively and resulted in a decrease in depreciation expense of approximately $10 million, and decreased net loss by approximately $6 million ($0.06 per diluted share), for the year ended December 31, 2007.</w:t>
      </w:r>
    </w:p>
    <w:p>
      <w:pPr>
        <w:spacing w:after="0" w:line="137" w:lineRule="exact"/>
        <w:rPr>
          <w:sz w:val="20"/>
          <w:szCs w:val="20"/>
          <w:color w:val="auto"/>
        </w:rPr>
      </w:pPr>
    </w:p>
    <w:p>
      <w:pPr>
        <w:ind w:left="360"/>
        <w:spacing w:after="0" w:line="277" w:lineRule="auto"/>
        <w:rPr>
          <w:sz w:val="20"/>
          <w:szCs w:val="20"/>
          <w:color w:val="auto"/>
        </w:rPr>
      </w:pPr>
      <w:r>
        <w:rPr>
          <w:rFonts w:ascii="Times New Roman" w:cs="Times New Roman" w:eastAsia="Times New Roman" w:hAnsi="Times New Roman"/>
          <w:sz w:val="18"/>
          <w:szCs w:val="18"/>
          <w:i w:val="1"/>
          <w:iCs w:val="1"/>
          <w:color w:val="auto"/>
        </w:rPr>
        <w:t xml:space="preserve">Cendant Separation. </w:t>
      </w:r>
      <w:r>
        <w:rPr>
          <w:rFonts w:ascii="Times New Roman" w:cs="Times New Roman" w:eastAsia="Times New Roman" w:hAnsi="Times New Roman"/>
          <w:sz w:val="18"/>
          <w:szCs w:val="18"/>
          <w:color w:val="auto"/>
        </w:rPr>
        <w:t>In July 2006, under a Board of Directors approved plan, the Company, then known as Cendant Corporation (“Cendant”), was separated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into four independent companies (the “Cendant Separation”):</w:t>
      </w:r>
    </w:p>
    <w:p>
      <w:pPr>
        <w:spacing w:after="0" w:line="157" w:lineRule="exact"/>
        <w:rPr>
          <w:sz w:val="20"/>
          <w:szCs w:val="20"/>
          <w:color w:val="auto"/>
        </w:rPr>
      </w:pPr>
    </w:p>
    <w:p>
      <w:pPr>
        <w:ind w:left="1000" w:hanging="317"/>
        <w:spacing w:after="0"/>
        <w:tabs>
          <w:tab w:leader="none" w:pos="10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Realogy Corporation</w:t>
      </w:r>
      <w:r>
        <w:rPr>
          <w:rFonts w:ascii="Times New Roman" w:cs="Times New Roman" w:eastAsia="Times New Roman" w:hAnsi="Times New Roman"/>
          <w:sz w:val="18"/>
          <w:szCs w:val="18"/>
          <w:color w:val="auto"/>
        </w:rPr>
        <w:t>—encompasses the Company’s former real estate services segment.</w:t>
      </w:r>
    </w:p>
    <w:p>
      <w:pPr>
        <w:spacing w:after="0" w:line="211"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Wyndham Worldwide Corporation</w:t>
      </w:r>
      <w:r>
        <w:rPr>
          <w:rFonts w:ascii="Times New Roman" w:cs="Times New Roman" w:eastAsia="Times New Roman" w:hAnsi="Times New Roman"/>
          <w:sz w:val="18"/>
          <w:szCs w:val="18"/>
          <w:color w:val="auto"/>
        </w:rPr>
        <w:t>—encompasses the Company’s former Hospitality Services and Timeshare Resorts segments.</w:t>
      </w:r>
    </w:p>
    <w:p>
      <w:pPr>
        <w:spacing w:after="0" w:line="211"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Travelport, Inc.</w:t>
      </w:r>
      <w:r>
        <w:rPr>
          <w:rFonts w:ascii="Times New Roman" w:cs="Times New Roman" w:eastAsia="Times New Roman" w:hAnsi="Times New Roman"/>
          <w:sz w:val="18"/>
          <w:szCs w:val="18"/>
          <w:color w:val="auto"/>
        </w:rPr>
        <w:t>—encompasses the Company’s former Travel Distribution Services segment.</w:t>
      </w:r>
    </w:p>
    <w:p>
      <w:pPr>
        <w:spacing w:after="0" w:line="211"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Avis Budget Group, Inc.</w:t>
      </w:r>
      <w:r>
        <w:rPr>
          <w:rFonts w:ascii="Times New Roman" w:cs="Times New Roman" w:eastAsia="Times New Roman" w:hAnsi="Times New Roman"/>
          <w:sz w:val="18"/>
          <w:szCs w:val="18"/>
          <w:color w:val="auto"/>
        </w:rPr>
        <w:t>—encompasses the Company’s vehicle rental operations.</w:t>
      </w:r>
    </w:p>
    <w:p>
      <w:pPr>
        <w:spacing w:after="0" w:line="173" w:lineRule="exact"/>
        <w:rPr>
          <w:sz w:val="20"/>
          <w:szCs w:val="20"/>
          <w:color w:val="auto"/>
        </w:rPr>
      </w:pPr>
    </w:p>
    <w:p>
      <w:pPr>
        <w:ind w:left="360" w:right="120"/>
        <w:spacing w:after="0" w:line="291" w:lineRule="auto"/>
        <w:rPr>
          <w:sz w:val="20"/>
          <w:szCs w:val="20"/>
          <w:color w:val="auto"/>
        </w:rPr>
      </w:pPr>
      <w:r>
        <w:rPr>
          <w:rFonts w:ascii="Times New Roman" w:cs="Times New Roman" w:eastAsia="Times New Roman" w:hAnsi="Times New Roman"/>
          <w:sz w:val="16"/>
          <w:szCs w:val="16"/>
          <w:color w:val="auto"/>
        </w:rPr>
        <w:t>On July 31, 2006, the Company completed the spin-offs of Realogy and Wyndham in tax-free distributions of one share each of Realogy and Wyndham common stock for every four and five shares, respectively, of then outstanding Cendant common stock held on July 21, 2006. Prior to the completion of the spin-offs, Avis Budget received special cash dividends of $2,225 million and $1,360 million from Realogy and Wyndham, respectively, and utilized such proceeds to fund a portion of the repayment of its outstanding debt. On August 23, 2006, the Company completed the sale of Travelport for proceeds of approximately $4.1 billion, net of closing adjustments, of which approximately $1.8 billion was used to repay indebtedness of Travelport. Pursuant to the Separation and Distribution Agreement (“Separation Agreement”) among the separating companies, in third quarter 2006, the Company distributed $1,423 million and $760 million of such proceeds from the sale of Travelport to Realogy and Wyndham, respectively.</w:t>
      </w:r>
    </w:p>
    <w:p>
      <w:pPr>
        <w:spacing w:after="0" w:line="113" w:lineRule="exact"/>
        <w:rPr>
          <w:sz w:val="20"/>
          <w:szCs w:val="20"/>
          <w:color w:val="auto"/>
        </w:rPr>
      </w:pPr>
    </w:p>
    <w:p>
      <w:pPr>
        <w:ind w:left="360" w:right="80"/>
        <w:spacing w:after="0" w:line="262" w:lineRule="auto"/>
        <w:rPr>
          <w:sz w:val="20"/>
          <w:szCs w:val="20"/>
          <w:color w:val="auto"/>
        </w:rPr>
      </w:pPr>
      <w:r>
        <w:rPr>
          <w:rFonts w:ascii="Times New Roman" w:cs="Times New Roman" w:eastAsia="Times New Roman" w:hAnsi="Times New Roman"/>
          <w:sz w:val="18"/>
          <w:szCs w:val="18"/>
          <w:color w:val="auto"/>
        </w:rPr>
        <w:t>During 2009 and 2008, the costs incurred by the Company in connection with the Cendant Separation were not material. In 2007, the Company recorded a net credit of $5 million in connection with executing the Cendant Separation, primarily related to indemnification for tax matters (See Note 2—Summary of Significant Accounting Policies).</w:t>
      </w:r>
    </w:p>
    <w:p>
      <w:pPr>
        <w:spacing w:after="0" w:line="132" w:lineRule="exact"/>
        <w:rPr>
          <w:sz w:val="20"/>
          <w:szCs w:val="20"/>
          <w:color w:val="auto"/>
        </w:rPr>
      </w:pPr>
    </w:p>
    <w:p>
      <w:pPr>
        <w:ind w:left="360" w:right="140"/>
        <w:spacing w:after="0" w:line="258" w:lineRule="auto"/>
        <w:rPr>
          <w:sz w:val="20"/>
          <w:szCs w:val="20"/>
          <w:color w:val="auto"/>
        </w:rPr>
      </w:pPr>
      <w:r>
        <w:rPr>
          <w:rFonts w:ascii="Times New Roman" w:cs="Times New Roman" w:eastAsia="Times New Roman" w:hAnsi="Times New Roman"/>
          <w:sz w:val="18"/>
          <w:szCs w:val="18"/>
          <w:color w:val="auto"/>
        </w:rPr>
        <w:t>Pursuant to the Separation Agreement and a related Tax Sharing Agreement, Realogy, Wyndham and Travelport have agreed to assume and retain all of the liabilities primarily related to each of their respective businesses and operations, including litigation primarily related to each of their businesses where the Company is a named party. Realogy and Wyndham have also agreed to assume certain contingent and other corporate liabilities of the Company or its subsidiaries incurred prior to the disposition of Travelport (see Note 19—Commitments and Contingencies).</w:t>
      </w:r>
    </w:p>
    <w:p>
      <w:pPr>
        <w:spacing w:after="0" w:line="136" w:lineRule="exact"/>
        <w:rPr>
          <w:sz w:val="20"/>
          <w:szCs w:val="20"/>
          <w:color w:val="auto"/>
        </w:rPr>
      </w:pPr>
    </w:p>
    <w:p>
      <w:pPr>
        <w:ind w:left="360" w:right="120"/>
        <w:spacing w:after="0" w:line="258" w:lineRule="auto"/>
        <w:rPr>
          <w:sz w:val="20"/>
          <w:szCs w:val="20"/>
          <w:color w:val="auto"/>
        </w:rPr>
      </w:pPr>
      <w:r>
        <w:rPr>
          <w:rFonts w:ascii="Times New Roman" w:cs="Times New Roman" w:eastAsia="Times New Roman" w:hAnsi="Times New Roman"/>
          <w:sz w:val="18"/>
          <w:szCs w:val="18"/>
          <w:color w:val="auto"/>
        </w:rPr>
        <w:t>Prior to the spin-offs of Realogy and Wyndham, the Company entered into a Transition Services Agreement with Realogy, Wyndham and Travelport to provide for an orderly transition following the sale of Travelport and the spin-offs of Realogy and Wyndham. Under the Transition Services Agreement, the Company has provided Realogy, Wyndham and Travelport with various services, including services relating to payroll, accounts payable, telecommunications and information technology. As of December 31, 2008, the majority of these services were no longer being provided.</w:t>
      </w:r>
    </w:p>
    <w:p>
      <w:pPr>
        <w:spacing w:after="0" w:line="1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F-10</w:t>
      </w:r>
    </w:p>
    <w:p>
      <w:pPr>
        <w:sectPr>
          <w:pgSz w:w="11900" w:h="16838" w:orient="portrait"/>
          <w:cols w:equalWidth="0" w:num="1">
            <w:col w:w="11400"/>
          </w:cols>
          <w:pgMar w:left="240" w:top="455" w:right="259" w:bottom="1440" w:gutter="0" w:footer="0" w:header="0"/>
        </w:sectPr>
      </w:pPr>
    </w:p>
    <w:bookmarkStart w:id="71" w:name="page72"/>
    <w:bookmarkEnd w:id="7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340" w:hanging="332"/>
        <w:spacing w:after="0"/>
        <w:tabs>
          <w:tab w:leader="none" w:pos="340"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w:t>
      </w:r>
    </w:p>
    <w:p>
      <w:pPr>
        <w:spacing w:after="0" w:line="171" w:lineRule="exact"/>
        <w:rPr>
          <w:rFonts w:ascii="Times New Roman" w:cs="Times New Roman" w:eastAsia="Times New Roman" w:hAnsi="Times New Roman"/>
          <w:sz w:val="18"/>
          <w:szCs w:val="18"/>
          <w:b w:val="1"/>
          <w:bCs w:val="1"/>
          <w:color w:val="auto"/>
        </w:rPr>
      </w:pPr>
    </w:p>
    <w:p>
      <w:pPr>
        <w:ind w:left="3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ACCOUNTING PRINCIPLES</w:t>
      </w:r>
    </w:p>
    <w:p>
      <w:pPr>
        <w:spacing w:after="0" w:line="173" w:lineRule="exact"/>
        <w:rPr>
          <w:rFonts w:ascii="Times New Roman" w:cs="Times New Roman" w:eastAsia="Times New Roman" w:hAnsi="Times New Roman"/>
          <w:sz w:val="18"/>
          <w:szCs w:val="18"/>
          <w:b w:val="1"/>
          <w:bCs w:val="1"/>
          <w:color w:val="auto"/>
        </w:rPr>
      </w:pPr>
    </w:p>
    <w:p>
      <w:pPr>
        <w:ind w:left="360" w:right="180"/>
        <w:spacing w:after="0" w:line="27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Company’s Consolidated Financial Statements have been prepared in accordance with accounting principles generally accepted in the United States of America (“GAAP”).</w:t>
      </w:r>
    </w:p>
    <w:p>
      <w:pPr>
        <w:spacing w:after="0" w:line="117" w:lineRule="exact"/>
        <w:rPr>
          <w:rFonts w:ascii="Times New Roman" w:cs="Times New Roman" w:eastAsia="Times New Roman" w:hAnsi="Times New Roman"/>
          <w:sz w:val="18"/>
          <w:szCs w:val="18"/>
          <w:b w:val="1"/>
          <w:bCs w:val="1"/>
          <w:color w:val="auto"/>
        </w:rPr>
      </w:pPr>
    </w:p>
    <w:p>
      <w:pPr>
        <w:ind w:left="3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PRINCIPLES OF CONSOLIDATION</w:t>
      </w:r>
    </w:p>
    <w:p>
      <w:pPr>
        <w:spacing w:after="0" w:line="173" w:lineRule="exact"/>
        <w:rPr>
          <w:rFonts w:ascii="Times New Roman" w:cs="Times New Roman" w:eastAsia="Times New Roman" w:hAnsi="Times New Roman"/>
          <w:sz w:val="18"/>
          <w:szCs w:val="18"/>
          <w:b w:val="1"/>
          <w:bCs w:val="1"/>
          <w:color w:val="auto"/>
        </w:rPr>
      </w:pPr>
    </w:p>
    <w:p>
      <w:pPr>
        <w:ind w:left="360" w:right="18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Consolidated Financial Statements include the accounts of Avis Budget and all entities in which the Company has a direct or indirect controlling financial interest and variable interest entities (“VIEs”) where the Company is determined to be the primary beneficiary. The Company is deemed to be the primary beneficiary if it bears a majority of the risk to the entities’ potential losses or stands to gain from a majority of the entities’ expected returns. Significant intercompany transactions have been eliminated in consolidation.</w:t>
      </w:r>
    </w:p>
    <w:p>
      <w:pPr>
        <w:spacing w:after="0" w:line="134" w:lineRule="exact"/>
        <w:rPr>
          <w:rFonts w:ascii="Times New Roman" w:cs="Times New Roman" w:eastAsia="Times New Roman" w:hAnsi="Times New Roman"/>
          <w:sz w:val="18"/>
          <w:szCs w:val="18"/>
          <w:b w:val="1"/>
          <w:bCs w:val="1"/>
          <w:color w:val="auto"/>
        </w:rPr>
      </w:pPr>
    </w:p>
    <w:p>
      <w:pPr>
        <w:ind w:left="3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USE OF ESTIMATES AND ASSUMPTIONS</w:t>
      </w:r>
    </w:p>
    <w:p>
      <w:pPr>
        <w:spacing w:after="0" w:line="173" w:lineRule="exact"/>
        <w:rPr>
          <w:rFonts w:ascii="Times New Roman" w:cs="Times New Roman" w:eastAsia="Times New Roman" w:hAnsi="Times New Roman"/>
          <w:sz w:val="18"/>
          <w:szCs w:val="18"/>
          <w:b w:val="1"/>
          <w:bCs w:val="1"/>
          <w:color w:val="auto"/>
        </w:rPr>
      </w:pPr>
    </w:p>
    <w:p>
      <w:pPr>
        <w:ind w:left="360" w:right="6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use of estimates and assumptions as determined by management is required in the preparation of the Consolidated Financial Statements in conformity with GAAP. These estimates are based on management’s evaluation of historical trends and other information available when the Consolidated Financial Statements are prepared. Changes in estimates are recognized in accordance with the accounting rules for the estimate. Actual results could differ from those estimates.</w:t>
      </w:r>
    </w:p>
    <w:p>
      <w:pPr>
        <w:spacing w:after="0" w:line="134" w:lineRule="exact"/>
        <w:rPr>
          <w:rFonts w:ascii="Times New Roman" w:cs="Times New Roman" w:eastAsia="Times New Roman" w:hAnsi="Times New Roman"/>
          <w:sz w:val="18"/>
          <w:szCs w:val="18"/>
          <w:b w:val="1"/>
          <w:bCs w:val="1"/>
          <w:color w:val="auto"/>
        </w:rPr>
      </w:pPr>
    </w:p>
    <w:p>
      <w:pPr>
        <w:ind w:left="3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 RECOGNITION</w:t>
      </w:r>
    </w:p>
    <w:p>
      <w:pPr>
        <w:spacing w:after="0" w:line="173" w:lineRule="exact"/>
        <w:rPr>
          <w:rFonts w:ascii="Times New Roman" w:cs="Times New Roman" w:eastAsia="Times New Roman" w:hAnsi="Times New Roman"/>
          <w:sz w:val="18"/>
          <w:szCs w:val="18"/>
          <w:b w:val="1"/>
          <w:bCs w:val="1"/>
          <w:color w:val="auto"/>
        </w:rPr>
      </w:pPr>
    </w:p>
    <w:p>
      <w:pPr>
        <w:ind w:left="360" w:right="2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derives revenue through the operation and franchising of the Avis and Budget rental systems, providing vehicle rentals and other services to business and leisure travelers and others. Other revenue includes rentals of GPS navigational units, sales of loss damage waivers and insurance products, fuel and fuel service charges, and other items. Revenue is recognized when persuasive evidence of an arrangement exists, the services have been rendered to customers, the pricing is fixed or determinable and collection is reasonably assured.</w:t>
      </w:r>
    </w:p>
    <w:p>
      <w:pPr>
        <w:spacing w:after="0" w:line="136" w:lineRule="exact"/>
        <w:rPr>
          <w:rFonts w:ascii="Times New Roman" w:cs="Times New Roman" w:eastAsia="Times New Roman" w:hAnsi="Times New Roman"/>
          <w:sz w:val="18"/>
          <w:szCs w:val="18"/>
          <w:b w:val="1"/>
          <w:bCs w:val="1"/>
          <w:color w:val="auto"/>
        </w:rPr>
      </w:pPr>
    </w:p>
    <w:p>
      <w:pPr>
        <w:ind w:left="360" w:right="40"/>
        <w:spacing w:after="0" w:line="26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Vehicle rental and rental-related revenue is recognized over the period the vehicle is rented. Franchise revenue principally consists of royalties paid by the Company’s franchisees and is recorded as the franchisees’ revenue is earned (generally over the rental period of a vehicle). Revenue and expenses associated with gasoline, vehicle licensing and airport concessions are recorded on a gross basis within revenue and operating expenses.</w:t>
      </w:r>
    </w:p>
    <w:p>
      <w:pPr>
        <w:spacing w:after="0" w:line="130" w:lineRule="exact"/>
        <w:rPr>
          <w:rFonts w:ascii="Times New Roman" w:cs="Times New Roman" w:eastAsia="Times New Roman" w:hAnsi="Times New Roman"/>
          <w:sz w:val="18"/>
          <w:szCs w:val="18"/>
          <w:b w:val="1"/>
          <w:bCs w:val="1"/>
          <w:color w:val="auto"/>
        </w:rPr>
      </w:pPr>
    </w:p>
    <w:p>
      <w:pPr>
        <w:ind w:left="3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FOREIGN CURRENCY TRANSLATION</w:t>
      </w:r>
    </w:p>
    <w:p>
      <w:pPr>
        <w:spacing w:after="0" w:line="173" w:lineRule="exact"/>
        <w:rPr>
          <w:rFonts w:ascii="Times New Roman" w:cs="Times New Roman" w:eastAsia="Times New Roman" w:hAnsi="Times New Roman"/>
          <w:sz w:val="18"/>
          <w:szCs w:val="18"/>
          <w:b w:val="1"/>
          <w:bCs w:val="1"/>
          <w:color w:val="auto"/>
        </w:rPr>
      </w:pPr>
    </w:p>
    <w:p>
      <w:pPr>
        <w:ind w:left="36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Assets and liabilities of foreign operations are translated at the rate of exchange in effect on the balance sheet date; income and expenses are translated at the weighted average rate of exchange prevailing during the year. The related translation adjustments are reflected in “Accumulated other comprehensive income (loss)” in the stockholders’ equity section of the Consolidated Balance Sheets. The accumulated foreign currency translation adjustment as of December 31, 2009 and December 31, 2008 was $111 million and $7 million, respectively. Foreign currency gains and losses resulting from transactions are included in earnings.</w:t>
      </w:r>
    </w:p>
    <w:p>
      <w:pPr>
        <w:spacing w:after="0" w:line="136" w:lineRule="exact"/>
        <w:rPr>
          <w:rFonts w:ascii="Times New Roman" w:cs="Times New Roman" w:eastAsia="Times New Roman" w:hAnsi="Times New Roman"/>
          <w:sz w:val="18"/>
          <w:szCs w:val="18"/>
          <w:b w:val="1"/>
          <w:bCs w:val="1"/>
          <w:color w:val="auto"/>
        </w:rPr>
      </w:pPr>
    </w:p>
    <w:p>
      <w:pPr>
        <w:ind w:left="3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CASH AND CASH EQUIVALENTS</w:t>
      </w:r>
    </w:p>
    <w:p>
      <w:pPr>
        <w:spacing w:after="0" w:line="17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Company considers highly liquid investments purchased with an original maturity of three months or less to be cash equivalents.</w:t>
      </w:r>
    </w:p>
    <w:p>
      <w:pPr>
        <w:spacing w:after="0" w:line="158"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color w:val="auto"/>
        </w:rPr>
        <w:t>F-11</w:t>
      </w:r>
    </w:p>
    <w:p>
      <w:pPr>
        <w:sectPr>
          <w:pgSz w:w="11900" w:h="16838" w:orient="portrait"/>
          <w:cols w:equalWidth="0" w:num="1">
            <w:col w:w="11420"/>
          </w:cols>
          <w:pgMar w:left="240" w:top="455" w:right="239" w:bottom="1440" w:gutter="0" w:footer="0" w:header="0"/>
        </w:sectPr>
      </w:pPr>
    </w:p>
    <w:bookmarkStart w:id="72" w:name="page73"/>
    <w:bookmarkEnd w:id="7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color w:val="auto"/>
        </w:rPr>
        <w:t>PROPERTY AND EQUIPMENT</w:t>
      </w:r>
    </w:p>
    <w:p>
      <w:pPr>
        <w:spacing w:after="0" w:line="173" w:lineRule="exact"/>
        <w:rPr>
          <w:sz w:val="20"/>
          <w:szCs w:val="20"/>
          <w:color w:val="auto"/>
        </w:rPr>
      </w:pPr>
    </w:p>
    <w:p>
      <w:pPr>
        <w:ind w:left="360"/>
        <w:spacing w:after="0" w:line="258" w:lineRule="auto"/>
        <w:rPr>
          <w:sz w:val="20"/>
          <w:szCs w:val="20"/>
          <w:color w:val="auto"/>
        </w:rPr>
      </w:pPr>
      <w:r>
        <w:rPr>
          <w:rFonts w:ascii="Times New Roman" w:cs="Times New Roman" w:eastAsia="Times New Roman" w:hAnsi="Times New Roman"/>
          <w:sz w:val="18"/>
          <w:szCs w:val="18"/>
          <w:color w:val="auto"/>
        </w:rPr>
        <w:t>Property and equipment (including leasehold improvements) are recorded at cost, net of accumulated depreciation and amortization. Depreciation (non-vehicle related) is computed utilizing the straight-line method over the estimated useful lives of the related assets. Amortization of leasehold improvements is computed utilizing the straight-line method over the estimated benefit period of the related assets, which may not exceed 20 years, or the lease term, if shorter. Useful lives are as follows:</w:t>
      </w:r>
    </w:p>
    <w:p>
      <w:pPr>
        <w:sectPr>
          <w:pgSz w:w="11900" w:h="16838" w:orient="portrait"/>
          <w:cols w:equalWidth="0" w:num="1">
            <w:col w:w="11420"/>
          </w:cols>
          <w:pgMar w:left="240" w:top="455" w:right="239" w:bottom="1440" w:gutter="0" w:footer="0" w:header="0"/>
        </w:sectPr>
      </w:pPr>
    </w:p>
    <w:p>
      <w:pPr>
        <w:spacing w:after="0" w:line="17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Buildings</w:t>
      </w:r>
    </w:p>
    <w:p>
      <w:pPr>
        <w:spacing w:after="0" w:line="2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color w:val="auto"/>
        </w:rPr>
        <w:t>Furniture, fixtures &amp; equipment</w:t>
      </w:r>
    </w:p>
    <w:p>
      <w:pPr>
        <w:spacing w:after="0" w:line="3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Capitalized software</w:t>
      </w:r>
    </w:p>
    <w:p>
      <w:pPr>
        <w:spacing w:after="0" w:line="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Buses and support vehicles</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30 years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3 to 10 years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 to 7 years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4 to 15 years</w:t>
      </w:r>
    </w:p>
    <w:p>
      <w:pPr>
        <w:spacing w:after="0" w:line="181" w:lineRule="exact"/>
        <w:rPr>
          <w:sz w:val="20"/>
          <w:szCs w:val="20"/>
          <w:color w:val="auto"/>
        </w:rPr>
      </w:pPr>
    </w:p>
    <w:p>
      <w:pPr>
        <w:sectPr>
          <w:pgSz w:w="11900" w:h="16838" w:orient="portrait"/>
          <w:cols w:equalWidth="0" w:num="2">
            <w:col w:w="7760" w:space="720"/>
            <w:col w:w="2940"/>
          </w:cols>
          <w:pgMar w:left="240" w:top="455" w:right="239" w:bottom="1440" w:gutter="0" w:footer="0" w:header="0"/>
          <w:type w:val="continuous"/>
        </w:sectPr>
      </w:pPr>
    </w:p>
    <w:p>
      <w:pPr>
        <w:ind w:left="360" w:right="160"/>
        <w:spacing w:after="0" w:line="256" w:lineRule="auto"/>
        <w:rPr>
          <w:sz w:val="20"/>
          <w:szCs w:val="20"/>
          <w:color w:val="auto"/>
        </w:rPr>
      </w:pPr>
      <w:r>
        <w:rPr>
          <w:rFonts w:ascii="Times New Roman" w:cs="Times New Roman" w:eastAsia="Times New Roman" w:hAnsi="Times New Roman"/>
          <w:sz w:val="18"/>
          <w:szCs w:val="18"/>
          <w:color w:val="auto"/>
        </w:rPr>
        <w:t>The Company capitalizes the costs of software developed for internal use when the preliminary project stage is completed and management with the appropriate authority (i) commits to funding the project and (ii) believes it is probable that the project will be completed and the software will be used to perform the function intended. The software developed or obtained for internal use is amortized on a straight-line basis commencing when such software is ready for its intended use. The net carrying value of software developed or obtained for internal use was $84 million and $89 million as of December 31, 2009 and 2008, respectively.</w:t>
      </w:r>
    </w:p>
    <w:p>
      <w:pPr>
        <w:spacing w:after="0" w:line="13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color w:val="auto"/>
        </w:rPr>
        <w:t>GOODWILL AND OTHER INTANGIBLE ASSETS</w:t>
      </w:r>
    </w:p>
    <w:p>
      <w:pPr>
        <w:spacing w:after="0" w:line="173" w:lineRule="exact"/>
        <w:rPr>
          <w:sz w:val="20"/>
          <w:szCs w:val="20"/>
          <w:color w:val="auto"/>
        </w:rPr>
      </w:pPr>
    </w:p>
    <w:p>
      <w:pPr>
        <w:ind w:left="360" w:right="80"/>
        <w:spacing w:after="0" w:line="258" w:lineRule="auto"/>
        <w:rPr>
          <w:sz w:val="20"/>
          <w:szCs w:val="20"/>
          <w:color w:val="auto"/>
        </w:rPr>
      </w:pPr>
      <w:r>
        <w:rPr>
          <w:rFonts w:ascii="Times New Roman" w:cs="Times New Roman" w:eastAsia="Times New Roman" w:hAnsi="Times New Roman"/>
          <w:sz w:val="18"/>
          <w:szCs w:val="18"/>
          <w:color w:val="auto"/>
        </w:rPr>
        <w:t>Goodwill represents the excess of the cost of an acquired entity over the fair values assigned to the tangible assets acquired, the identifiable intangible assets that are required to be valued and reported and the liabilities assumed. The Company does not amortize goodwill, but tests it at least annually for recoverability. Other intangible assets, primarily trademarks, with indefinite lives are not amortized but are evaluated annually for impairment. Other intangible assets with finite lives are amortized over their remaining useful lives.</w:t>
      </w:r>
    </w:p>
    <w:p>
      <w:pPr>
        <w:spacing w:after="0" w:line="13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color w:val="auto"/>
        </w:rPr>
        <w:t>IMPAIRMENT OF LONG-LIVED ASSETS</w:t>
      </w:r>
    </w:p>
    <w:p>
      <w:pPr>
        <w:spacing w:after="0" w:line="173" w:lineRule="exact"/>
        <w:rPr>
          <w:sz w:val="20"/>
          <w:szCs w:val="20"/>
          <w:color w:val="auto"/>
        </w:rPr>
      </w:pPr>
    </w:p>
    <w:p>
      <w:pPr>
        <w:ind w:left="360" w:right="40"/>
        <w:spacing w:after="0" w:line="258" w:lineRule="auto"/>
        <w:rPr>
          <w:sz w:val="20"/>
          <w:szCs w:val="20"/>
          <w:color w:val="auto"/>
        </w:rPr>
      </w:pPr>
      <w:r>
        <w:rPr>
          <w:rFonts w:ascii="Times New Roman" w:cs="Times New Roman" w:eastAsia="Times New Roman" w:hAnsi="Times New Roman"/>
          <w:sz w:val="18"/>
          <w:szCs w:val="18"/>
          <w:color w:val="auto"/>
        </w:rPr>
        <w:t>The Company is required to assess goodwill and other indefinite-lived intangible assets for impairment annually, or more frequently if circumstances indicate impairment may have occurred. The Company performs its annual impairment assessment in the fourth quarter of each year. Each of the Company’s operating segments represents a reporting unit. If the carrying value of an intangible asset exceeds its fair value, an impairment loss is recognized in an amount equal to that excess.</w:t>
      </w:r>
    </w:p>
    <w:p>
      <w:pPr>
        <w:spacing w:after="0" w:line="136" w:lineRule="exact"/>
        <w:rPr>
          <w:sz w:val="20"/>
          <w:szCs w:val="20"/>
          <w:color w:val="auto"/>
        </w:rPr>
      </w:pPr>
    </w:p>
    <w:p>
      <w:pPr>
        <w:ind w:left="360"/>
        <w:spacing w:after="0" w:line="256" w:lineRule="auto"/>
        <w:rPr>
          <w:sz w:val="20"/>
          <w:szCs w:val="20"/>
          <w:color w:val="auto"/>
        </w:rPr>
      </w:pPr>
      <w:r>
        <w:rPr>
          <w:rFonts w:ascii="Times New Roman" w:cs="Times New Roman" w:eastAsia="Times New Roman" w:hAnsi="Times New Roman"/>
          <w:sz w:val="18"/>
          <w:szCs w:val="18"/>
          <w:color w:val="auto"/>
        </w:rPr>
        <w:t>The Company assesses goodwill for such impairment by comparing the carrying value of each reporting unit to its fair value using the present value of expected future cash flows. If this first step of the goodwill impairment test identifies a potential impairment, we perform a second step for that reporting unit to determine the amount of impairment loss, if any. The Company determines the fair value of its reporting units utilizing discounted cash flows and incorporates assumptions that it believes marketplace participants would utilize. When available and as appropriate, comparative market multiples and other factors to corroborate the discounted cash flow results are used.</w:t>
      </w:r>
    </w:p>
    <w:p>
      <w:pPr>
        <w:spacing w:after="0" w:line="139" w:lineRule="exact"/>
        <w:rPr>
          <w:sz w:val="20"/>
          <w:szCs w:val="20"/>
          <w:color w:val="auto"/>
        </w:rPr>
      </w:pPr>
    </w:p>
    <w:p>
      <w:pPr>
        <w:ind w:left="360" w:right="60"/>
        <w:spacing w:after="0" w:line="258" w:lineRule="auto"/>
        <w:rPr>
          <w:sz w:val="20"/>
          <w:szCs w:val="20"/>
          <w:color w:val="auto"/>
        </w:rPr>
      </w:pPr>
      <w:r>
        <w:rPr>
          <w:rFonts w:ascii="Times New Roman" w:cs="Times New Roman" w:eastAsia="Times New Roman" w:hAnsi="Times New Roman"/>
          <w:sz w:val="18"/>
          <w:szCs w:val="18"/>
          <w:color w:val="auto"/>
        </w:rPr>
        <w:t>The Company also evaluates the recoverability of its other long-lived assets, including amortizable intangible assets, if circumstances indicate impairment may have occurred. This analysis is performed by comparing the respective carrying values of the assets to the current and expected future cash flows, on an undiscounted basis, to be generated from such assets. Property and equipment is evaluated separately within each segment. If such analysis indicates that the carrying value of these assets is not recoverable, the carrying value of such assets is reduced to fair value.</w:t>
      </w:r>
    </w:p>
    <w:p>
      <w:pPr>
        <w:spacing w:after="0" w:line="13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During 2009, there was no impairment of goodwill or other intangible assets.</w:t>
      </w:r>
    </w:p>
    <w:p>
      <w:pPr>
        <w:spacing w:after="0" w:line="15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F-12</w:t>
      </w:r>
    </w:p>
    <w:p>
      <w:pPr>
        <w:sectPr>
          <w:pgSz w:w="11900" w:h="16838" w:orient="portrait"/>
          <w:cols w:equalWidth="0" w:num="1">
            <w:col w:w="11420"/>
          </w:cols>
          <w:pgMar w:left="240" w:top="455" w:right="239" w:bottom="1440" w:gutter="0" w:footer="0" w:header="0"/>
          <w:type w:val="continuous"/>
        </w:sectPr>
      </w:pPr>
    </w:p>
    <w:bookmarkStart w:id="73" w:name="page74"/>
    <w:bookmarkEnd w:id="7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360" w:right="160"/>
        <w:spacing w:after="0" w:line="256" w:lineRule="auto"/>
        <w:rPr>
          <w:sz w:val="20"/>
          <w:szCs w:val="20"/>
          <w:color w:val="auto"/>
        </w:rPr>
      </w:pPr>
      <w:r>
        <w:rPr>
          <w:rFonts w:ascii="Times New Roman" w:cs="Times New Roman" w:eastAsia="Times New Roman" w:hAnsi="Times New Roman"/>
          <w:sz w:val="18"/>
          <w:szCs w:val="18"/>
          <w:color w:val="auto"/>
        </w:rPr>
        <w:t>In 2008, the Company recorded a $1,244 million ($1,042 million, net of tax) charge to reflect (i) the impairment of goodwill and (ii) the impairment of the Company’s tradenames asset. These charges reflect the decline in their fair value below their carrying value, primarily as a result of reduced market valuations for vehicle services and other companies, as well as reduced profit forecasts due to soft economic conditions and increased financing costs. Domestic Car Rental recorded $882 million and International Car Rental recorded $275 million for goodwill and tradenames impairment and Truck Rental recorded $87 million for goodwill impairment.</w:t>
      </w:r>
    </w:p>
    <w:p>
      <w:pPr>
        <w:spacing w:after="0" w:line="139" w:lineRule="exact"/>
        <w:rPr>
          <w:sz w:val="20"/>
          <w:szCs w:val="20"/>
          <w:color w:val="auto"/>
        </w:rPr>
      </w:pPr>
    </w:p>
    <w:p>
      <w:pPr>
        <w:ind w:left="360" w:right="40"/>
        <w:spacing w:after="0" w:line="262" w:lineRule="auto"/>
        <w:rPr>
          <w:sz w:val="20"/>
          <w:szCs w:val="20"/>
          <w:color w:val="auto"/>
        </w:rPr>
      </w:pPr>
      <w:r>
        <w:rPr>
          <w:rFonts w:ascii="Times New Roman" w:cs="Times New Roman" w:eastAsia="Times New Roman" w:hAnsi="Times New Roman"/>
          <w:sz w:val="18"/>
          <w:szCs w:val="18"/>
          <w:color w:val="auto"/>
        </w:rPr>
        <w:t>In 2007, the Company recorded a $1,195 million ($1,073 million, net of tax) charge for the impairment of goodwill at each of the Company’s reporting units to reflect the decline in their fair value as evidenced by a decline in the market value of the Company’s common stock. Domestic Car Rental recorded $786 million of the goodwill impairment, International Car Rental recorded $268 million and Truck Rental recorded $141 million.</w:t>
      </w:r>
    </w:p>
    <w:p>
      <w:pPr>
        <w:spacing w:after="0" w:line="13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color w:val="auto"/>
        </w:rPr>
        <w:t>PROGRAM CASH</w:t>
      </w:r>
    </w:p>
    <w:p>
      <w:pPr>
        <w:spacing w:after="0" w:line="17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Program cash primarily represents amounts specifically designated to purchase assets under vehicle programs and/or to repay the related debt.</w:t>
      </w:r>
    </w:p>
    <w:p>
      <w:pPr>
        <w:spacing w:after="0" w:line="16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color w:val="auto"/>
        </w:rPr>
        <w:t>VEHICLES</w:t>
      </w:r>
    </w:p>
    <w:p>
      <w:pPr>
        <w:spacing w:after="0" w:line="173" w:lineRule="exact"/>
        <w:rPr>
          <w:sz w:val="20"/>
          <w:szCs w:val="20"/>
          <w:color w:val="auto"/>
        </w:rPr>
      </w:pPr>
    </w:p>
    <w:p>
      <w:pPr>
        <w:ind w:left="360" w:right="80"/>
        <w:spacing w:after="0" w:line="290" w:lineRule="auto"/>
        <w:rPr>
          <w:sz w:val="20"/>
          <w:szCs w:val="20"/>
          <w:color w:val="auto"/>
        </w:rPr>
      </w:pPr>
      <w:r>
        <w:rPr>
          <w:rFonts w:ascii="Times New Roman" w:cs="Times New Roman" w:eastAsia="Times New Roman" w:hAnsi="Times New Roman"/>
          <w:sz w:val="16"/>
          <w:szCs w:val="16"/>
          <w:color w:val="auto"/>
        </w:rPr>
        <w:t>Vehicles are stated at cost, net of accumulated depreciation. The initial cost of the vehicles is recorded net of incentives and allowances from manufacturers. The Company acquires many of its rental vehicles pursuant to repurchase and guaranteed depreciation programs established by automobile manufacturers. Under these programs, the manufacturers agree to repurchase vehicles at a specified price and date, or guarantee the depreciation rate for a specified period of time, subject to certain eligibility criteria (such as car condition and mileage requirements). The Company depreciates vehicles such that the net book value on the date of return to the manufacturers is intended to equal the contractual guaranteed residual values, thereby minimizing any gain or loss. The Company records depreciation expense for any deficiency in the contractual guaranteed residual values due to excessive wear or damages. At December 31, 2009, the Company has cumulatively recorded $18 million for the projected difference between the contracted guaranteed residual value and the carrying value of such vehicles, which is reflected in the Consolidated Statements of Operations.</w:t>
      </w:r>
    </w:p>
    <w:p>
      <w:pPr>
        <w:spacing w:after="0" w:line="112" w:lineRule="exact"/>
        <w:rPr>
          <w:sz w:val="20"/>
          <w:szCs w:val="20"/>
          <w:color w:val="auto"/>
        </w:rPr>
      </w:pPr>
    </w:p>
    <w:p>
      <w:pPr>
        <w:ind w:left="360" w:right="260"/>
        <w:spacing w:after="0" w:line="339" w:lineRule="auto"/>
        <w:rPr>
          <w:sz w:val="20"/>
          <w:szCs w:val="20"/>
          <w:color w:val="auto"/>
        </w:rPr>
      </w:pPr>
      <w:r>
        <w:rPr>
          <w:rFonts w:ascii="Times New Roman" w:cs="Times New Roman" w:eastAsia="Times New Roman" w:hAnsi="Times New Roman"/>
          <w:sz w:val="16"/>
          <w:szCs w:val="16"/>
          <w:color w:val="auto"/>
        </w:rPr>
        <w:t>Rental vehicles acquired outside of manufacturer repurchase and guaranteed depreciation programs are depreciated based upon their estimated residual values at their expected dates of disposition, after giving effect to anticipated conditions in the used car market which are reviewed on a continuous basis.</w:t>
      </w:r>
    </w:p>
    <w:p>
      <w:pPr>
        <w:spacing w:after="0" w:line="74" w:lineRule="exact"/>
        <w:rPr>
          <w:sz w:val="20"/>
          <w:szCs w:val="20"/>
          <w:color w:val="auto"/>
        </w:rPr>
      </w:pPr>
    </w:p>
    <w:p>
      <w:pPr>
        <w:ind w:left="360" w:right="80"/>
        <w:spacing w:after="0" w:line="262" w:lineRule="auto"/>
        <w:rPr>
          <w:sz w:val="20"/>
          <w:szCs w:val="20"/>
          <w:color w:val="auto"/>
        </w:rPr>
      </w:pPr>
      <w:r>
        <w:rPr>
          <w:rFonts w:ascii="Times New Roman" w:cs="Times New Roman" w:eastAsia="Times New Roman" w:hAnsi="Times New Roman"/>
          <w:sz w:val="18"/>
          <w:szCs w:val="18"/>
          <w:color w:val="auto"/>
        </w:rPr>
        <w:t>For 2009, 2008 and 2007, rental vehicles were depreciated at rates ranging from 5% to 48% per annum. Upon disposal of the vehicles, depreciation expense is adjusted for any difference between the net sales proceeds and the remaining book value. Vehicle-related interest amounts are net of vehicle-related interest income of $15 million, $7 million and $5 million for 2009, 2008 and 2007, respectively (see Note 1—Basis of Presentation).</w:t>
      </w:r>
    </w:p>
    <w:p>
      <w:pPr>
        <w:spacing w:after="0" w:line="132" w:lineRule="exact"/>
        <w:rPr>
          <w:sz w:val="20"/>
          <w:szCs w:val="20"/>
          <w:color w:val="auto"/>
        </w:rPr>
      </w:pPr>
    </w:p>
    <w:p>
      <w:pPr>
        <w:ind w:left="360"/>
        <w:spacing w:after="0" w:line="256" w:lineRule="auto"/>
        <w:rPr>
          <w:sz w:val="20"/>
          <w:szCs w:val="20"/>
          <w:color w:val="auto"/>
        </w:rPr>
      </w:pPr>
      <w:r>
        <w:rPr>
          <w:rFonts w:ascii="Times New Roman" w:cs="Times New Roman" w:eastAsia="Times New Roman" w:hAnsi="Times New Roman"/>
          <w:sz w:val="18"/>
          <w:szCs w:val="18"/>
          <w:color w:val="auto"/>
        </w:rPr>
        <w:t>In fourth quarter of 2008, the Company increased the assumed service lives of its model year 2004 and later diesel trucks and model year 2005 and later gas trucks, to better reflect the projected hold period of these vehicles. In fourth quarter of 2007, the Company revised the assumed service lives of its truck fleet, for model years 2004 and later, to better reflect the projected hold periods of these vehicles. Also in fourth quarter 2007, the Company revised its estimates for recording depreciation expense related to certain vehicles covered by repurchase and guaranteed depreciation agreements (see Note 1—Basis of Presentation).</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F-13</w:t>
      </w:r>
    </w:p>
    <w:p>
      <w:pPr>
        <w:sectPr>
          <w:pgSz w:w="11900" w:h="16838" w:orient="portrait"/>
          <w:cols w:equalWidth="0" w:num="1">
            <w:col w:w="11400"/>
          </w:cols>
          <w:pgMar w:left="240" w:top="455" w:right="259" w:bottom="1440" w:gutter="0" w:footer="0" w:header="0"/>
        </w:sectPr>
      </w:pPr>
    </w:p>
    <w:bookmarkStart w:id="74" w:name="page75"/>
    <w:bookmarkEnd w:id="7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color w:val="auto"/>
        </w:rPr>
        <w:t>ADVERTISING EXPENSES</w:t>
      </w:r>
    </w:p>
    <w:p>
      <w:pPr>
        <w:spacing w:after="0" w:line="173" w:lineRule="exact"/>
        <w:rPr>
          <w:sz w:val="20"/>
          <w:szCs w:val="20"/>
          <w:color w:val="auto"/>
        </w:rPr>
      </w:pPr>
    </w:p>
    <w:p>
      <w:pPr>
        <w:ind w:left="360"/>
        <w:spacing w:after="0" w:line="262" w:lineRule="auto"/>
        <w:rPr>
          <w:sz w:val="20"/>
          <w:szCs w:val="20"/>
          <w:color w:val="auto"/>
        </w:rPr>
      </w:pPr>
      <w:r>
        <w:rPr>
          <w:rFonts w:ascii="Times New Roman" w:cs="Times New Roman" w:eastAsia="Times New Roman" w:hAnsi="Times New Roman"/>
          <w:sz w:val="18"/>
          <w:szCs w:val="18"/>
          <w:color w:val="auto"/>
        </w:rPr>
        <w:t>Advertising costs are expensed in the period incurred. Advertising expenses, recorded within selling, general and administrative expense on our Consolidated Statements of Operations, include radio, television, “yellow pages” and other advertising, travel partner points programs, internet advertising and other promotions and were $87 million in 2009 and approximately $106 million in both 2008 and 2007.</w:t>
      </w:r>
    </w:p>
    <w:p>
      <w:pPr>
        <w:spacing w:after="0" w:line="13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color w:val="auto"/>
        </w:rPr>
        <w:t>TAXES</w:t>
      </w:r>
    </w:p>
    <w:p>
      <w:pPr>
        <w:spacing w:after="0" w:line="173" w:lineRule="exact"/>
        <w:rPr>
          <w:sz w:val="20"/>
          <w:szCs w:val="20"/>
          <w:color w:val="auto"/>
        </w:rPr>
      </w:pPr>
    </w:p>
    <w:p>
      <w:pPr>
        <w:ind w:left="360" w:right="240"/>
        <w:spacing w:after="0" w:line="256" w:lineRule="auto"/>
        <w:rPr>
          <w:sz w:val="20"/>
          <w:szCs w:val="20"/>
          <w:color w:val="auto"/>
        </w:rPr>
      </w:pPr>
      <w:r>
        <w:rPr>
          <w:rFonts w:ascii="Times New Roman" w:cs="Times New Roman" w:eastAsia="Times New Roman" w:hAnsi="Times New Roman"/>
          <w:sz w:val="18"/>
          <w:szCs w:val="18"/>
          <w:color w:val="auto"/>
        </w:rPr>
        <w:t>The Company accounts for income taxes under the asset and liability method, which requires the recognition of deferred tax assets and liabilities for the expected future tax consequences of events that have been included in the financial statements. Under this method, deferred tax assets and liabilities are determined based on the differences between the financial statement and tax basis of assets and liabilities using enacted tax rates in effect for the year in which the differences are expected to reverse. The effect of a change in tax rates on deferred tax assets and liabilities is recognized in income in the period that includes the enactment date.</w:t>
      </w:r>
    </w:p>
    <w:p>
      <w:pPr>
        <w:spacing w:after="0" w:line="139" w:lineRule="exact"/>
        <w:rPr>
          <w:sz w:val="20"/>
          <w:szCs w:val="20"/>
          <w:color w:val="auto"/>
        </w:rPr>
      </w:pPr>
    </w:p>
    <w:p>
      <w:pPr>
        <w:ind w:left="360" w:right="120"/>
        <w:spacing w:after="0" w:line="256" w:lineRule="auto"/>
        <w:rPr>
          <w:sz w:val="20"/>
          <w:szCs w:val="20"/>
          <w:color w:val="auto"/>
        </w:rPr>
      </w:pPr>
      <w:r>
        <w:rPr>
          <w:rFonts w:ascii="Times New Roman" w:cs="Times New Roman" w:eastAsia="Times New Roman" w:hAnsi="Times New Roman"/>
          <w:sz w:val="18"/>
          <w:szCs w:val="18"/>
          <w:color w:val="auto"/>
        </w:rPr>
        <w:t>The Company records net deferred tax assets to the extent it believes that it is more likely than not that these assets will be realized. In making such determination, the Company considers all available positive and negative evidence, including scheduled reversals of deferred tax liabilities, projected future taxable income, tax planning strategies and recent results of operations. In the event the Company were to determine that it would be able to realize the deferred income tax assets in the future in excess of their net recorded amount, the Company would adjust the valuation allowance, which would reduce the provision for income taxes.</w:t>
      </w:r>
    </w:p>
    <w:p>
      <w:pPr>
        <w:spacing w:after="0" w:line="139" w:lineRule="exact"/>
        <w:rPr>
          <w:sz w:val="20"/>
          <w:szCs w:val="20"/>
          <w:color w:val="auto"/>
        </w:rPr>
      </w:pPr>
    </w:p>
    <w:p>
      <w:pPr>
        <w:ind w:left="360" w:right="700"/>
        <w:spacing w:after="0" w:line="275" w:lineRule="auto"/>
        <w:rPr>
          <w:sz w:val="20"/>
          <w:szCs w:val="20"/>
          <w:color w:val="auto"/>
        </w:rPr>
      </w:pPr>
      <w:r>
        <w:rPr>
          <w:rFonts w:ascii="Times New Roman" w:cs="Times New Roman" w:eastAsia="Times New Roman" w:hAnsi="Times New Roman"/>
          <w:sz w:val="18"/>
          <w:szCs w:val="18"/>
          <w:color w:val="auto"/>
        </w:rPr>
        <w:t>The Company reports revenues net of any tax assessed by a governmental authority that is both imposed on and concurrent with a specific revenue-producing transaction between a seller and a customer in its Consolidated Statements of Operations.</w:t>
      </w:r>
    </w:p>
    <w:p>
      <w:pPr>
        <w:spacing w:after="0" w:line="11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color w:val="auto"/>
        </w:rPr>
        <w:t>DERIVATIVE INSTRUMENTS</w:t>
      </w:r>
    </w:p>
    <w:p>
      <w:pPr>
        <w:spacing w:after="0" w:line="173" w:lineRule="exact"/>
        <w:rPr>
          <w:sz w:val="20"/>
          <w:szCs w:val="20"/>
          <w:color w:val="auto"/>
        </w:rPr>
      </w:pPr>
    </w:p>
    <w:p>
      <w:pPr>
        <w:ind w:left="360" w:right="640"/>
        <w:spacing w:after="0" w:line="339" w:lineRule="auto"/>
        <w:rPr>
          <w:sz w:val="20"/>
          <w:szCs w:val="20"/>
          <w:color w:val="auto"/>
        </w:rPr>
      </w:pPr>
      <w:r>
        <w:rPr>
          <w:rFonts w:ascii="Times New Roman" w:cs="Times New Roman" w:eastAsia="Times New Roman" w:hAnsi="Times New Roman"/>
          <w:sz w:val="16"/>
          <w:szCs w:val="16"/>
          <w:color w:val="auto"/>
        </w:rPr>
        <w:t>Derivative instruments are used as part of the Company’s overall strategy to manage exposure to market risks associated with fluctuations in foreign currency exchange rates, interest rates and gasoline costs. As a matter of policy, derivatives are not used for trading or speculative purposes.</w:t>
      </w:r>
    </w:p>
    <w:p>
      <w:pPr>
        <w:spacing w:after="0" w:line="74" w:lineRule="exact"/>
        <w:rPr>
          <w:sz w:val="20"/>
          <w:szCs w:val="20"/>
          <w:color w:val="auto"/>
        </w:rPr>
      </w:pPr>
    </w:p>
    <w:p>
      <w:pPr>
        <w:ind w:left="360" w:right="40"/>
        <w:spacing w:after="0" w:line="254" w:lineRule="auto"/>
        <w:rPr>
          <w:sz w:val="20"/>
          <w:szCs w:val="20"/>
          <w:color w:val="auto"/>
        </w:rPr>
      </w:pPr>
      <w:r>
        <w:rPr>
          <w:rFonts w:ascii="Times New Roman" w:cs="Times New Roman" w:eastAsia="Times New Roman" w:hAnsi="Times New Roman"/>
          <w:sz w:val="18"/>
          <w:szCs w:val="18"/>
          <w:color w:val="auto"/>
        </w:rPr>
        <w:t>All derivatives are recorded at fair value either as assets or liabilities. Changes in fair value of derivatives not designated as hedging instruments are recognized currently in earnings within the same line item as the hedged item (principally vehicle interest, net). The effective portion of changes in fair value of derivatives designated as cash flow hedging instruments is recorded as a component of other comprehensive income. The ineffective portion is recognized currently in earnings within the same line item as the hedged item, including vehicle interest, net or interest related to corporate debt, net, based upon the nature of the hedged item. Amounts included in other comprehensive income are reclassified into earnings in the same period during which the hedged item affects earnings. Generally, all amounts related to our derivative instruments are recognized in the Consolidated Statements of Cash Flows consistent with the nature of the hedged item (principally operating activities).</w:t>
      </w:r>
    </w:p>
    <w:p>
      <w:pPr>
        <w:spacing w:after="0" w:line="14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During 2009, 2008 and 2007, the Company did not utilize fair value hedges.</w:t>
      </w:r>
    </w:p>
    <w:p>
      <w:pPr>
        <w:spacing w:after="0" w:line="16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color w:val="auto"/>
        </w:rPr>
        <w:t>INVESTMENTS</w:t>
      </w:r>
    </w:p>
    <w:p>
      <w:pPr>
        <w:spacing w:after="0" w:line="173" w:lineRule="exact"/>
        <w:rPr>
          <w:sz w:val="20"/>
          <w:szCs w:val="20"/>
          <w:color w:val="auto"/>
        </w:rPr>
      </w:pPr>
    </w:p>
    <w:p>
      <w:pPr>
        <w:ind w:left="360" w:right="80"/>
        <w:spacing w:after="0" w:line="258" w:lineRule="auto"/>
        <w:rPr>
          <w:sz w:val="20"/>
          <w:szCs w:val="20"/>
          <w:color w:val="auto"/>
        </w:rPr>
      </w:pPr>
      <w:r>
        <w:rPr>
          <w:rFonts w:ascii="Times New Roman" w:cs="Times New Roman" w:eastAsia="Times New Roman" w:hAnsi="Times New Roman"/>
          <w:sz w:val="18"/>
          <w:szCs w:val="18"/>
          <w:color w:val="auto"/>
        </w:rPr>
        <w:t>The Company determines the appropriate classification of its investments in debt and equity securities at the time of purchase and reevaluates such determination at each balance sheet date. The Company’s non-marketable preferred stock investments are accounted for at cost plus accretion. Common stock investments in affiliates over which the Company has the ability to exercise significant influence but not a controlling interest are carried on the equity method of accounting. Available-for-sale securities are carried at</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w:t>
      </w:r>
    </w:p>
    <w:p>
      <w:pPr>
        <w:sectPr>
          <w:pgSz w:w="11900" w:h="16838" w:orient="portrait"/>
          <w:cols w:equalWidth="0" w:num="1">
            <w:col w:w="11420"/>
          </w:cols>
          <w:pgMar w:left="240" w:top="455" w:right="239" w:bottom="1440" w:gutter="0" w:footer="0" w:header="0"/>
        </w:sectPr>
      </w:pPr>
    </w:p>
    <w:bookmarkStart w:id="75" w:name="page76"/>
    <w:bookmarkEnd w:id="7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360" w:right="40"/>
        <w:spacing w:after="0" w:line="275" w:lineRule="auto"/>
        <w:rPr>
          <w:sz w:val="20"/>
          <w:szCs w:val="20"/>
          <w:color w:val="auto"/>
        </w:rPr>
      </w:pPr>
      <w:r>
        <w:rPr>
          <w:rFonts w:ascii="Times New Roman" w:cs="Times New Roman" w:eastAsia="Times New Roman" w:hAnsi="Times New Roman"/>
          <w:sz w:val="18"/>
          <w:szCs w:val="18"/>
          <w:color w:val="auto"/>
        </w:rPr>
        <w:t>current fair value with unrealized gains or losses reported net of taxes as a separate component of stockholders’ equity. Trading securities are recorded at fair value with realized and unrealized gains and losses reported currently in earnings.</w:t>
      </w:r>
    </w:p>
    <w:p>
      <w:pPr>
        <w:spacing w:after="0" w:line="120" w:lineRule="exact"/>
        <w:rPr>
          <w:sz w:val="20"/>
          <w:szCs w:val="20"/>
          <w:color w:val="auto"/>
        </w:rPr>
      </w:pPr>
    </w:p>
    <w:p>
      <w:pPr>
        <w:ind w:left="360" w:right="60"/>
        <w:spacing w:after="0" w:line="262" w:lineRule="auto"/>
        <w:rPr>
          <w:sz w:val="20"/>
          <w:szCs w:val="20"/>
          <w:color w:val="auto"/>
        </w:rPr>
      </w:pPr>
      <w:r>
        <w:rPr>
          <w:rFonts w:ascii="Times New Roman" w:cs="Times New Roman" w:eastAsia="Times New Roman" w:hAnsi="Times New Roman"/>
          <w:sz w:val="18"/>
          <w:szCs w:val="18"/>
          <w:color w:val="auto"/>
        </w:rPr>
        <w:t>During 2009, the Company recorded a $33 million ($20 million, net of tax) charge primarily to reflect the impairment of its investment in Carey Holdings, Inc. (“Carey”) (see Note 14—Equity Investment). In 2008, the Company recorded an $18 million ($11 million, net of tax) charge to reflect impairment of its investment in Carey.</w:t>
      </w:r>
    </w:p>
    <w:p>
      <w:pPr>
        <w:spacing w:after="0" w:line="132" w:lineRule="exact"/>
        <w:rPr>
          <w:sz w:val="20"/>
          <w:szCs w:val="20"/>
          <w:color w:val="auto"/>
        </w:rPr>
      </w:pPr>
    </w:p>
    <w:p>
      <w:pPr>
        <w:ind w:left="360" w:right="300"/>
        <w:spacing w:after="0" w:line="275" w:lineRule="auto"/>
        <w:rPr>
          <w:sz w:val="20"/>
          <w:szCs w:val="20"/>
          <w:color w:val="auto"/>
        </w:rPr>
      </w:pPr>
      <w:r>
        <w:rPr>
          <w:rFonts w:ascii="Times New Roman" w:cs="Times New Roman" w:eastAsia="Times New Roman" w:hAnsi="Times New Roman"/>
          <w:sz w:val="18"/>
          <w:szCs w:val="18"/>
          <w:color w:val="auto"/>
        </w:rPr>
        <w:t>Aggregate realized gains and losses on investments and preferred dividend income are recorded within other revenues on the Consolidated Statements of Operations. There were no net realized gains or losses in continuing operations in 2009, 2008 and 2007.</w:t>
      </w:r>
    </w:p>
    <w:p>
      <w:pPr>
        <w:spacing w:after="0" w:line="118" w:lineRule="exact"/>
        <w:rPr>
          <w:sz w:val="20"/>
          <w:szCs w:val="20"/>
          <w:color w:val="auto"/>
        </w:rPr>
      </w:pPr>
    </w:p>
    <w:p>
      <w:pPr>
        <w:ind w:left="360" w:right="6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Affinion Group Holdings, Inc. </w:t>
      </w:r>
      <w:r>
        <w:rPr>
          <w:rFonts w:ascii="Times New Roman" w:cs="Times New Roman" w:eastAsia="Times New Roman" w:hAnsi="Times New Roman"/>
          <w:sz w:val="18"/>
          <w:szCs w:val="18"/>
          <w:color w:val="auto"/>
        </w:rPr>
        <w:t>The Company’s former investment in Affinion Group Holdings, Inc. (“Affinion”) was received in connection with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October 2005 sale of its former Marketing Services division, along with cash proceeds approximating $1.7 billion. This investment represented preferred stock with a carrying value of $95 million, including accrued dividends (face value of $125 million) maturing in October 2017, and warrants with a carrying value of $3 million that were exercisable into 7.5% of the common equity of Affinion upon the earlier of four years or the achievement of specified investment hurdles.</w:t>
      </w:r>
    </w:p>
    <w:p>
      <w:pPr>
        <w:spacing w:after="0" w:line="136" w:lineRule="exact"/>
        <w:rPr>
          <w:sz w:val="20"/>
          <w:szCs w:val="20"/>
          <w:color w:val="auto"/>
        </w:rPr>
      </w:pPr>
    </w:p>
    <w:p>
      <w:pPr>
        <w:ind w:left="360" w:right="220"/>
        <w:spacing w:after="0" w:line="258" w:lineRule="auto"/>
        <w:rPr>
          <w:sz w:val="20"/>
          <w:szCs w:val="20"/>
          <w:color w:val="auto"/>
        </w:rPr>
      </w:pPr>
      <w:r>
        <w:rPr>
          <w:rFonts w:ascii="Times New Roman" w:cs="Times New Roman" w:eastAsia="Times New Roman" w:hAnsi="Times New Roman"/>
          <w:sz w:val="18"/>
          <w:szCs w:val="18"/>
          <w:color w:val="auto"/>
        </w:rPr>
        <w:t>Pursuant to the Separation Agreement, the Company was obligated to distribute all proceeds received on the sale of its investments in Affinion to Realogy and Wyndham. Accordingly, following the spin-offs of Realogy and Wyndham on July 31, 2006, the Company began to recognize a charge on its Consolidated Statements of Operations equal to the dividend and accretion income on the preferred stock of Affinion. In 2007, the Company sold the majority of its preferred stock investment in Affinion and distributed the proceeds and the remaining investment to Realogy and Wyndham.</w:t>
      </w:r>
    </w:p>
    <w:p>
      <w:pPr>
        <w:spacing w:after="0" w:line="13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color w:val="auto"/>
        </w:rPr>
        <w:t>SELF-INSURANCE RESERVES</w:t>
      </w:r>
    </w:p>
    <w:p>
      <w:pPr>
        <w:spacing w:after="0" w:line="173" w:lineRule="exact"/>
        <w:rPr>
          <w:sz w:val="20"/>
          <w:szCs w:val="20"/>
          <w:color w:val="auto"/>
        </w:rPr>
      </w:pPr>
    </w:p>
    <w:p>
      <w:pPr>
        <w:ind w:left="360"/>
        <w:spacing w:after="0" w:line="254" w:lineRule="auto"/>
        <w:rPr>
          <w:sz w:val="20"/>
          <w:szCs w:val="20"/>
          <w:color w:val="auto"/>
        </w:rPr>
      </w:pPr>
      <w:r>
        <w:rPr>
          <w:rFonts w:ascii="Times New Roman" w:cs="Times New Roman" w:eastAsia="Times New Roman" w:hAnsi="Times New Roman"/>
          <w:sz w:val="18"/>
          <w:szCs w:val="18"/>
          <w:color w:val="auto"/>
        </w:rPr>
        <w:t>The Consolidated Balance Sheets include $308 million and $325 million of liabilities with respect to self-insured public liability and property damage as of December 31, 2009 and 2008, respectively. Such liabilities relate to excess liability insurance, personal effects protection insurance, public liability, property damage and personal accident insurance claims for which the Company is self-insured. These obligations represent an estimate for both reported claims not yet paid and claims incurred but not yet reported. The Company estimates the required reserve for such claims on an undiscounted basis utilizing an actuarial method that is based upon various assumptions which include, but are not limited to, the Company’s historical loss experience and projected loss development factors. The required liability is also subject to adjustment in the future based upon the changes in claims experience, including changes in the number of incidents and changes in the ultimate cost per incident. These amounts are included within accounts payable and other current liabilities and other non-current liabilities.</w:t>
      </w:r>
    </w:p>
    <w:p>
      <w:pPr>
        <w:spacing w:after="0" w:line="138" w:lineRule="exact"/>
        <w:rPr>
          <w:sz w:val="20"/>
          <w:szCs w:val="20"/>
          <w:color w:val="auto"/>
        </w:rPr>
      </w:pPr>
    </w:p>
    <w:p>
      <w:pPr>
        <w:ind w:left="360" w:right="380"/>
        <w:spacing w:after="0" w:line="258" w:lineRule="auto"/>
        <w:rPr>
          <w:sz w:val="20"/>
          <w:szCs w:val="20"/>
          <w:color w:val="auto"/>
        </w:rPr>
      </w:pPr>
      <w:r>
        <w:rPr>
          <w:rFonts w:ascii="Times New Roman" w:cs="Times New Roman" w:eastAsia="Times New Roman" w:hAnsi="Times New Roman"/>
          <w:sz w:val="18"/>
          <w:szCs w:val="18"/>
          <w:color w:val="auto"/>
        </w:rPr>
        <w:t>The Consolidated Balance Sheets also include liabilities of approximately $65 million and $71 million as of December 31, 2009 and 2008, respectively, related to health and welfare, workers’ compensation and other benefits the Company provides to its employees. The Company estimates the liability required for such benefits based on actual claims outstanding and the estimated cost of claims incurred as of the balance sheet date. These amounts are included within accounts payable and other current liabilities.</w:t>
      </w:r>
    </w:p>
    <w:p>
      <w:pPr>
        <w:spacing w:after="0" w:line="13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color w:val="auto"/>
        </w:rPr>
        <w:t>ADOPTION OF NEW ACCOUNTING STANDARDS DURING 2009</w:t>
      </w:r>
    </w:p>
    <w:p>
      <w:pPr>
        <w:spacing w:after="0" w:line="173" w:lineRule="exact"/>
        <w:rPr>
          <w:sz w:val="20"/>
          <w:szCs w:val="20"/>
          <w:color w:val="auto"/>
        </w:rPr>
      </w:pPr>
    </w:p>
    <w:p>
      <w:pPr>
        <w:ind w:left="360" w:right="120"/>
        <w:spacing w:after="0" w:line="262" w:lineRule="auto"/>
        <w:rPr>
          <w:sz w:val="20"/>
          <w:szCs w:val="20"/>
          <w:color w:val="auto"/>
        </w:rPr>
      </w:pPr>
      <w:r>
        <w:rPr>
          <w:rFonts w:ascii="Times New Roman" w:cs="Times New Roman" w:eastAsia="Times New Roman" w:hAnsi="Times New Roman"/>
          <w:sz w:val="18"/>
          <w:szCs w:val="18"/>
          <w:color w:val="auto"/>
        </w:rPr>
        <w:t xml:space="preserve">In December 2007 and April 2009, the Financial Accounting Standards Board (“FASB”) issued new guidance related to FASB Accounting Standards Codification (“ASC”) topic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The objective of this guidance is to enhance the information that an entity provides in its financial reports</w:t>
      </w:r>
    </w:p>
    <w:p>
      <w:pPr>
        <w:spacing w:after="0" w:line="1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F-15</w:t>
      </w:r>
    </w:p>
    <w:p>
      <w:pPr>
        <w:sectPr>
          <w:pgSz w:w="11900" w:h="16838" w:orient="portrait"/>
          <w:cols w:equalWidth="0" w:num="1">
            <w:col w:w="11400"/>
          </w:cols>
          <w:pgMar w:left="240" w:top="455" w:right="259" w:bottom="1440" w:gutter="0" w:footer="0" w:header="0"/>
        </w:sectPr>
      </w:pPr>
    </w:p>
    <w:bookmarkStart w:id="76" w:name="page77"/>
    <w:bookmarkEnd w:id="7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360" w:right="120"/>
        <w:spacing w:after="0" w:line="262" w:lineRule="auto"/>
        <w:rPr>
          <w:sz w:val="20"/>
          <w:szCs w:val="20"/>
          <w:color w:val="auto"/>
        </w:rPr>
      </w:pPr>
      <w:r>
        <w:rPr>
          <w:rFonts w:ascii="Times New Roman" w:cs="Times New Roman" w:eastAsia="Times New Roman" w:hAnsi="Times New Roman"/>
          <w:sz w:val="18"/>
          <w:szCs w:val="18"/>
          <w:color w:val="auto"/>
        </w:rPr>
        <w:t>about a business combination and its effects, and to amend current requirements for accounting for assets and liabilities arising from contingencies in a business combination. The Company adopted this guidance as of January 1, 2009, as required, and it had no impact on its financial statements at the time of adoption.</w:t>
      </w:r>
    </w:p>
    <w:p>
      <w:pPr>
        <w:spacing w:after="0" w:line="130" w:lineRule="exact"/>
        <w:rPr>
          <w:sz w:val="20"/>
          <w:szCs w:val="20"/>
          <w:color w:val="auto"/>
        </w:rPr>
      </w:pPr>
    </w:p>
    <w:p>
      <w:pPr>
        <w:ind w:left="360" w:right="340"/>
        <w:spacing w:after="0" w:line="264" w:lineRule="auto"/>
        <w:rPr>
          <w:sz w:val="20"/>
          <w:szCs w:val="20"/>
          <w:color w:val="auto"/>
        </w:rPr>
      </w:pPr>
      <w:r>
        <w:rPr>
          <w:rFonts w:ascii="Times New Roman" w:cs="Times New Roman" w:eastAsia="Times New Roman" w:hAnsi="Times New Roman"/>
          <w:sz w:val="18"/>
          <w:szCs w:val="18"/>
          <w:color w:val="auto"/>
        </w:rPr>
        <w:t xml:space="preserve">In December 2007, the FASB issued new guidance related to ASC topic 810, </w:t>
      </w:r>
      <w:r>
        <w:rPr>
          <w:rFonts w:ascii="Times New Roman" w:cs="Times New Roman" w:eastAsia="Times New Roman" w:hAnsi="Times New Roman"/>
          <w:sz w:val="18"/>
          <w:szCs w:val="18"/>
          <w:i w:val="1"/>
          <w:iCs w:val="1"/>
          <w:color w:val="auto"/>
        </w:rPr>
        <w:t>Consolidation</w:t>
      </w:r>
      <w:r>
        <w:rPr>
          <w:rFonts w:ascii="Times New Roman" w:cs="Times New Roman" w:eastAsia="Times New Roman" w:hAnsi="Times New Roman"/>
          <w:sz w:val="18"/>
          <w:szCs w:val="18"/>
          <w:color w:val="auto"/>
        </w:rPr>
        <w:t>, to establish accounting and reporting standards for the noncontrolling (minority) interest in a subsidiary and for the deconsolidation of a subsidiary. The Company adopted this guidance on January 1, 2009, as required, and it had no impact on its financial statements at the time of adoption.</w:t>
      </w:r>
    </w:p>
    <w:p>
      <w:pPr>
        <w:spacing w:after="0" w:line="127" w:lineRule="exact"/>
        <w:rPr>
          <w:sz w:val="20"/>
          <w:szCs w:val="20"/>
          <w:color w:val="auto"/>
        </w:rPr>
      </w:pPr>
    </w:p>
    <w:p>
      <w:pPr>
        <w:ind w:left="360"/>
        <w:spacing w:after="0" w:line="259" w:lineRule="auto"/>
        <w:rPr>
          <w:sz w:val="20"/>
          <w:szCs w:val="20"/>
          <w:color w:val="auto"/>
        </w:rPr>
      </w:pPr>
      <w:r>
        <w:rPr>
          <w:rFonts w:ascii="Times New Roman" w:cs="Times New Roman" w:eastAsia="Times New Roman" w:hAnsi="Times New Roman"/>
          <w:sz w:val="18"/>
          <w:szCs w:val="18"/>
          <w:color w:val="auto"/>
        </w:rPr>
        <w:t xml:space="preserve">In March 2008, the FASB issued new guidance related to ASC topic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to require entities to provide qualitative disclosures about the objectives and strategies for using derivatives, quantitative data about the fair value of and gains and losses on derivative contracts, and details of credit-risk-related contingent features in their hedged positions. The Company adopted this guidance on January 1, 2009, as required, and it had no impact on its financial statements at the time of adoption; however, it did result in enhanced disclosure of the Company’s derivatives.</w:t>
      </w:r>
    </w:p>
    <w:p>
      <w:pPr>
        <w:spacing w:after="0" w:line="133" w:lineRule="exact"/>
        <w:rPr>
          <w:sz w:val="20"/>
          <w:szCs w:val="20"/>
          <w:color w:val="auto"/>
        </w:rPr>
      </w:pPr>
    </w:p>
    <w:p>
      <w:pPr>
        <w:ind w:left="360" w:right="80"/>
        <w:spacing w:after="0" w:line="264" w:lineRule="auto"/>
        <w:rPr>
          <w:sz w:val="20"/>
          <w:szCs w:val="20"/>
          <w:color w:val="auto"/>
        </w:rPr>
      </w:pPr>
      <w:r>
        <w:rPr>
          <w:rFonts w:ascii="Times New Roman" w:cs="Times New Roman" w:eastAsia="Times New Roman" w:hAnsi="Times New Roman"/>
          <w:sz w:val="18"/>
          <w:szCs w:val="18"/>
          <w:color w:val="auto"/>
        </w:rPr>
        <w:t xml:space="preserve">In April 2008, the FASB issued new guidance related to ASC topic 350, </w:t>
      </w:r>
      <w:r>
        <w:rPr>
          <w:rFonts w:ascii="Times New Roman" w:cs="Times New Roman" w:eastAsia="Times New Roman" w:hAnsi="Times New Roman"/>
          <w:sz w:val="18"/>
          <w:szCs w:val="18"/>
          <w:i w:val="1"/>
          <w:iCs w:val="1"/>
          <w:color w:val="auto"/>
        </w:rPr>
        <w:t>Intangibles—Goodwill and Other</w:t>
      </w:r>
      <w:r>
        <w:rPr>
          <w:rFonts w:ascii="Times New Roman" w:cs="Times New Roman" w:eastAsia="Times New Roman" w:hAnsi="Times New Roman"/>
          <w:sz w:val="18"/>
          <w:szCs w:val="18"/>
          <w:color w:val="auto"/>
        </w:rPr>
        <w:t>, to amend the factors that should be considered in developing renewal or extension assumptions used to determine the useful life of a recognized intangible asset. The Company adopted this guidance on January 1, 2009, as required, and it had no impact on its financial statements at the time of adoption.</w:t>
      </w:r>
    </w:p>
    <w:p>
      <w:pPr>
        <w:spacing w:after="0" w:line="127" w:lineRule="exact"/>
        <w:rPr>
          <w:sz w:val="20"/>
          <w:szCs w:val="20"/>
          <w:color w:val="auto"/>
        </w:rPr>
      </w:pPr>
    </w:p>
    <w:p>
      <w:pPr>
        <w:ind w:left="360" w:right="20"/>
        <w:spacing w:after="0" w:line="257" w:lineRule="auto"/>
        <w:rPr>
          <w:sz w:val="20"/>
          <w:szCs w:val="20"/>
          <w:color w:val="auto"/>
        </w:rPr>
      </w:pPr>
      <w:r>
        <w:rPr>
          <w:rFonts w:ascii="Times New Roman" w:cs="Times New Roman" w:eastAsia="Times New Roman" w:hAnsi="Times New Roman"/>
          <w:sz w:val="18"/>
          <w:szCs w:val="18"/>
          <w:color w:val="auto"/>
        </w:rPr>
        <w:t xml:space="preserve">In November 2008, the FASB issued new guidance related to ASC topic 320, </w:t>
      </w:r>
      <w:r>
        <w:rPr>
          <w:rFonts w:ascii="Times New Roman" w:cs="Times New Roman" w:eastAsia="Times New Roman" w:hAnsi="Times New Roman"/>
          <w:sz w:val="18"/>
          <w:szCs w:val="18"/>
          <w:i w:val="1"/>
          <w:iCs w:val="1"/>
          <w:color w:val="auto"/>
        </w:rPr>
        <w:t>Investments—Debt and Equity Securities</w:t>
      </w:r>
      <w:r>
        <w:rPr>
          <w:rFonts w:ascii="Times New Roman" w:cs="Times New Roman" w:eastAsia="Times New Roman" w:hAnsi="Times New Roman"/>
          <w:sz w:val="18"/>
          <w:szCs w:val="18"/>
          <w:color w:val="auto"/>
        </w:rPr>
        <w:t>, requiring an equity method investor to account for its initial investment at cost and not to separately test an investee’s underlying indefinite-lived intangible assets for impairment. It also requires an equity method investor to account for share issuances by an investee as if the investor had sold a proportionate share of its investment. The resulting gain or loss shall be recognized in earnings. The Company adopted this guidance on January 1, 2009, as required, and it had no impact on its financial statements at the time of adoption.</w:t>
      </w:r>
    </w:p>
    <w:p>
      <w:pPr>
        <w:spacing w:after="0" w:line="134" w:lineRule="exact"/>
        <w:rPr>
          <w:sz w:val="20"/>
          <w:szCs w:val="20"/>
          <w:color w:val="auto"/>
        </w:rPr>
      </w:pPr>
    </w:p>
    <w:p>
      <w:pPr>
        <w:jc w:val="both"/>
        <w:ind w:left="360" w:right="200"/>
        <w:spacing w:after="0" w:line="312" w:lineRule="auto"/>
        <w:rPr>
          <w:sz w:val="20"/>
          <w:szCs w:val="20"/>
          <w:color w:val="auto"/>
        </w:rPr>
      </w:pPr>
      <w:r>
        <w:rPr>
          <w:rFonts w:ascii="Times New Roman" w:cs="Times New Roman" w:eastAsia="Times New Roman" w:hAnsi="Times New Roman"/>
          <w:sz w:val="16"/>
          <w:szCs w:val="16"/>
          <w:color w:val="auto"/>
        </w:rPr>
        <w:t xml:space="preserve">In December 2008, the FASB issued new guidance related to ASC topic 715, </w:t>
      </w:r>
      <w:r>
        <w:rPr>
          <w:rFonts w:ascii="Times New Roman" w:cs="Times New Roman" w:eastAsia="Times New Roman" w:hAnsi="Times New Roman"/>
          <w:sz w:val="16"/>
          <w:szCs w:val="16"/>
          <w:i w:val="1"/>
          <w:iCs w:val="1"/>
          <w:color w:val="auto"/>
        </w:rPr>
        <w:t>Compensation—Retirement Benefits</w:t>
      </w:r>
      <w:r>
        <w:rPr>
          <w:rFonts w:ascii="Times New Roman" w:cs="Times New Roman" w:eastAsia="Times New Roman" w:hAnsi="Times New Roman"/>
          <w:sz w:val="16"/>
          <w:szCs w:val="16"/>
          <w:color w:val="auto"/>
        </w:rPr>
        <w:t>, to provide additional disclosures about pension plan assets and the Company’s pension plan investment policy. The Company adopted this guidance on January 1, 2009, as required, and it had no impact on its financial statements at the time of adoption; however, it did result in enhanced disclosure about the Company’s pension plans.</w:t>
      </w:r>
    </w:p>
    <w:p>
      <w:pPr>
        <w:spacing w:after="0" w:line="93" w:lineRule="exact"/>
        <w:rPr>
          <w:sz w:val="20"/>
          <w:szCs w:val="20"/>
          <w:color w:val="auto"/>
        </w:rPr>
      </w:pPr>
    </w:p>
    <w:p>
      <w:pPr>
        <w:ind w:left="360" w:right="20"/>
        <w:spacing w:after="0" w:line="264" w:lineRule="auto"/>
        <w:rPr>
          <w:sz w:val="20"/>
          <w:szCs w:val="20"/>
          <w:color w:val="auto"/>
        </w:rPr>
      </w:pPr>
      <w:r>
        <w:rPr>
          <w:rFonts w:ascii="Times New Roman" w:cs="Times New Roman" w:eastAsia="Times New Roman" w:hAnsi="Times New Roman"/>
          <w:sz w:val="18"/>
          <w:szCs w:val="18"/>
          <w:color w:val="auto"/>
        </w:rPr>
        <w:t xml:space="preserve">In April 2009, the FASB issued new guidance related to ASC topic 320, </w:t>
      </w:r>
      <w:r>
        <w:rPr>
          <w:rFonts w:ascii="Times New Roman" w:cs="Times New Roman" w:eastAsia="Times New Roman" w:hAnsi="Times New Roman"/>
          <w:sz w:val="18"/>
          <w:szCs w:val="18"/>
          <w:i w:val="1"/>
          <w:iCs w:val="1"/>
          <w:color w:val="auto"/>
        </w:rPr>
        <w:t>Investments—Debt and Equity Securities</w:t>
      </w:r>
      <w:r>
        <w:rPr>
          <w:rFonts w:ascii="Times New Roman" w:cs="Times New Roman" w:eastAsia="Times New Roman" w:hAnsi="Times New Roman"/>
          <w:sz w:val="18"/>
          <w:szCs w:val="18"/>
          <w:color w:val="auto"/>
        </w:rPr>
        <w:t>, to provide additional guidance related to how to evaluate whether an impairment of a debt security is other than temporary and for recognition of any such impairment in the financial statements. The Company adopted this guidance on June 30, 2009, as required, and it had no impact on its financial statements.</w:t>
      </w:r>
    </w:p>
    <w:p>
      <w:pPr>
        <w:spacing w:after="0" w:line="127" w:lineRule="exact"/>
        <w:rPr>
          <w:sz w:val="20"/>
          <w:szCs w:val="20"/>
          <w:color w:val="auto"/>
        </w:rPr>
      </w:pPr>
    </w:p>
    <w:p>
      <w:pPr>
        <w:ind w:left="360" w:right="20"/>
        <w:spacing w:after="0" w:line="257" w:lineRule="auto"/>
        <w:rPr>
          <w:sz w:val="20"/>
          <w:szCs w:val="20"/>
          <w:color w:val="auto"/>
        </w:rPr>
      </w:pPr>
      <w:r>
        <w:rPr>
          <w:rFonts w:ascii="Times New Roman" w:cs="Times New Roman" w:eastAsia="Times New Roman" w:hAnsi="Times New Roman"/>
          <w:sz w:val="18"/>
          <w:szCs w:val="18"/>
          <w:color w:val="auto"/>
        </w:rPr>
        <w:t xml:space="preserve">In April 2009, FASB issued new guidance related to ASC topic 825, </w:t>
      </w:r>
      <w:r>
        <w:rPr>
          <w:rFonts w:ascii="Times New Roman" w:cs="Times New Roman" w:eastAsia="Times New Roman" w:hAnsi="Times New Roman"/>
          <w:sz w:val="18"/>
          <w:szCs w:val="18"/>
          <w:i w:val="1"/>
          <w:iCs w:val="1"/>
          <w:color w:val="auto"/>
        </w:rPr>
        <w:t>Financial Instruments</w:t>
      </w:r>
      <w:r>
        <w:rPr>
          <w:rFonts w:ascii="Times New Roman" w:cs="Times New Roman" w:eastAsia="Times New Roman" w:hAnsi="Times New Roman"/>
          <w:sz w:val="18"/>
          <w:szCs w:val="18"/>
          <w:color w:val="auto"/>
        </w:rPr>
        <w:t>, requiring a publicly traded entity to include disclosures about the fair value of its financial instruments for its interim reporting periods as well as its annual financial statements. This guidance applies prospectively for fiscal periods beginning on or after June 15, 2009. The Company adopted this guidance on June 30, 2009, as required, and it did not have a significant impact on its financial statements; however, it did result in enhanced disclosure about the fair value of financial instruments in the Company’s interim financial statements.</w:t>
      </w:r>
    </w:p>
    <w:p>
      <w:pPr>
        <w:spacing w:after="0" w:line="134" w:lineRule="exact"/>
        <w:rPr>
          <w:sz w:val="20"/>
          <w:szCs w:val="20"/>
          <w:color w:val="auto"/>
        </w:rPr>
      </w:pPr>
    </w:p>
    <w:p>
      <w:pPr>
        <w:jc w:val="both"/>
        <w:ind w:left="360" w:right="60"/>
        <w:spacing w:after="0" w:line="264" w:lineRule="auto"/>
        <w:rPr>
          <w:sz w:val="20"/>
          <w:szCs w:val="20"/>
          <w:color w:val="auto"/>
        </w:rPr>
      </w:pPr>
      <w:r>
        <w:rPr>
          <w:rFonts w:ascii="Times New Roman" w:cs="Times New Roman" w:eastAsia="Times New Roman" w:hAnsi="Times New Roman"/>
          <w:sz w:val="18"/>
          <w:szCs w:val="18"/>
          <w:color w:val="auto"/>
        </w:rPr>
        <w:t xml:space="preserve">In May 2009, the FASB issued new guidance related to ASC topic 855, </w:t>
      </w:r>
      <w:r>
        <w:rPr>
          <w:rFonts w:ascii="Times New Roman" w:cs="Times New Roman" w:eastAsia="Times New Roman" w:hAnsi="Times New Roman"/>
          <w:sz w:val="18"/>
          <w:szCs w:val="18"/>
          <w:i w:val="1"/>
          <w:iCs w:val="1"/>
          <w:color w:val="auto"/>
        </w:rPr>
        <w:t>Subsequent Events</w:t>
      </w:r>
      <w:r>
        <w:rPr>
          <w:rFonts w:ascii="Times New Roman" w:cs="Times New Roman" w:eastAsia="Times New Roman" w:hAnsi="Times New Roman"/>
          <w:sz w:val="18"/>
          <w:szCs w:val="18"/>
          <w:color w:val="auto"/>
        </w:rPr>
        <w:t>, to establish general standards of accounting for and disclosure of events that occur after the balance sheet date but before financial statements are issued or are available to be issued. The Company adopted this guidance on June 30, 2009, as required, and it did not have a significant impact on its financial statements.</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F-16</w:t>
      </w:r>
    </w:p>
    <w:p>
      <w:pPr>
        <w:sectPr>
          <w:pgSz w:w="11900" w:h="16838" w:orient="portrait"/>
          <w:cols w:equalWidth="0" w:num="1">
            <w:col w:w="11420"/>
          </w:cols>
          <w:pgMar w:left="240" w:top="455" w:right="239" w:bottom="1440" w:gutter="0" w:footer="0" w:header="0"/>
        </w:sectPr>
      </w:pPr>
    </w:p>
    <w:bookmarkStart w:id="77" w:name="page78"/>
    <w:bookmarkEnd w:id="7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360" w:right="120"/>
        <w:spacing w:after="0" w:line="264" w:lineRule="auto"/>
        <w:rPr>
          <w:sz w:val="20"/>
          <w:szCs w:val="20"/>
          <w:color w:val="auto"/>
        </w:rPr>
      </w:pPr>
      <w:r>
        <w:rPr>
          <w:rFonts w:ascii="Times New Roman" w:cs="Times New Roman" w:eastAsia="Times New Roman" w:hAnsi="Times New Roman"/>
          <w:sz w:val="18"/>
          <w:szCs w:val="18"/>
          <w:color w:val="auto"/>
        </w:rPr>
        <w:t xml:space="preserve">In June 2009, the FASB issued new guidance related to ASC topic 105, </w:t>
      </w:r>
      <w:r>
        <w:rPr>
          <w:rFonts w:ascii="Times New Roman" w:cs="Times New Roman" w:eastAsia="Times New Roman" w:hAnsi="Times New Roman"/>
          <w:sz w:val="18"/>
          <w:szCs w:val="18"/>
          <w:i w:val="1"/>
          <w:iCs w:val="1"/>
          <w:color w:val="auto"/>
        </w:rPr>
        <w:t>Generally Accepted Accounting Principles</w:t>
      </w:r>
      <w:r>
        <w:rPr>
          <w:rFonts w:ascii="Times New Roman" w:cs="Times New Roman" w:eastAsia="Times New Roman" w:hAnsi="Times New Roman"/>
          <w:sz w:val="18"/>
          <w:szCs w:val="18"/>
          <w:color w:val="auto"/>
        </w:rPr>
        <w:t>. This topic allows the FASB Accounting Standards Codification to become the single source of authoritative U.S. accounting and reporting standards, other than guidance issued by the SEC. The Company adopted this guidance on July 1, 2009, as required, and it did not have a significant impact on its financial statements.</w:t>
      </w:r>
    </w:p>
    <w:p>
      <w:pPr>
        <w:spacing w:after="0" w:line="129" w:lineRule="exact"/>
        <w:rPr>
          <w:sz w:val="20"/>
          <w:szCs w:val="20"/>
          <w:color w:val="auto"/>
        </w:rPr>
      </w:pPr>
    </w:p>
    <w:p>
      <w:pPr>
        <w:ind w:left="360" w:right="140"/>
        <w:spacing w:after="0" w:line="258" w:lineRule="auto"/>
        <w:rPr>
          <w:sz w:val="20"/>
          <w:szCs w:val="20"/>
          <w:color w:val="auto"/>
        </w:rPr>
      </w:pPr>
      <w:r>
        <w:rPr>
          <w:rFonts w:ascii="Times New Roman" w:cs="Times New Roman" w:eastAsia="Times New Roman" w:hAnsi="Times New Roman"/>
          <w:sz w:val="18"/>
          <w:szCs w:val="18"/>
          <w:color w:val="auto"/>
        </w:rPr>
        <w:t>In August 2009, the FASB issued Accounting Standards Update (“ASU”) No. 2009-05, “Measuring Liabilities at Fair Value” (“ASU No. 2009-05”). ASU No. 2009-5 clarifies, among other things, that when a quoted price in an active market for the identical liability is not available, an entity must measure fair value using one or more specified techniques. The Company adopted this guidance on July 1, 2009, as required, and it had no impact on its financial statements.</w:t>
      </w:r>
    </w:p>
    <w:p>
      <w:pPr>
        <w:spacing w:after="0" w:line="13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w:t>
      </w:r>
    </w:p>
    <w:p>
      <w:pPr>
        <w:spacing w:after="0" w:line="175" w:lineRule="exact"/>
        <w:rPr>
          <w:sz w:val="20"/>
          <w:szCs w:val="20"/>
          <w:color w:val="auto"/>
        </w:rPr>
      </w:pPr>
    </w:p>
    <w:p>
      <w:pPr>
        <w:ind w:left="360" w:right="40"/>
        <w:spacing w:after="0" w:line="296" w:lineRule="auto"/>
        <w:rPr>
          <w:sz w:val="20"/>
          <w:szCs w:val="20"/>
          <w:color w:val="auto"/>
        </w:rPr>
      </w:pPr>
      <w:r>
        <w:rPr>
          <w:rFonts w:ascii="Times New Roman" w:cs="Times New Roman" w:eastAsia="Times New Roman" w:hAnsi="Times New Roman"/>
          <w:sz w:val="16"/>
          <w:szCs w:val="16"/>
          <w:color w:val="auto"/>
        </w:rPr>
        <w:t xml:space="preserve">In June 2009, the FASB issued ASU No. 2009-16, “Accounting for Transfers of Financial Assets” (“ASU No. 2009-16”), which (i) removes the concept of a Qualifying Special Purpose Entity (“QSPE”) from ASC topic 860 and eliminates the exception from applying ASC topic 810, </w:t>
      </w:r>
      <w:r>
        <w:rPr>
          <w:rFonts w:ascii="Times New Roman" w:cs="Times New Roman" w:eastAsia="Times New Roman" w:hAnsi="Times New Roman"/>
          <w:sz w:val="16"/>
          <w:szCs w:val="16"/>
          <w:i w:val="1"/>
          <w:iCs w:val="1"/>
          <w:color w:val="auto"/>
        </w:rPr>
        <w:t>Consolidation</w:t>
      </w:r>
      <w:r>
        <w:rPr>
          <w:rFonts w:ascii="Times New Roman" w:cs="Times New Roman" w:eastAsia="Times New Roman" w:hAnsi="Times New Roman"/>
          <w:sz w:val="16"/>
          <w:szCs w:val="16"/>
          <w:color w:val="auto"/>
        </w:rPr>
        <w:t>, to variable interest entities that are QSPEs, (ii) amends the accounting for transfers of financial assets and (iii) increases the related disclosures about transfers of financial assets. This guidance applies to fiscal years beginning on or after November 15, 2009 and transfers that occurred both before and after its effective date. The Company adopted this guidance on January 1, 2010, as required, and it did not have a significant impact on its financial statements.</w:t>
      </w:r>
    </w:p>
    <w:p>
      <w:pPr>
        <w:spacing w:after="0" w:line="106" w:lineRule="exact"/>
        <w:rPr>
          <w:sz w:val="20"/>
          <w:szCs w:val="20"/>
          <w:color w:val="auto"/>
        </w:rPr>
      </w:pPr>
    </w:p>
    <w:p>
      <w:pPr>
        <w:ind w:left="360"/>
        <w:spacing w:after="0" w:line="293" w:lineRule="auto"/>
        <w:rPr>
          <w:sz w:val="20"/>
          <w:szCs w:val="20"/>
          <w:color w:val="auto"/>
        </w:rPr>
      </w:pPr>
      <w:r>
        <w:rPr>
          <w:rFonts w:ascii="Times New Roman" w:cs="Times New Roman" w:eastAsia="Times New Roman" w:hAnsi="Times New Roman"/>
          <w:sz w:val="16"/>
          <w:szCs w:val="16"/>
          <w:color w:val="auto"/>
        </w:rPr>
        <w:t>In December 2009, the FASB issued ASU No. 2009-17, “Accounting by Enterprises Involved with Variable Interest Entities” (“ASU No. 2009-17”)</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color w:val="auto"/>
        </w:rPr>
        <w:t xml:space="preserve"> ASU No. 2009-17 formally incorporates into the FASB Codification amendments to FASB Interpretation No. 46(R) made by Statement of Financial Accounting Standards (“SFAS”) No. 167 to require that a comprehensive qualitative analysis be performed to determine whether a holder of variable interests in a variable interest entity also has a controlling financial interest in that entity. In addition, the amendments require that the same type of analysis be applied to entities that were previously designated as qualifying special-purpose entities. This guidance applies prospectively for fiscal years beginning on or after November 15, 2009. The Company adopted this guidance on January 1, 2010, as required, and it did not have a significant impact on its financial statements.</w:t>
      </w:r>
    </w:p>
    <w:p>
      <w:pPr>
        <w:spacing w:after="0" w:line="113" w:lineRule="exact"/>
        <w:rPr>
          <w:sz w:val="20"/>
          <w:szCs w:val="20"/>
          <w:color w:val="auto"/>
        </w:rPr>
      </w:pPr>
    </w:p>
    <w:p>
      <w:pPr>
        <w:ind w:left="360" w:right="300"/>
        <w:spacing w:after="0" w:line="301" w:lineRule="auto"/>
        <w:rPr>
          <w:sz w:val="20"/>
          <w:szCs w:val="20"/>
          <w:color w:val="auto"/>
        </w:rPr>
      </w:pPr>
      <w:r>
        <w:rPr>
          <w:rFonts w:ascii="Times New Roman" w:cs="Times New Roman" w:eastAsia="Times New Roman" w:hAnsi="Times New Roman"/>
          <w:sz w:val="16"/>
          <w:szCs w:val="16"/>
          <w:color w:val="auto"/>
        </w:rPr>
        <w:t>In January 2010, the FASB issued ASU No. 2010-6, “Fair Value Measurements and Disclosures” (“ASU No. 2010-6”). ASU No. 2010-6 will expand the level of fair value disclosures by an entity, requiring information to be provided about movements of assets between levels 1 and 2, a reconciliation of purchases, sales, issuance and settlements for all level 3 instruments and fair value measurement disclosures for each class of assets and liabilities. This guidance is effective for fiscal years beginning after December 15, 2010. The Company is currently evaluating the impact on its financial statements.</w:t>
      </w:r>
    </w:p>
    <w:p>
      <w:pPr>
        <w:spacing w:after="0" w:line="142" w:lineRule="exact"/>
        <w:rPr>
          <w:sz w:val="20"/>
          <w:szCs w:val="20"/>
          <w:color w:val="auto"/>
        </w:rPr>
      </w:pPr>
    </w:p>
    <w:p>
      <w:pPr>
        <w:ind w:left="340" w:hanging="332"/>
        <w:spacing w:after="0"/>
        <w:tabs>
          <w:tab w:leader="none" w:pos="340"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Discontinued Operations</w:t>
      </w:r>
    </w:p>
    <w:p>
      <w:pPr>
        <w:spacing w:after="0" w:line="171" w:lineRule="exact"/>
        <w:rPr>
          <w:rFonts w:ascii="Times New Roman" w:cs="Times New Roman" w:eastAsia="Times New Roman" w:hAnsi="Times New Roman"/>
          <w:sz w:val="18"/>
          <w:szCs w:val="18"/>
          <w:b w:val="1"/>
          <w:bCs w:val="1"/>
          <w:color w:val="auto"/>
        </w:rPr>
      </w:pPr>
    </w:p>
    <w:p>
      <w:pPr>
        <w:ind w:left="360"/>
        <w:spacing w:after="0" w:line="259"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 xml:space="preserve">Travelport. </w:t>
      </w:r>
      <w:r>
        <w:rPr>
          <w:rFonts w:ascii="Times New Roman" w:cs="Times New Roman" w:eastAsia="Times New Roman" w:hAnsi="Times New Roman"/>
          <w:sz w:val="18"/>
          <w:szCs w:val="18"/>
          <w:color w:val="auto"/>
        </w:rPr>
        <w:t>On August 23, 2006, the Company completed the sale of Travelport, which comprised the Company’s former travel distribution services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businesses for proceeds of approximately $4.1 billion, net of closing adjustments. The loss incurred on disposal of Travelport included a $1.3 billion impairment charge reflecting the difference between Travelport’s carrying value and its estimated fair value and a tax charge related to asset basis differences resulting from the 2001 acquisition of a Travelport subsidiary.</w:t>
      </w:r>
    </w:p>
    <w:p>
      <w:pPr>
        <w:spacing w:after="0" w:line="133" w:lineRule="exact"/>
        <w:rPr>
          <w:sz w:val="20"/>
          <w:szCs w:val="20"/>
          <w:color w:val="auto"/>
        </w:rPr>
      </w:pPr>
    </w:p>
    <w:p>
      <w:pPr>
        <w:ind w:left="360" w:right="340"/>
        <w:spacing w:after="0" w:line="277" w:lineRule="auto"/>
        <w:rPr>
          <w:sz w:val="20"/>
          <w:szCs w:val="20"/>
          <w:color w:val="auto"/>
        </w:rPr>
      </w:pPr>
      <w:r>
        <w:rPr>
          <w:rFonts w:ascii="Times New Roman" w:cs="Times New Roman" w:eastAsia="Times New Roman" w:hAnsi="Times New Roman"/>
          <w:sz w:val="18"/>
          <w:szCs w:val="18"/>
          <w:i w:val="1"/>
          <w:iCs w:val="1"/>
          <w:color w:val="auto"/>
        </w:rPr>
        <w:t xml:space="preserve">Realogy and Wyndham. </w:t>
      </w:r>
      <w:r>
        <w:rPr>
          <w:rFonts w:ascii="Times New Roman" w:cs="Times New Roman" w:eastAsia="Times New Roman" w:hAnsi="Times New Roman"/>
          <w:sz w:val="18"/>
          <w:szCs w:val="18"/>
          <w:color w:val="auto"/>
        </w:rPr>
        <w:t>On July 31, 2006, the Company completed the spin-offs of Realogy and Wyndham in tax-free distributions of one share each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Realogy and Wyndham common stock for every four and five shares, respectively, of Cendant common stock held on July 21, 2006.</w:t>
      </w:r>
    </w:p>
    <w:p>
      <w:pPr>
        <w:spacing w:after="0" w:line="1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F-17</w:t>
      </w:r>
    </w:p>
    <w:p>
      <w:pPr>
        <w:sectPr>
          <w:pgSz w:w="11900" w:h="16838" w:orient="portrait"/>
          <w:cols w:equalWidth="0" w:num="1">
            <w:col w:w="11400"/>
          </w:cols>
          <w:pgMar w:left="240" w:top="455" w:right="259" w:bottom="1440" w:gutter="0" w:footer="0" w:header="0"/>
        </w:sectPr>
      </w:pPr>
    </w:p>
    <w:bookmarkStart w:id="78" w:name="page79"/>
    <w:bookmarkEnd w:id="7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i w:val="1"/>
          <w:iCs w:val="1"/>
          <w:color w:val="auto"/>
        </w:rPr>
        <w:t>Year Ended December 31, 2009 and 2008</w:t>
      </w:r>
    </w:p>
    <w:p>
      <w:pPr>
        <w:spacing w:after="0" w:line="17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During 2009 and 2008, the Company did not report any income (loss) from discontinued operations.</w:t>
      </w:r>
    </w:p>
    <w:p>
      <w:pPr>
        <w:spacing w:after="0" w:line="16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i w:val="1"/>
          <w:iCs w:val="1"/>
          <w:color w:val="auto"/>
        </w:rPr>
        <w:t>Year Ended December 31, 2007</w:t>
      </w:r>
    </w:p>
    <w:p>
      <w:pPr>
        <w:spacing w:after="0" w:line="175" w:lineRule="exact"/>
        <w:rPr>
          <w:sz w:val="20"/>
          <w:szCs w:val="20"/>
          <w:color w:val="auto"/>
        </w:rPr>
      </w:pPr>
    </w:p>
    <w:p>
      <w:pPr>
        <w:ind w:left="360" w:right="100"/>
        <w:spacing w:after="0" w:line="258" w:lineRule="auto"/>
        <w:rPr>
          <w:sz w:val="20"/>
          <w:szCs w:val="20"/>
          <w:color w:val="auto"/>
        </w:rPr>
      </w:pPr>
      <w:r>
        <w:rPr>
          <w:rFonts w:ascii="Times New Roman" w:cs="Times New Roman" w:eastAsia="Times New Roman" w:hAnsi="Times New Roman"/>
          <w:sz w:val="18"/>
          <w:szCs w:val="18"/>
          <w:color w:val="auto"/>
        </w:rPr>
        <w:t>The $2 million loss from discontinued operations, net of tax for the year ended December 31, 2007 represents a tax charge due to an increase in non-deductible expenses offset by a benefit in state taxes on discontinued operations. The $33 million gain on disposal of discontinued operations, net of tax for the year ended December 31, 2007, primarily represents a tax benefit realized as a result of certain elections made in connection with the 2006 Travelport disposition on the income tax returns filed during 2007.</w:t>
      </w:r>
    </w:p>
    <w:p>
      <w:pPr>
        <w:spacing w:after="0" w:line="175" w:lineRule="exact"/>
        <w:rPr>
          <w:sz w:val="20"/>
          <w:szCs w:val="20"/>
          <w:color w:val="auto"/>
        </w:rPr>
      </w:pPr>
    </w:p>
    <w:p>
      <w:pPr>
        <w:ind w:left="340" w:hanging="332"/>
        <w:spacing w:after="0"/>
        <w:tabs>
          <w:tab w:leader="none" w:pos="340"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Earnings Per Share</w:t>
      </w:r>
    </w:p>
    <w:p>
      <w:pPr>
        <w:spacing w:after="0" w:line="173" w:lineRule="exact"/>
        <w:rPr>
          <w:rFonts w:ascii="Times New Roman" w:cs="Times New Roman" w:eastAsia="Times New Roman" w:hAnsi="Times New Roman"/>
          <w:sz w:val="18"/>
          <w:szCs w:val="18"/>
          <w:b w:val="1"/>
          <w:bCs w:val="1"/>
          <w:color w:val="auto"/>
        </w:rPr>
      </w:pPr>
    </w:p>
    <w:p>
      <w:pPr>
        <w:ind w:left="3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table sets forth the computation of basic and diluted earnings per share (“EPS”):</w:t>
      </w:r>
    </w:p>
    <w:p>
      <w:pPr>
        <w:spacing w:after="0" w:line="210" w:lineRule="exact"/>
        <w:rPr>
          <w:sz w:val="20"/>
          <w:szCs w:val="20"/>
          <w:color w:val="auto"/>
        </w:rPr>
      </w:pPr>
    </w:p>
    <w:tbl>
      <w:tblPr>
        <w:tblLayout w:type="fixed"/>
        <w:tblInd w:w="360" w:type="dxa"/>
        <w:tblCellMar>
          <w:top w:w="0" w:type="dxa"/>
          <w:left w:w="0" w:type="dxa"/>
          <w:bottom w:w="0" w:type="dxa"/>
          <w:right w:w="0" w:type="dxa"/>
        </w:tblCellMar>
      </w:tblPr>
      <w:tr>
        <w:trPr>
          <w:trHeight w:val="231"/>
        </w:trPr>
        <w:tc>
          <w:tcPr>
            <w:tcW w:w="7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Year Ended December 31,</w:t>
            </w:r>
          </w:p>
        </w:tc>
        <w:tc>
          <w:tcPr>
            <w:tcW w:w="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7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2009</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2008</w:t>
            </w: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2007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716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Loss from continuing operations</w:t>
            </w:r>
          </w:p>
        </w:tc>
        <w:tc>
          <w:tcPr>
            <w:tcW w:w="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(47)</w:t>
            </w:r>
          </w:p>
        </w:tc>
        <w:tc>
          <w:tcPr>
            <w:tcW w:w="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(1,124)</w:t>
            </w: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(947)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160" w:type="dxa"/>
            <w:vAlign w:val="bottom"/>
          </w:tcPr>
          <w:p>
            <w:pPr>
              <w:spacing w:after="0"/>
              <w:rPr>
                <w:sz w:val="20"/>
                <w:szCs w:val="20"/>
                <w:color w:val="auto"/>
              </w:rPr>
            </w:pPr>
            <w:r>
              <w:rPr>
                <w:rFonts w:ascii="Times New Roman" w:cs="Times New Roman" w:eastAsia="Times New Roman" w:hAnsi="Times New Roman"/>
                <w:sz w:val="18"/>
                <w:szCs w:val="18"/>
                <w:color w:val="auto"/>
              </w:rPr>
              <w:t>Loss from discontinued operations, net of tax</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8"/>
        </w:trPr>
        <w:tc>
          <w:tcPr>
            <w:tcW w:w="7160" w:type="dxa"/>
            <w:vAlign w:val="bottom"/>
          </w:tcPr>
          <w:p>
            <w:pPr>
              <w:spacing w:after="0"/>
              <w:rPr>
                <w:sz w:val="20"/>
                <w:szCs w:val="20"/>
                <w:color w:val="auto"/>
              </w:rPr>
            </w:pPr>
            <w:r>
              <w:rPr>
                <w:rFonts w:ascii="Times New Roman" w:cs="Times New Roman" w:eastAsia="Times New Roman" w:hAnsi="Times New Roman"/>
                <w:sz w:val="18"/>
                <w:szCs w:val="18"/>
                <w:color w:val="auto"/>
              </w:rPr>
              <w:t>Gain on disposal of discontinued operations, net of tax</w:t>
            </w: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716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(1,124</w:t>
            </w:r>
          </w:p>
        </w:tc>
        <w:tc>
          <w:tcPr>
            <w:tcW w:w="640" w:type="dxa"/>
            <w:vAlign w:val="bottom"/>
          </w:tcPr>
          <w:p>
            <w:pPr>
              <w:jc w:val="right"/>
              <w:ind w:right="562"/>
              <w:spacing w:after="0"/>
              <w:rPr>
                <w:sz w:val="20"/>
                <w:szCs w:val="20"/>
                <w:color w:val="auto"/>
              </w:rPr>
            </w:pPr>
            <w:r>
              <w:rPr>
                <w:rFonts w:ascii="Times New Roman" w:cs="Times New Roman" w:eastAsia="Times New Roman" w:hAnsi="Times New Roman"/>
                <w:sz w:val="8"/>
                <w:szCs w:val="8"/>
                <w:color w:val="auto"/>
                <w:w w:val="73"/>
              </w:rPr>
              <w:t>)</w:t>
            </w:r>
          </w:p>
        </w:tc>
        <w:tc>
          <w:tcPr>
            <w:tcW w:w="4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(916</w:t>
            </w:r>
          </w:p>
        </w:tc>
        <w:tc>
          <w:tcPr>
            <w:tcW w:w="40" w:type="dxa"/>
            <w:vAlign w:val="bottom"/>
          </w:tcPr>
          <w:p>
            <w:pPr>
              <w:jc w:val="right"/>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20"/>
        </w:trPr>
        <w:tc>
          <w:tcPr>
            <w:tcW w:w="71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xml:space="preserve">Basic and diluted weighted average shares outstanding </w:t>
            </w:r>
            <w:r>
              <w:rPr>
                <w:rFonts w:ascii="Times New Roman" w:cs="Times New Roman" w:eastAsia="Times New Roman" w:hAnsi="Times New Roman"/>
                <w:sz w:val="11"/>
                <w:szCs w:val="11"/>
                <w:color w:val="auto"/>
              </w:rPr>
              <w:t>(a)</w:t>
            </w: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16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102.2</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101.9</w:t>
            </w: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1"/>
        </w:trPr>
        <w:tc>
          <w:tcPr>
            <w:tcW w:w="71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Earnings per share basic and diluted:</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160" w:type="dxa"/>
            <w:vAlign w:val="bottom"/>
          </w:tcPr>
          <w:p>
            <w:pPr>
              <w:spacing w:after="0"/>
              <w:rPr>
                <w:sz w:val="20"/>
                <w:szCs w:val="20"/>
                <w:color w:val="auto"/>
              </w:rPr>
            </w:pPr>
            <w:r>
              <w:rPr>
                <w:rFonts w:ascii="Times New Roman" w:cs="Times New Roman" w:eastAsia="Times New Roman" w:hAnsi="Times New Roman"/>
                <w:sz w:val="18"/>
                <w:szCs w:val="18"/>
                <w:color w:val="auto"/>
              </w:rPr>
              <w:t>Loss from continuing operations</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gridSpan w:val="2"/>
          </w:tcPr>
          <w:p>
            <w:pPr>
              <w:jc w:val="right"/>
              <w:ind w:right="215"/>
              <w:spacing w:after="0"/>
              <w:rPr>
                <w:sz w:val="20"/>
                <w:szCs w:val="20"/>
                <w:color w:val="auto"/>
              </w:rPr>
            </w:pPr>
            <w:r>
              <w:rPr>
                <w:rFonts w:ascii="Times New Roman" w:cs="Times New Roman" w:eastAsia="Times New Roman" w:hAnsi="Times New Roman"/>
                <w:sz w:val="18"/>
                <w:szCs w:val="18"/>
                <w:color w:val="auto"/>
              </w:rPr>
              <w:t>(0.46)</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562"/>
              <w:spacing w:after="0"/>
              <w:rPr>
                <w:sz w:val="20"/>
                <w:szCs w:val="20"/>
                <w:color w:val="auto"/>
              </w:rPr>
            </w:pPr>
            <w:r>
              <w:rPr>
                <w:rFonts w:ascii="Times New Roman" w:cs="Times New Roman" w:eastAsia="Times New Roman" w:hAnsi="Times New Roman"/>
                <w:sz w:val="18"/>
                <w:szCs w:val="18"/>
                <w:color w:val="auto"/>
              </w:rPr>
              <w:t>(11.04)</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(9.18)</w:t>
            </w:r>
          </w:p>
        </w:tc>
        <w:tc>
          <w:tcPr>
            <w:tcW w:w="0" w:type="dxa"/>
            <w:vAlign w:val="bottom"/>
          </w:tcPr>
          <w:p>
            <w:pPr>
              <w:spacing w:after="0"/>
              <w:rPr>
                <w:sz w:val="1"/>
                <w:szCs w:val="1"/>
                <w:color w:val="auto"/>
              </w:rPr>
            </w:pPr>
          </w:p>
        </w:tc>
      </w:tr>
      <w:tr>
        <w:trPr>
          <w:trHeight w:val="216"/>
        </w:trPr>
        <w:tc>
          <w:tcPr>
            <w:tcW w:w="7160" w:type="dxa"/>
            <w:vAlign w:val="bottom"/>
          </w:tcPr>
          <w:p>
            <w:pPr>
              <w:spacing w:after="0"/>
              <w:rPr>
                <w:sz w:val="20"/>
                <w:szCs w:val="20"/>
                <w:color w:val="auto"/>
              </w:rPr>
            </w:pPr>
            <w:r>
              <w:rPr>
                <w:rFonts w:ascii="Times New Roman" w:cs="Times New Roman" w:eastAsia="Times New Roman" w:hAnsi="Times New Roman"/>
                <w:sz w:val="18"/>
                <w:szCs w:val="18"/>
                <w:color w:val="auto"/>
              </w:rPr>
              <w:t>Loss from discontinued operations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0" w:type="dxa"/>
            <w:vAlign w:val="bottom"/>
          </w:tcPr>
          <w:p>
            <w:pPr>
              <w:spacing w:after="0"/>
              <w:rPr>
                <w:sz w:val="1"/>
                <w:szCs w:val="1"/>
                <w:color w:val="auto"/>
              </w:rPr>
            </w:pPr>
          </w:p>
        </w:tc>
      </w:tr>
      <w:tr>
        <w:trPr>
          <w:trHeight w:val="228"/>
        </w:trPr>
        <w:tc>
          <w:tcPr>
            <w:tcW w:w="7160" w:type="dxa"/>
            <w:vAlign w:val="bottom"/>
          </w:tcPr>
          <w:p>
            <w:pPr>
              <w:spacing w:after="0"/>
              <w:rPr>
                <w:sz w:val="20"/>
                <w:szCs w:val="20"/>
                <w:color w:val="auto"/>
              </w:rPr>
            </w:pPr>
            <w:r>
              <w:rPr>
                <w:rFonts w:ascii="Times New Roman" w:cs="Times New Roman" w:eastAsia="Times New Roman" w:hAnsi="Times New Roman"/>
                <w:sz w:val="18"/>
                <w:szCs w:val="18"/>
                <w:color w:val="auto"/>
              </w:rPr>
              <w:t>Gain on disposal of discontinued operations</w:t>
            </w: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16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(0.46</w:t>
            </w:r>
          </w:p>
        </w:tc>
        <w:tc>
          <w:tcPr>
            <w:tcW w:w="360" w:type="dxa"/>
            <w:vAlign w:val="bottom"/>
          </w:tcPr>
          <w:p>
            <w:pPr>
              <w:jc w:val="right"/>
              <w:ind w:right="215"/>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(11.04</w:t>
            </w:r>
          </w:p>
        </w:tc>
        <w:tc>
          <w:tcPr>
            <w:tcW w:w="640" w:type="dxa"/>
            <w:vAlign w:val="bottom"/>
          </w:tcPr>
          <w:p>
            <w:pPr>
              <w:jc w:val="right"/>
              <w:ind w:right="562"/>
              <w:spacing w:after="0"/>
              <w:rPr>
                <w:sz w:val="20"/>
                <w:szCs w:val="20"/>
                <w:color w:val="auto"/>
              </w:rPr>
            </w:pPr>
            <w:r>
              <w:rPr>
                <w:rFonts w:ascii="Times New Roman" w:cs="Times New Roman" w:eastAsia="Times New Roman" w:hAnsi="Times New Roman"/>
                <w:sz w:val="8"/>
                <w:szCs w:val="8"/>
                <w:color w:val="auto"/>
                <w:w w:val="73"/>
              </w:rPr>
              <w:t>)</w:t>
            </w:r>
          </w:p>
        </w:tc>
        <w:tc>
          <w:tcPr>
            <w:tcW w:w="4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(8.88</w:t>
            </w:r>
          </w:p>
        </w:tc>
        <w:tc>
          <w:tcPr>
            <w:tcW w:w="40" w:type="dxa"/>
            <w:vAlign w:val="bottom"/>
          </w:tcPr>
          <w:p>
            <w:pPr>
              <w:jc w:val="right"/>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20"/>
        </w:trPr>
        <w:tc>
          <w:tcPr>
            <w:tcW w:w="7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800" w:hanging="454"/>
        <w:spacing w:after="0"/>
        <w:tabs>
          <w:tab w:leader="none" w:pos="800" w:val="left"/>
        </w:tabs>
        <w:numPr>
          <w:ilvl w:val="0"/>
          <w:numId w:val="44"/>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 xml:space="preserve">As the Company incurred a loss from continuing operations in 2009, 2008 and 2007, all outstanding stock options, restricted stock units, stock warrants and issuable shares underlying the 3 </w:t>
      </w:r>
      <w:r>
        <w:rPr>
          <w:rFonts w:ascii="Times New Roman" w:cs="Times New Roman" w:eastAsia="Times New Roman" w:hAnsi="Times New Roman"/>
          <w:sz w:val="11"/>
          <w:szCs w:val="11"/>
          <w:color w:val="auto"/>
        </w:rPr>
        <w:t>1</w:t>
      </w:r>
      <w:r>
        <w:rPr>
          <w:rFonts w:ascii="Times New Roman" w:cs="Times New Roman" w:eastAsia="Times New Roman" w:hAnsi="Times New Roman"/>
          <w:sz w:val="18"/>
          <w:szCs w:val="18"/>
          <w:color w:val="auto"/>
        </w:rPr>
        <w:t>/</w:t>
      </w:r>
      <w:r>
        <w:rPr>
          <w:rFonts w:ascii="Times New Roman" w:cs="Times New Roman" w:eastAsia="Times New Roman" w:hAnsi="Times New Roman"/>
          <w:sz w:val="13"/>
          <w:szCs w:val="13"/>
          <w:color w:val="auto"/>
        </w:rPr>
        <w:t>2</w:t>
      </w:r>
      <w:r>
        <w:rPr>
          <w:rFonts w:ascii="Times New Roman" w:cs="Times New Roman" w:eastAsia="Times New Roman" w:hAnsi="Times New Roman"/>
          <w:sz w:val="18"/>
          <w:szCs w:val="18"/>
          <w:color w:val="auto"/>
        </w:rPr>
        <w:t>% Convertible Senior Notes due 2014, have an anti-dilutive effect and therefore are excluded from the computation of diluted weighted average shares outstanding. Accordingly, basic and diluted weighted average shares outstanding are equal for such periods.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219710</wp:posOffset>
            </wp:positionH>
            <wp:positionV relativeFrom="paragraph">
              <wp:posOffset>-570865</wp:posOffset>
            </wp:positionV>
            <wp:extent cx="72898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2" w:lineRule="exact"/>
        <w:rPr>
          <w:sz w:val="20"/>
          <w:szCs w:val="20"/>
          <w:color w:val="auto"/>
        </w:rPr>
      </w:pPr>
    </w:p>
    <w:p>
      <w:pPr>
        <w:ind w:left="360" w:right="60"/>
        <w:spacing w:after="0" w:line="275" w:lineRule="auto"/>
        <w:rPr>
          <w:sz w:val="20"/>
          <w:szCs w:val="20"/>
          <w:color w:val="auto"/>
        </w:rPr>
      </w:pPr>
      <w:r>
        <w:rPr>
          <w:rFonts w:ascii="Times New Roman" w:cs="Times New Roman" w:eastAsia="Times New Roman" w:hAnsi="Times New Roman"/>
          <w:sz w:val="18"/>
          <w:szCs w:val="18"/>
          <w:color w:val="auto"/>
        </w:rPr>
        <w:t>The following table summarizes the Company’s outstanding common stock equivalents that were anti-dilutive and therefore excluded from the computation of diluted EPS:</w:t>
      </w:r>
    </w:p>
    <w:p>
      <w:pPr>
        <w:spacing w:after="0" w:line="158" w:lineRule="exact"/>
        <w:rPr>
          <w:sz w:val="20"/>
          <w:szCs w:val="20"/>
          <w:color w:val="auto"/>
        </w:rPr>
      </w:pPr>
    </w:p>
    <w:tbl>
      <w:tblPr>
        <w:tblLayout w:type="fixed"/>
        <w:tblInd w:w="360" w:type="dxa"/>
        <w:tblCellMar>
          <w:top w:w="0" w:type="dxa"/>
          <w:left w:w="0" w:type="dxa"/>
          <w:bottom w:w="0" w:type="dxa"/>
          <w:right w:w="0" w:type="dxa"/>
        </w:tblCellMar>
      </w:tblPr>
      <w:tr>
        <w:trPr>
          <w:trHeight w:val="231"/>
        </w:trPr>
        <w:tc>
          <w:tcPr>
            <w:tcW w:w="7120" w:type="dxa"/>
            <w:vAlign w:val="bottom"/>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700" w:type="dxa"/>
            <w:vAlign w:val="bottom"/>
            <w:tcBorders>
              <w:bottom w:val="single" w:sz="8" w:color="auto"/>
            </w:tcBorders>
          </w:tcPr>
          <w:p>
            <w:pPr>
              <w:spacing w:after="0"/>
              <w:rPr>
                <w:sz w:val="20"/>
                <w:szCs w:val="20"/>
                <w:color w:val="auto"/>
              </w:rPr>
            </w:pPr>
          </w:p>
        </w:tc>
      </w:tr>
      <w:tr>
        <w:trPr>
          <w:trHeight w:val="211"/>
        </w:trPr>
        <w:tc>
          <w:tcPr>
            <w:tcW w:w="7120" w:type="dxa"/>
            <w:vAlign w:val="bottom"/>
          </w:tcPr>
          <w:p>
            <w:pPr>
              <w:spacing w:after="0"/>
              <w:rPr>
                <w:sz w:val="18"/>
                <w:szCs w:val="18"/>
                <w:color w:val="auto"/>
              </w:rPr>
            </w:pPr>
          </w:p>
        </w:tc>
        <w:tc>
          <w:tcPr>
            <w:tcW w:w="720" w:type="dxa"/>
            <w:vAlign w:val="bottom"/>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2009</w:t>
            </w:r>
          </w:p>
        </w:tc>
        <w:tc>
          <w:tcPr>
            <w:tcW w:w="1440" w:type="dxa"/>
            <w:vAlign w:val="bottom"/>
            <w:gridSpan w:val="2"/>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2008</w:t>
            </w:r>
          </w:p>
        </w:tc>
        <w:tc>
          <w:tcPr>
            <w:tcW w:w="740" w:type="dxa"/>
            <w:vAlign w:val="bottom"/>
          </w:tcPr>
          <w:p>
            <w:pPr>
              <w:spacing w:after="0"/>
              <w:rPr>
                <w:sz w:val="18"/>
                <w:szCs w:val="18"/>
                <w:color w:val="auto"/>
              </w:rPr>
            </w:pPr>
          </w:p>
        </w:tc>
        <w:tc>
          <w:tcPr>
            <w:tcW w:w="700" w:type="dxa"/>
            <w:vAlign w:val="bottom"/>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2007</w:t>
            </w:r>
          </w:p>
        </w:tc>
      </w:tr>
      <w:tr>
        <w:trPr>
          <w:trHeight w:val="195"/>
        </w:trPr>
        <w:tc>
          <w:tcPr>
            <w:tcW w:w="712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 xml:space="preserve">Options </w:t>
            </w:r>
            <w:r>
              <w:rPr>
                <w:rFonts w:ascii="Times New Roman" w:cs="Times New Roman" w:eastAsia="Times New Roman" w:hAnsi="Times New Roman"/>
                <w:sz w:val="11"/>
                <w:szCs w:val="11"/>
                <w:color w:val="auto"/>
              </w:rPr>
              <w:t>(a)</w:t>
            </w:r>
          </w:p>
        </w:tc>
        <w:tc>
          <w:tcPr>
            <w:tcW w:w="720" w:type="dxa"/>
            <w:vAlign w:val="bottom"/>
            <w:tcBorders>
              <w:top w:val="single" w:sz="8" w:color="auto"/>
            </w:tcBorders>
          </w:tcPr>
          <w:p>
            <w:pPr>
              <w:jc w:val="right"/>
              <w:spacing w:after="0" w:line="195" w:lineRule="exact"/>
              <w:rPr>
                <w:sz w:val="20"/>
                <w:szCs w:val="20"/>
                <w:color w:val="auto"/>
              </w:rPr>
            </w:pPr>
            <w:r>
              <w:rPr>
                <w:rFonts w:ascii="Times New Roman" w:cs="Times New Roman" w:eastAsia="Times New Roman" w:hAnsi="Times New Roman"/>
                <w:sz w:val="18"/>
                <w:szCs w:val="18"/>
                <w:color w:val="auto"/>
              </w:rPr>
              <w:t>7.2</w:t>
            </w:r>
          </w:p>
        </w:tc>
        <w:tc>
          <w:tcPr>
            <w:tcW w:w="740" w:type="dxa"/>
            <w:vAlign w:val="bottom"/>
          </w:tcPr>
          <w:p>
            <w:pPr>
              <w:spacing w:after="0"/>
              <w:rPr>
                <w:sz w:val="16"/>
                <w:szCs w:val="16"/>
                <w:color w:val="auto"/>
              </w:rPr>
            </w:pPr>
          </w:p>
        </w:tc>
        <w:tc>
          <w:tcPr>
            <w:tcW w:w="700" w:type="dxa"/>
            <w:vAlign w:val="bottom"/>
            <w:tcBorders>
              <w:top w:val="single" w:sz="8" w:color="auto"/>
            </w:tcBorders>
          </w:tcPr>
          <w:p>
            <w:pPr>
              <w:jc w:val="right"/>
              <w:spacing w:after="0" w:line="195" w:lineRule="exact"/>
              <w:rPr>
                <w:sz w:val="20"/>
                <w:szCs w:val="20"/>
                <w:color w:val="auto"/>
              </w:rPr>
            </w:pPr>
            <w:r>
              <w:rPr>
                <w:rFonts w:ascii="Times New Roman" w:cs="Times New Roman" w:eastAsia="Times New Roman" w:hAnsi="Times New Roman"/>
                <w:sz w:val="18"/>
                <w:szCs w:val="18"/>
                <w:color w:val="auto"/>
              </w:rPr>
              <w:t>5.0</w:t>
            </w:r>
          </w:p>
        </w:tc>
        <w:tc>
          <w:tcPr>
            <w:tcW w:w="740" w:type="dxa"/>
            <w:vAlign w:val="bottom"/>
          </w:tcPr>
          <w:p>
            <w:pPr>
              <w:spacing w:after="0"/>
              <w:rPr>
                <w:sz w:val="16"/>
                <w:szCs w:val="16"/>
                <w:color w:val="auto"/>
              </w:rPr>
            </w:pPr>
          </w:p>
        </w:tc>
        <w:tc>
          <w:tcPr>
            <w:tcW w:w="700" w:type="dxa"/>
            <w:vAlign w:val="bottom"/>
            <w:tcBorders>
              <w:top w:val="single" w:sz="8" w:color="auto"/>
            </w:tcBorders>
          </w:tcPr>
          <w:p>
            <w:pPr>
              <w:jc w:val="right"/>
              <w:spacing w:after="0" w:line="195" w:lineRule="exact"/>
              <w:rPr>
                <w:sz w:val="20"/>
                <w:szCs w:val="20"/>
                <w:color w:val="auto"/>
              </w:rPr>
            </w:pPr>
            <w:r>
              <w:rPr>
                <w:rFonts w:ascii="Times New Roman" w:cs="Times New Roman" w:eastAsia="Times New Roman" w:hAnsi="Times New Roman"/>
                <w:sz w:val="18"/>
                <w:szCs w:val="18"/>
                <w:color w:val="auto"/>
              </w:rPr>
              <w:t>6.0</w:t>
            </w:r>
          </w:p>
        </w:tc>
      </w:tr>
      <w:tr>
        <w:trPr>
          <w:trHeight w:val="216"/>
        </w:trPr>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Warrants </w:t>
            </w:r>
            <w:r>
              <w:rPr>
                <w:rFonts w:ascii="Times New Roman" w:cs="Times New Roman" w:eastAsia="Times New Roman" w:hAnsi="Times New Roman"/>
                <w:sz w:val="11"/>
                <w:szCs w:val="11"/>
                <w:color w:val="auto"/>
              </w:rPr>
              <w:t>(b)</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28"/>
        </w:trPr>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Shares underlying 3 </w:t>
            </w:r>
            <w:r>
              <w:rPr>
                <w:rFonts w:ascii="Times New Roman" w:cs="Times New Roman" w:eastAsia="Times New Roman" w:hAnsi="Times New Roman"/>
                <w:sz w:val="11"/>
                <w:szCs w:val="11"/>
                <w:color w:val="auto"/>
              </w:rPr>
              <w:t>1</w:t>
            </w:r>
            <w:r>
              <w:rPr>
                <w:rFonts w:ascii="Times New Roman" w:cs="Times New Roman" w:eastAsia="Times New Roman" w:hAnsi="Times New Roman"/>
                <w:sz w:val="18"/>
                <w:szCs w:val="18"/>
                <w:color w:val="auto"/>
              </w:rPr>
              <w:t>/</w:t>
            </w:r>
            <w:r>
              <w:rPr>
                <w:rFonts w:ascii="Times New Roman" w:cs="Times New Roman" w:eastAsia="Times New Roman" w:hAnsi="Times New Roman"/>
                <w:sz w:val="13"/>
                <w:szCs w:val="13"/>
                <w:color w:val="auto"/>
              </w:rPr>
              <w:t>2</w:t>
            </w:r>
            <w:r>
              <w:rPr>
                <w:rFonts w:ascii="Times New Roman" w:cs="Times New Roman" w:eastAsia="Times New Roman" w:hAnsi="Times New Roman"/>
                <w:sz w:val="18"/>
                <w:szCs w:val="18"/>
                <w:color w:val="auto"/>
              </w:rPr>
              <w:t xml:space="preserve">% Convertible Senior Notes due 2014 </w:t>
            </w:r>
            <w:r>
              <w:rPr>
                <w:rFonts w:ascii="Times New Roman" w:cs="Times New Roman" w:eastAsia="Times New Roman" w:hAnsi="Times New Roman"/>
                <w:sz w:val="11"/>
                <w:szCs w:val="11"/>
                <w:color w:val="auto"/>
              </w:rPr>
              <w:t>(c)</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79" w:lineRule="exact"/>
        <w:rPr>
          <w:sz w:val="20"/>
          <w:szCs w:val="20"/>
          <w:color w:val="auto"/>
        </w:rPr>
      </w:pPr>
    </w:p>
    <w:p>
      <w:pPr>
        <w:sectPr>
          <w:pgSz w:w="11900" w:h="16838" w:orient="portrait"/>
          <w:cols w:equalWidth="0" w:num="1">
            <w:col w:w="11380"/>
          </w:cols>
          <w:pgMar w:left="240" w:top="455" w:right="279" w:bottom="1440" w:gutter="0" w:footer="0" w:header="0"/>
        </w:sectPr>
      </w:pPr>
    </w:p>
    <w:p>
      <w:pPr>
        <w:ind w:left="340"/>
        <w:spacing w:after="0"/>
        <w:rPr>
          <w:sz w:val="20"/>
          <w:szCs w:val="20"/>
          <w:color w:val="auto"/>
        </w:rPr>
      </w:pPr>
      <w:r>
        <w:rPr>
          <w:rFonts w:ascii="Times New Roman" w:cs="Times New Roman" w:eastAsia="Times New Roman" w:hAnsi="Times New Roman"/>
          <w:sz w:val="11"/>
          <w:szCs w:val="11"/>
          <w:color w:val="auto"/>
        </w:rPr>
        <w:t>(a)</w:t>
      </w:r>
    </w:p>
    <w:p>
      <w:pPr>
        <w:spacing w:after="0" w:line="9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1"/>
          <w:szCs w:val="11"/>
          <w:color w:val="auto"/>
        </w:rPr>
        <w:t>(b)</w:t>
      </w:r>
    </w:p>
    <w:p>
      <w:pPr>
        <w:spacing w:after="0" w:line="306"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1"/>
          <w:szCs w:val="11"/>
          <w:color w:val="auto"/>
        </w:rPr>
        <w:t>(c)</w:t>
      </w:r>
    </w:p>
    <w:p>
      <w:pPr>
        <w:spacing w:after="0" w:line="20" w:lineRule="exact"/>
        <w:rPr>
          <w:sz w:val="20"/>
          <w:szCs w:val="20"/>
          <w:color w:val="auto"/>
        </w:rPr>
      </w:pPr>
      <w:r>
        <w:rPr>
          <w:sz w:val="20"/>
          <w:szCs w:val="20"/>
          <w:color w:val="auto"/>
        </w:rPr>
        <w:br w:type="column"/>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Represents all outstanding stock options for 2009, 2008 and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-147320</wp:posOffset>
            </wp:positionV>
            <wp:extent cx="72898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Represents all outstanding warrants for 2009, 2008 and 2007. The exercise price for the warrants issued in 2009 was $22.50. The warrants outstanding in 2007 had an exercise price of $21.31 and expired in June 2008.</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Represents the number of shares issuable under the convertible senior notes issued in October 2009.</w:t>
      </w:r>
    </w:p>
    <w:p>
      <w:pPr>
        <w:spacing w:after="0" w:line="145"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F-18</w:t>
      </w:r>
    </w:p>
    <w:p>
      <w:pPr>
        <w:sectPr>
          <w:pgSz w:w="11900" w:h="16838" w:orient="portrait"/>
          <w:cols w:equalWidth="0" w:num="2">
            <w:col w:w="480" w:space="320"/>
            <w:col w:w="10580"/>
          </w:cols>
          <w:pgMar w:left="240" w:top="455" w:right="279" w:bottom="1440" w:gutter="0" w:footer="0" w:header="0"/>
          <w:type w:val="continuous"/>
        </w:sectPr>
      </w:pPr>
    </w:p>
    <w:bookmarkStart w:id="79" w:name="page80"/>
    <w:bookmarkEnd w:id="7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340" w:hanging="332"/>
        <w:spacing w:after="0"/>
        <w:tabs>
          <w:tab w:leader="none" w:pos="340"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Restructuring Charges</w:t>
      </w:r>
    </w:p>
    <w:p>
      <w:pPr>
        <w:spacing w:after="0" w:line="169" w:lineRule="exact"/>
        <w:rPr>
          <w:rFonts w:ascii="Times New Roman" w:cs="Times New Roman" w:eastAsia="Times New Roman" w:hAnsi="Times New Roman"/>
          <w:sz w:val="18"/>
          <w:szCs w:val="18"/>
          <w:b w:val="1"/>
          <w:bCs w:val="1"/>
          <w:color w:val="auto"/>
        </w:rPr>
      </w:pPr>
    </w:p>
    <w:p>
      <w:pPr>
        <w:ind w:left="3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2008 Restructuring Initiative</w:t>
      </w:r>
    </w:p>
    <w:p>
      <w:pPr>
        <w:spacing w:after="0" w:line="175" w:lineRule="exact"/>
        <w:rPr>
          <w:rFonts w:ascii="Times New Roman" w:cs="Times New Roman" w:eastAsia="Times New Roman" w:hAnsi="Times New Roman"/>
          <w:sz w:val="18"/>
          <w:szCs w:val="18"/>
          <w:b w:val="1"/>
          <w:bCs w:val="1"/>
          <w:color w:val="auto"/>
        </w:rPr>
      </w:pPr>
    </w:p>
    <w:p>
      <w:pPr>
        <w:ind w:left="360" w:right="120"/>
        <w:spacing w:after="0" w:line="25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During 2008 and 2009, the Company implemented various strategic initiatives within the Company’s Domestic Car Rental, International Car Rental and Truck Rental segments as part of its five-point cost-reduction and efficiency improvement plan announced in November 2008. These initiatives are targeted principally at reducing costs, enhancing organizational efficiency and consolidating and rationalizing existing processes and facilities. As part of the five-point plan, during the years ended December 31, 2009 and 2008, the Company eliminated approximately 2,250 and approximately 3,000 positions, respectively, resulting in the termination of approximately 1,750 and approximately 2,300 employees, respectively, within the Company’s Domestic Car Rental, International Car Rental and Truck Rental segments, and the closure and consolidation of certain facilities, including data center, back-office administrative locations and local market vehicle rental locations. The Company recorded restructuring charges of $48 million in connection with these initiatives, $20 million in 2009 and $28 million in 2008, the majority of which is anticipated to be cash and $44 million of which has either been paid or utilized as of December 31, 2009. These charges primarily represent severance, outplacement services and other costs associated with employee terminations. At December 31, 2009, the remaining liability relating to this 2008 restructuring initiative amounted to $4 million, primarily for lease obligation costs, which are expected to be paid through 2011. The Company anticipates that these initiatives will be completed prior to December 31, 2010 and expects to incur additional restructuring costs of approximately $13 million during 2010, which will effectively end activities under the 2008 restructuring initiative and five-point plan.</w:t>
      </w:r>
    </w:p>
    <w:p>
      <w:pPr>
        <w:spacing w:after="0" w:line="141" w:lineRule="exact"/>
        <w:rPr>
          <w:rFonts w:ascii="Times New Roman" w:cs="Times New Roman" w:eastAsia="Times New Roman" w:hAnsi="Times New Roman"/>
          <w:sz w:val="18"/>
          <w:szCs w:val="18"/>
          <w:b w:val="1"/>
          <w:bCs w:val="1"/>
          <w:color w:val="auto"/>
        </w:rPr>
      </w:pPr>
    </w:p>
    <w:p>
      <w:pPr>
        <w:ind w:left="3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2006 Restructuring Initiative</w:t>
      </w:r>
    </w:p>
    <w:p>
      <w:pPr>
        <w:spacing w:after="0" w:line="175" w:lineRule="exact"/>
        <w:rPr>
          <w:rFonts w:ascii="Times New Roman" w:cs="Times New Roman" w:eastAsia="Times New Roman" w:hAnsi="Times New Roman"/>
          <w:sz w:val="18"/>
          <w:szCs w:val="18"/>
          <w:b w:val="1"/>
          <w:bCs w:val="1"/>
          <w:color w:val="auto"/>
        </w:rPr>
      </w:pPr>
    </w:p>
    <w:p>
      <w:pPr>
        <w:ind w:left="360" w:right="40"/>
        <w:spacing w:after="0" w:line="29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6"/>
          <w:szCs w:val="16"/>
          <w:color w:val="auto"/>
        </w:rPr>
        <w:t>In 2006, the Company committed to various strategic initiatives targeted principally at reducing costs, enhancing organizational efficiency and consolidating and rationalizing existing processes and facilities within its Budget Truck Rental and Domestic Car Rental operations. The more significant areas of cost reduction included the closure of the Budget Truck Rental headquarters and other facilities and reductions in staff. The Company recorded $8 million of restructuring charges in connection with these initiatives, of which $6 million and $2 million was incurred within the Company’s Truck Rental and Domestic Car Rental operations, respectively. The remaining liabilities related to the 2006 restructuring charges were paid in 2007.</w:t>
      </w:r>
    </w:p>
    <w:p>
      <w:pPr>
        <w:spacing w:after="0" w:line="103" w:lineRule="exact"/>
        <w:rPr>
          <w:rFonts w:ascii="Times New Roman" w:cs="Times New Roman" w:eastAsia="Times New Roman" w:hAnsi="Times New Roman"/>
          <w:sz w:val="18"/>
          <w:szCs w:val="18"/>
          <w:b w:val="1"/>
          <w:bCs w:val="1"/>
          <w:color w:val="auto"/>
        </w:rPr>
      </w:pPr>
    </w:p>
    <w:p>
      <w:pPr>
        <w:ind w:left="3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2005 Restructuring Initiative</w:t>
      </w:r>
    </w:p>
    <w:p>
      <w:pPr>
        <w:spacing w:after="0" w:line="175" w:lineRule="exact"/>
        <w:rPr>
          <w:rFonts w:ascii="Times New Roman" w:cs="Times New Roman" w:eastAsia="Times New Roman" w:hAnsi="Times New Roman"/>
          <w:sz w:val="18"/>
          <w:szCs w:val="18"/>
          <w:b w:val="1"/>
          <w:bCs w:val="1"/>
          <w:color w:val="auto"/>
        </w:rPr>
      </w:pPr>
    </w:p>
    <w:p>
      <w:pPr>
        <w:ind w:left="360"/>
        <w:spacing w:after="0" w:line="25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2005, the Company recorded $26 million of restructuring charges as a result of activities undertaken following the PHH spin-off and the initial public offering of Wright Express. The restructuring activities were targeted principally at reducing costs, enhancing organizational efficiency and consolidating and rationalizing existing processes and facilities. The more significant areas of cost reduction included the closure of a call center and field locations of the Company’s Truck Rental business and reductions in staff within the Company’s corporate functions. The initial charge recorded in the Company’s Corporate and Other, Truck Rental and Domestic Car Rental segments amounted to $19 million, $5 million and $2 million, respectively. In 2006, the Company recorded a $2 million charge representing a revision to its original estimate of costs to exit a lease in connection with the closure of a truck rental facility in first quarter 2005. As of December 31, 2009, there is a remaining liability of approximately $1 million, relating to obligations under terminated leases which is expected to be substantially completed by December 31, 2011.</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F-19</w:t>
      </w:r>
    </w:p>
    <w:p>
      <w:pPr>
        <w:sectPr>
          <w:pgSz w:w="11900" w:h="16838" w:orient="portrait"/>
          <w:cols w:equalWidth="0" w:num="1">
            <w:col w:w="11420"/>
          </w:cols>
          <w:pgMar w:left="240" w:top="455" w:right="239" w:bottom="1440" w:gutter="0" w:footer="0" w:header="0"/>
        </w:sectPr>
      </w:pPr>
    </w:p>
    <w:bookmarkStart w:id="80" w:name="page81"/>
    <w:bookmarkEnd w:id="8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360" w:right="560"/>
        <w:spacing w:after="0" w:line="275" w:lineRule="auto"/>
        <w:rPr>
          <w:sz w:val="20"/>
          <w:szCs w:val="20"/>
          <w:color w:val="auto"/>
        </w:rPr>
      </w:pPr>
      <w:r>
        <w:rPr>
          <w:rFonts w:ascii="Times New Roman" w:cs="Times New Roman" w:eastAsia="Times New Roman" w:hAnsi="Times New Roman"/>
          <w:sz w:val="18"/>
          <w:szCs w:val="18"/>
          <w:color w:val="auto"/>
        </w:rPr>
        <w:t>The initial recognition of the restructuring charges, additional incremental charges and the corresponding payments and utilization from inception are summarized by category as follows:</w:t>
      </w:r>
    </w:p>
    <w:p>
      <w:pPr>
        <w:spacing w:after="0" w:line="158" w:lineRule="exact"/>
        <w:rPr>
          <w:sz w:val="20"/>
          <w:szCs w:val="20"/>
          <w:color w:val="auto"/>
        </w:rPr>
      </w:pPr>
    </w:p>
    <w:tbl>
      <w:tblPr>
        <w:tblLayout w:type="fixed"/>
        <w:tblInd w:w="360" w:type="dxa"/>
        <w:tblCellMar>
          <w:top w:w="0" w:type="dxa"/>
          <w:left w:w="0" w:type="dxa"/>
          <w:bottom w:w="0" w:type="dxa"/>
          <w:right w:w="0" w:type="dxa"/>
        </w:tblCellMar>
      </w:tblPr>
      <w:tr>
        <w:trPr>
          <w:trHeight w:val="216"/>
        </w:trPr>
        <w:tc>
          <w:tcPr>
            <w:tcW w:w="5140" w:type="dxa"/>
            <w:vAlign w:val="bottom"/>
          </w:tcPr>
          <w:p>
            <w:pPr>
              <w:spacing w:after="0"/>
              <w:rPr>
                <w:sz w:val="18"/>
                <w:szCs w:val="18"/>
                <w:color w:val="auto"/>
              </w:rPr>
            </w:pPr>
          </w:p>
        </w:tc>
        <w:tc>
          <w:tcPr>
            <w:tcW w:w="114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Personnel</w:t>
            </w:r>
          </w:p>
        </w:tc>
        <w:tc>
          <w:tcPr>
            <w:tcW w:w="360" w:type="dxa"/>
            <w:vAlign w:val="bottom"/>
          </w:tcPr>
          <w:p>
            <w:pPr>
              <w:spacing w:after="0"/>
              <w:rPr>
                <w:sz w:val="18"/>
                <w:szCs w:val="18"/>
                <w:color w:val="auto"/>
              </w:rPr>
            </w:pPr>
          </w:p>
        </w:tc>
        <w:tc>
          <w:tcPr>
            <w:tcW w:w="114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Facility</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Asset</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0"/>
        </w:trPr>
        <w:tc>
          <w:tcPr>
            <w:tcW w:w="5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20" w:type="dxa"/>
            <w:vAlign w:val="bottom"/>
            <w:gridSpan w:val="3"/>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Related</w:t>
            </w:r>
          </w:p>
        </w:tc>
        <w:tc>
          <w:tcPr>
            <w:tcW w:w="1500" w:type="dxa"/>
            <w:vAlign w:val="bottom"/>
            <w:gridSpan w:val="4"/>
          </w:tcPr>
          <w:p>
            <w:pPr>
              <w:ind w:left="360"/>
              <w:spacing w:after="0"/>
              <w:rPr>
                <w:sz w:val="20"/>
                <w:szCs w:val="20"/>
                <w:color w:val="auto"/>
              </w:rPr>
            </w:pPr>
            <w:r>
              <w:rPr>
                <w:rFonts w:ascii="Times New Roman" w:cs="Times New Roman" w:eastAsia="Times New Roman" w:hAnsi="Times New Roman"/>
                <w:sz w:val="18"/>
                <w:szCs w:val="18"/>
                <w:b w:val="1"/>
                <w:bCs w:val="1"/>
                <w:color w:val="auto"/>
              </w:rPr>
              <w:t xml:space="preserve">Related </w:t>
            </w:r>
            <w:r>
              <w:rPr>
                <w:rFonts w:ascii="Times New Roman" w:cs="Times New Roman" w:eastAsia="Times New Roman" w:hAnsi="Times New Roman"/>
                <w:sz w:val="11"/>
                <w:szCs w:val="11"/>
                <w:b w:val="1"/>
                <w:bCs w:val="1"/>
                <w:color w:val="auto"/>
              </w:rPr>
              <w:t>(c)</w:t>
            </w:r>
          </w:p>
        </w:tc>
        <w:tc>
          <w:tcPr>
            <w:tcW w:w="1740" w:type="dxa"/>
            <w:vAlign w:val="bottom"/>
            <w:gridSpan w:val="4"/>
          </w:tcPr>
          <w:p>
            <w:pPr>
              <w:ind w:left="340"/>
              <w:spacing w:after="0"/>
              <w:rPr>
                <w:sz w:val="20"/>
                <w:szCs w:val="20"/>
                <w:color w:val="auto"/>
              </w:rPr>
            </w:pPr>
            <w:r>
              <w:rPr>
                <w:rFonts w:ascii="Times New Roman" w:cs="Times New Roman" w:eastAsia="Times New Roman" w:hAnsi="Times New Roman"/>
                <w:sz w:val="18"/>
                <w:szCs w:val="18"/>
                <w:b w:val="1"/>
                <w:bCs w:val="1"/>
                <w:color w:val="auto"/>
              </w:rPr>
              <w:t>Impairments</w:t>
            </w: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w w:val="97"/>
              </w:rPr>
              <w:t>Total</w:t>
            </w:r>
          </w:p>
        </w:tc>
      </w:tr>
      <w:tr>
        <w:trPr>
          <w:trHeight w:val="224"/>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Balance as of January 1, 2007</w:t>
            </w:r>
          </w:p>
        </w:tc>
        <w:tc>
          <w:tcPr>
            <w:tcW w:w="20" w:type="dxa"/>
            <w:vAlign w:val="bottom"/>
          </w:tcPr>
          <w:p>
            <w:pPr>
              <w:spacing w:after="0"/>
              <w:rPr>
                <w:sz w:val="19"/>
                <w:szCs w:val="19"/>
                <w:color w:val="auto"/>
              </w:rPr>
            </w:pPr>
          </w:p>
        </w:tc>
        <w:tc>
          <w:tcPr>
            <w:tcW w:w="2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40" w:type="dxa"/>
            <w:vAlign w:val="bottom"/>
          </w:tcPr>
          <w:p>
            <w:pPr>
              <w:spacing w:after="0"/>
              <w:rPr>
                <w:sz w:val="19"/>
                <w:szCs w:val="19"/>
                <w:color w:val="auto"/>
              </w:rPr>
            </w:pPr>
          </w:p>
        </w:tc>
      </w:tr>
      <w:tr>
        <w:trPr>
          <w:trHeight w:val="310"/>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Cash payment/utilization</w:t>
            </w: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(4)</w:t>
            </w: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(4)</w:t>
            </w: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24"/>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Balance as of December 31, 2007</w:t>
            </w:r>
          </w:p>
        </w:tc>
        <w:tc>
          <w:tcPr>
            <w:tcW w:w="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40" w:type="dxa"/>
            <w:vAlign w:val="bottom"/>
          </w:tcPr>
          <w:p>
            <w:pPr>
              <w:spacing w:after="0"/>
              <w:rPr>
                <w:sz w:val="19"/>
                <w:szCs w:val="19"/>
                <w:color w:val="auto"/>
              </w:rPr>
            </w:pPr>
          </w:p>
        </w:tc>
      </w:tr>
      <w:tr>
        <w:trPr>
          <w:trHeight w:val="311"/>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Initial restructuring charge </w:t>
            </w:r>
            <w:r>
              <w:rPr>
                <w:rFonts w:ascii="Times New Roman" w:cs="Times New Roman" w:eastAsia="Times New Roman" w:hAnsi="Times New Roman"/>
                <w:sz w:val="11"/>
                <w:szCs w:val="11"/>
                <w:color w:val="auto"/>
              </w:rPr>
              <w:t>(a)</w:t>
            </w: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40" w:type="dxa"/>
            <w:vAlign w:val="bottom"/>
          </w:tcPr>
          <w:p>
            <w:pPr>
              <w:spacing w:after="0"/>
              <w:rPr>
                <w:sz w:val="24"/>
                <w:szCs w:val="24"/>
                <w:color w:val="auto"/>
              </w:rPr>
            </w:pPr>
          </w:p>
        </w:tc>
      </w:tr>
      <w:tr>
        <w:trPr>
          <w:trHeight w:val="228"/>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Cash payment/utilization</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(13)</w:t>
            </w:r>
          </w:p>
        </w:tc>
        <w:tc>
          <w:tcPr>
            <w:tcW w:w="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w:t>
            </w: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24"/>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Balance as of December 31, 2008</w:t>
            </w:r>
          </w:p>
        </w:tc>
        <w:tc>
          <w:tcPr>
            <w:tcW w:w="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40" w:type="dxa"/>
            <w:vAlign w:val="bottom"/>
          </w:tcPr>
          <w:p>
            <w:pPr>
              <w:spacing w:after="0"/>
              <w:rPr>
                <w:sz w:val="19"/>
                <w:szCs w:val="19"/>
                <w:color w:val="auto"/>
              </w:rPr>
            </w:pPr>
          </w:p>
        </w:tc>
      </w:tr>
      <w:tr>
        <w:trPr>
          <w:trHeight w:val="311"/>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Incremental charges </w:t>
            </w:r>
            <w:r>
              <w:rPr>
                <w:rFonts w:ascii="Times New Roman" w:cs="Times New Roman" w:eastAsia="Times New Roman" w:hAnsi="Times New Roman"/>
                <w:sz w:val="11"/>
                <w:szCs w:val="11"/>
                <w:color w:val="auto"/>
              </w:rPr>
              <w:t>(b)</w:t>
            </w: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40" w:type="dxa"/>
            <w:vAlign w:val="bottom"/>
          </w:tcPr>
          <w:p>
            <w:pPr>
              <w:spacing w:after="0"/>
              <w:rPr>
                <w:sz w:val="24"/>
                <w:szCs w:val="24"/>
                <w:color w:val="auto"/>
              </w:rPr>
            </w:pPr>
          </w:p>
        </w:tc>
      </w:tr>
      <w:tr>
        <w:trPr>
          <w:trHeight w:val="228"/>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Cash payment/utilization</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(20)</w:t>
            </w:r>
          </w:p>
        </w:tc>
        <w:tc>
          <w:tcPr>
            <w:tcW w:w="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(7)</w:t>
            </w: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(4)</w:t>
            </w: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25"/>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Balance as of December 31, 2009</w:t>
            </w:r>
          </w:p>
        </w:tc>
        <w:tc>
          <w:tcPr>
            <w:tcW w:w="20" w:type="dxa"/>
            <w:vAlign w:val="bottom"/>
            <w:tcBorders>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40" w:type="dxa"/>
            <w:vAlign w:val="bottom"/>
          </w:tcPr>
          <w:p>
            <w:pPr>
              <w:spacing w:after="0"/>
              <w:rPr>
                <w:sz w:val="19"/>
                <w:szCs w:val="19"/>
                <w:color w:val="auto"/>
              </w:rPr>
            </w:pPr>
          </w:p>
        </w:tc>
      </w:tr>
      <w:tr>
        <w:trPr>
          <w:trHeight w:val="20"/>
        </w:trPr>
        <w:tc>
          <w:tcPr>
            <w:tcW w:w="5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48" w:lineRule="exact"/>
        <w:rPr>
          <w:sz w:val="20"/>
          <w:szCs w:val="20"/>
          <w:color w:val="auto"/>
        </w:rPr>
      </w:pPr>
    </w:p>
    <w:p>
      <w:pPr>
        <w:ind w:left="800" w:hanging="454"/>
        <w:spacing w:after="0" w:line="231" w:lineRule="auto"/>
        <w:tabs>
          <w:tab w:leader="none" w:pos="800" w:val="left"/>
        </w:tabs>
        <w:numPr>
          <w:ilvl w:val="0"/>
          <w:numId w:val="4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The initial charge primarily represents severance benefits resulting from reductions in staff. As of December 31, 2009, the Company had terminated all of these employees.</w:t>
      </w:r>
    </w:p>
    <w:p>
      <w:pPr>
        <w:spacing w:after="0" w:line="1" w:lineRule="exact"/>
        <w:rPr>
          <w:rFonts w:ascii="Times New Roman" w:cs="Times New Roman" w:eastAsia="Times New Roman" w:hAnsi="Times New Roman"/>
          <w:sz w:val="22"/>
          <w:szCs w:val="22"/>
          <w:color w:val="auto"/>
          <w:vertAlign w:val="superscript"/>
        </w:rPr>
      </w:pPr>
    </w:p>
    <w:p>
      <w:pPr>
        <w:ind w:left="800" w:right="40" w:hanging="454"/>
        <w:spacing w:after="0" w:line="237" w:lineRule="auto"/>
        <w:tabs>
          <w:tab w:leader="none" w:pos="800" w:val="left"/>
        </w:tabs>
        <w:numPr>
          <w:ilvl w:val="0"/>
          <w:numId w:val="4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During the twelve months ended December 31, 2009, the Company incurred additional restructuring charges primarily for severance benefits resulting from reductions in staff and the closure of certain facilities. The Company formally communicated the termination of employment to approximately 1,750 employees, representing a wide range of employee groups. As of December 31, 2009, the Company had terminated substantially all of these employees.</w:t>
      </w:r>
    </w:p>
    <w:p>
      <w:pPr>
        <w:spacing w:after="0" w:line="1" w:lineRule="exact"/>
        <w:rPr>
          <w:rFonts w:ascii="Times New Roman" w:cs="Times New Roman" w:eastAsia="Times New Roman" w:hAnsi="Times New Roman"/>
          <w:sz w:val="22"/>
          <w:szCs w:val="22"/>
          <w:color w:val="auto"/>
          <w:vertAlign w:val="superscript"/>
        </w:rPr>
      </w:pPr>
    </w:p>
    <w:p>
      <w:pPr>
        <w:ind w:left="800" w:hanging="454"/>
        <w:spacing w:after="0" w:line="204" w:lineRule="auto"/>
        <w:tabs>
          <w:tab w:leader="none" w:pos="800" w:val="left"/>
        </w:tabs>
        <w:numPr>
          <w:ilvl w:val="0"/>
          <w:numId w:val="4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At December 31, 2009, the remaining liability relates primarily to required minimum lease 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219710</wp:posOffset>
            </wp:positionH>
            <wp:positionV relativeFrom="paragraph">
              <wp:posOffset>-983615</wp:posOffset>
            </wp:positionV>
            <wp:extent cx="72898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restructuring charges and corresponding payments and utilization are recorded within the Company’s segments as follows:</w:t>
      </w:r>
    </w:p>
    <w:p>
      <w:pPr>
        <w:spacing w:after="0" w:line="210" w:lineRule="exact"/>
        <w:rPr>
          <w:sz w:val="20"/>
          <w:szCs w:val="20"/>
          <w:color w:val="auto"/>
        </w:rPr>
      </w:pPr>
    </w:p>
    <w:tbl>
      <w:tblPr>
        <w:tblLayout w:type="fixed"/>
        <w:tblInd w:w="360" w:type="dxa"/>
        <w:tblCellMar>
          <w:top w:w="0" w:type="dxa"/>
          <w:left w:w="0" w:type="dxa"/>
          <w:bottom w:w="0" w:type="dxa"/>
          <w:right w:w="0" w:type="dxa"/>
        </w:tblCellMar>
      </w:tblPr>
      <w:tr>
        <w:trPr>
          <w:trHeight w:val="216"/>
        </w:trPr>
        <w:tc>
          <w:tcPr>
            <w:tcW w:w="4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4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Domestic</w:t>
            </w:r>
          </w:p>
        </w:tc>
        <w:tc>
          <w:tcPr>
            <w:tcW w:w="1780" w:type="dxa"/>
            <w:vAlign w:val="bottom"/>
            <w:gridSpan w:val="4"/>
          </w:tcPr>
          <w:p>
            <w:pPr>
              <w:ind w:left="360"/>
              <w:spacing w:after="0"/>
              <w:rPr>
                <w:sz w:val="20"/>
                <w:szCs w:val="20"/>
                <w:color w:val="auto"/>
              </w:rPr>
            </w:pPr>
            <w:r>
              <w:rPr>
                <w:rFonts w:ascii="Times New Roman" w:cs="Times New Roman" w:eastAsia="Times New Roman" w:hAnsi="Times New Roman"/>
                <w:sz w:val="18"/>
                <w:szCs w:val="18"/>
                <w:b w:val="1"/>
                <w:bCs w:val="1"/>
                <w:color w:val="auto"/>
              </w:rPr>
              <w:t>International</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Truck</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0"/>
        </w:trPr>
        <w:tc>
          <w:tcPr>
            <w:tcW w:w="4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Car Rental</w:t>
            </w:r>
          </w:p>
        </w:tc>
        <w:tc>
          <w:tcPr>
            <w:tcW w:w="360" w:type="dxa"/>
            <w:vAlign w:val="bottom"/>
          </w:tcPr>
          <w:p>
            <w:pPr>
              <w:spacing w:after="0"/>
              <w:rPr>
                <w:sz w:val="20"/>
                <w:szCs w:val="20"/>
                <w:color w:val="auto"/>
              </w:rPr>
            </w:pPr>
          </w:p>
        </w:tc>
        <w:tc>
          <w:tcPr>
            <w:tcW w:w="142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Car Rental</w:t>
            </w: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Rental</w:t>
            </w: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w w:val="97"/>
              </w:rPr>
              <w:t>Total</w:t>
            </w:r>
          </w:p>
        </w:tc>
      </w:tr>
      <w:tr>
        <w:trPr>
          <w:trHeight w:val="224"/>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Balance as of January 1, 2007</w:t>
            </w:r>
          </w:p>
        </w:tc>
        <w:tc>
          <w:tcPr>
            <w:tcW w:w="20" w:type="dxa"/>
            <w:vAlign w:val="bottom"/>
          </w:tcPr>
          <w:p>
            <w:pPr>
              <w:spacing w:after="0"/>
              <w:rPr>
                <w:sz w:val="19"/>
                <w:szCs w:val="19"/>
                <w:color w:val="auto"/>
              </w:rPr>
            </w:pPr>
          </w:p>
        </w:tc>
        <w:tc>
          <w:tcPr>
            <w:tcW w:w="34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40" w:type="dxa"/>
            <w:vAlign w:val="bottom"/>
          </w:tcPr>
          <w:p>
            <w:pPr>
              <w:spacing w:after="0"/>
              <w:rPr>
                <w:sz w:val="19"/>
                <w:szCs w:val="19"/>
                <w:color w:val="auto"/>
              </w:rPr>
            </w:pPr>
          </w:p>
        </w:tc>
      </w:tr>
      <w:tr>
        <w:trPr>
          <w:trHeight w:val="310"/>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Cash payment/utilization</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(2)</w:t>
            </w:r>
          </w:p>
        </w:tc>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(6)</w:t>
            </w: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24"/>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Balance as of December 31, 2007</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40" w:type="dxa"/>
            <w:vAlign w:val="bottom"/>
          </w:tcPr>
          <w:p>
            <w:pPr>
              <w:spacing w:after="0"/>
              <w:rPr>
                <w:sz w:val="19"/>
                <w:szCs w:val="19"/>
                <w:color w:val="auto"/>
              </w:rPr>
            </w:pPr>
          </w:p>
        </w:tc>
      </w:tr>
      <w:tr>
        <w:trPr>
          <w:trHeight w:val="311"/>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Initial Restructuring charge </w:t>
            </w:r>
            <w:r>
              <w:rPr>
                <w:rFonts w:ascii="Times New Roman" w:cs="Times New Roman" w:eastAsia="Times New Roman" w:hAnsi="Times New Roman"/>
                <w:sz w:val="11"/>
                <w:szCs w:val="11"/>
                <w:color w:val="auto"/>
              </w:rPr>
              <w:t>(a)</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40" w:type="dxa"/>
            <w:vAlign w:val="bottom"/>
          </w:tcPr>
          <w:p>
            <w:pPr>
              <w:spacing w:after="0"/>
              <w:rPr>
                <w:sz w:val="24"/>
                <w:szCs w:val="24"/>
                <w:color w:val="auto"/>
              </w:rPr>
            </w:pPr>
          </w:p>
        </w:tc>
      </w:tr>
      <w:tr>
        <w:trPr>
          <w:trHeight w:val="228"/>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Cash payment/utilization</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(11)</w:t>
            </w:r>
          </w:p>
        </w:tc>
        <w:tc>
          <w:tcPr>
            <w:tcW w:w="3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w:t>
            </w: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(2)</w:t>
            </w: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24"/>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Balance at December 31, 2008</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40" w:type="dxa"/>
            <w:vAlign w:val="bottom"/>
          </w:tcPr>
          <w:p>
            <w:pPr>
              <w:spacing w:after="0"/>
              <w:rPr>
                <w:sz w:val="19"/>
                <w:szCs w:val="19"/>
                <w:color w:val="auto"/>
              </w:rPr>
            </w:pPr>
          </w:p>
        </w:tc>
      </w:tr>
      <w:tr>
        <w:trPr>
          <w:trHeight w:val="311"/>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Incremental charges </w:t>
            </w:r>
            <w:r>
              <w:rPr>
                <w:rFonts w:ascii="Times New Roman" w:cs="Times New Roman" w:eastAsia="Times New Roman" w:hAnsi="Times New Roman"/>
                <w:sz w:val="11"/>
                <w:szCs w:val="11"/>
                <w:color w:val="auto"/>
              </w:rPr>
              <w:t>(b)</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40" w:type="dxa"/>
            <w:vAlign w:val="bottom"/>
          </w:tcPr>
          <w:p>
            <w:pPr>
              <w:spacing w:after="0"/>
              <w:rPr>
                <w:sz w:val="24"/>
                <w:szCs w:val="24"/>
                <w:color w:val="auto"/>
              </w:rPr>
            </w:pPr>
          </w:p>
        </w:tc>
      </w:tr>
      <w:tr>
        <w:trPr>
          <w:trHeight w:val="228"/>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Cash payment/utilization</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(25)</w:t>
            </w:r>
          </w:p>
        </w:tc>
        <w:tc>
          <w:tcPr>
            <w:tcW w:w="3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(3)</w:t>
            </w: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(3)</w:t>
            </w: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25"/>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Balance at December 31, 2009</w:t>
            </w:r>
          </w:p>
        </w:tc>
        <w:tc>
          <w:tcPr>
            <w:tcW w:w="40" w:type="dxa"/>
            <w:vAlign w:val="bottom"/>
            <w:tcBorders>
              <w:bottom w:val="single" w:sz="8" w:color="auto"/>
            </w:tcBorders>
            <w:gridSpan w:val="2"/>
          </w:tcPr>
          <w:p>
            <w:pPr>
              <w:spacing w:after="0"/>
              <w:rPr>
                <w:sz w:val="19"/>
                <w:szCs w:val="19"/>
                <w:color w:val="auto"/>
              </w:rPr>
            </w:pPr>
          </w:p>
        </w:tc>
        <w:tc>
          <w:tcPr>
            <w:tcW w:w="3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40" w:type="dxa"/>
            <w:vAlign w:val="bottom"/>
          </w:tcPr>
          <w:p>
            <w:pPr>
              <w:spacing w:after="0"/>
              <w:rPr>
                <w:sz w:val="19"/>
                <w:szCs w:val="19"/>
                <w:color w:val="auto"/>
              </w:rPr>
            </w:pPr>
          </w:p>
        </w:tc>
      </w:tr>
      <w:tr>
        <w:trPr>
          <w:trHeight w:val="20"/>
        </w:trPr>
        <w:tc>
          <w:tcPr>
            <w:tcW w:w="4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90" w:lineRule="exact"/>
        <w:rPr>
          <w:sz w:val="20"/>
          <w:szCs w:val="20"/>
          <w:color w:val="auto"/>
        </w:rPr>
      </w:pPr>
    </w:p>
    <w:p>
      <w:pPr>
        <w:sectPr>
          <w:pgSz w:w="11900" w:h="16838" w:orient="portrait"/>
          <w:cols w:equalWidth="0" w:num="1">
            <w:col w:w="11400"/>
          </w:cols>
          <w:pgMar w:left="240" w:top="455" w:right="259" w:bottom="1440" w:gutter="0" w:footer="0" w:header="0"/>
        </w:sectPr>
      </w:pPr>
    </w:p>
    <w:p>
      <w:pPr>
        <w:jc w:val="center"/>
        <w:ind w:left="340"/>
        <w:spacing w:after="0"/>
        <w:rPr>
          <w:sz w:val="20"/>
          <w:szCs w:val="20"/>
          <w:color w:val="auto"/>
        </w:rPr>
      </w:pPr>
      <w:r>
        <w:rPr>
          <w:rFonts w:ascii="Times New Roman" w:cs="Times New Roman" w:eastAsia="Times New Roman" w:hAnsi="Times New Roman"/>
          <w:sz w:val="11"/>
          <w:szCs w:val="11"/>
          <w:color w:val="auto"/>
        </w:rPr>
        <w:t>(a)</w:t>
      </w:r>
    </w:p>
    <w:p>
      <w:pPr>
        <w:spacing w:after="0" w:line="306"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1"/>
          <w:szCs w:val="11"/>
          <w:color w:val="auto"/>
        </w:rPr>
        <w:t>(b)</w:t>
      </w:r>
    </w:p>
    <w:p>
      <w:pPr>
        <w:spacing w:after="0" w:line="20" w:lineRule="exact"/>
        <w:rPr>
          <w:sz w:val="20"/>
          <w:szCs w:val="20"/>
          <w:color w:val="auto"/>
        </w:rPr>
      </w:pPr>
      <w:r>
        <w:rPr>
          <w:sz w:val="20"/>
          <w:szCs w:val="20"/>
          <w:color w:val="auto"/>
        </w:rPr>
        <w:br w:type="column"/>
      </w:r>
    </w:p>
    <w:p>
      <w:pPr>
        <w:spacing w:after="0" w:line="38"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color w:val="auto"/>
        </w:rPr>
        <w:t>The initial charge primarily represents severance benefits resulting from reductions in staff. As of December 31, 2009, the Company had terminated all of these employees.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-297180</wp:posOffset>
            </wp:positionV>
            <wp:extent cx="72898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ind w:right="40"/>
        <w:spacing w:after="0" w:line="254" w:lineRule="auto"/>
        <w:rPr>
          <w:sz w:val="20"/>
          <w:szCs w:val="20"/>
          <w:color w:val="auto"/>
        </w:rPr>
      </w:pPr>
      <w:r>
        <w:rPr>
          <w:rFonts w:ascii="Times New Roman" w:cs="Times New Roman" w:eastAsia="Times New Roman" w:hAnsi="Times New Roman"/>
          <w:sz w:val="18"/>
          <w:szCs w:val="18"/>
          <w:color w:val="auto"/>
        </w:rPr>
        <w:t>During the twelve months ended December 31, 2009, the Company incurred additional restructuring charges primarily for severance benefits resulting from reductions in staff and the closure of certain facilities. The Company formally communicated the termination of employment to approximately 1,750 employees, representing a wide range of employee groups. As of December 31, 2009, the Company had terminated substantially all of these employees.</w:t>
      </w:r>
    </w:p>
    <w:p>
      <w:pPr>
        <w:spacing w:after="0" w:line="124" w:lineRule="exact"/>
        <w:rPr>
          <w:sz w:val="20"/>
          <w:szCs w:val="20"/>
          <w:color w:val="auto"/>
        </w:rPr>
      </w:pPr>
    </w:p>
    <w:p>
      <w:pPr>
        <w:jc w:val="center"/>
        <w:ind w:right="760"/>
        <w:spacing w:after="0"/>
        <w:rPr>
          <w:sz w:val="20"/>
          <w:szCs w:val="20"/>
          <w:color w:val="auto"/>
        </w:rPr>
      </w:pPr>
      <w:r>
        <w:rPr>
          <w:rFonts w:ascii="Times New Roman" w:cs="Times New Roman" w:eastAsia="Times New Roman" w:hAnsi="Times New Roman"/>
          <w:sz w:val="18"/>
          <w:szCs w:val="18"/>
          <w:color w:val="auto"/>
        </w:rPr>
        <w:t>F-20</w:t>
      </w:r>
    </w:p>
    <w:p>
      <w:pPr>
        <w:sectPr>
          <w:pgSz w:w="11900" w:h="16838" w:orient="portrait"/>
          <w:cols w:equalWidth="0" w:num="2">
            <w:col w:w="480" w:space="320"/>
            <w:col w:w="10600"/>
          </w:cols>
          <w:pgMar w:left="240" w:top="455" w:right="259" w:bottom="1440" w:gutter="0" w:footer="0" w:header="0"/>
          <w:type w:val="continuous"/>
        </w:sectPr>
      </w:pPr>
    </w:p>
    <w:bookmarkStart w:id="81" w:name="page82"/>
    <w:bookmarkEnd w:id="8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340" w:hanging="332"/>
        <w:spacing w:after="0"/>
        <w:tabs>
          <w:tab w:leader="none" w:pos="340"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Franchising Activities</w:t>
      </w:r>
    </w:p>
    <w:p>
      <w:pPr>
        <w:spacing w:after="0" w:line="173" w:lineRule="exact"/>
        <w:rPr>
          <w:rFonts w:ascii="Times New Roman" w:cs="Times New Roman" w:eastAsia="Times New Roman" w:hAnsi="Times New Roman"/>
          <w:sz w:val="18"/>
          <w:szCs w:val="18"/>
          <w:b w:val="1"/>
          <w:bCs w:val="1"/>
          <w:color w:val="auto"/>
        </w:rPr>
      </w:pPr>
    </w:p>
    <w:p>
      <w:pPr>
        <w:ind w:left="360" w:right="40"/>
        <w:spacing w:after="0" w:line="27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Franchising revenues, which are recorded within other revenues on the accompanying Consolidated Statements of Operations, amounted to $30 million, $34 million and $36 million during 2009, 2008 and 2007, respectively.</w:t>
      </w:r>
    </w:p>
    <w:p>
      <w:pPr>
        <w:spacing w:after="0" w:line="119" w:lineRule="exact"/>
        <w:rPr>
          <w:rFonts w:ascii="Times New Roman" w:cs="Times New Roman" w:eastAsia="Times New Roman" w:hAnsi="Times New Roman"/>
          <w:sz w:val="18"/>
          <w:szCs w:val="18"/>
          <w:b w:val="1"/>
          <w:bCs w:val="1"/>
          <w:color w:val="auto"/>
        </w:rPr>
      </w:pPr>
    </w:p>
    <w:p>
      <w:pPr>
        <w:ind w:left="360" w:right="460"/>
        <w:spacing w:after="0" w:line="27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number of Company-owned and franchised outlets in operation (excluding independent commissioned dealer locations for the Budget truck rental business and Avis and Budget locations operated by or through Avis Europe Holdings, Limited, an independent third party) is as follows:</w:t>
      </w:r>
    </w:p>
    <w:p>
      <w:pPr>
        <w:spacing w:after="0" w:line="158" w:lineRule="exact"/>
        <w:rPr>
          <w:sz w:val="20"/>
          <w:szCs w:val="20"/>
          <w:color w:val="auto"/>
        </w:rPr>
      </w:pPr>
    </w:p>
    <w:tbl>
      <w:tblPr>
        <w:tblLayout w:type="fixed"/>
        <w:tblInd w:w="360" w:type="dxa"/>
        <w:tblCellMar>
          <w:top w:w="0" w:type="dxa"/>
          <w:left w:w="0" w:type="dxa"/>
          <w:bottom w:w="0" w:type="dxa"/>
          <w:right w:w="0" w:type="dxa"/>
        </w:tblCellMar>
      </w:tblPr>
      <w:tr>
        <w:trPr>
          <w:trHeight w:val="231"/>
        </w:trPr>
        <w:tc>
          <w:tcPr>
            <w:tcW w:w="7600" w:type="dxa"/>
            <w:vAlign w:val="bottom"/>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3"/>
          </w:tcPr>
          <w:p>
            <w:pPr>
              <w:ind w:left="140"/>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7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76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Company-owned</w:t>
            </w:r>
          </w:p>
        </w:tc>
        <w:tc>
          <w:tcPr>
            <w:tcW w:w="700" w:type="dxa"/>
            <w:vAlign w:val="bottom"/>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2009</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2008</w:t>
            </w:r>
          </w:p>
        </w:tc>
        <w:tc>
          <w:tcPr>
            <w:tcW w:w="520" w:type="dxa"/>
            <w:vAlign w:val="bottom"/>
          </w:tcPr>
          <w:p>
            <w:pPr>
              <w:spacing w:after="0"/>
              <w:rPr>
                <w:sz w:val="18"/>
                <w:szCs w:val="18"/>
                <w:color w:val="auto"/>
              </w:rPr>
            </w:pPr>
          </w:p>
        </w:tc>
        <w:tc>
          <w:tcPr>
            <w:tcW w:w="700" w:type="dxa"/>
            <w:vAlign w:val="bottom"/>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2007</w:t>
            </w:r>
          </w:p>
        </w:tc>
        <w:tc>
          <w:tcPr>
            <w:tcW w:w="0" w:type="dxa"/>
            <w:vAlign w:val="bottom"/>
          </w:tcPr>
          <w:p>
            <w:pPr>
              <w:spacing w:after="0"/>
              <w:rPr>
                <w:sz w:val="1"/>
                <w:szCs w:val="1"/>
                <w:color w:val="auto"/>
              </w:rPr>
            </w:pPr>
          </w:p>
        </w:tc>
      </w:tr>
      <w:tr>
        <w:trPr>
          <w:trHeight w:val="195"/>
        </w:trPr>
        <w:tc>
          <w:tcPr>
            <w:tcW w:w="7600" w:type="dxa"/>
            <w:vAlign w:val="bottom"/>
            <w:vMerge w:val="continue"/>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500" w:type="dxa"/>
            <w:vAlign w:val="bottom"/>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520" w:type="dxa"/>
            <w:vAlign w:val="bottom"/>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Avis brand</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1,272</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1,334</w:t>
            </w:r>
          </w:p>
        </w:tc>
        <w:tc>
          <w:tcPr>
            <w:tcW w:w="5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1,335</w:t>
            </w:r>
          </w:p>
        </w:tc>
        <w:tc>
          <w:tcPr>
            <w:tcW w:w="0" w:type="dxa"/>
            <w:vAlign w:val="bottom"/>
          </w:tcPr>
          <w:p>
            <w:pPr>
              <w:spacing w:after="0"/>
              <w:rPr>
                <w:sz w:val="1"/>
                <w:szCs w:val="1"/>
                <w:color w:val="auto"/>
              </w:rPr>
            </w:pPr>
          </w:p>
        </w:tc>
      </w:tr>
      <w:tr>
        <w:trPr>
          <w:trHeight w:val="228"/>
        </w:trPr>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Budget brand</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1,025</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1,128</w:t>
            </w:r>
          </w:p>
        </w:tc>
        <w:tc>
          <w:tcPr>
            <w:tcW w:w="5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1,046</w:t>
            </w:r>
          </w:p>
        </w:tc>
        <w:tc>
          <w:tcPr>
            <w:tcW w:w="0" w:type="dxa"/>
            <w:vAlign w:val="bottom"/>
          </w:tcPr>
          <w:p>
            <w:pPr>
              <w:spacing w:after="0"/>
              <w:rPr>
                <w:sz w:val="1"/>
                <w:szCs w:val="1"/>
                <w:color w:val="auto"/>
              </w:rPr>
            </w:pPr>
          </w:p>
        </w:tc>
      </w:tr>
      <w:tr>
        <w:trPr>
          <w:trHeight w:val="312"/>
        </w:trPr>
        <w:tc>
          <w:tcPr>
            <w:tcW w:w="7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Franchised</w:t>
            </w:r>
          </w:p>
        </w:tc>
        <w:tc>
          <w:tcPr>
            <w:tcW w:w="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Avis brand</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933</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890</w:t>
            </w:r>
          </w:p>
        </w:tc>
        <w:tc>
          <w:tcPr>
            <w:tcW w:w="5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849</w:t>
            </w:r>
          </w:p>
        </w:tc>
        <w:tc>
          <w:tcPr>
            <w:tcW w:w="0" w:type="dxa"/>
            <w:vAlign w:val="bottom"/>
          </w:tcPr>
          <w:p>
            <w:pPr>
              <w:spacing w:after="0"/>
              <w:rPr>
                <w:sz w:val="1"/>
                <w:szCs w:val="1"/>
                <w:color w:val="auto"/>
              </w:rPr>
            </w:pPr>
          </w:p>
        </w:tc>
      </w:tr>
      <w:tr>
        <w:trPr>
          <w:trHeight w:val="228"/>
        </w:trPr>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Budget brand</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1,107</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1,134</w:t>
            </w:r>
          </w:p>
        </w:tc>
        <w:tc>
          <w:tcPr>
            <w:tcW w:w="5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1,184</w:t>
            </w:r>
          </w:p>
        </w:tc>
        <w:tc>
          <w:tcPr>
            <w:tcW w:w="0" w:type="dxa"/>
            <w:vAlign w:val="bottom"/>
          </w:tcPr>
          <w:p>
            <w:pPr>
              <w:spacing w:after="0"/>
              <w:rPr>
                <w:sz w:val="1"/>
                <w:szCs w:val="1"/>
                <w:color w:val="auto"/>
              </w:rPr>
            </w:pPr>
          </w:p>
        </w:tc>
      </w:tr>
    </w:tbl>
    <w:p>
      <w:pPr>
        <w:spacing w:after="0" w:line="150" w:lineRule="exact"/>
        <w:rPr>
          <w:sz w:val="20"/>
          <w:szCs w:val="20"/>
          <w:color w:val="auto"/>
        </w:rPr>
      </w:pPr>
    </w:p>
    <w:p>
      <w:pPr>
        <w:ind w:left="360" w:right="40"/>
        <w:spacing w:after="0" w:line="275" w:lineRule="auto"/>
        <w:rPr>
          <w:sz w:val="20"/>
          <w:szCs w:val="20"/>
          <w:color w:val="auto"/>
        </w:rPr>
      </w:pPr>
      <w:r>
        <w:rPr>
          <w:rFonts w:ascii="Times New Roman" w:cs="Times New Roman" w:eastAsia="Times New Roman" w:hAnsi="Times New Roman"/>
          <w:sz w:val="18"/>
          <w:szCs w:val="18"/>
          <w:color w:val="auto"/>
        </w:rPr>
        <w:t>In connection with ongoing fees the Company receives from its franchisees pursuant to the franchise agreements, the Company is required to provide certain services, such as training, marketing and the operation of reservation systems.</w:t>
      </w:r>
    </w:p>
    <w:p>
      <w:pPr>
        <w:spacing w:after="0" w:line="158" w:lineRule="exact"/>
        <w:rPr>
          <w:sz w:val="20"/>
          <w:szCs w:val="20"/>
          <w:color w:val="auto"/>
        </w:rPr>
      </w:pPr>
    </w:p>
    <w:p>
      <w:pPr>
        <w:ind w:left="340" w:hanging="332"/>
        <w:spacing w:after="0"/>
        <w:tabs>
          <w:tab w:leader="none" w:pos="340" w:val="left"/>
        </w:tabs>
        <w:numPr>
          <w:ilvl w:val="0"/>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Acquisitions</w:t>
      </w:r>
    </w:p>
    <w:p>
      <w:pPr>
        <w:spacing w:after="0" w:line="173" w:lineRule="exact"/>
        <w:rPr>
          <w:rFonts w:ascii="Times New Roman" w:cs="Times New Roman" w:eastAsia="Times New Roman" w:hAnsi="Times New Roman"/>
          <w:sz w:val="18"/>
          <w:szCs w:val="18"/>
          <w:b w:val="1"/>
          <w:bCs w:val="1"/>
          <w:color w:val="auto"/>
        </w:rPr>
      </w:pPr>
    </w:p>
    <w:p>
      <w:pPr>
        <w:ind w:left="360"/>
        <w:spacing w:after="0" w:line="25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Assets acquired and liabilities assumed in business combinations are recorded on the Company’s Consolidated Balance Sheets as of the respective acquisition dates based upon their estimated fair values at such dates. The results of operations of businesses acquired by the Company have been included in the Company’s Consolidated Statements of Operations since their respective dates of acquisition. The excess of the purchase price over the estimated fair values of the underlying assets acquired, including trademark assets related to franchisees, and liabilities assumed was allocated to goodwill. In certain circumstances, the allocations of the excess purchase price are based upon preliminary estimates and assumptions. Accordingly, the allocations may be subject to revision when the Company receives final information, including appraisals and other analyses. Any revision to the fair values, within the allocation period, are recorded by the Company as further adjustments to the purchase price allocations.</w:t>
      </w:r>
    </w:p>
    <w:p>
      <w:pPr>
        <w:spacing w:after="0" w:line="141" w:lineRule="exact"/>
        <w:rPr>
          <w:rFonts w:ascii="Times New Roman" w:cs="Times New Roman" w:eastAsia="Times New Roman" w:hAnsi="Times New Roman"/>
          <w:sz w:val="18"/>
          <w:szCs w:val="18"/>
          <w:b w:val="1"/>
          <w:bCs w:val="1"/>
          <w:color w:val="auto"/>
        </w:rPr>
      </w:pPr>
    </w:p>
    <w:p>
      <w:pPr>
        <w:ind w:left="360" w:right="440"/>
        <w:spacing w:after="0" w:line="27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During 2009, the Company acquired the exclusive rights to certain Domestic Car Rental franchise territories, primarily resulting from the settlement of certain legal claims, resulting in trademark intangible assets of $1 million.</w:t>
      </w:r>
    </w:p>
    <w:p>
      <w:pPr>
        <w:spacing w:after="0" w:line="119" w:lineRule="exact"/>
        <w:rPr>
          <w:rFonts w:ascii="Times New Roman" w:cs="Times New Roman" w:eastAsia="Times New Roman" w:hAnsi="Times New Roman"/>
          <w:sz w:val="18"/>
          <w:szCs w:val="18"/>
          <w:b w:val="1"/>
          <w:bCs w:val="1"/>
          <w:color w:val="auto"/>
        </w:rPr>
      </w:pPr>
    </w:p>
    <w:p>
      <w:pPr>
        <w:jc w:val="both"/>
        <w:ind w:left="360" w:right="240"/>
        <w:spacing w:after="0" w:line="26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2008, the Company acquired 24 vehicle rental franchisees, which included $36 million of associated vehicles, for $87 million in cash, resulting in $50 million valued as trademark intangible assets. In 2007, the Company acquired 13 vehicle rental franchisees for $10 million in cash, resulting in trademark intangible assets of $11 million.</w:t>
      </w:r>
    </w:p>
    <w:p>
      <w:pPr>
        <w:spacing w:after="0" w:line="132" w:lineRule="exact"/>
        <w:rPr>
          <w:sz w:val="20"/>
          <w:szCs w:val="20"/>
          <w:color w:val="auto"/>
        </w:rPr>
      </w:pPr>
    </w:p>
    <w:p>
      <w:pPr>
        <w:ind w:left="360" w:right="200"/>
        <w:spacing w:after="0" w:line="275" w:lineRule="auto"/>
        <w:rPr>
          <w:sz w:val="20"/>
          <w:szCs w:val="20"/>
          <w:color w:val="auto"/>
        </w:rPr>
      </w:pPr>
      <w:r>
        <w:rPr>
          <w:rFonts w:ascii="Times New Roman" w:cs="Times New Roman" w:eastAsia="Times New Roman" w:hAnsi="Times New Roman"/>
          <w:sz w:val="18"/>
          <w:szCs w:val="18"/>
          <w:color w:val="auto"/>
        </w:rPr>
        <w:t>These acquisitions, which for each year presented, relate primarily to the Company’s Domestic Car Rental segment, were not significant individually or in the aggregate to the Company’s results of operations, financial position or cash flows.</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F-21</w:t>
      </w:r>
    </w:p>
    <w:p>
      <w:pPr>
        <w:sectPr>
          <w:pgSz w:w="11900" w:h="16838" w:orient="portrait"/>
          <w:cols w:equalWidth="0" w:num="1">
            <w:col w:w="11400"/>
          </w:cols>
          <w:pgMar w:left="240" w:top="455" w:right="259" w:bottom="1440" w:gutter="0" w:footer="0" w:header="0"/>
        </w:sectPr>
      </w:pPr>
    </w:p>
    <w:bookmarkStart w:id="82" w:name="page83"/>
    <w:bookmarkEnd w:id="8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8.  Intangible Assets</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3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Intangible assets consisted of:</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0"/>
        </w:trPr>
        <w:tc>
          <w:tcPr>
            <w:tcW w:w="3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gridSpan w:val="4"/>
          </w:tcPr>
          <w:p>
            <w:pPr>
              <w:ind w:left="60"/>
              <w:spacing w:after="0"/>
              <w:rPr>
                <w:sz w:val="20"/>
                <w:szCs w:val="20"/>
                <w:color w:val="auto"/>
              </w:rPr>
            </w:pPr>
            <w:r>
              <w:rPr>
                <w:rFonts w:ascii="Times New Roman" w:cs="Times New Roman" w:eastAsia="Times New Roman" w:hAnsi="Times New Roman"/>
                <w:sz w:val="18"/>
                <w:szCs w:val="18"/>
                <w:b w:val="1"/>
                <w:bCs w:val="1"/>
                <w:color w:val="auto"/>
                <w:w w:val="98"/>
              </w:rPr>
              <w:t>As of December 31, 2009</w:t>
            </w: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gridSpan w:val="4"/>
          </w:tcPr>
          <w:p>
            <w:pPr>
              <w:ind w:left="60"/>
              <w:spacing w:after="0"/>
              <w:rPr>
                <w:sz w:val="20"/>
                <w:szCs w:val="20"/>
                <w:color w:val="auto"/>
              </w:rPr>
            </w:pPr>
            <w:r>
              <w:rPr>
                <w:rFonts w:ascii="Times New Roman" w:cs="Times New Roman" w:eastAsia="Times New Roman" w:hAnsi="Times New Roman"/>
                <w:sz w:val="18"/>
                <w:szCs w:val="18"/>
                <w:b w:val="1"/>
                <w:bCs w:val="1"/>
                <w:color w:val="auto"/>
                <w:w w:val="98"/>
              </w:rPr>
              <w:t>As of December 31, 2008</w:t>
            </w: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3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jc w:val="center"/>
              <w:ind w:right="32"/>
              <w:spacing w:after="0" w:line="195"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4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jc w:val="right"/>
              <w:ind w:right="132"/>
              <w:spacing w:after="0" w:line="195" w:lineRule="exact"/>
              <w:rPr>
                <w:sz w:val="20"/>
                <w:szCs w:val="20"/>
                <w:color w:val="auto"/>
              </w:rPr>
            </w:pPr>
            <w:r>
              <w:rPr>
                <w:rFonts w:ascii="Times New Roman" w:cs="Times New Roman" w:eastAsia="Times New Roman" w:hAnsi="Times New Roman"/>
                <w:sz w:val="18"/>
                <w:szCs w:val="18"/>
                <w:b w:val="1"/>
                <w:bCs w:val="1"/>
                <w:color w:val="auto"/>
              </w:rPr>
              <w:t>Net</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jc w:val="center"/>
              <w:ind w:right="32"/>
              <w:spacing w:after="0" w:line="195"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4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jc w:val="right"/>
              <w:ind w:right="132"/>
              <w:spacing w:after="0" w:line="195" w:lineRule="exact"/>
              <w:rPr>
                <w:sz w:val="20"/>
                <w:szCs w:val="20"/>
                <w:color w:val="auto"/>
              </w:rPr>
            </w:pPr>
            <w:r>
              <w:rPr>
                <w:rFonts w:ascii="Times New Roman" w:cs="Times New Roman" w:eastAsia="Times New Roman" w:hAnsi="Times New Roman"/>
                <w:sz w:val="18"/>
                <w:szCs w:val="18"/>
                <w:b w:val="1"/>
                <w:bCs w:val="1"/>
                <w:color w:val="auto"/>
              </w:rPr>
              <w:t>Net</w:t>
            </w:r>
          </w:p>
        </w:tc>
        <w:tc>
          <w:tcPr>
            <w:tcW w:w="0" w:type="dxa"/>
            <w:vAlign w:val="bottom"/>
          </w:tcPr>
          <w:p>
            <w:pPr>
              <w:spacing w:after="0"/>
              <w:rPr>
                <w:sz w:val="1"/>
                <w:szCs w:val="1"/>
                <w:color w:val="auto"/>
              </w:rPr>
            </w:pPr>
          </w:p>
        </w:tc>
      </w:tr>
      <w:tr>
        <w:trPr>
          <w:trHeight w:val="216"/>
        </w:trPr>
        <w:tc>
          <w:tcPr>
            <w:tcW w:w="3800" w:type="dxa"/>
            <w:vAlign w:val="bottom"/>
          </w:tcPr>
          <w:p>
            <w:pPr>
              <w:spacing w:after="0"/>
              <w:rPr>
                <w:sz w:val="18"/>
                <w:szCs w:val="18"/>
                <w:color w:val="auto"/>
              </w:rPr>
            </w:pPr>
          </w:p>
        </w:tc>
        <w:tc>
          <w:tcPr>
            <w:tcW w:w="72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Carrying</w:t>
            </w:r>
          </w:p>
        </w:tc>
        <w:tc>
          <w:tcPr>
            <w:tcW w:w="480" w:type="dxa"/>
            <w:vAlign w:val="bottom"/>
          </w:tcPr>
          <w:p>
            <w:pPr>
              <w:spacing w:after="0"/>
              <w:rPr>
                <w:sz w:val="18"/>
                <w:szCs w:val="18"/>
                <w:color w:val="auto"/>
              </w:rPr>
            </w:pPr>
          </w:p>
        </w:tc>
        <w:tc>
          <w:tcPr>
            <w:tcW w:w="14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74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w w:val="95"/>
              </w:rPr>
              <w:t>Carrying</w:t>
            </w:r>
          </w:p>
        </w:tc>
        <w:tc>
          <w:tcPr>
            <w:tcW w:w="1200" w:type="dxa"/>
            <w:vAlign w:val="bottom"/>
            <w:gridSpan w:val="3"/>
          </w:tcPr>
          <w:p>
            <w:pPr>
              <w:jc w:val="center"/>
              <w:ind w:left="392"/>
              <w:spacing w:after="0"/>
              <w:rPr>
                <w:sz w:val="20"/>
                <w:szCs w:val="20"/>
                <w:color w:val="auto"/>
              </w:rPr>
            </w:pPr>
            <w:r>
              <w:rPr>
                <w:rFonts w:ascii="Times New Roman" w:cs="Times New Roman" w:eastAsia="Times New Roman" w:hAnsi="Times New Roman"/>
                <w:sz w:val="18"/>
                <w:szCs w:val="18"/>
                <w:b w:val="1"/>
                <w:bCs w:val="1"/>
                <w:color w:val="auto"/>
                <w:w w:val="95"/>
              </w:rPr>
              <w:t>Carrying</w:t>
            </w:r>
          </w:p>
        </w:tc>
        <w:tc>
          <w:tcPr>
            <w:tcW w:w="480" w:type="dxa"/>
            <w:vAlign w:val="bottom"/>
          </w:tcPr>
          <w:p>
            <w:pPr>
              <w:spacing w:after="0"/>
              <w:rPr>
                <w:sz w:val="18"/>
                <w:szCs w:val="18"/>
                <w:color w:val="auto"/>
              </w:rPr>
            </w:pPr>
          </w:p>
        </w:tc>
        <w:tc>
          <w:tcPr>
            <w:tcW w:w="14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74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w w:val="95"/>
              </w:rPr>
              <w:t>Carrying</w:t>
            </w:r>
          </w:p>
        </w:tc>
        <w:tc>
          <w:tcPr>
            <w:tcW w:w="0" w:type="dxa"/>
            <w:vAlign w:val="bottom"/>
          </w:tcPr>
          <w:p>
            <w:pPr>
              <w:spacing w:after="0"/>
              <w:rPr>
                <w:sz w:val="1"/>
                <w:szCs w:val="1"/>
                <w:color w:val="auto"/>
              </w:rPr>
            </w:pPr>
          </w:p>
        </w:tc>
      </w:tr>
      <w:tr>
        <w:trPr>
          <w:trHeight w:val="231"/>
        </w:trPr>
        <w:tc>
          <w:tcPr>
            <w:tcW w:w="3800" w:type="dxa"/>
            <w:vAlign w:val="bottom"/>
            <w:vMerge w:val="restart"/>
          </w:tcPr>
          <w:p>
            <w:pPr>
              <w:ind w:left="360"/>
              <w:spacing w:after="0"/>
              <w:rPr>
                <w:sz w:val="20"/>
                <w:szCs w:val="20"/>
                <w:color w:val="auto"/>
              </w:rPr>
            </w:pPr>
            <w:r>
              <w:rPr>
                <w:rFonts w:ascii="Times New Roman" w:cs="Times New Roman" w:eastAsia="Times New Roman" w:hAnsi="Times New Roman"/>
                <w:sz w:val="18"/>
                <w:szCs w:val="18"/>
                <w:i w:val="1"/>
                <w:iCs w:val="1"/>
                <w:color w:val="auto"/>
              </w:rPr>
              <w:t>Amortized Intangible Assets</w:t>
            </w:r>
          </w:p>
        </w:tc>
        <w:tc>
          <w:tcPr>
            <w:tcW w:w="20" w:type="dxa"/>
            <w:vAlign w:val="bottom"/>
          </w:tcPr>
          <w:p>
            <w:pPr>
              <w:spacing w:after="0"/>
              <w:rPr>
                <w:sz w:val="20"/>
                <w:szCs w:val="20"/>
                <w:color w:val="auto"/>
              </w:rPr>
            </w:pPr>
          </w:p>
        </w:tc>
        <w:tc>
          <w:tcPr>
            <w:tcW w:w="70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Amount</w:t>
            </w:r>
          </w:p>
        </w:tc>
        <w:tc>
          <w:tcPr>
            <w:tcW w:w="1940" w:type="dxa"/>
            <w:vAlign w:val="bottom"/>
            <w:gridSpan w:val="4"/>
          </w:tcPr>
          <w:p>
            <w:pPr>
              <w:ind w:left="48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40" w:type="dxa"/>
            <w:vAlign w:val="bottom"/>
          </w:tcPr>
          <w:p>
            <w:pPr>
              <w:spacing w:after="0"/>
              <w:rPr>
                <w:sz w:val="20"/>
                <w:szCs w:val="20"/>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500" w:type="dxa"/>
            <w:vAlign w:val="bottom"/>
          </w:tcPr>
          <w:p>
            <w:pPr>
              <w:spacing w:after="0"/>
              <w:rPr>
                <w:sz w:val="20"/>
                <w:szCs w:val="20"/>
                <w:color w:val="auto"/>
              </w:rPr>
            </w:pPr>
          </w:p>
        </w:tc>
        <w:tc>
          <w:tcPr>
            <w:tcW w:w="70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940" w:type="dxa"/>
            <w:vAlign w:val="bottom"/>
            <w:gridSpan w:val="4"/>
          </w:tcPr>
          <w:p>
            <w:pPr>
              <w:ind w:left="48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40" w:type="dxa"/>
            <w:vAlign w:val="bottom"/>
          </w:tcPr>
          <w:p>
            <w:pPr>
              <w:spacing w:after="0"/>
              <w:rPr>
                <w:sz w:val="20"/>
                <w:szCs w:val="20"/>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0" w:type="dxa"/>
            <w:vAlign w:val="bottom"/>
          </w:tcPr>
          <w:p>
            <w:pPr>
              <w:spacing w:after="0"/>
              <w:rPr>
                <w:sz w:val="1"/>
                <w:szCs w:val="1"/>
                <w:color w:val="auto"/>
              </w:rPr>
            </w:pPr>
          </w:p>
        </w:tc>
      </w:tr>
      <w:tr>
        <w:trPr>
          <w:trHeight w:val="196"/>
        </w:trPr>
        <w:tc>
          <w:tcPr>
            <w:tcW w:w="380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480" w:type="dxa"/>
            <w:vAlign w:val="bottom"/>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480" w:type="dxa"/>
            <w:vAlign w:val="bottom"/>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 xml:space="preserve">Franchise agreements </w:t>
            </w:r>
            <w:r>
              <w:rPr>
                <w:rFonts w:ascii="Times New Roman" w:cs="Times New Roman" w:eastAsia="Times New Roman" w:hAnsi="Times New Roman"/>
                <w:sz w:val="11"/>
                <w:szCs w:val="11"/>
                <w:color w:val="auto"/>
              </w:rPr>
              <w:t>(a)</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94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440" w:type="dxa"/>
            <w:vAlign w:val="bottom"/>
          </w:tcPr>
          <w:p>
            <w:pPr>
              <w:spacing w:after="0"/>
              <w:rPr>
                <w:sz w:val="18"/>
                <w:szCs w:val="18"/>
                <w:color w:val="auto"/>
              </w:rPr>
            </w:pPr>
          </w:p>
        </w:tc>
        <w:tc>
          <w:tcPr>
            <w:tcW w:w="2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94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440" w:type="dxa"/>
            <w:vAlign w:val="bottom"/>
          </w:tcPr>
          <w:p>
            <w:pPr>
              <w:spacing w:after="0"/>
              <w:rPr>
                <w:sz w:val="18"/>
                <w:szCs w:val="18"/>
                <w:color w:val="auto"/>
              </w:rPr>
            </w:pPr>
          </w:p>
        </w:tc>
        <w:tc>
          <w:tcPr>
            <w:tcW w:w="1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16"/>
        </w:trPr>
        <w:tc>
          <w:tcPr>
            <w:tcW w:w="3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 xml:space="preserve">Customer lists </w:t>
            </w:r>
            <w:r>
              <w:rPr>
                <w:rFonts w:ascii="Times New Roman" w:cs="Times New Roman" w:eastAsia="Times New Roman" w:hAnsi="Times New Roman"/>
                <w:sz w:val="11"/>
                <w:szCs w:val="11"/>
                <w:color w:val="auto"/>
              </w:rPr>
              <w:t>(b)</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29"/>
        </w:trPr>
        <w:tc>
          <w:tcPr>
            <w:tcW w:w="3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 xml:space="preserve">Other </w:t>
            </w:r>
            <w:r>
              <w:rPr>
                <w:rFonts w:ascii="Times New Roman" w:cs="Times New Roman" w:eastAsia="Times New Roman" w:hAnsi="Times New Roman"/>
                <w:sz w:val="11"/>
                <w:szCs w:val="11"/>
                <w:color w:val="auto"/>
              </w:rPr>
              <w:t>(c)</w:t>
            </w: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48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5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48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3"/>
        </w:trPr>
        <w:tc>
          <w:tcPr>
            <w:tcW w:w="3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480" w:type="dxa"/>
            <w:vAlign w:val="bottom"/>
          </w:tcPr>
          <w:p>
            <w:pPr>
              <w:spacing w:after="0"/>
              <w:rPr>
                <w:sz w:val="19"/>
                <w:szCs w:val="19"/>
                <w:color w:val="auto"/>
              </w:rPr>
            </w:pPr>
          </w:p>
        </w:tc>
        <w:tc>
          <w:tcPr>
            <w:tcW w:w="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5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480" w:type="dxa"/>
            <w:vAlign w:val="bottom"/>
          </w:tcPr>
          <w:p>
            <w:pPr>
              <w:spacing w:after="0"/>
              <w:rPr>
                <w:sz w:val="19"/>
                <w:szCs w:val="19"/>
                <w:color w:val="auto"/>
              </w:rPr>
            </w:pPr>
          </w:p>
        </w:tc>
        <w:tc>
          <w:tcPr>
            <w:tcW w:w="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0"/>
        </w:trPr>
        <w:tc>
          <w:tcPr>
            <w:tcW w:w="3800" w:type="dxa"/>
            <w:vAlign w:val="bottom"/>
            <w:vMerge w:val="restart"/>
          </w:tcPr>
          <w:p>
            <w:pPr>
              <w:ind w:left="360"/>
              <w:spacing w:after="0"/>
              <w:rPr>
                <w:sz w:val="20"/>
                <w:szCs w:val="20"/>
                <w:color w:val="auto"/>
              </w:rPr>
            </w:pPr>
            <w:r>
              <w:rPr>
                <w:rFonts w:ascii="Times New Roman" w:cs="Times New Roman" w:eastAsia="Times New Roman" w:hAnsi="Times New Roman"/>
                <w:sz w:val="18"/>
                <w:szCs w:val="18"/>
                <w:i w:val="1"/>
                <w:iCs w:val="1"/>
                <w:color w:val="auto"/>
              </w:rPr>
              <w:t>Unamortized Intangible Assets</w:t>
            </w: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80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3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Goodwill</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4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4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0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rPr>
              <w:t xml:space="preserve">Trademarks </w:t>
            </w:r>
            <w:r>
              <w:rPr>
                <w:rFonts w:ascii="Times New Roman" w:cs="Times New Roman" w:eastAsia="Times New Roman" w:hAnsi="Times New Roman"/>
                <w:sz w:val="11"/>
                <w:szCs w:val="11"/>
                <w:color w:val="auto"/>
              </w:rPr>
              <w:t>(d)</w:t>
            </w:r>
          </w:p>
        </w:tc>
        <w:tc>
          <w:tcPr>
            <w:tcW w:w="120" w:type="dxa"/>
            <w:vAlign w:val="bottom"/>
            <w:tcBorders>
              <w:top w:val="single" w:sz="8" w:color="auto"/>
            </w:tcBorders>
            <w:gridSpan w:val="2"/>
          </w:tcPr>
          <w:p>
            <w:pPr>
              <w:spacing w:after="0" w:line="20" w:lineRule="exact"/>
              <w:rPr>
                <w:sz w:val="1"/>
                <w:szCs w:val="1"/>
                <w:color w:val="auto"/>
              </w:rPr>
            </w:pPr>
          </w:p>
        </w:tc>
        <w:tc>
          <w:tcPr>
            <w:tcW w:w="600" w:type="dxa"/>
            <w:vAlign w:val="bottom"/>
            <w:tcBorders>
              <w:top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600" w:type="dxa"/>
            <w:vAlign w:val="bottom"/>
            <w:tcBorders>
              <w:top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3800" w:type="dxa"/>
            <w:vAlign w:val="bottom"/>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3" w:lineRule="exact"/>
        <w:rPr>
          <w:sz w:val="20"/>
          <w:szCs w:val="20"/>
          <w:color w:val="auto"/>
        </w:rPr>
      </w:pPr>
    </w:p>
    <w:p>
      <w:pPr>
        <w:ind w:left="800" w:hanging="454"/>
        <w:spacing w:after="0"/>
        <w:tabs>
          <w:tab w:leader="none" w:pos="800" w:val="left"/>
        </w:tabs>
        <w:numPr>
          <w:ilvl w:val="0"/>
          <w:numId w:val="49"/>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Primarily amortized over a period ranging from 25 to 40 years.</w:t>
      </w:r>
    </w:p>
    <w:p>
      <w:pPr>
        <w:spacing w:after="0" w:line="7" w:lineRule="exact"/>
        <w:rPr>
          <w:rFonts w:ascii="Times New Roman" w:cs="Times New Roman" w:eastAsia="Times New Roman" w:hAnsi="Times New Roman"/>
          <w:sz w:val="22"/>
          <w:szCs w:val="22"/>
          <w:color w:val="auto"/>
          <w:vertAlign w:val="superscript"/>
        </w:rPr>
      </w:pPr>
    </w:p>
    <w:p>
      <w:pPr>
        <w:ind w:left="800" w:hanging="454"/>
        <w:spacing w:after="0" w:line="197" w:lineRule="auto"/>
        <w:tabs>
          <w:tab w:leader="none" w:pos="800" w:val="left"/>
        </w:tabs>
        <w:numPr>
          <w:ilvl w:val="0"/>
          <w:numId w:val="49"/>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Primarily amortized over 20 years.</w:t>
      </w:r>
    </w:p>
    <w:p>
      <w:pPr>
        <w:spacing w:after="0" w:line="8" w:lineRule="exact"/>
        <w:rPr>
          <w:rFonts w:ascii="Times New Roman" w:cs="Times New Roman" w:eastAsia="Times New Roman" w:hAnsi="Times New Roman"/>
          <w:sz w:val="22"/>
          <w:szCs w:val="22"/>
          <w:color w:val="auto"/>
          <w:vertAlign w:val="superscript"/>
        </w:rPr>
      </w:pPr>
    </w:p>
    <w:p>
      <w:pPr>
        <w:ind w:left="800" w:hanging="454"/>
        <w:spacing w:after="0" w:line="197" w:lineRule="auto"/>
        <w:tabs>
          <w:tab w:leader="none" w:pos="800" w:val="left"/>
        </w:tabs>
        <w:numPr>
          <w:ilvl w:val="0"/>
          <w:numId w:val="49"/>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Primarily amortized over 27 years.</w:t>
      </w:r>
    </w:p>
    <w:p>
      <w:pPr>
        <w:spacing w:after="0" w:line="8" w:lineRule="exact"/>
        <w:rPr>
          <w:rFonts w:ascii="Times New Roman" w:cs="Times New Roman" w:eastAsia="Times New Roman" w:hAnsi="Times New Roman"/>
          <w:sz w:val="22"/>
          <w:szCs w:val="22"/>
          <w:color w:val="auto"/>
          <w:vertAlign w:val="superscript"/>
        </w:rPr>
      </w:pPr>
    </w:p>
    <w:p>
      <w:pPr>
        <w:ind w:left="800" w:hanging="454"/>
        <w:spacing w:after="0" w:line="197" w:lineRule="auto"/>
        <w:tabs>
          <w:tab w:leader="none" w:pos="800" w:val="left"/>
        </w:tabs>
        <w:numPr>
          <w:ilvl w:val="0"/>
          <w:numId w:val="49"/>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The increase in trademarks is primarily due to fluctuations in foreign currency.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219710</wp:posOffset>
            </wp:positionH>
            <wp:positionV relativeFrom="paragraph">
              <wp:posOffset>-572135</wp:posOffset>
            </wp:positionV>
            <wp:extent cx="72898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12" w:lineRule="exact"/>
        <w:rPr>
          <w:sz w:val="20"/>
          <w:szCs w:val="20"/>
          <w:color w:val="auto"/>
        </w:rPr>
      </w:pPr>
    </w:p>
    <w:tbl>
      <w:tblPr>
        <w:tblLayout w:type="fixed"/>
        <w:tblInd w:w="360" w:type="dxa"/>
        <w:tblCellMar>
          <w:top w:w="0" w:type="dxa"/>
          <w:left w:w="0" w:type="dxa"/>
          <w:bottom w:w="0" w:type="dxa"/>
          <w:right w:w="0" w:type="dxa"/>
        </w:tblCellMar>
      </w:tblPr>
      <w:tr>
        <w:trPr>
          <w:trHeight w:val="228"/>
        </w:trPr>
        <w:tc>
          <w:tcPr>
            <w:tcW w:w="702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expense relating to all intangible assets was as follows:</w:t>
            </w: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419"/>
        </w:trPr>
        <w:tc>
          <w:tcPr>
            <w:tcW w:w="7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gridSpan w:val="4"/>
          </w:tcPr>
          <w:p>
            <w:pPr>
              <w:ind w:left="180"/>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r>
      <w:tr>
        <w:trPr>
          <w:trHeight w:val="212"/>
        </w:trPr>
        <w:tc>
          <w:tcPr>
            <w:tcW w:w="7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2009</w:t>
            </w:r>
          </w:p>
        </w:tc>
        <w:tc>
          <w:tcPr>
            <w:tcW w:w="140" w:type="dxa"/>
            <w:vAlign w:val="bottom"/>
            <w:tcBorders>
              <w:bottom w:val="single" w:sz="8" w:color="auto"/>
            </w:tcBorders>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2008</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2007</w:t>
            </w:r>
          </w:p>
        </w:tc>
      </w:tr>
      <w:tr>
        <w:trPr>
          <w:trHeight w:val="195"/>
        </w:trPr>
        <w:tc>
          <w:tcPr>
            <w:tcW w:w="702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Franchise agreements</w:t>
            </w:r>
          </w:p>
        </w:tc>
        <w:tc>
          <w:tcPr>
            <w:tcW w:w="20" w:type="dxa"/>
            <w:vAlign w:val="bottom"/>
          </w:tcPr>
          <w:p>
            <w:pPr>
              <w:spacing w:after="0"/>
              <w:rPr>
                <w:sz w:val="16"/>
                <w:szCs w:val="16"/>
                <w:color w:val="auto"/>
              </w:rPr>
            </w:pPr>
          </w:p>
        </w:tc>
        <w:tc>
          <w:tcPr>
            <w:tcW w:w="540" w:type="dxa"/>
            <w:vAlign w:val="bottom"/>
          </w:tcPr>
          <w:p>
            <w:pPr>
              <w:jc w:val="right"/>
              <w:ind w:right="414"/>
              <w:spacing w:after="0"/>
              <w:rPr>
                <w:sz w:val="20"/>
                <w:szCs w:val="20"/>
                <w:color w:val="auto"/>
              </w:rPr>
            </w:pPr>
            <w:r>
              <w:rPr>
                <w:rFonts w:ascii="Times New Roman" w:cs="Times New Roman" w:eastAsia="Times New Roman" w:hAnsi="Times New Roman"/>
                <w:sz w:val="11"/>
                <w:szCs w:val="11"/>
                <w:color w:val="auto"/>
                <w:w w:val="71"/>
              </w:rPr>
              <w:t>$</w:t>
            </w:r>
          </w:p>
        </w:tc>
        <w:tc>
          <w:tcPr>
            <w:tcW w:w="14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2</w:t>
            </w:r>
          </w:p>
        </w:tc>
        <w:tc>
          <w:tcPr>
            <w:tcW w:w="8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2</w:t>
            </w: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2</w:t>
            </w:r>
          </w:p>
        </w:tc>
      </w:tr>
      <w:tr>
        <w:trPr>
          <w:trHeight w:val="228"/>
        </w:trPr>
        <w:tc>
          <w:tcPr>
            <w:tcW w:w="7020" w:type="dxa"/>
            <w:vAlign w:val="bottom"/>
          </w:tcPr>
          <w:p>
            <w:pPr>
              <w:spacing w:after="0"/>
              <w:rPr>
                <w:sz w:val="20"/>
                <w:szCs w:val="20"/>
                <w:color w:val="auto"/>
              </w:rPr>
            </w:pPr>
            <w:r>
              <w:rPr>
                <w:rFonts w:ascii="Times New Roman" w:cs="Times New Roman" w:eastAsia="Times New Roman" w:hAnsi="Times New Roman"/>
                <w:sz w:val="18"/>
                <w:szCs w:val="18"/>
                <w:color w:val="auto"/>
              </w:rPr>
              <w:t>Customer lists</w:t>
            </w:r>
          </w:p>
        </w:tc>
        <w:tc>
          <w:tcPr>
            <w:tcW w:w="2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5"/>
        </w:trPr>
        <w:tc>
          <w:tcPr>
            <w:tcW w:w="702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1"/>
                <w:szCs w:val="11"/>
                <w:color w:val="auto"/>
                <w:w w:val="71"/>
              </w:rPr>
              <w:t>$</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0"/>
        </w:trPr>
        <w:tc>
          <w:tcPr>
            <w:tcW w:w="7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left="360"/>
        <w:spacing w:after="0" w:line="275" w:lineRule="auto"/>
        <w:rPr>
          <w:sz w:val="20"/>
          <w:szCs w:val="20"/>
          <w:color w:val="auto"/>
        </w:rPr>
      </w:pPr>
      <w:r>
        <w:rPr>
          <w:rFonts w:ascii="Times New Roman" w:cs="Times New Roman" w:eastAsia="Times New Roman" w:hAnsi="Times New Roman"/>
          <w:sz w:val="18"/>
          <w:szCs w:val="18"/>
          <w:color w:val="auto"/>
        </w:rPr>
        <w:t>Based on the Company’s amortizable intangible assets at December 31, 2009, the Company expects related amortization expense to approximate $3 million for each of the five succeeding fiscal years.</w:t>
      </w:r>
    </w:p>
    <w:p>
      <w:pPr>
        <w:spacing w:after="0" w:line="12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carrying amount of goodwill and related charges are as follows:</w:t>
      </w:r>
    </w:p>
    <w:p>
      <w:pPr>
        <w:spacing w:after="0" w:line="210" w:lineRule="exact"/>
        <w:rPr>
          <w:sz w:val="20"/>
          <w:szCs w:val="20"/>
          <w:color w:val="auto"/>
        </w:rPr>
      </w:pPr>
    </w:p>
    <w:tbl>
      <w:tblPr>
        <w:tblLayout w:type="fixed"/>
        <w:tblInd w:w="360" w:type="dxa"/>
        <w:tblCellMar>
          <w:top w:w="0" w:type="dxa"/>
          <w:left w:w="0" w:type="dxa"/>
          <w:bottom w:w="0" w:type="dxa"/>
          <w:right w:w="0" w:type="dxa"/>
        </w:tblCellMar>
      </w:tblPr>
      <w:tr>
        <w:trPr>
          <w:trHeight w:val="216"/>
        </w:trPr>
        <w:tc>
          <w:tcPr>
            <w:tcW w:w="4540" w:type="dxa"/>
            <w:vAlign w:val="bottom"/>
          </w:tcPr>
          <w:p>
            <w:pPr>
              <w:spacing w:after="0"/>
              <w:rPr>
                <w:sz w:val="18"/>
                <w:szCs w:val="18"/>
                <w:color w:val="auto"/>
              </w:rPr>
            </w:pPr>
          </w:p>
        </w:tc>
        <w:tc>
          <w:tcPr>
            <w:tcW w:w="148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Domestic Car</w:t>
            </w:r>
          </w:p>
        </w:tc>
        <w:tc>
          <w:tcPr>
            <w:tcW w:w="1800" w:type="dxa"/>
            <w:vAlign w:val="bottom"/>
            <w:gridSpan w:val="4"/>
          </w:tcPr>
          <w:p>
            <w:pPr>
              <w:ind w:left="380"/>
              <w:spacing w:after="0"/>
              <w:rPr>
                <w:sz w:val="20"/>
                <w:szCs w:val="20"/>
                <w:color w:val="auto"/>
              </w:rPr>
            </w:pPr>
            <w:r>
              <w:rPr>
                <w:rFonts w:ascii="Times New Roman" w:cs="Times New Roman" w:eastAsia="Times New Roman" w:hAnsi="Times New Roman"/>
                <w:sz w:val="18"/>
                <w:szCs w:val="18"/>
                <w:b w:val="1"/>
                <w:bCs w:val="1"/>
                <w:color w:val="auto"/>
              </w:rPr>
              <w:t>International</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Truck</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w w:val="97"/>
              </w:rPr>
              <w:t>Total</w:t>
            </w:r>
          </w:p>
        </w:tc>
      </w:tr>
      <w:tr>
        <w:trPr>
          <w:trHeight w:val="230"/>
        </w:trPr>
        <w:tc>
          <w:tcPr>
            <w:tcW w:w="4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Rental</w:t>
            </w:r>
          </w:p>
        </w:tc>
        <w:tc>
          <w:tcPr>
            <w:tcW w:w="380" w:type="dxa"/>
            <w:vAlign w:val="bottom"/>
          </w:tcPr>
          <w:p>
            <w:pPr>
              <w:spacing w:after="0"/>
              <w:rPr>
                <w:sz w:val="20"/>
                <w:szCs w:val="20"/>
                <w:color w:val="auto"/>
              </w:rPr>
            </w:pPr>
          </w:p>
        </w:tc>
        <w:tc>
          <w:tcPr>
            <w:tcW w:w="142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Car Rental</w:t>
            </w: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Rental</w:t>
            </w:r>
          </w:p>
        </w:tc>
        <w:tc>
          <w:tcPr>
            <w:tcW w:w="1180" w:type="dxa"/>
            <w:vAlign w:val="bottom"/>
            <w:gridSpan w:val="4"/>
          </w:tcPr>
          <w:p>
            <w:pPr>
              <w:ind w:left="400"/>
              <w:spacing w:after="0"/>
              <w:rPr>
                <w:sz w:val="20"/>
                <w:szCs w:val="20"/>
                <w:color w:val="auto"/>
              </w:rPr>
            </w:pPr>
            <w:r>
              <w:rPr>
                <w:rFonts w:ascii="Times New Roman" w:cs="Times New Roman" w:eastAsia="Times New Roman" w:hAnsi="Times New Roman"/>
                <w:sz w:val="18"/>
                <w:szCs w:val="18"/>
                <w:b w:val="1"/>
                <w:bCs w:val="1"/>
                <w:color w:val="auto"/>
              </w:rPr>
              <w:t>Company</w:t>
            </w:r>
          </w:p>
        </w:tc>
      </w:tr>
      <w:tr>
        <w:trPr>
          <w:trHeight w:val="197"/>
        </w:trPr>
        <w:tc>
          <w:tcPr>
            <w:tcW w:w="4540" w:type="dxa"/>
            <w:vAlign w:val="bottom"/>
          </w:tcPr>
          <w:p>
            <w:pPr>
              <w:spacing w:after="0" w:line="197" w:lineRule="exact"/>
              <w:rPr>
                <w:sz w:val="20"/>
                <w:szCs w:val="20"/>
                <w:color w:val="auto"/>
              </w:rPr>
            </w:pPr>
            <w:r>
              <w:rPr>
                <w:rFonts w:ascii="Times New Roman" w:cs="Times New Roman" w:eastAsia="Times New Roman" w:hAnsi="Times New Roman"/>
                <w:sz w:val="18"/>
                <w:szCs w:val="18"/>
                <w:color w:val="auto"/>
              </w:rPr>
              <w:t>Balance, January 1, 2008</w:t>
            </w:r>
          </w:p>
        </w:tc>
        <w:tc>
          <w:tcPr>
            <w:tcW w:w="20" w:type="dxa"/>
            <w:vAlign w:val="bottom"/>
          </w:tcPr>
          <w:p>
            <w:pPr>
              <w:spacing w:after="0"/>
              <w:rPr>
                <w:sz w:val="17"/>
                <w:szCs w:val="17"/>
                <w:color w:val="auto"/>
              </w:rPr>
            </w:pPr>
          </w:p>
        </w:tc>
        <w:tc>
          <w:tcPr>
            <w:tcW w:w="160" w:type="dxa"/>
            <w:vAlign w:val="bottom"/>
            <w:tcBorders>
              <w:top w:val="single" w:sz="8" w:color="auto"/>
            </w:tcBorders>
          </w:tcPr>
          <w:p>
            <w:pPr>
              <w:spacing w:after="0" w:line="197" w:lineRule="exact"/>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rPr>
              <w:t>569</w:t>
            </w:r>
          </w:p>
        </w:tc>
        <w:tc>
          <w:tcPr>
            <w:tcW w:w="4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80" w:type="dxa"/>
            <w:vAlign w:val="bottom"/>
            <w:tcBorders>
              <w:top w:val="single" w:sz="8" w:color="auto"/>
            </w:tcBorders>
          </w:tcPr>
          <w:p>
            <w:pPr>
              <w:spacing w:after="0" w:line="197" w:lineRule="exact"/>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rPr>
              <w:t>329</w:t>
            </w:r>
          </w:p>
        </w:tc>
        <w:tc>
          <w:tcPr>
            <w:tcW w:w="4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top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rPr>
              <w:t>102</w:t>
            </w:r>
          </w:p>
        </w:tc>
        <w:tc>
          <w:tcPr>
            <w:tcW w:w="4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Borders>
              <w:top w:val="single" w:sz="8" w:color="auto"/>
            </w:tcBorders>
          </w:tcPr>
          <w:p>
            <w:pPr>
              <w:spacing w:after="0" w:line="197" w:lineRule="exact"/>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rPr>
              <w:t>1,000</w:t>
            </w:r>
          </w:p>
        </w:tc>
        <w:tc>
          <w:tcPr>
            <w:tcW w:w="40" w:type="dxa"/>
            <w:vAlign w:val="bottom"/>
          </w:tcPr>
          <w:p>
            <w:pPr>
              <w:spacing w:after="0"/>
              <w:rPr>
                <w:sz w:val="17"/>
                <w:szCs w:val="17"/>
                <w:color w:val="auto"/>
              </w:rPr>
            </w:pPr>
          </w:p>
        </w:tc>
      </w:tr>
      <w:tr>
        <w:trPr>
          <w:trHeight w:val="216"/>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2008 impairment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(569)</w:t>
            </w: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(267)</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(87)</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(923)</w:t>
            </w:r>
          </w:p>
        </w:tc>
      </w:tr>
      <w:tr>
        <w:trPr>
          <w:trHeight w:val="228"/>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Adjustments </w:t>
            </w:r>
            <w:r>
              <w:rPr>
                <w:rFonts w:ascii="Times New Roman" w:cs="Times New Roman" w:eastAsia="Times New Roman" w:hAnsi="Times New Roman"/>
                <w:sz w:val="11"/>
                <w:szCs w:val="11"/>
                <w:color w:val="auto"/>
              </w:rPr>
              <w:t>(a)</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w:t>
            </w: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1"/>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Balance, December 31, 2008</w:t>
            </w:r>
          </w:p>
        </w:tc>
        <w:tc>
          <w:tcPr>
            <w:tcW w:w="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40" w:type="dxa"/>
            <w:vAlign w:val="bottom"/>
          </w:tcPr>
          <w:p>
            <w:pPr>
              <w:spacing w:after="0"/>
              <w:rPr>
                <w:sz w:val="18"/>
                <w:szCs w:val="18"/>
                <w:color w:val="auto"/>
              </w:rPr>
            </w:pPr>
          </w:p>
        </w:tc>
      </w:tr>
      <w:tr>
        <w:trPr>
          <w:trHeight w:val="228"/>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Adjustments </w:t>
            </w:r>
            <w:r>
              <w:rPr>
                <w:rFonts w:ascii="Times New Roman" w:cs="Times New Roman" w:eastAsia="Times New Roman" w:hAnsi="Times New Roman"/>
                <w:sz w:val="11"/>
                <w:szCs w:val="11"/>
                <w:color w:val="auto"/>
              </w:rPr>
              <w:t>(a)</w:t>
            </w:r>
          </w:p>
        </w:tc>
        <w:tc>
          <w:tcPr>
            <w:tcW w:w="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0" w:type="dxa"/>
            <w:vAlign w:val="bottom"/>
          </w:tcPr>
          <w:p>
            <w:pPr>
              <w:spacing w:after="0"/>
              <w:rPr>
                <w:sz w:val="19"/>
                <w:szCs w:val="19"/>
                <w:color w:val="auto"/>
              </w:rPr>
            </w:pPr>
          </w:p>
        </w:tc>
      </w:tr>
      <w:tr>
        <w:trPr>
          <w:trHeight w:val="225"/>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Balance, December 31, 2009</w:t>
            </w:r>
          </w:p>
        </w:tc>
        <w:tc>
          <w:tcPr>
            <w:tcW w:w="20" w:type="dxa"/>
            <w:vAlign w:val="bottom"/>
          </w:tcPr>
          <w:p>
            <w:pPr>
              <w:spacing w:after="0"/>
              <w:rPr>
                <w:sz w:val="19"/>
                <w:szCs w:val="19"/>
                <w:color w:val="auto"/>
              </w:rPr>
            </w:pPr>
          </w:p>
        </w:tc>
        <w:tc>
          <w:tcPr>
            <w:tcW w:w="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4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4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40" w:type="dxa"/>
            <w:vAlign w:val="bottom"/>
          </w:tcPr>
          <w:p>
            <w:pPr>
              <w:spacing w:after="0"/>
              <w:rPr>
                <w:sz w:val="19"/>
                <w:szCs w:val="19"/>
                <w:color w:val="auto"/>
              </w:rPr>
            </w:pPr>
          </w:p>
        </w:tc>
      </w:tr>
      <w:tr>
        <w:trPr>
          <w:trHeight w:val="20"/>
        </w:trPr>
        <w:tc>
          <w:tcPr>
            <w:tcW w:w="4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04"/>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Gross goodwill</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1,355</w:t>
            </w: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w:t>
            </w: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2,194</w:t>
            </w:r>
          </w:p>
        </w:tc>
        <w:tc>
          <w:tcPr>
            <w:tcW w:w="40" w:type="dxa"/>
            <w:vAlign w:val="bottom"/>
          </w:tcPr>
          <w:p>
            <w:pPr>
              <w:spacing w:after="0"/>
              <w:rPr>
                <w:sz w:val="24"/>
                <w:szCs w:val="24"/>
                <w:color w:val="auto"/>
              </w:rPr>
            </w:pPr>
          </w:p>
        </w:tc>
      </w:tr>
      <w:tr>
        <w:trPr>
          <w:trHeight w:val="228"/>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Accumulated impairment losses</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(1,355)</w:t>
            </w:r>
          </w:p>
        </w:tc>
        <w:tc>
          <w:tcPr>
            <w:tcW w:w="3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(535)</w:t>
            </w: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(228)</w:t>
            </w: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(2,118)</w:t>
            </w:r>
          </w:p>
        </w:tc>
      </w:tr>
      <w:tr>
        <w:trPr>
          <w:trHeight w:val="225"/>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Balance, December 31, 2009</w:t>
            </w: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4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4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40" w:type="dxa"/>
            <w:vAlign w:val="bottom"/>
          </w:tcPr>
          <w:p>
            <w:pPr>
              <w:spacing w:after="0"/>
              <w:rPr>
                <w:sz w:val="19"/>
                <w:szCs w:val="19"/>
                <w:color w:val="auto"/>
              </w:rPr>
            </w:pPr>
          </w:p>
        </w:tc>
      </w:tr>
      <w:tr>
        <w:trPr>
          <w:trHeight w:val="20"/>
        </w:trPr>
        <w:tc>
          <w:tcPr>
            <w:tcW w:w="4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4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1"/>
          <w:szCs w:val="11"/>
          <w:color w:val="auto"/>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219710</wp:posOffset>
            </wp:positionH>
            <wp:positionV relativeFrom="paragraph">
              <wp:posOffset>-28575</wp:posOffset>
            </wp:positionV>
            <wp:extent cx="72898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ind w:left="800"/>
        <w:spacing w:after="0"/>
        <w:rPr>
          <w:sz w:val="20"/>
          <w:szCs w:val="20"/>
          <w:color w:val="auto"/>
        </w:rPr>
      </w:pPr>
      <w:r>
        <w:rPr>
          <w:rFonts w:ascii="Times New Roman" w:cs="Times New Roman" w:eastAsia="Times New Roman" w:hAnsi="Times New Roman"/>
          <w:sz w:val="18"/>
          <w:szCs w:val="18"/>
          <w:color w:val="auto"/>
        </w:rPr>
        <w:t>Adjustments due to foreign exchange.</w:t>
      </w:r>
    </w:p>
    <w:p>
      <w:pPr>
        <w:spacing w:after="0" w:line="13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F-22</w:t>
      </w:r>
    </w:p>
    <w:p>
      <w:pPr>
        <w:sectPr>
          <w:pgSz w:w="11900" w:h="16838" w:orient="portrait"/>
          <w:cols w:equalWidth="0" w:num="1">
            <w:col w:w="11300"/>
          </w:cols>
          <w:pgMar w:left="240" w:top="455" w:right="359" w:bottom="1440" w:gutter="0" w:footer="0" w:header="0"/>
        </w:sectPr>
      </w:pPr>
    </w:p>
    <w:bookmarkStart w:id="83" w:name="page84"/>
    <w:bookmarkEnd w:id="8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9.  Vehicle Rental Activities</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7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The components of vehicles, net within assets under vehicle programs are as follows:</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0"/>
        </w:trPr>
        <w:tc>
          <w:tcPr>
            <w:tcW w:w="7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0" w:type="dxa"/>
            <w:vAlign w:val="bottom"/>
            <w:gridSpan w:val="10"/>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0" w:type="dxa"/>
            <w:vAlign w:val="bottom"/>
          </w:tcPr>
          <w:p>
            <w:pPr>
              <w:spacing w:after="0"/>
              <w:rPr>
                <w:sz w:val="1"/>
                <w:szCs w:val="1"/>
                <w:color w:val="auto"/>
              </w:rPr>
            </w:pPr>
          </w:p>
        </w:tc>
      </w:tr>
      <w:tr>
        <w:trPr>
          <w:trHeight w:val="211"/>
        </w:trPr>
        <w:tc>
          <w:tcPr>
            <w:tcW w:w="7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2009</w:t>
            </w:r>
          </w:p>
        </w:tc>
        <w:tc>
          <w:tcPr>
            <w:tcW w:w="8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gridSpan w:val="3"/>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2008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7620" w:type="dxa"/>
            <w:vAlign w:val="bottom"/>
          </w:tcPr>
          <w:p>
            <w:pPr>
              <w:ind w:left="360"/>
              <w:spacing w:after="0" w:line="195" w:lineRule="exact"/>
              <w:rPr>
                <w:sz w:val="20"/>
                <w:szCs w:val="20"/>
                <w:color w:val="auto"/>
              </w:rPr>
            </w:pPr>
            <w:r>
              <w:rPr>
                <w:rFonts w:ascii="Times New Roman" w:cs="Times New Roman" w:eastAsia="Times New Roman" w:hAnsi="Times New Roman"/>
                <w:sz w:val="18"/>
                <w:szCs w:val="18"/>
                <w:color w:val="auto"/>
              </w:rPr>
              <w:t>Rental vehicles</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Pr>
          <w:p>
            <w:pPr>
              <w:spacing w:after="0"/>
              <w:rPr>
                <w:sz w:val="16"/>
                <w:szCs w:val="16"/>
                <w:color w:val="auto"/>
              </w:rPr>
            </w:pPr>
          </w:p>
        </w:tc>
        <w:tc>
          <w:tcPr>
            <w:tcW w:w="660" w:type="dxa"/>
            <w:vAlign w:val="bottom"/>
            <w:gridSpan w:val="2"/>
          </w:tcPr>
          <w:p>
            <w:pPr>
              <w:jc w:val="right"/>
              <w:spacing w:after="0" w:line="195" w:lineRule="exact"/>
              <w:rPr>
                <w:sz w:val="20"/>
                <w:szCs w:val="20"/>
                <w:color w:val="auto"/>
              </w:rPr>
            </w:pPr>
            <w:r>
              <w:rPr>
                <w:rFonts w:ascii="Times New Roman" w:cs="Times New Roman" w:eastAsia="Times New Roman" w:hAnsi="Times New Roman"/>
                <w:sz w:val="18"/>
                <w:szCs w:val="18"/>
                <w:color w:val="auto"/>
              </w:rPr>
              <w:t>6,090</w:t>
            </w: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0" w:type="dxa"/>
            <w:vAlign w:val="bottom"/>
          </w:tcPr>
          <w:p>
            <w:pPr>
              <w:jc w:val="right"/>
              <w:ind w:right="12"/>
              <w:spacing w:after="0" w:line="195" w:lineRule="exact"/>
              <w:rPr>
                <w:sz w:val="20"/>
                <w:szCs w:val="20"/>
                <w:color w:val="auto"/>
              </w:rPr>
            </w:pPr>
            <w:r>
              <w:rPr>
                <w:rFonts w:ascii="Times New Roman" w:cs="Times New Roman" w:eastAsia="Times New Roman" w:hAnsi="Times New Roman"/>
                <w:sz w:val="18"/>
                <w:szCs w:val="18"/>
                <w:color w:val="auto"/>
                <w:w w:val="88"/>
              </w:rPr>
              <w:t>$</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7,502</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7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(945)</w:t>
            </w:r>
          </w:p>
        </w:tc>
        <w:tc>
          <w:tcPr>
            <w:tcW w:w="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(1,219)</w:t>
            </w:r>
          </w:p>
        </w:tc>
        <w:tc>
          <w:tcPr>
            <w:tcW w:w="0" w:type="dxa"/>
            <w:vAlign w:val="bottom"/>
          </w:tcPr>
          <w:p>
            <w:pPr>
              <w:spacing w:after="0"/>
              <w:rPr>
                <w:sz w:val="1"/>
                <w:szCs w:val="1"/>
                <w:color w:val="auto"/>
              </w:rPr>
            </w:pPr>
          </w:p>
        </w:tc>
      </w:tr>
      <w:tr>
        <w:trPr>
          <w:trHeight w:val="210"/>
        </w:trPr>
        <w:tc>
          <w:tcPr>
            <w:tcW w:w="7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5,145</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6,283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7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Vehicles held for sale</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822</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7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Vehicles, net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5,967</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7,164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62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rPr>
              <w:t>The components of vehicle depreciation and lease charges, net are summarized below:</w:t>
            </w: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762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0"/>
        </w:trPr>
        <w:tc>
          <w:tcPr>
            <w:tcW w:w="7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gridSpan w:val="8"/>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7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2009</w:t>
            </w:r>
          </w:p>
        </w:tc>
        <w:tc>
          <w:tcPr>
            <w:tcW w:w="1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w w:val="94"/>
              </w:rPr>
              <w:t>2008</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2007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7620" w:type="dxa"/>
            <w:vAlign w:val="bottom"/>
          </w:tcPr>
          <w:p>
            <w:pPr>
              <w:ind w:left="360"/>
              <w:spacing w:after="0" w:line="195" w:lineRule="exact"/>
              <w:rPr>
                <w:sz w:val="20"/>
                <w:szCs w:val="20"/>
                <w:color w:val="auto"/>
              </w:rPr>
            </w:pPr>
            <w:r>
              <w:rPr>
                <w:rFonts w:ascii="Times New Roman" w:cs="Times New Roman" w:eastAsia="Times New Roman" w:hAnsi="Times New Roman"/>
                <w:sz w:val="18"/>
                <w:szCs w:val="18"/>
                <w:color w:val="auto"/>
              </w:rPr>
              <w:t>Depreciation expense</w:t>
            </w:r>
          </w:p>
        </w:tc>
        <w:tc>
          <w:tcPr>
            <w:tcW w:w="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gridSpan w:val="2"/>
          </w:tcPr>
          <w:p>
            <w:pPr>
              <w:jc w:val="right"/>
              <w:spacing w:after="0" w:line="195" w:lineRule="exact"/>
              <w:rPr>
                <w:sz w:val="20"/>
                <w:szCs w:val="20"/>
                <w:color w:val="auto"/>
              </w:rPr>
            </w:pPr>
            <w:r>
              <w:rPr>
                <w:rFonts w:ascii="Times New Roman" w:cs="Times New Roman" w:eastAsia="Times New Roman" w:hAnsi="Times New Roman"/>
                <w:sz w:val="18"/>
                <w:szCs w:val="18"/>
                <w:color w:val="auto"/>
              </w:rPr>
              <w:t>1,391</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1,639</w:t>
            </w:r>
          </w:p>
        </w:tc>
        <w:tc>
          <w:tcPr>
            <w:tcW w:w="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1,565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Lease charges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7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(Gain) loss on sale of vehicles, net and cost of vehicle disposition</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(30)</w:t>
            </w: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25"/>
        </w:trPr>
        <w:tc>
          <w:tcPr>
            <w:tcW w:w="7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Vehicle depreciation and lease charges, net</w:t>
            </w: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1,425</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Borders>
              <w:top w:val="single" w:sz="8" w:color="auto"/>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1,697</w:t>
            </w: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During 2009, 2008 and 2007, vehicle interest, net on the accompanying Consolidated Statements of Operations excludes $157 million, $136 million and</w:t>
      </w:r>
    </w:p>
    <w:p>
      <w:pPr>
        <w:spacing w:after="0" w:line="21" w:lineRule="exact"/>
        <w:rPr>
          <w:sz w:val="20"/>
          <w:szCs w:val="20"/>
          <w:color w:val="auto"/>
        </w:rPr>
      </w:pPr>
    </w:p>
    <w:p>
      <w:pPr>
        <w:ind w:left="360"/>
        <w:spacing w:after="0" w:line="255" w:lineRule="auto"/>
        <w:rPr>
          <w:sz w:val="20"/>
          <w:szCs w:val="20"/>
          <w:color w:val="auto"/>
        </w:rPr>
      </w:pPr>
      <w:r>
        <w:rPr>
          <w:rFonts w:ascii="Times New Roman" w:cs="Times New Roman" w:eastAsia="Times New Roman" w:hAnsi="Times New Roman"/>
          <w:sz w:val="18"/>
          <w:szCs w:val="18"/>
          <w:color w:val="auto"/>
        </w:rPr>
        <w:t>$141 million, respectively, of interest expense related to the Company’s convertible senior notes and the fixed and floating rate borrowings of the Company’s Avis Budget Car Rental, LLC (“Avis Budget Car Rental”) subsidiary. Such interest is recorded within interest expense related to corporate debt, net on the accompanying Consolidated Statements of Operations.</w:t>
      </w:r>
    </w:p>
    <w:p>
      <w:pPr>
        <w:spacing w:after="0" w:line="177" w:lineRule="exact"/>
        <w:rPr>
          <w:sz w:val="20"/>
          <w:szCs w:val="20"/>
          <w:color w:val="auto"/>
        </w:rPr>
      </w:pPr>
    </w:p>
    <w:p>
      <w:pPr>
        <w:ind w:left="340" w:hanging="332"/>
        <w:spacing w:after="0"/>
        <w:tabs>
          <w:tab w:leader="none" w:pos="340"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173" w:lineRule="exact"/>
        <w:rPr>
          <w:rFonts w:ascii="Times New Roman" w:cs="Times New Roman" w:eastAsia="Times New Roman" w:hAnsi="Times New Roman"/>
          <w:sz w:val="18"/>
          <w:szCs w:val="18"/>
          <w:b w:val="1"/>
          <w:bCs w:val="1"/>
          <w:color w:val="auto"/>
        </w:rPr>
      </w:pPr>
    </w:p>
    <w:p>
      <w:pPr>
        <w:ind w:left="3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income tax benefit consists of the following:</w:t>
      </w:r>
    </w:p>
    <w:p>
      <w:pPr>
        <w:spacing w:after="0" w:line="210" w:lineRule="exact"/>
        <w:rPr>
          <w:sz w:val="20"/>
          <w:szCs w:val="20"/>
          <w:color w:val="auto"/>
        </w:rPr>
      </w:pPr>
    </w:p>
    <w:tbl>
      <w:tblPr>
        <w:tblLayout w:type="fixed"/>
        <w:tblInd w:w="360" w:type="dxa"/>
        <w:tblCellMar>
          <w:top w:w="0" w:type="dxa"/>
          <w:left w:w="0" w:type="dxa"/>
          <w:bottom w:w="0" w:type="dxa"/>
          <w:right w:w="0" w:type="dxa"/>
        </w:tblCellMar>
      </w:tblPr>
      <w:tr>
        <w:trPr>
          <w:trHeight w:val="231"/>
        </w:trPr>
        <w:tc>
          <w:tcPr>
            <w:tcW w:w="372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gridSpan w:val="4"/>
          </w:tcPr>
          <w:p>
            <w:pPr>
              <w:jc w:val="right"/>
              <w:ind w:right="18"/>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37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Current</w:t>
            </w:r>
          </w:p>
        </w:tc>
        <w:tc>
          <w:tcPr>
            <w:tcW w:w="31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w w:val="99"/>
              </w:rPr>
              <w:t>2009</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2008</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2007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3720" w:type="dxa"/>
            <w:vAlign w:val="bottom"/>
            <w:vMerge w:val="continue"/>
          </w:tcPr>
          <w:p>
            <w:pPr>
              <w:spacing w:after="0"/>
              <w:rPr>
                <w:sz w:val="16"/>
                <w:szCs w:val="16"/>
                <w:color w:val="auto"/>
              </w:rPr>
            </w:pPr>
          </w:p>
        </w:tc>
        <w:tc>
          <w:tcPr>
            <w:tcW w:w="3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Federal</w:t>
            </w:r>
          </w:p>
        </w:tc>
        <w:tc>
          <w:tcPr>
            <w:tcW w:w="3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578"/>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State</w:t>
            </w:r>
          </w:p>
        </w:tc>
        <w:tc>
          <w:tcPr>
            <w:tcW w:w="3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3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Foreign</w:t>
            </w:r>
          </w:p>
        </w:tc>
        <w:tc>
          <w:tcPr>
            <w:tcW w:w="31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Current income tax provision</w:t>
            </w:r>
          </w:p>
        </w:tc>
        <w:tc>
          <w:tcPr>
            <w:tcW w:w="31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Deferred</w:t>
            </w:r>
          </w:p>
        </w:tc>
        <w:tc>
          <w:tcPr>
            <w:tcW w:w="3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Federal</w:t>
            </w:r>
          </w:p>
        </w:tc>
        <w:tc>
          <w:tcPr>
            <w:tcW w:w="3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(40)</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578"/>
              <w:spacing w:after="0"/>
              <w:rPr>
                <w:sz w:val="20"/>
                <w:szCs w:val="20"/>
                <w:color w:val="auto"/>
              </w:rPr>
            </w:pPr>
            <w:r>
              <w:rPr>
                <w:rFonts w:ascii="Times New Roman" w:cs="Times New Roman" w:eastAsia="Times New Roman" w:hAnsi="Times New Roman"/>
                <w:sz w:val="18"/>
                <w:szCs w:val="18"/>
                <w:color w:val="auto"/>
              </w:rPr>
              <w:t>(232)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0" w:type="dxa"/>
            <w:vAlign w:val="bottom"/>
          </w:tcPr>
          <w:p>
            <w:pPr>
              <w:spacing w:after="0"/>
              <w:rPr>
                <w:sz w:val="1"/>
                <w:szCs w:val="1"/>
                <w:color w:val="auto"/>
              </w:rPr>
            </w:pPr>
          </w:p>
        </w:tc>
      </w:tr>
      <w:tr>
        <w:trPr>
          <w:trHeight w:val="216"/>
        </w:trPr>
        <w:tc>
          <w:tcPr>
            <w:tcW w:w="3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State</w:t>
            </w:r>
          </w:p>
        </w:tc>
        <w:tc>
          <w:tcPr>
            <w:tcW w:w="3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578"/>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3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Foreign</w:t>
            </w:r>
          </w:p>
        </w:tc>
        <w:tc>
          <w:tcPr>
            <w:tcW w:w="3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w:t>
            </w: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Deferred income tax benefit</w:t>
            </w:r>
          </w:p>
        </w:tc>
        <w:tc>
          <w:tcPr>
            <w:tcW w:w="31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Benefit from income taxes</w:t>
            </w:r>
          </w:p>
        </w:tc>
        <w:tc>
          <w:tcPr>
            <w:tcW w:w="316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720" w:type="dxa"/>
            <w:vAlign w:val="bottom"/>
          </w:tcPr>
          <w:p>
            <w:pPr>
              <w:jc w:val="right"/>
              <w:ind w:right="578"/>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3720" w:type="dxa"/>
            <w:vAlign w:val="bottom"/>
          </w:tcPr>
          <w:p>
            <w:pPr>
              <w:spacing w:after="0"/>
              <w:rPr>
                <w:sz w:val="24"/>
                <w:szCs w:val="24"/>
                <w:color w:val="auto"/>
              </w:rPr>
            </w:pPr>
          </w:p>
        </w:tc>
        <w:tc>
          <w:tcPr>
            <w:tcW w:w="3300" w:type="dxa"/>
            <w:vAlign w:val="bottom"/>
            <w:gridSpan w:val="2"/>
          </w:tcPr>
          <w:p>
            <w:pPr>
              <w:jc w:val="right"/>
              <w:ind w:right="1418"/>
              <w:spacing w:after="0"/>
              <w:rPr>
                <w:sz w:val="20"/>
                <w:szCs w:val="20"/>
                <w:color w:val="auto"/>
              </w:rPr>
            </w:pPr>
            <w:r>
              <w:rPr>
                <w:rFonts w:ascii="Times New Roman" w:cs="Times New Roman" w:eastAsia="Times New Roman" w:hAnsi="Times New Roman"/>
                <w:sz w:val="18"/>
                <w:szCs w:val="18"/>
                <w:color w:val="auto"/>
              </w:rPr>
              <w:t>F-23</w:t>
            </w: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5" w:right="259" w:bottom="1440" w:gutter="0" w:footer="0" w:header="0"/>
        </w:sectPr>
      </w:pPr>
    </w:p>
    <w:bookmarkStart w:id="84" w:name="page85"/>
    <w:bookmarkEnd w:id="8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Pretax income (loss) for domestic and foreign operations consists of the following:</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Domestic</w:t>
      </w:r>
    </w:p>
    <w:p>
      <w:pPr>
        <w:spacing w:after="0" w:line="2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Foreign</w:t>
      </w:r>
    </w:p>
    <w:p>
      <w:pPr>
        <w:spacing w:after="0" w:line="2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Pretax loss</w:t>
      </w:r>
    </w:p>
    <w:p>
      <w:pPr>
        <w:spacing w:after="0" w:line="225"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6"/>
          <w:szCs w:val="16"/>
          <w:color w:val="auto"/>
        </w:rPr>
        <w:t>Current and non-current deferred income tax assets and liabilities are comprised of the following: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Year Ended December 31,</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2009</w:t>
            </w:r>
          </w:p>
        </w:tc>
        <w:tc>
          <w:tcPr>
            <w:tcW w:w="50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2008</w:t>
            </w:r>
          </w:p>
        </w:tc>
        <w:tc>
          <w:tcPr>
            <w:tcW w:w="680" w:type="dxa"/>
            <w:vAlign w:val="bottom"/>
            <w:tcBorders>
              <w:top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2007</w:t>
            </w:r>
          </w:p>
        </w:tc>
        <w:tc>
          <w:tcPr>
            <w:tcW w:w="40" w:type="dxa"/>
            <w:vAlign w:val="bottom"/>
          </w:tcPr>
          <w:p>
            <w:pPr>
              <w:spacing w:after="0"/>
              <w:rPr>
                <w:sz w:val="18"/>
                <w:szCs w:val="18"/>
                <w:color w:val="auto"/>
              </w:rPr>
            </w:pPr>
          </w:p>
        </w:tc>
      </w:tr>
      <w:tr>
        <w:trPr>
          <w:trHeight w:val="195"/>
        </w:trPr>
        <w:tc>
          <w:tcPr>
            <w:tcW w:w="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(146)</w:t>
            </w:r>
          </w:p>
        </w:tc>
        <w:tc>
          <w:tcPr>
            <w:tcW w:w="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(1,404)</w:t>
            </w:r>
          </w:p>
        </w:tc>
        <w:tc>
          <w:tcPr>
            <w:tcW w:w="68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(1,064)</w:t>
            </w:r>
          </w:p>
        </w:tc>
        <w:tc>
          <w:tcPr>
            <w:tcW w:w="40" w:type="dxa"/>
            <w:vAlign w:val="bottom"/>
          </w:tcPr>
          <w:p>
            <w:pPr>
              <w:spacing w:after="0"/>
              <w:rPr>
                <w:sz w:val="16"/>
                <w:szCs w:val="16"/>
                <w:color w:val="auto"/>
              </w:rPr>
            </w:pPr>
          </w:p>
        </w:tc>
      </w:tr>
      <w:tr>
        <w:trPr>
          <w:trHeight w:val="229"/>
        </w:trPr>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6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40" w:type="dxa"/>
            <w:vAlign w:val="bottom"/>
          </w:tcPr>
          <w:p>
            <w:pPr>
              <w:spacing w:after="0"/>
              <w:rPr>
                <w:sz w:val="19"/>
                <w:szCs w:val="19"/>
                <w:color w:val="auto"/>
              </w:rPr>
            </w:pPr>
          </w:p>
        </w:tc>
      </w:tr>
      <w:tr>
        <w:trPr>
          <w:trHeight w:val="224"/>
        </w:trPr>
        <w:tc>
          <w:tcPr>
            <w:tcW w:w="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(1,343</w:t>
            </w:r>
          </w:p>
        </w:tc>
        <w:tc>
          <w:tcPr>
            <w:tcW w:w="680" w:type="dxa"/>
            <w:vAlign w:val="bottom"/>
          </w:tcPr>
          <w:p>
            <w:pPr>
              <w:jc w:val="right"/>
              <w:ind w:right="602"/>
              <w:spacing w:after="0"/>
              <w:rPr>
                <w:sz w:val="20"/>
                <w:szCs w:val="20"/>
                <w:color w:val="auto"/>
              </w:rPr>
            </w:pPr>
            <w:r>
              <w:rPr>
                <w:rFonts w:ascii="Times New Roman" w:cs="Times New Roman" w:eastAsia="Times New Roman" w:hAnsi="Times New Roman"/>
                <w:sz w:val="8"/>
                <w:szCs w:val="8"/>
                <w:color w:val="auto"/>
                <w:w w:val="73"/>
              </w:rPr>
              <w:t>)</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(992</w:t>
            </w:r>
          </w:p>
        </w:tc>
        <w:tc>
          <w:tcPr>
            <w:tcW w:w="40" w:type="dxa"/>
            <w:vAlign w:val="bottom"/>
          </w:tcPr>
          <w:p>
            <w:pPr>
              <w:jc w:val="right"/>
              <w:spacing w:after="0"/>
              <w:rPr>
                <w:sz w:val="20"/>
                <w:szCs w:val="20"/>
                <w:color w:val="auto"/>
              </w:rPr>
            </w:pPr>
            <w:r>
              <w:rPr>
                <w:rFonts w:ascii="Times New Roman" w:cs="Times New Roman" w:eastAsia="Times New Roman" w:hAnsi="Times New Roman"/>
                <w:sz w:val="8"/>
                <w:szCs w:val="8"/>
                <w:color w:val="auto"/>
                <w:w w:val="73"/>
              </w:rPr>
              <w:t>)</w:t>
            </w:r>
          </w:p>
        </w:tc>
      </w:tr>
      <w:tr>
        <w:trPr>
          <w:trHeight w:val="20"/>
        </w:trPr>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79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0" w:type="dxa"/>
            <w:vAlign w:val="bottom"/>
            <w:gridSpan w:val="5"/>
          </w:tcPr>
          <w:p>
            <w:pPr>
              <w:jc w:val="right"/>
              <w:ind w:right="422"/>
              <w:spacing w:after="0"/>
              <w:rPr>
                <w:sz w:val="20"/>
                <w:szCs w:val="20"/>
                <w:color w:val="auto"/>
              </w:rPr>
            </w:pPr>
            <w:r>
              <w:rPr>
                <w:rFonts w:ascii="Times New Roman" w:cs="Times New Roman" w:eastAsia="Times New Roman" w:hAnsi="Times New Roman"/>
                <w:sz w:val="18"/>
                <w:szCs w:val="18"/>
                <w:b w:val="1"/>
                <w:bCs w:val="1"/>
                <w:color w:val="auto"/>
              </w:rPr>
              <w:t>As of December 31,</w:t>
            </w:r>
          </w:p>
        </w:tc>
      </w:tr>
      <w:tr>
        <w:trPr>
          <w:trHeight w:val="211"/>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Borders>
              <w:top w:val="single" w:sz="8" w:color="auto"/>
            </w:tcBorders>
            <w:gridSpan w:val="3"/>
          </w:tcPr>
          <w:p>
            <w:pPr>
              <w:ind w:left="160"/>
              <w:spacing w:after="0"/>
              <w:rPr>
                <w:sz w:val="20"/>
                <w:szCs w:val="20"/>
                <w:color w:val="auto"/>
              </w:rPr>
            </w:pPr>
            <w:r>
              <w:rPr>
                <w:rFonts w:ascii="Times New Roman" w:cs="Times New Roman" w:eastAsia="Times New Roman" w:hAnsi="Times New Roman"/>
                <w:sz w:val="18"/>
                <w:szCs w:val="18"/>
                <w:b w:val="1"/>
                <w:bCs w:val="1"/>
                <w:color w:val="auto"/>
              </w:rPr>
              <w:t>2009</w:t>
            </w:r>
          </w:p>
        </w:tc>
        <w:tc>
          <w:tcPr>
            <w:tcW w:w="6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2008</w:t>
            </w:r>
          </w:p>
        </w:tc>
        <w:tc>
          <w:tcPr>
            <w:tcW w:w="40" w:type="dxa"/>
            <w:vAlign w:val="bottom"/>
          </w:tcPr>
          <w:p>
            <w:pPr>
              <w:spacing w:after="0"/>
              <w:rPr>
                <w:sz w:val="18"/>
                <w:szCs w:val="18"/>
                <w:color w:val="auto"/>
              </w:rPr>
            </w:pPr>
          </w:p>
        </w:tc>
      </w:tr>
    </w:tbl>
    <w:p>
      <w:pPr>
        <w:spacing w:after="0" w:line="1" w:lineRule="exact"/>
        <w:rPr>
          <w:sz w:val="20"/>
          <w:szCs w:val="20"/>
          <w:color w:val="auto"/>
        </w:rPr>
      </w:pPr>
    </w:p>
    <w:p>
      <w:pPr>
        <w:sectPr>
          <w:pgSz w:w="11900" w:h="16838" w:orient="portrait"/>
          <w:cols w:equalWidth="0" w:num="2">
            <w:col w:w="7200" w:space="320"/>
            <w:col w:w="3700"/>
          </w:cols>
          <w:pgMar w:left="240" w:top="455" w:right="439" w:bottom="1440" w:gutter="0" w:footer="0" w:header="0"/>
        </w:sectPr>
      </w:pPr>
    </w:p>
    <w:tbl>
      <w:tblPr>
        <w:tblLayout w:type="fixed"/>
        <w:tblInd w:w="360" w:type="dxa"/>
        <w:tblCellMar>
          <w:top w:w="0" w:type="dxa"/>
          <w:left w:w="0" w:type="dxa"/>
          <w:bottom w:w="0" w:type="dxa"/>
          <w:right w:w="0" w:type="dxa"/>
        </w:tblCellMar>
      </w:tblPr>
      <w:tr>
        <w:trPr>
          <w:trHeight w:val="195"/>
        </w:trPr>
        <w:tc>
          <w:tcPr>
            <w:tcW w:w="8360" w:type="dxa"/>
            <w:vAlign w:val="bottom"/>
          </w:tcPr>
          <w:p>
            <w:pPr>
              <w:spacing w:after="0" w:line="195" w:lineRule="exact"/>
              <w:rPr>
                <w:sz w:val="20"/>
                <w:szCs w:val="20"/>
                <w:color w:val="auto"/>
              </w:rPr>
            </w:pPr>
            <w:r>
              <w:rPr>
                <w:rFonts w:ascii="Times New Roman" w:cs="Times New Roman" w:eastAsia="Times New Roman" w:hAnsi="Times New Roman"/>
                <w:sz w:val="18"/>
                <w:szCs w:val="18"/>
                <w:i w:val="1"/>
                <w:iCs w:val="1"/>
                <w:color w:val="auto"/>
              </w:rPr>
              <w:t>Current deferred income tax assets:</w:t>
            </w:r>
          </w:p>
        </w:tc>
        <w:tc>
          <w:tcPr>
            <w:tcW w:w="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4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Accrued liabilities and deferred income</w:t>
            </w:r>
          </w:p>
        </w:tc>
        <w:tc>
          <w:tcPr>
            <w:tcW w:w="220" w:type="dxa"/>
            <w:vAlign w:val="bottom"/>
            <w:gridSpan w:val="2"/>
          </w:tcPr>
          <w:p>
            <w:pPr>
              <w:jc w:val="right"/>
              <w:ind w:right="85"/>
              <w:spacing w:after="0"/>
              <w:rPr>
                <w:sz w:val="20"/>
                <w:szCs w:val="20"/>
                <w:color w:val="auto"/>
              </w:rPr>
            </w:pPr>
            <w:r>
              <w:rPr>
                <w:rFonts w:ascii="Times New Roman" w:cs="Times New Roman" w:eastAsia="Times New Roman" w:hAnsi="Times New Roman"/>
                <w:sz w:val="16"/>
                <w:szCs w:val="16"/>
                <w:color w:val="auto"/>
                <w:w w:val="74"/>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440" w:type="dxa"/>
            <w:vAlign w:val="bottom"/>
          </w:tcPr>
          <w:p>
            <w:pPr>
              <w:spacing w:after="0"/>
              <w:rPr>
                <w:sz w:val="18"/>
                <w:szCs w:val="18"/>
                <w:color w:val="auto"/>
              </w:rPr>
            </w:pPr>
          </w:p>
        </w:tc>
        <w:tc>
          <w:tcPr>
            <w:tcW w:w="640" w:type="dxa"/>
            <w:vAlign w:val="bottom"/>
            <w:gridSpan w:val="2"/>
          </w:tcPr>
          <w:p>
            <w:pPr>
              <w:jc w:val="right"/>
              <w:ind w:right="58"/>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Provision for doubtful accounts</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Acquisition and integration-related liabilities</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Unrealized hedge loss</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Convertible note hedge</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8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 xml:space="preserve">Valuation allowance </w:t>
            </w:r>
            <w:r>
              <w:rPr>
                <w:rFonts w:ascii="Times New Roman" w:cs="Times New Roman" w:eastAsia="Times New Roman" w:hAnsi="Times New Roman"/>
                <w:sz w:val="11"/>
                <w:szCs w:val="11"/>
                <w:color w:val="auto"/>
              </w:rPr>
              <w:t>(a)</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(25)</w:t>
            </w: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24"/>
        </w:trPr>
        <w:tc>
          <w:tcPr>
            <w:tcW w:w="8360" w:type="dxa"/>
            <w:vAlign w:val="bottom"/>
          </w:tcPr>
          <w:p>
            <w:pPr>
              <w:spacing w:after="0"/>
              <w:rPr>
                <w:sz w:val="20"/>
                <w:szCs w:val="20"/>
                <w:color w:val="auto"/>
              </w:rPr>
            </w:pPr>
            <w:r>
              <w:rPr>
                <w:rFonts w:ascii="Times New Roman" w:cs="Times New Roman" w:eastAsia="Times New Roman" w:hAnsi="Times New Roman"/>
                <w:sz w:val="18"/>
                <w:szCs w:val="18"/>
                <w:color w:val="auto"/>
              </w:rPr>
              <w:t>Current deferred income tax assets</w:t>
            </w:r>
          </w:p>
        </w:tc>
        <w:tc>
          <w:tcPr>
            <w:tcW w:w="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3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Current deferred income tax liabilities:</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Prepaid expenses</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8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Unrealized hedge gain</w:t>
            </w:r>
          </w:p>
        </w:tc>
        <w:tc>
          <w:tcPr>
            <w:tcW w:w="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8360" w:type="dxa"/>
            <w:vAlign w:val="bottom"/>
          </w:tcPr>
          <w:p>
            <w:pPr>
              <w:spacing w:after="0"/>
              <w:rPr>
                <w:sz w:val="20"/>
                <w:szCs w:val="20"/>
                <w:color w:val="auto"/>
              </w:rPr>
            </w:pPr>
            <w:r>
              <w:rPr>
                <w:rFonts w:ascii="Times New Roman" w:cs="Times New Roman" w:eastAsia="Times New Roman" w:hAnsi="Times New Roman"/>
                <w:sz w:val="18"/>
                <w:szCs w:val="18"/>
                <w:color w:val="auto"/>
              </w:rPr>
              <w:t>Current deferred income tax liabilities</w:t>
            </w:r>
          </w:p>
        </w:tc>
        <w:tc>
          <w:tcPr>
            <w:tcW w:w="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net deferred income tax asset</w:t>
            </w:r>
          </w:p>
        </w:tc>
        <w:tc>
          <w:tcPr>
            <w:tcW w:w="20" w:type="dxa"/>
            <w:vAlign w:val="bottom"/>
          </w:tcPr>
          <w:p>
            <w:pPr>
              <w:spacing w:after="0"/>
              <w:rPr>
                <w:sz w:val="19"/>
                <w:szCs w:val="19"/>
                <w:color w:val="auto"/>
              </w:rPr>
            </w:pPr>
          </w:p>
        </w:tc>
        <w:tc>
          <w:tcPr>
            <w:tcW w:w="200" w:type="dxa"/>
            <w:vAlign w:val="bottom"/>
            <w:tcBorders>
              <w:bottom w:val="single" w:sz="8" w:color="auto"/>
            </w:tcBorders>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Borders>
              <w:bottom w:val="single" w:sz="8" w:color="auto"/>
            </w:tcBorders>
          </w:tcPr>
          <w:p>
            <w:pPr>
              <w:jc w:val="right"/>
              <w:ind w:right="58"/>
              <w:spacing w:after="0"/>
              <w:rPr>
                <w:sz w:val="20"/>
                <w:szCs w:val="20"/>
                <w:color w:val="auto"/>
              </w:rPr>
            </w:pPr>
            <w:r>
              <w:rPr>
                <w:rFonts w:ascii="Times New Roman" w:cs="Times New Roman" w:eastAsia="Times New Roman" w:hAnsi="Times New Roman"/>
                <w:sz w:val="16"/>
                <w:szCs w:val="16"/>
                <w:color w:val="auto"/>
                <w:w w:val="74"/>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36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Non-current deferred income tax assets:</w:t>
            </w: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36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tax loss carryforwards</w:t>
            </w:r>
          </w:p>
        </w:tc>
        <w:tc>
          <w:tcPr>
            <w:tcW w:w="220" w:type="dxa"/>
            <w:vAlign w:val="bottom"/>
            <w:gridSpan w:val="2"/>
          </w:tcPr>
          <w:p>
            <w:pPr>
              <w:jc w:val="right"/>
              <w:ind w:right="85"/>
              <w:spacing w:after="0"/>
              <w:rPr>
                <w:sz w:val="20"/>
                <w:szCs w:val="20"/>
                <w:color w:val="auto"/>
              </w:rPr>
            </w:pPr>
            <w:r>
              <w:rPr>
                <w:rFonts w:ascii="Times New Roman" w:cs="Times New Roman" w:eastAsia="Times New Roman" w:hAnsi="Times New Roman"/>
                <w:sz w:val="16"/>
                <w:szCs w:val="16"/>
                <w:color w:val="auto"/>
                <w:w w:val="74"/>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440" w:type="dxa"/>
            <w:vAlign w:val="bottom"/>
          </w:tcPr>
          <w:p>
            <w:pPr>
              <w:spacing w:after="0"/>
              <w:rPr>
                <w:sz w:val="18"/>
                <w:szCs w:val="18"/>
                <w:color w:val="auto"/>
              </w:rPr>
            </w:pPr>
          </w:p>
        </w:tc>
        <w:tc>
          <w:tcPr>
            <w:tcW w:w="640" w:type="dxa"/>
            <w:vAlign w:val="bottom"/>
            <w:gridSpan w:val="2"/>
          </w:tcPr>
          <w:p>
            <w:pPr>
              <w:jc w:val="right"/>
              <w:ind w:right="58"/>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Accrued liabilities and deferred income</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Tax credit carryforward</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Acquisition and integration-related liabilities</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Unrealized hedge loss</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Convertible note hedge</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8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 xml:space="preserve">Valuation allowance </w:t>
            </w:r>
            <w:r>
              <w:rPr>
                <w:rFonts w:ascii="Times New Roman" w:cs="Times New Roman" w:eastAsia="Times New Roman" w:hAnsi="Times New Roman"/>
                <w:sz w:val="11"/>
                <w:szCs w:val="11"/>
                <w:color w:val="auto"/>
              </w:rPr>
              <w:t>(a)</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(141)</w:t>
            </w: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0" w:type="dxa"/>
            <w:vAlign w:val="bottom"/>
          </w:tcPr>
          <w:p>
            <w:pPr>
              <w:spacing w:after="0"/>
              <w:rPr>
                <w:sz w:val="1"/>
                <w:szCs w:val="1"/>
                <w:color w:val="auto"/>
              </w:rPr>
            </w:pPr>
          </w:p>
        </w:tc>
      </w:tr>
      <w:tr>
        <w:trPr>
          <w:trHeight w:val="225"/>
        </w:trPr>
        <w:tc>
          <w:tcPr>
            <w:tcW w:w="8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Non-current deferred income tax assets</w:t>
            </w:r>
          </w:p>
        </w:tc>
        <w:tc>
          <w:tcPr>
            <w:tcW w:w="20" w:type="dxa"/>
            <w:vAlign w:val="bottom"/>
            <w:tcBorders>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597</w:t>
            </w:r>
          </w:p>
        </w:tc>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58"/>
              <w:spacing w:after="0"/>
              <w:rPr>
                <w:sz w:val="20"/>
                <w:szCs w:val="20"/>
                <w:color w:val="auto"/>
              </w:rPr>
            </w:pPr>
            <w:r>
              <w:rPr>
                <w:rFonts w:ascii="Times New Roman" w:cs="Times New Roman" w:eastAsia="Times New Roman" w:hAnsi="Times New Roman"/>
                <w:sz w:val="16"/>
                <w:szCs w:val="16"/>
                <w:color w:val="auto"/>
                <w:w w:val="74"/>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800" w:hanging="454"/>
        <w:spacing w:after="0" w:line="237" w:lineRule="auto"/>
        <w:tabs>
          <w:tab w:leader="none" w:pos="800" w:val="left"/>
        </w:tabs>
        <w:numPr>
          <w:ilvl w:val="0"/>
          <w:numId w:val="5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The valuation allowance of $166 million at December 31, 2009, relates to tax loss carryforwards, foreign tax credits and certain state deferred tax assets of $123 million, $32 million and $11 million, respectively. The valuation allowance will be reduced when and if the Company determines it is more likely than not that the related deferred income tax assets will be realized.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219710</wp:posOffset>
            </wp:positionH>
            <wp:positionV relativeFrom="paragraph">
              <wp:posOffset>-434340</wp:posOffset>
            </wp:positionV>
            <wp:extent cx="72898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F-24</w:t>
      </w:r>
    </w:p>
    <w:p>
      <w:pPr>
        <w:sectPr>
          <w:pgSz w:w="11900" w:h="16838" w:orient="portrait"/>
          <w:cols w:equalWidth="0" w:num="1">
            <w:col w:w="11220"/>
          </w:cols>
          <w:pgMar w:left="240" w:top="455" w:right="439" w:bottom="1440" w:gutter="0" w:footer="0" w:header="0"/>
          <w:type w:val="continuous"/>
        </w:sectPr>
      </w:pPr>
    </w:p>
    <w:bookmarkStart w:id="85" w:name="page86"/>
    <w:bookmarkEnd w:id="8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tbl>
      <w:tblPr>
        <w:tblLayout w:type="fixed"/>
        <w:tblInd w:w="360" w:type="dxa"/>
        <w:tblCellMar>
          <w:top w:w="0" w:type="dxa"/>
          <w:left w:w="0" w:type="dxa"/>
          <w:bottom w:w="0" w:type="dxa"/>
          <w:right w:w="0" w:type="dxa"/>
        </w:tblCellMar>
      </w:tblPr>
      <w:tr>
        <w:trPr>
          <w:trHeight w:val="228"/>
        </w:trPr>
        <w:tc>
          <w:tcPr>
            <w:tcW w:w="870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 assets and liabilities related to the vehicle programs are comprised of the following:</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0"/>
        </w:trPr>
        <w:tc>
          <w:tcPr>
            <w:tcW w:w="8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gridSpan w:val="4"/>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0" w:type="dxa"/>
            <w:vAlign w:val="bottom"/>
          </w:tcPr>
          <w:p>
            <w:pPr>
              <w:spacing w:after="0"/>
              <w:rPr>
                <w:sz w:val="1"/>
                <w:szCs w:val="1"/>
                <w:color w:val="auto"/>
              </w:rPr>
            </w:pPr>
          </w:p>
        </w:tc>
      </w:tr>
      <w:tr>
        <w:trPr>
          <w:trHeight w:val="211"/>
        </w:trPr>
        <w:tc>
          <w:tcPr>
            <w:tcW w:w="870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Deferred income tax assets:</w:t>
            </w:r>
          </w:p>
        </w:tc>
        <w:tc>
          <w:tcPr>
            <w:tcW w:w="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2009</w:t>
            </w:r>
          </w:p>
        </w:tc>
        <w:tc>
          <w:tcPr>
            <w:tcW w:w="6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2008</w:t>
            </w:r>
          </w:p>
        </w:tc>
        <w:tc>
          <w:tcPr>
            <w:tcW w:w="0" w:type="dxa"/>
            <w:vAlign w:val="bottom"/>
          </w:tcPr>
          <w:p>
            <w:pPr>
              <w:spacing w:after="0"/>
              <w:rPr>
                <w:sz w:val="1"/>
                <w:szCs w:val="1"/>
                <w:color w:val="auto"/>
              </w:rPr>
            </w:pPr>
          </w:p>
        </w:tc>
      </w:tr>
      <w:tr>
        <w:trPr>
          <w:trHeight w:val="195"/>
        </w:trPr>
        <w:tc>
          <w:tcPr>
            <w:tcW w:w="870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8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Unrealized hedge loss</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223"/>
        </w:trPr>
        <w:tc>
          <w:tcPr>
            <w:tcW w:w="8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6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210"/>
        </w:trPr>
        <w:tc>
          <w:tcPr>
            <w:tcW w:w="87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Deferred income tax liabilities: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Depreciation</w:t>
            </w: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1,321</w:t>
            </w:r>
          </w:p>
        </w:tc>
        <w:tc>
          <w:tcPr>
            <w:tcW w:w="6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1,273</w:t>
            </w:r>
          </w:p>
        </w:tc>
        <w:tc>
          <w:tcPr>
            <w:tcW w:w="0" w:type="dxa"/>
            <w:vAlign w:val="bottom"/>
          </w:tcPr>
          <w:p>
            <w:pPr>
              <w:spacing w:after="0"/>
              <w:rPr>
                <w:sz w:val="1"/>
                <w:szCs w:val="1"/>
                <w:color w:val="auto"/>
              </w:rPr>
            </w:pPr>
          </w:p>
        </w:tc>
      </w:tr>
      <w:tr>
        <w:trPr>
          <w:trHeight w:val="223"/>
        </w:trPr>
        <w:tc>
          <w:tcPr>
            <w:tcW w:w="8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1,321</w:t>
            </w:r>
          </w:p>
        </w:tc>
        <w:tc>
          <w:tcPr>
            <w:tcW w:w="6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1,273</w:t>
            </w:r>
          </w:p>
        </w:tc>
        <w:tc>
          <w:tcPr>
            <w:tcW w:w="0" w:type="dxa"/>
            <w:vAlign w:val="bottom"/>
          </w:tcPr>
          <w:p>
            <w:pPr>
              <w:spacing w:after="0"/>
              <w:rPr>
                <w:sz w:val="1"/>
                <w:szCs w:val="1"/>
                <w:color w:val="auto"/>
              </w:rPr>
            </w:pPr>
          </w:p>
        </w:tc>
      </w:tr>
      <w:tr>
        <w:trPr>
          <w:trHeight w:val="224"/>
        </w:trPr>
        <w:tc>
          <w:tcPr>
            <w:tcW w:w="8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deferred income tax liabilities under vehicle programs</w:t>
            </w: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1,267</w:t>
            </w:r>
          </w:p>
        </w:tc>
        <w:tc>
          <w:tcPr>
            <w:tcW w:w="6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1,188</w:t>
            </w:r>
          </w:p>
        </w:tc>
        <w:tc>
          <w:tcPr>
            <w:tcW w:w="0" w:type="dxa"/>
            <w:vAlign w:val="bottom"/>
          </w:tcPr>
          <w:p>
            <w:pPr>
              <w:spacing w:after="0"/>
              <w:rPr>
                <w:sz w:val="1"/>
                <w:szCs w:val="1"/>
                <w:color w:val="auto"/>
              </w:rPr>
            </w:pPr>
          </w:p>
        </w:tc>
      </w:tr>
      <w:tr>
        <w:trPr>
          <w:trHeight w:val="20"/>
        </w:trPr>
        <w:tc>
          <w:tcPr>
            <w:tcW w:w="8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left="360"/>
        <w:spacing w:after="0" w:line="255" w:lineRule="auto"/>
        <w:rPr>
          <w:sz w:val="20"/>
          <w:szCs w:val="20"/>
          <w:color w:val="auto"/>
        </w:rPr>
      </w:pPr>
      <w:r>
        <w:rPr>
          <w:rFonts w:ascii="Times New Roman" w:cs="Times New Roman" w:eastAsia="Times New Roman" w:hAnsi="Times New Roman"/>
          <w:sz w:val="18"/>
          <w:szCs w:val="18"/>
          <w:color w:val="auto"/>
        </w:rPr>
        <w:t>As of December 31, 2009, the Company had federal net operating loss carryforwards of approximately $523 million (net of valuation allowances), most of which expire in 2027, 2028 and 2029. Currently the Company does not record valuation allowances on the majority of its tax loss carryforwards as there are adequate deferred tax liabilities that could be realized within the carryforward period. No provision has been made for U.S. federal deferred income taxes on approximately $429 million of accumulated and undistributed earnings of foreign subsidiaries at December 31, 2009, since it is the present intention of management to reinvest the undistributed earnings indefinitely in those foreign operations. The determination of the amount of unrecognized U.S. federal deferred income tax liability for unremitted earnings is not practicable.</w:t>
      </w:r>
    </w:p>
    <w:p>
      <w:pPr>
        <w:spacing w:after="0" w:line="13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The reconciliation between the U.S. federal income tax statutory rate and the Company’s effective income tax rate for continuing operations is as follows:</w:t>
      </w:r>
    </w:p>
    <w:p>
      <w:pPr>
        <w:spacing w:after="0" w:line="233" w:lineRule="exact"/>
        <w:rPr>
          <w:sz w:val="20"/>
          <w:szCs w:val="20"/>
          <w:color w:val="auto"/>
        </w:rPr>
      </w:pPr>
    </w:p>
    <w:tbl>
      <w:tblPr>
        <w:tblLayout w:type="fixed"/>
        <w:tblInd w:w="360" w:type="dxa"/>
        <w:tblCellMar>
          <w:top w:w="0" w:type="dxa"/>
          <w:left w:w="0" w:type="dxa"/>
          <w:bottom w:w="0" w:type="dxa"/>
          <w:right w:w="0" w:type="dxa"/>
        </w:tblCellMar>
      </w:tblPr>
      <w:tr>
        <w:trPr>
          <w:trHeight w:val="231"/>
        </w:trPr>
        <w:tc>
          <w:tcPr>
            <w:tcW w:w="6820" w:type="dxa"/>
            <w:vAlign w:val="bottom"/>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gridSpan w:val="3"/>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70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6820" w:type="dxa"/>
            <w:vAlign w:val="bottom"/>
          </w:tcPr>
          <w:p>
            <w:pPr>
              <w:spacing w:after="0"/>
              <w:rPr>
                <w:sz w:val="18"/>
                <w:szCs w:val="18"/>
                <w:color w:val="auto"/>
              </w:rPr>
            </w:pPr>
          </w:p>
        </w:tc>
        <w:tc>
          <w:tcPr>
            <w:tcW w:w="70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2009</w:t>
            </w: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2008</w:t>
            </w:r>
          </w:p>
        </w:tc>
        <w:tc>
          <w:tcPr>
            <w:tcW w:w="800" w:type="dxa"/>
            <w:vAlign w:val="bottom"/>
          </w:tcPr>
          <w:p>
            <w:pPr>
              <w:spacing w:after="0"/>
              <w:rPr>
                <w:sz w:val="18"/>
                <w:szCs w:val="18"/>
                <w:color w:val="auto"/>
              </w:rPr>
            </w:pPr>
          </w:p>
        </w:tc>
        <w:tc>
          <w:tcPr>
            <w:tcW w:w="70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2007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682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Federal statutory rate</w:t>
            </w:r>
          </w:p>
        </w:tc>
        <w:tc>
          <w:tcPr>
            <w:tcW w:w="980" w:type="dxa"/>
            <w:vAlign w:val="bottom"/>
            <w:gridSpan w:val="2"/>
          </w:tcPr>
          <w:p>
            <w:pPr>
              <w:jc w:val="right"/>
              <w:ind w:right="140"/>
              <w:spacing w:after="0" w:line="195" w:lineRule="exact"/>
              <w:rPr>
                <w:sz w:val="20"/>
                <w:szCs w:val="20"/>
                <w:color w:val="auto"/>
              </w:rPr>
            </w:pPr>
            <w:r>
              <w:rPr>
                <w:rFonts w:ascii="Times New Roman" w:cs="Times New Roman" w:eastAsia="Times New Roman" w:hAnsi="Times New Roman"/>
                <w:sz w:val="18"/>
                <w:szCs w:val="18"/>
                <w:color w:val="auto"/>
              </w:rPr>
              <w:t>35.0%</w:t>
            </w:r>
          </w:p>
        </w:tc>
        <w:tc>
          <w:tcPr>
            <w:tcW w:w="520" w:type="dxa"/>
            <w:vAlign w:val="bottom"/>
          </w:tcPr>
          <w:p>
            <w:pPr>
              <w:spacing w:after="0"/>
              <w:rPr>
                <w:sz w:val="16"/>
                <w:szCs w:val="16"/>
                <w:color w:val="auto"/>
              </w:rPr>
            </w:pPr>
          </w:p>
        </w:tc>
        <w:tc>
          <w:tcPr>
            <w:tcW w:w="1500" w:type="dxa"/>
            <w:vAlign w:val="bottom"/>
            <w:gridSpan w:val="2"/>
          </w:tcPr>
          <w:p>
            <w:pPr>
              <w:jc w:val="right"/>
              <w:ind w:right="660"/>
              <w:spacing w:after="0" w:line="195" w:lineRule="exact"/>
              <w:rPr>
                <w:sz w:val="20"/>
                <w:szCs w:val="20"/>
                <w:color w:val="auto"/>
              </w:rPr>
            </w:pPr>
            <w:r>
              <w:rPr>
                <w:rFonts w:ascii="Times New Roman" w:cs="Times New Roman" w:eastAsia="Times New Roman" w:hAnsi="Times New Roman"/>
                <w:sz w:val="18"/>
                <w:szCs w:val="18"/>
                <w:color w:val="auto"/>
              </w:rPr>
              <w:t>35.0%</w:t>
            </w:r>
          </w:p>
        </w:tc>
        <w:tc>
          <w:tcPr>
            <w:tcW w:w="840" w:type="dxa"/>
            <w:vAlign w:val="bottom"/>
            <w:gridSpan w:val="2"/>
          </w:tcPr>
          <w:p>
            <w:pPr>
              <w:jc w:val="right"/>
              <w:spacing w:after="0" w:line="195" w:lineRule="exact"/>
              <w:rPr>
                <w:sz w:val="20"/>
                <w:szCs w:val="20"/>
                <w:color w:val="auto"/>
              </w:rPr>
            </w:pPr>
            <w:r>
              <w:rPr>
                <w:rFonts w:ascii="Times New Roman" w:cs="Times New Roman" w:eastAsia="Times New Roman" w:hAnsi="Times New Roman"/>
                <w:sz w:val="18"/>
                <w:szCs w:val="18"/>
                <w:color w:val="auto"/>
              </w:rPr>
              <w:t>35.0%</w:t>
            </w:r>
          </w:p>
        </w:tc>
        <w:tc>
          <w:tcPr>
            <w:tcW w:w="0" w:type="dxa"/>
            <w:vAlign w:val="bottom"/>
          </w:tcPr>
          <w:p>
            <w:pPr>
              <w:spacing w:after="0"/>
              <w:rPr>
                <w:sz w:val="1"/>
                <w:szCs w:val="1"/>
                <w:color w:val="auto"/>
              </w:rPr>
            </w:pPr>
          </w:p>
        </w:tc>
      </w:tr>
      <w:tr>
        <w:trPr>
          <w:trHeight w:val="216"/>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Adjustments to reconcile to the effective rate:</w:t>
            </w: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State and local income taxes, net of federal tax benefits</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280" w:type="dxa"/>
            <w:vAlign w:val="bottom"/>
          </w:tcPr>
          <w:p>
            <w:pPr>
              <w:spacing w:after="0"/>
              <w:rPr>
                <w:sz w:val="18"/>
                <w:szCs w:val="18"/>
                <w:color w:val="auto"/>
              </w:rPr>
            </w:pPr>
          </w:p>
        </w:tc>
        <w:tc>
          <w:tcPr>
            <w:tcW w:w="2020" w:type="dxa"/>
            <w:vAlign w:val="bottom"/>
            <w:gridSpan w:val="3"/>
          </w:tcPr>
          <w:p>
            <w:pPr>
              <w:jc w:val="right"/>
              <w:ind w:right="740"/>
              <w:spacing w:after="0"/>
              <w:rPr>
                <w:sz w:val="20"/>
                <w:szCs w:val="20"/>
                <w:color w:val="auto"/>
              </w:rPr>
            </w:pPr>
            <w:r>
              <w:rPr>
                <w:rFonts w:ascii="Times New Roman" w:cs="Times New Roman" w:eastAsia="Times New Roman" w:hAnsi="Times New Roman"/>
                <w:sz w:val="18"/>
                <w:szCs w:val="18"/>
                <w:color w:val="auto"/>
              </w:rPr>
              <w:t>(0.2)</w:t>
            </w: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16"/>
        </w:trPr>
        <w:tc>
          <w:tcPr>
            <w:tcW w:w="6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Changes in valuation allowances</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(10.1)</w:t>
            </w:r>
          </w:p>
        </w:tc>
        <w:tc>
          <w:tcPr>
            <w:tcW w:w="2020" w:type="dxa"/>
            <w:vAlign w:val="bottom"/>
            <w:gridSpan w:val="3"/>
          </w:tcPr>
          <w:p>
            <w:pPr>
              <w:jc w:val="right"/>
              <w:ind w:right="740"/>
              <w:spacing w:after="0"/>
              <w:rPr>
                <w:sz w:val="20"/>
                <w:szCs w:val="20"/>
                <w:color w:val="auto"/>
              </w:rPr>
            </w:pPr>
            <w:r>
              <w:rPr>
                <w:rFonts w:ascii="Times New Roman" w:cs="Times New Roman" w:eastAsia="Times New Roman" w:hAnsi="Times New Roman"/>
                <w:sz w:val="18"/>
                <w:szCs w:val="18"/>
                <w:color w:val="auto"/>
              </w:rPr>
              <w:t>(1.1)</w:t>
            </w: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16"/>
        </w:trPr>
        <w:tc>
          <w:tcPr>
            <w:tcW w:w="6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Taxes on foreign operations at rates different than statutory U.S. federal rates</w:t>
            </w:r>
            <w:r>
              <w:rPr>
                <w:rFonts w:ascii="Times New Roman" w:cs="Times New Roman" w:eastAsia="Times New Roman" w:hAnsi="Times New Roman"/>
                <w:sz w:val="11"/>
                <w:szCs w:val="11"/>
                <w:color w:val="auto"/>
              </w:rPr>
              <w:t>(a)</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28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8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Resolution of prior years’ examination issues</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80" w:type="dxa"/>
            <w:vAlign w:val="bottom"/>
          </w:tcPr>
          <w:p>
            <w:pPr>
              <w:spacing w:after="0"/>
              <w:rPr>
                <w:sz w:val="18"/>
                <w:szCs w:val="18"/>
                <w:color w:val="auto"/>
              </w:rPr>
            </w:pPr>
          </w:p>
        </w:tc>
        <w:tc>
          <w:tcPr>
            <w:tcW w:w="2020" w:type="dxa"/>
            <w:vAlign w:val="bottom"/>
            <w:gridSpan w:val="3"/>
          </w:tcPr>
          <w:p>
            <w:pPr>
              <w:jc w:val="right"/>
              <w:ind w:right="740"/>
              <w:spacing w:after="0"/>
              <w:rPr>
                <w:sz w:val="20"/>
                <w:szCs w:val="20"/>
                <w:color w:val="auto"/>
              </w:rPr>
            </w:pPr>
            <w:r>
              <w:rPr>
                <w:rFonts w:ascii="Times New Roman" w:cs="Times New Roman" w:eastAsia="Times New Roman" w:hAnsi="Times New Roman"/>
                <w:sz w:val="18"/>
                <w:szCs w:val="18"/>
                <w:color w:val="auto"/>
              </w:rPr>
              <w:t>(0.4)</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Goodwill impairment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2020" w:type="dxa"/>
            <w:vAlign w:val="bottom"/>
            <w:gridSpan w:val="3"/>
          </w:tcPr>
          <w:p>
            <w:pPr>
              <w:jc w:val="right"/>
              <w:ind w:right="740"/>
              <w:spacing w:after="0"/>
              <w:rPr>
                <w:sz w:val="20"/>
                <w:szCs w:val="20"/>
                <w:color w:val="auto"/>
              </w:rPr>
            </w:pPr>
            <w:r>
              <w:rPr>
                <w:rFonts w:ascii="Times New Roman" w:cs="Times New Roman" w:eastAsia="Times New Roman" w:hAnsi="Times New Roman"/>
                <w:sz w:val="18"/>
                <w:szCs w:val="18"/>
                <w:color w:val="auto"/>
              </w:rPr>
              <w:t>(17.4)</w:t>
            </w: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(29.8)</w:t>
            </w:r>
          </w:p>
        </w:tc>
        <w:tc>
          <w:tcPr>
            <w:tcW w:w="0" w:type="dxa"/>
            <w:vAlign w:val="bottom"/>
          </w:tcPr>
          <w:p>
            <w:pPr>
              <w:spacing w:after="0"/>
              <w:rPr>
                <w:sz w:val="1"/>
                <w:szCs w:val="1"/>
                <w:color w:val="auto"/>
              </w:rPr>
            </w:pPr>
          </w:p>
        </w:tc>
      </w:tr>
      <w:tr>
        <w:trPr>
          <w:trHeight w:val="216"/>
        </w:trPr>
        <w:tc>
          <w:tcPr>
            <w:tcW w:w="6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Nondeductible expenses</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(13.2)</w:t>
            </w:r>
          </w:p>
        </w:tc>
        <w:tc>
          <w:tcPr>
            <w:tcW w:w="2020" w:type="dxa"/>
            <w:vAlign w:val="bottom"/>
            <w:gridSpan w:val="3"/>
          </w:tcPr>
          <w:p>
            <w:pPr>
              <w:jc w:val="right"/>
              <w:ind w:right="740"/>
              <w:spacing w:after="0"/>
              <w:rPr>
                <w:sz w:val="20"/>
                <w:szCs w:val="20"/>
                <w:color w:val="auto"/>
              </w:rPr>
            </w:pPr>
            <w:r>
              <w:rPr>
                <w:rFonts w:ascii="Times New Roman" w:cs="Times New Roman" w:eastAsia="Times New Roman" w:hAnsi="Times New Roman"/>
                <w:sz w:val="18"/>
                <w:szCs w:val="18"/>
                <w:color w:val="auto"/>
              </w:rPr>
              <w:t>(0.6)</w:t>
            </w: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(0.8)</w:t>
            </w:r>
          </w:p>
        </w:tc>
        <w:tc>
          <w:tcPr>
            <w:tcW w:w="0" w:type="dxa"/>
            <w:vAlign w:val="bottom"/>
          </w:tcPr>
          <w:p>
            <w:pPr>
              <w:spacing w:after="0"/>
              <w:rPr>
                <w:sz w:val="1"/>
                <w:szCs w:val="1"/>
                <w:color w:val="auto"/>
              </w:rPr>
            </w:pPr>
          </w:p>
        </w:tc>
      </w:tr>
      <w:tr>
        <w:trPr>
          <w:trHeight w:val="229"/>
        </w:trPr>
        <w:tc>
          <w:tcPr>
            <w:tcW w:w="6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8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820" w:type="dxa"/>
            <w:vAlign w:val="bottom"/>
          </w:tcPr>
          <w:p>
            <w:pPr>
              <w:spacing w:after="0"/>
              <w:rPr>
                <w:sz w:val="19"/>
                <w:szCs w:val="19"/>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39.0%</w:t>
            </w:r>
          </w:p>
        </w:tc>
        <w:tc>
          <w:tcPr>
            <w:tcW w:w="520" w:type="dxa"/>
            <w:vAlign w:val="bottom"/>
            <w:vMerge w:val="continue"/>
          </w:tcPr>
          <w:p>
            <w:pPr>
              <w:spacing w:after="0"/>
              <w:rPr>
                <w:sz w:val="19"/>
                <w:szCs w:val="19"/>
                <w:color w:val="auto"/>
              </w:rPr>
            </w:pPr>
          </w:p>
        </w:tc>
        <w:tc>
          <w:tcPr>
            <w:tcW w:w="150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16.3%</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0"/>
        </w:trPr>
        <w:tc>
          <w:tcPr>
            <w:tcW w:w="68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360" w:right="2820" w:hanging="14"/>
        <w:spacing w:after="0" w:line="410" w:lineRule="auto"/>
        <w:tabs>
          <w:tab w:leader="none" w:pos="801" w:val="left"/>
        </w:tabs>
        <w:numPr>
          <w:ilvl w:val="0"/>
          <w:numId w:val="52"/>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During 2009, a foreign investment allowance was included relating to additional tax depreciation in Australia. The following is a tabular reconciliation of the total amounts of unrecognized tax benefits for the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219710</wp:posOffset>
            </wp:positionH>
            <wp:positionV relativeFrom="paragraph">
              <wp:posOffset>-514985</wp:posOffset>
            </wp:positionV>
            <wp:extent cx="72898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tbl>
      <w:tblPr>
        <w:tblLayout w:type="fixed"/>
        <w:tblInd w:w="360" w:type="dxa"/>
        <w:tblCellMar>
          <w:top w:w="0" w:type="dxa"/>
          <w:left w:w="0" w:type="dxa"/>
          <w:bottom w:w="0" w:type="dxa"/>
          <w:right w:w="0" w:type="dxa"/>
        </w:tblCellMar>
      </w:tblPr>
      <w:tr>
        <w:trPr>
          <w:trHeight w:val="231"/>
        </w:trPr>
        <w:tc>
          <w:tcPr>
            <w:tcW w:w="476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4"/>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3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r>
      <w:tr>
        <w:trPr>
          <w:trHeight w:val="211"/>
        </w:trPr>
        <w:tc>
          <w:tcPr>
            <w:tcW w:w="476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2009</w:t>
            </w: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2008</w:t>
            </w: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2007</w:t>
            </w:r>
          </w:p>
        </w:tc>
        <w:tc>
          <w:tcPr>
            <w:tcW w:w="40" w:type="dxa"/>
            <w:vAlign w:val="bottom"/>
          </w:tcPr>
          <w:p>
            <w:pPr>
              <w:spacing w:after="0"/>
              <w:rPr>
                <w:sz w:val="18"/>
                <w:szCs w:val="18"/>
                <w:color w:val="auto"/>
              </w:rPr>
            </w:pPr>
          </w:p>
        </w:tc>
      </w:tr>
      <w:tr>
        <w:trPr>
          <w:trHeight w:val="195"/>
        </w:trPr>
        <w:tc>
          <w:tcPr>
            <w:tcW w:w="476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Balance at January 1,</w:t>
            </w:r>
          </w:p>
        </w:tc>
        <w:tc>
          <w:tcPr>
            <w:tcW w:w="216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601</w:t>
            </w:r>
          </w:p>
        </w:tc>
        <w:tc>
          <w:tcPr>
            <w:tcW w:w="3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612</w:t>
            </w:r>
          </w:p>
        </w:tc>
        <w:tc>
          <w:tcPr>
            <w:tcW w:w="4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614</w:t>
            </w:r>
          </w:p>
        </w:tc>
        <w:tc>
          <w:tcPr>
            <w:tcW w:w="40" w:type="dxa"/>
            <w:vAlign w:val="bottom"/>
          </w:tcPr>
          <w:p>
            <w:pPr>
              <w:spacing w:after="0"/>
              <w:rPr>
                <w:sz w:val="16"/>
                <w:szCs w:val="16"/>
                <w:color w:val="auto"/>
              </w:rPr>
            </w:pPr>
          </w:p>
        </w:tc>
      </w:tr>
      <w:tr>
        <w:trPr>
          <w:trHeight w:val="216"/>
        </w:trPr>
        <w:tc>
          <w:tcPr>
            <w:tcW w:w="4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Additions based on tax positions related to the current year</w:t>
            </w:r>
          </w:p>
        </w:tc>
        <w:tc>
          <w:tcPr>
            <w:tcW w:w="2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r>
      <w:tr>
        <w:trPr>
          <w:trHeight w:val="216"/>
        </w:trPr>
        <w:tc>
          <w:tcPr>
            <w:tcW w:w="4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Additions for tax positions for prior years</w:t>
            </w:r>
          </w:p>
        </w:tc>
        <w:tc>
          <w:tcPr>
            <w:tcW w:w="2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40" w:type="dxa"/>
            <w:vAlign w:val="bottom"/>
          </w:tcPr>
          <w:p>
            <w:pPr>
              <w:spacing w:after="0"/>
              <w:rPr>
                <w:sz w:val="18"/>
                <w:szCs w:val="18"/>
                <w:color w:val="auto"/>
              </w:rPr>
            </w:pPr>
          </w:p>
        </w:tc>
      </w:tr>
      <w:tr>
        <w:trPr>
          <w:trHeight w:val="216"/>
        </w:trPr>
        <w:tc>
          <w:tcPr>
            <w:tcW w:w="4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Reductions for tax positions for prior years</w:t>
            </w:r>
          </w:p>
        </w:tc>
        <w:tc>
          <w:tcPr>
            <w:tcW w:w="2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(4)</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(36)</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28"/>
        </w:trPr>
        <w:tc>
          <w:tcPr>
            <w:tcW w:w="4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Settlements</w:t>
            </w:r>
          </w:p>
        </w:tc>
        <w:tc>
          <w:tcPr>
            <w:tcW w:w="2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w:t>
            </w: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(2)</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r>
      <w:tr>
        <w:trPr>
          <w:trHeight w:val="225"/>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Balance at December 31,</w:t>
            </w:r>
          </w:p>
        </w:tc>
        <w:tc>
          <w:tcPr>
            <w:tcW w:w="21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603</w:t>
            </w:r>
          </w:p>
        </w:tc>
        <w:tc>
          <w:tcPr>
            <w:tcW w:w="3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601</w:t>
            </w: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612</w:t>
            </w:r>
          </w:p>
        </w:tc>
        <w:tc>
          <w:tcPr>
            <w:tcW w:w="40" w:type="dxa"/>
            <w:vAlign w:val="bottom"/>
          </w:tcPr>
          <w:p>
            <w:pPr>
              <w:spacing w:after="0"/>
              <w:rPr>
                <w:sz w:val="19"/>
                <w:szCs w:val="19"/>
                <w:color w:val="auto"/>
              </w:rPr>
            </w:pPr>
          </w:p>
        </w:tc>
      </w:tr>
      <w:tr>
        <w:trPr>
          <w:trHeight w:val="20"/>
        </w:trPr>
        <w:tc>
          <w:tcPr>
            <w:tcW w:w="47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57"/>
        </w:trPr>
        <w:tc>
          <w:tcPr>
            <w:tcW w:w="4760" w:type="dxa"/>
            <w:vAlign w:val="bottom"/>
          </w:tcPr>
          <w:p>
            <w:pPr>
              <w:spacing w:after="0"/>
              <w:rPr>
                <w:sz w:val="24"/>
                <w:szCs w:val="24"/>
                <w:color w:val="auto"/>
              </w:rPr>
            </w:pPr>
          </w:p>
        </w:tc>
        <w:tc>
          <w:tcPr>
            <w:tcW w:w="2280" w:type="dxa"/>
            <w:vAlign w:val="bottom"/>
            <w:gridSpan w:val="2"/>
          </w:tcPr>
          <w:p>
            <w:pPr>
              <w:jc w:val="right"/>
              <w:ind w:right="1438"/>
              <w:spacing w:after="0"/>
              <w:rPr>
                <w:sz w:val="20"/>
                <w:szCs w:val="20"/>
                <w:color w:val="auto"/>
              </w:rPr>
            </w:pPr>
            <w:r>
              <w:rPr>
                <w:rFonts w:ascii="Times New Roman" w:cs="Times New Roman" w:eastAsia="Times New Roman" w:hAnsi="Times New Roman"/>
                <w:sz w:val="18"/>
                <w:szCs w:val="18"/>
                <w:color w:val="auto"/>
              </w:rPr>
              <w:t>F-25</w:t>
            </w: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1340"/>
          </w:cols>
          <w:pgMar w:left="240" w:top="455" w:right="319" w:bottom="1440" w:gutter="0" w:footer="0" w:header="0"/>
        </w:sectPr>
      </w:pPr>
    </w:p>
    <w:bookmarkStart w:id="86" w:name="page87"/>
    <w:bookmarkEnd w:id="8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360" w:right="140"/>
        <w:spacing w:after="0" w:line="262" w:lineRule="auto"/>
        <w:rPr>
          <w:sz w:val="20"/>
          <w:szCs w:val="20"/>
          <w:color w:val="auto"/>
        </w:rPr>
      </w:pPr>
      <w:r>
        <w:rPr>
          <w:rFonts w:ascii="Times New Roman" w:cs="Times New Roman" w:eastAsia="Times New Roman" w:hAnsi="Times New Roman"/>
          <w:sz w:val="18"/>
          <w:szCs w:val="18"/>
          <w:color w:val="auto"/>
        </w:rPr>
        <w:t>Substantially all of the gross amount of the unrecognized tax benefits at December 31, 2009, 2008 and 2007, if recognized, would affect the Company’s benefit from income taxes. The Company’s unrecognized tax benefits were offset by tax credits in the amount of $104 million and tax loss carryforwards in the amount of $10 million, $10 million and $15 million as of December 31, 2009, 2008 and 2007, respectively.</w:t>
      </w:r>
    </w:p>
    <w:p>
      <w:pPr>
        <w:spacing w:after="0" w:line="132" w:lineRule="exact"/>
        <w:rPr>
          <w:sz w:val="20"/>
          <w:szCs w:val="20"/>
          <w:color w:val="auto"/>
        </w:rPr>
      </w:pPr>
    </w:p>
    <w:p>
      <w:pPr>
        <w:ind w:left="360" w:right="200"/>
        <w:spacing w:after="0" w:line="262" w:lineRule="auto"/>
        <w:rPr>
          <w:sz w:val="20"/>
          <w:szCs w:val="20"/>
          <w:color w:val="auto"/>
        </w:rPr>
      </w:pPr>
      <w:r>
        <w:rPr>
          <w:rFonts w:ascii="Times New Roman" w:cs="Times New Roman" w:eastAsia="Times New Roman" w:hAnsi="Times New Roman"/>
          <w:sz w:val="18"/>
          <w:szCs w:val="18"/>
          <w:color w:val="auto"/>
        </w:rPr>
        <w:t>As of December 31, 2009, the unrecognized tax benefits recorded in Accounts payable and other current liabilities were $383 million. As of December 31, 2009, 2008 and 2007, the unrecognized tax benefits in long-term income taxes payable were $100 million, $480 million and $440 million, respectively, which were recorded as a component of Other non-current liabilities on the Consolidated Balance Sheets.</w:t>
      </w:r>
    </w:p>
    <w:p>
      <w:pPr>
        <w:spacing w:after="0" w:line="132" w:lineRule="exact"/>
        <w:rPr>
          <w:sz w:val="20"/>
          <w:szCs w:val="20"/>
          <w:color w:val="auto"/>
        </w:rPr>
      </w:pPr>
    </w:p>
    <w:p>
      <w:pPr>
        <w:ind w:left="360" w:right="40"/>
        <w:spacing w:after="0" w:line="255" w:lineRule="auto"/>
        <w:rPr>
          <w:sz w:val="20"/>
          <w:szCs w:val="20"/>
          <w:color w:val="auto"/>
        </w:rPr>
      </w:pPr>
      <w:r>
        <w:rPr>
          <w:rFonts w:ascii="Times New Roman" w:cs="Times New Roman" w:eastAsia="Times New Roman" w:hAnsi="Times New Roman"/>
          <w:sz w:val="18"/>
          <w:szCs w:val="18"/>
          <w:color w:val="auto"/>
        </w:rPr>
        <w:t>During the twelve months ended December 31, 2009, 2008 and 2007, the Company recorded additional liabilities of $19 million, $51 million and $23 million, respectively, for the accrual of interest, which had a minimal impact on the Company’s results of operations as the Company is entitled to indemnification for a substantial portion of such liabilities and recognized corresponding receivables from Realogy and Wyndham. The Company recognizes potential interest and corresponding indemnification from Realogy and Wyndham, related to unrecognized tax benefits within interest expense related to corporate debt, net on the accompanying Consolidated Statements of Operations. Penalties incurred during the twelve months ended December 31, 2009, 2008 and 2007, were not significant and were recognized as a component of income taxes.</w:t>
      </w:r>
    </w:p>
    <w:p>
      <w:pPr>
        <w:spacing w:after="0" w:line="139" w:lineRule="exact"/>
        <w:rPr>
          <w:sz w:val="20"/>
          <w:szCs w:val="20"/>
          <w:color w:val="auto"/>
        </w:rPr>
      </w:pPr>
    </w:p>
    <w:p>
      <w:pPr>
        <w:ind w:left="360" w:right="100"/>
        <w:spacing w:after="0" w:line="256" w:lineRule="auto"/>
        <w:rPr>
          <w:sz w:val="20"/>
          <w:szCs w:val="20"/>
          <w:color w:val="auto"/>
        </w:rPr>
      </w:pPr>
      <w:r>
        <w:rPr>
          <w:rFonts w:ascii="Times New Roman" w:cs="Times New Roman" w:eastAsia="Times New Roman" w:hAnsi="Times New Roman"/>
          <w:sz w:val="18"/>
          <w:szCs w:val="18"/>
          <w:color w:val="auto"/>
        </w:rPr>
        <w:t>The Company is subject to income taxes in the United States and numerous foreign jurisdictions. Significant judgment is required to determine the Company’s worldwide provision for income taxes and to record the related assets and liabilities. In the ordinary course of business, there are many transactions and calculations where the ultimate tax determination is uncertain. The Company is regularly under audit by tax authorities. Pursuant to the Tax Sharing Agreement entered into in connection with the Cendant Separation and the Separation Agreement, the Company is entitled to indemnification for non-Avis Budget Car Rental tax contingencies for taxable periods prior to and including the Cendant Separation.</w:t>
      </w:r>
    </w:p>
    <w:p>
      <w:pPr>
        <w:spacing w:after="0" w:line="13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i w:val="1"/>
          <w:iCs w:val="1"/>
          <w:color w:val="auto"/>
        </w:rPr>
        <w:t>2003-2006 Audit</w:t>
      </w:r>
    </w:p>
    <w:p>
      <w:pPr>
        <w:spacing w:after="0" w:line="175" w:lineRule="exact"/>
        <w:rPr>
          <w:sz w:val="20"/>
          <w:szCs w:val="20"/>
          <w:color w:val="auto"/>
        </w:rPr>
      </w:pPr>
    </w:p>
    <w:p>
      <w:pPr>
        <w:ind w:left="360" w:right="60"/>
        <w:spacing w:after="0" w:line="254" w:lineRule="auto"/>
        <w:rPr>
          <w:sz w:val="20"/>
          <w:szCs w:val="20"/>
          <w:color w:val="auto"/>
        </w:rPr>
      </w:pPr>
      <w:r>
        <w:rPr>
          <w:rFonts w:ascii="Times New Roman" w:cs="Times New Roman" w:eastAsia="Times New Roman" w:hAnsi="Times New Roman"/>
          <w:sz w:val="18"/>
          <w:szCs w:val="18"/>
          <w:color w:val="auto"/>
        </w:rPr>
        <w:t>The Internal Revenue Service (“IRS”) is examining the Company’s taxable years 2003 through 2006, the year of the Cendant Separation. The Company anticipates finalizing such audit prior to December 31, 2010. The Company has recorded within accounts payable and other current liabilities a $383 million liability, plus interest in respect of such taxable years. Such liability reflects the Company’s current best estimates of the probable outcome with certain tax positions. The Company believes that its accruals for tax liabilities, including the liabilities for which it is entitled to indemnification pursuant to the Tax Sharing Agreement and Separation Agreement, are adequate for all remaining open years based on its assessment of many factors, including past experience and interpretations of tax law applied to the facts of each matter. The Company is entitled to indemnification for most pre-Separation tax matters from Realogy and Wyndham (and has received a letter of credit from Realogy to help ensure Realogy’s performance under its indemnification obligations) and therefore does not expect such resolution to have a significant impact on its earnings, financial position or cash flows.</w:t>
      </w:r>
    </w:p>
    <w:p>
      <w:pPr>
        <w:spacing w:after="0" w:line="138" w:lineRule="exact"/>
        <w:rPr>
          <w:sz w:val="20"/>
          <w:szCs w:val="20"/>
          <w:color w:val="auto"/>
        </w:rPr>
      </w:pPr>
    </w:p>
    <w:p>
      <w:pPr>
        <w:jc w:val="both"/>
        <w:ind w:left="360"/>
        <w:spacing w:after="0" w:line="258" w:lineRule="auto"/>
        <w:rPr>
          <w:sz w:val="20"/>
          <w:szCs w:val="20"/>
          <w:color w:val="auto"/>
        </w:rPr>
      </w:pPr>
      <w:r>
        <w:rPr>
          <w:rFonts w:ascii="Times New Roman" w:cs="Times New Roman" w:eastAsia="Times New Roman" w:hAnsi="Times New Roman"/>
          <w:sz w:val="18"/>
          <w:szCs w:val="18"/>
          <w:color w:val="auto"/>
        </w:rPr>
        <w:t>The rules governing taxation are complex and subject to varying interpretations. Therefore, the Company’s tax accruals reflect a series of complex judgments about future events and rely heavily on estimates and assumptions. Although the Company believes the estimates and assumptions supporting its tax accruals are reasonable, the potential result of an audit or litigation related to tax could include a range of outcomes, and could result in tax liabilities for the Company that are materially different than those reflected in the Consolidated Financial Statements.</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F-26</w:t>
      </w:r>
    </w:p>
    <w:p>
      <w:pPr>
        <w:sectPr>
          <w:pgSz w:w="11900" w:h="16838" w:orient="portrait"/>
          <w:cols w:equalWidth="0" w:num="1">
            <w:col w:w="11420"/>
          </w:cols>
          <w:pgMar w:left="240" w:top="455" w:right="239" w:bottom="1440" w:gutter="0" w:footer="0" w:header="0"/>
        </w:sectPr>
      </w:pPr>
    </w:p>
    <w:bookmarkStart w:id="87" w:name="page88"/>
    <w:bookmarkEnd w:id="8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340" w:hanging="332"/>
        <w:spacing w:after="0"/>
        <w:tabs>
          <w:tab w:leader="none" w:pos="340" w:val="left"/>
        </w:tabs>
        <w:numPr>
          <w:ilvl w:val="0"/>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Other Current Assets</w:t>
      </w:r>
    </w:p>
    <w:p>
      <w:pPr>
        <w:spacing w:after="0" w:line="173" w:lineRule="exact"/>
        <w:rPr>
          <w:rFonts w:ascii="Times New Roman" w:cs="Times New Roman" w:eastAsia="Times New Roman" w:hAnsi="Times New Roman"/>
          <w:sz w:val="18"/>
          <w:szCs w:val="18"/>
          <w:b w:val="1"/>
          <w:bCs w:val="1"/>
          <w:color w:val="auto"/>
        </w:rPr>
      </w:pPr>
    </w:p>
    <w:p>
      <w:pPr>
        <w:ind w:left="3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Other current assets consisted of:</w:t>
      </w:r>
    </w:p>
    <w:p>
      <w:pPr>
        <w:spacing w:after="0" w:line="210" w:lineRule="exact"/>
        <w:rPr>
          <w:sz w:val="20"/>
          <w:szCs w:val="20"/>
          <w:color w:val="auto"/>
        </w:rPr>
      </w:pPr>
    </w:p>
    <w:tbl>
      <w:tblPr>
        <w:tblLayout w:type="fixed"/>
        <w:tblInd w:w="360" w:type="dxa"/>
        <w:tblCellMar>
          <w:top w:w="0" w:type="dxa"/>
          <w:left w:w="0" w:type="dxa"/>
          <w:bottom w:w="0" w:type="dxa"/>
          <w:right w:w="0" w:type="dxa"/>
        </w:tblCellMar>
      </w:tblPr>
      <w:tr>
        <w:trPr>
          <w:trHeight w:val="231"/>
        </w:trPr>
        <w:tc>
          <w:tcPr>
            <w:tcW w:w="8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gridSpan w:val="4"/>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As of December 31,</w:t>
            </w:r>
          </w:p>
        </w:tc>
      </w:tr>
      <w:tr>
        <w:trPr>
          <w:trHeight w:val="211"/>
        </w:trPr>
        <w:tc>
          <w:tcPr>
            <w:tcW w:w="8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w w:val="99"/>
              </w:rPr>
              <w:t>2009</w:t>
            </w:r>
          </w:p>
        </w:tc>
        <w:tc>
          <w:tcPr>
            <w:tcW w:w="6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2008</w:t>
            </w:r>
          </w:p>
        </w:tc>
      </w:tr>
      <w:tr>
        <w:trPr>
          <w:trHeight w:val="195"/>
        </w:trPr>
        <w:tc>
          <w:tcPr>
            <w:tcW w:w="862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 xml:space="preserve">Receivables from Realogy </w:t>
            </w:r>
            <w:r>
              <w:rPr>
                <w:rFonts w:ascii="Times New Roman" w:cs="Times New Roman" w:eastAsia="Times New Roman" w:hAnsi="Times New Roman"/>
                <w:sz w:val="11"/>
                <w:szCs w:val="11"/>
                <w:color w:val="auto"/>
              </w:rPr>
              <w:t>(a)</w:t>
            </w:r>
          </w:p>
        </w:tc>
        <w:tc>
          <w:tcPr>
            <w:tcW w:w="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410</w:t>
            </w:r>
          </w:p>
        </w:tc>
        <w:tc>
          <w:tcPr>
            <w:tcW w:w="68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112</w:t>
            </w:r>
          </w:p>
        </w:tc>
      </w:tr>
      <w:tr>
        <w:trPr>
          <w:trHeight w:val="216"/>
        </w:trPr>
        <w:tc>
          <w:tcPr>
            <w:tcW w:w="86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Receivables from Wyndham </w:t>
            </w:r>
            <w:r>
              <w:rPr>
                <w:rFonts w:ascii="Times New Roman" w:cs="Times New Roman" w:eastAsia="Times New Roman" w:hAnsi="Times New Roman"/>
                <w:sz w:val="11"/>
                <w:szCs w:val="11"/>
                <w:color w:val="auto"/>
              </w:rPr>
              <w:t>(a)</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16"/>
        </w:trPr>
        <w:tc>
          <w:tcPr>
            <w:tcW w:w="8620" w:type="dxa"/>
            <w:vAlign w:val="bottom"/>
          </w:tcPr>
          <w:p>
            <w:pPr>
              <w:spacing w:after="0"/>
              <w:rPr>
                <w:sz w:val="20"/>
                <w:szCs w:val="20"/>
                <w:color w:val="auto"/>
              </w:rPr>
            </w:pPr>
            <w:r>
              <w:rPr>
                <w:rFonts w:ascii="Times New Roman" w:cs="Times New Roman" w:eastAsia="Times New Roman" w:hAnsi="Times New Roman"/>
                <w:sz w:val="18"/>
                <w:szCs w:val="18"/>
                <w:color w:val="auto"/>
              </w:rPr>
              <w:t>Prepaid expenses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r>
      <w:tr>
        <w:trPr>
          <w:trHeight w:val="229"/>
        </w:trPr>
        <w:tc>
          <w:tcPr>
            <w:tcW w:w="862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6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24"/>
        </w:trPr>
        <w:tc>
          <w:tcPr>
            <w:tcW w:w="86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851</w:t>
            </w:r>
          </w:p>
        </w:tc>
        <w:tc>
          <w:tcPr>
            <w:tcW w:w="6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380</w:t>
            </w:r>
          </w:p>
        </w:tc>
      </w:tr>
      <w:tr>
        <w:trPr>
          <w:trHeight w:val="20"/>
        </w:trPr>
        <w:tc>
          <w:tcPr>
            <w:tcW w:w="8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800" w:hanging="454"/>
        <w:spacing w:after="0" w:line="244" w:lineRule="auto"/>
        <w:tabs>
          <w:tab w:leader="none" w:pos="800" w:val="left"/>
        </w:tabs>
        <w:numPr>
          <w:ilvl w:val="1"/>
          <w:numId w:val="54"/>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Represents amounts due for certain contingent, tax and other corporate liabilities assumed by Realogy and Wyndham in connection with the Cendant Separation. These amounts are due from Realogy and Wyndham on demand upon the Company’s settlement of the related liability. At December 31, 2009 and 2008, there are corresponding liabilities recorded within accounts payable and other current liabilities. During 2009, $573 million of receivables from Realogy and Wyndham, and a corresponding amount of liabilities, were reclassified from non-current to current, primarily related to tax matters. Realogy has posted a letter of credit for the benefit of the Company to cover Realogy’s performance in respect of these receivables, as more fully described under Note—19 Commitments and Contingencies.</w:t>
      </w:r>
    </w:p>
    <w:p>
      <w:pPr>
        <w:spacing w:after="0" w:line="187" w:lineRule="exact"/>
        <w:rPr>
          <w:rFonts w:ascii="Times New Roman" w:cs="Times New Roman" w:eastAsia="Times New Roman" w:hAnsi="Times New Roman"/>
          <w:sz w:val="22"/>
          <w:szCs w:val="22"/>
          <w:color w:val="auto"/>
          <w:vertAlign w:val="superscript"/>
        </w:rPr>
      </w:pPr>
    </w:p>
    <w:p>
      <w:pPr>
        <w:ind w:left="340" w:hanging="332"/>
        <w:spacing w:after="0"/>
        <w:tabs>
          <w:tab w:leader="none" w:pos="340" w:val="left"/>
        </w:tabs>
        <w:numPr>
          <w:ilvl w:val="0"/>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Property and Equipment, net</w:t>
      </w:r>
    </w:p>
    <w:p>
      <w:pPr>
        <w:spacing w:after="0" w:line="173" w:lineRule="exact"/>
        <w:rPr>
          <w:rFonts w:ascii="Times New Roman" w:cs="Times New Roman" w:eastAsia="Times New Roman" w:hAnsi="Times New Roman"/>
          <w:sz w:val="18"/>
          <w:szCs w:val="18"/>
          <w:b w:val="1"/>
          <w:bCs w:val="1"/>
          <w:color w:val="auto"/>
        </w:rPr>
      </w:pPr>
    </w:p>
    <w:p>
      <w:pPr>
        <w:ind w:left="3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Property and equipment, net consisted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219710</wp:posOffset>
            </wp:positionH>
            <wp:positionV relativeFrom="paragraph">
              <wp:posOffset>-1339215</wp:posOffset>
            </wp:positionV>
            <wp:extent cx="72898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90" w:lineRule="exact"/>
        <w:rPr>
          <w:sz w:val="20"/>
          <w:szCs w:val="20"/>
          <w:color w:val="auto"/>
        </w:rPr>
      </w:pPr>
    </w:p>
    <w:tbl>
      <w:tblPr>
        <w:tblLayout w:type="fixed"/>
        <w:tblInd w:w="360" w:type="dxa"/>
        <w:tblCellMar>
          <w:top w:w="0" w:type="dxa"/>
          <w:left w:w="0" w:type="dxa"/>
          <w:bottom w:w="0" w:type="dxa"/>
          <w:right w:w="0" w:type="dxa"/>
        </w:tblCellMar>
      </w:tblPr>
      <w:tr>
        <w:trPr>
          <w:trHeight w:val="231"/>
        </w:trPr>
        <w:tc>
          <w:tcPr>
            <w:tcW w:w="8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80" w:type="dxa"/>
            <w:vAlign w:val="bottom"/>
            <w:gridSpan w:val="6"/>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As of December 31,</w:t>
            </w:r>
          </w:p>
        </w:tc>
      </w:tr>
      <w:tr>
        <w:trPr>
          <w:trHeight w:val="211"/>
        </w:trPr>
        <w:tc>
          <w:tcPr>
            <w:tcW w:w="8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w w:val="99"/>
              </w:rPr>
              <w:t>2009</w:t>
            </w:r>
          </w:p>
        </w:tc>
        <w:tc>
          <w:tcPr>
            <w:tcW w:w="46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2008</w:t>
            </w:r>
          </w:p>
        </w:tc>
        <w:tc>
          <w:tcPr>
            <w:tcW w:w="40" w:type="dxa"/>
            <w:vAlign w:val="bottom"/>
          </w:tcPr>
          <w:p>
            <w:pPr>
              <w:spacing w:after="0"/>
              <w:rPr>
                <w:sz w:val="18"/>
                <w:szCs w:val="18"/>
                <w:color w:val="auto"/>
              </w:rPr>
            </w:pPr>
          </w:p>
        </w:tc>
      </w:tr>
      <w:tr>
        <w:trPr>
          <w:trHeight w:val="195"/>
        </w:trPr>
        <w:tc>
          <w:tcPr>
            <w:tcW w:w="834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Land</w:t>
            </w:r>
          </w:p>
        </w:tc>
        <w:tc>
          <w:tcPr>
            <w:tcW w:w="20" w:type="dxa"/>
            <w:vAlign w:val="bottom"/>
          </w:tcPr>
          <w:p>
            <w:pPr>
              <w:spacing w:after="0"/>
              <w:rPr>
                <w:sz w:val="16"/>
                <w:szCs w:val="16"/>
                <w:color w:val="auto"/>
              </w:rPr>
            </w:pPr>
          </w:p>
        </w:tc>
        <w:tc>
          <w:tcPr>
            <w:tcW w:w="12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48</w:t>
            </w:r>
          </w:p>
        </w:tc>
        <w:tc>
          <w:tcPr>
            <w:tcW w:w="4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48</w:t>
            </w:r>
          </w:p>
        </w:tc>
        <w:tc>
          <w:tcPr>
            <w:tcW w:w="40" w:type="dxa"/>
            <w:vAlign w:val="bottom"/>
          </w:tcPr>
          <w:p>
            <w:pPr>
              <w:spacing w:after="0"/>
              <w:rPr>
                <w:sz w:val="16"/>
                <w:szCs w:val="16"/>
                <w:color w:val="auto"/>
              </w:rPr>
            </w:pPr>
          </w:p>
        </w:tc>
      </w:tr>
      <w:tr>
        <w:trPr>
          <w:trHeight w:val="216"/>
        </w:trPr>
        <w:tc>
          <w:tcPr>
            <w:tcW w:w="8340" w:type="dxa"/>
            <w:vAlign w:val="bottom"/>
          </w:tcPr>
          <w:p>
            <w:pPr>
              <w:spacing w:after="0"/>
              <w:rPr>
                <w:sz w:val="20"/>
                <w:szCs w:val="20"/>
                <w:color w:val="auto"/>
              </w:rPr>
            </w:pPr>
            <w:r>
              <w:rPr>
                <w:rFonts w:ascii="Times New Roman" w:cs="Times New Roman" w:eastAsia="Times New Roman" w:hAnsi="Times New Roman"/>
                <w:sz w:val="18"/>
                <w:szCs w:val="18"/>
                <w:color w:val="auto"/>
              </w:rPr>
              <w:t>Buildings and leasehold improvements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w:t>
            </w: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40" w:type="dxa"/>
            <w:vAlign w:val="bottom"/>
          </w:tcPr>
          <w:p>
            <w:pPr>
              <w:spacing w:after="0"/>
              <w:rPr>
                <w:sz w:val="18"/>
                <w:szCs w:val="18"/>
                <w:color w:val="auto"/>
              </w:rPr>
            </w:pPr>
          </w:p>
        </w:tc>
      </w:tr>
      <w:tr>
        <w:trPr>
          <w:trHeight w:val="216"/>
        </w:trPr>
        <w:tc>
          <w:tcPr>
            <w:tcW w:w="8340" w:type="dxa"/>
            <w:vAlign w:val="bottom"/>
          </w:tcPr>
          <w:p>
            <w:pPr>
              <w:spacing w:after="0"/>
              <w:rPr>
                <w:sz w:val="20"/>
                <w:szCs w:val="20"/>
                <w:color w:val="auto"/>
              </w:rPr>
            </w:pPr>
            <w:r>
              <w:rPr>
                <w:rFonts w:ascii="Times New Roman" w:cs="Times New Roman" w:eastAsia="Times New Roman" w:hAnsi="Times New Roman"/>
                <w:sz w:val="18"/>
                <w:szCs w:val="18"/>
                <w:color w:val="auto"/>
              </w:rPr>
              <w:t>Capitalized software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40" w:type="dxa"/>
            <w:vAlign w:val="bottom"/>
          </w:tcPr>
          <w:p>
            <w:pPr>
              <w:spacing w:after="0"/>
              <w:rPr>
                <w:sz w:val="18"/>
                <w:szCs w:val="18"/>
                <w:color w:val="auto"/>
              </w:rPr>
            </w:pPr>
          </w:p>
        </w:tc>
      </w:tr>
      <w:tr>
        <w:trPr>
          <w:trHeight w:val="216"/>
        </w:trPr>
        <w:tc>
          <w:tcPr>
            <w:tcW w:w="8340" w:type="dxa"/>
            <w:vAlign w:val="bottom"/>
          </w:tcPr>
          <w:p>
            <w:pPr>
              <w:spacing w:after="0"/>
              <w:rPr>
                <w:sz w:val="20"/>
                <w:szCs w:val="20"/>
                <w:color w:val="auto"/>
              </w:rPr>
            </w:pPr>
            <w:r>
              <w:rPr>
                <w:rFonts w:ascii="Times New Roman" w:cs="Times New Roman" w:eastAsia="Times New Roman" w:hAnsi="Times New Roman"/>
                <w:sz w:val="18"/>
                <w:szCs w:val="18"/>
                <w:color w:val="auto"/>
              </w:rPr>
              <w:t>Furniture, fixtures and equipment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40" w:type="dxa"/>
            <w:vAlign w:val="bottom"/>
          </w:tcPr>
          <w:p>
            <w:pPr>
              <w:spacing w:after="0"/>
              <w:rPr>
                <w:sz w:val="18"/>
                <w:szCs w:val="18"/>
                <w:color w:val="auto"/>
              </w:rPr>
            </w:pPr>
          </w:p>
        </w:tc>
      </w:tr>
      <w:tr>
        <w:trPr>
          <w:trHeight w:val="216"/>
        </w:trPr>
        <w:tc>
          <w:tcPr>
            <w:tcW w:w="8340" w:type="dxa"/>
            <w:vAlign w:val="bottom"/>
          </w:tcPr>
          <w:p>
            <w:pPr>
              <w:spacing w:after="0"/>
              <w:rPr>
                <w:sz w:val="20"/>
                <w:szCs w:val="20"/>
                <w:color w:val="auto"/>
              </w:rPr>
            </w:pPr>
            <w:r>
              <w:rPr>
                <w:rFonts w:ascii="Times New Roman" w:cs="Times New Roman" w:eastAsia="Times New Roman" w:hAnsi="Times New Roman"/>
                <w:sz w:val="18"/>
                <w:szCs w:val="18"/>
                <w:color w:val="auto"/>
              </w:rPr>
              <w:t>Buses and support vehicles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40" w:type="dxa"/>
            <w:vAlign w:val="bottom"/>
          </w:tcPr>
          <w:p>
            <w:pPr>
              <w:spacing w:after="0"/>
              <w:rPr>
                <w:sz w:val="18"/>
                <w:szCs w:val="18"/>
                <w:color w:val="auto"/>
              </w:rPr>
            </w:pPr>
          </w:p>
        </w:tc>
      </w:tr>
      <w:tr>
        <w:trPr>
          <w:trHeight w:val="229"/>
        </w:trPr>
        <w:tc>
          <w:tcPr>
            <w:tcW w:w="8340" w:type="dxa"/>
            <w:vAlign w:val="bottom"/>
          </w:tcPr>
          <w:p>
            <w:pPr>
              <w:spacing w:after="0"/>
              <w:rPr>
                <w:sz w:val="20"/>
                <w:szCs w:val="20"/>
                <w:color w:val="auto"/>
              </w:rPr>
            </w:pPr>
            <w:r>
              <w:rPr>
                <w:rFonts w:ascii="Times New Roman" w:cs="Times New Roman" w:eastAsia="Times New Roman" w:hAnsi="Times New Roman"/>
                <w:sz w:val="18"/>
                <w:szCs w:val="18"/>
                <w:color w:val="auto"/>
              </w:rPr>
              <w:t>Projects in process</w:t>
            </w: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40" w:type="dxa"/>
            <w:vAlign w:val="bottom"/>
          </w:tcPr>
          <w:p>
            <w:pPr>
              <w:spacing w:after="0"/>
              <w:rPr>
                <w:sz w:val="19"/>
                <w:szCs w:val="19"/>
                <w:color w:val="auto"/>
              </w:rPr>
            </w:pPr>
          </w:p>
        </w:tc>
      </w:tr>
      <w:tr>
        <w:trPr>
          <w:trHeight w:val="210"/>
        </w:trPr>
        <w:tc>
          <w:tcPr>
            <w:tcW w:w="8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1,044</w:t>
            </w: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989</w:t>
            </w:r>
          </w:p>
        </w:tc>
        <w:tc>
          <w:tcPr>
            <w:tcW w:w="40" w:type="dxa"/>
            <w:vAlign w:val="bottom"/>
          </w:tcPr>
          <w:p>
            <w:pPr>
              <w:spacing w:after="0"/>
              <w:rPr>
                <w:sz w:val="18"/>
                <w:szCs w:val="18"/>
                <w:color w:val="auto"/>
              </w:rPr>
            </w:pPr>
          </w:p>
        </w:tc>
      </w:tr>
      <w:tr>
        <w:trPr>
          <w:trHeight w:val="229"/>
        </w:trPr>
        <w:tc>
          <w:tcPr>
            <w:tcW w:w="834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(602)</w:t>
            </w: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(504)</w:t>
            </w:r>
          </w:p>
        </w:tc>
      </w:tr>
      <w:tr>
        <w:trPr>
          <w:trHeight w:val="224"/>
        </w:trPr>
        <w:tc>
          <w:tcPr>
            <w:tcW w:w="83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485</w:t>
            </w:r>
          </w:p>
        </w:tc>
        <w:tc>
          <w:tcPr>
            <w:tcW w:w="40" w:type="dxa"/>
            <w:vAlign w:val="bottom"/>
          </w:tcPr>
          <w:p>
            <w:pPr>
              <w:spacing w:after="0"/>
              <w:rPr>
                <w:sz w:val="19"/>
                <w:szCs w:val="19"/>
                <w:color w:val="auto"/>
              </w:rPr>
            </w:pPr>
          </w:p>
        </w:tc>
      </w:tr>
      <w:tr>
        <w:trPr>
          <w:trHeight w:val="20"/>
        </w:trPr>
        <w:tc>
          <w:tcPr>
            <w:tcW w:w="8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61" w:lineRule="exact"/>
        <w:rPr>
          <w:sz w:val="20"/>
          <w:szCs w:val="20"/>
          <w:color w:val="auto"/>
        </w:rPr>
      </w:pPr>
    </w:p>
    <w:p>
      <w:pPr>
        <w:ind w:left="360" w:right="440"/>
        <w:spacing w:after="0" w:line="339" w:lineRule="auto"/>
        <w:rPr>
          <w:sz w:val="20"/>
          <w:szCs w:val="20"/>
          <w:color w:val="auto"/>
        </w:rPr>
      </w:pPr>
      <w:r>
        <w:rPr>
          <w:rFonts w:ascii="Times New Roman" w:cs="Times New Roman" w:eastAsia="Times New Roman" w:hAnsi="Times New Roman"/>
          <w:sz w:val="16"/>
          <w:szCs w:val="16"/>
          <w:color w:val="auto"/>
        </w:rPr>
        <w:t>Depreciation and amortization expense relating to property and equipment during 2009, 2008 and 2007 was $93 million, $85 million and $81 million, respectively (including $26 million, $26 million and $21 million, respectively, of amortization expense relating to capitalized computer software).</w:t>
      </w:r>
    </w:p>
    <w:p>
      <w:pPr>
        <w:spacing w:after="0" w:line="6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F-27</w:t>
      </w:r>
    </w:p>
    <w:p>
      <w:pPr>
        <w:sectPr>
          <w:pgSz w:w="11900" w:h="16838" w:orient="portrait"/>
          <w:cols w:equalWidth="0" w:num="1">
            <w:col w:w="11320"/>
          </w:cols>
          <w:pgMar w:left="240" w:top="455" w:right="339" w:bottom="1440" w:gutter="0" w:footer="0" w:header="0"/>
        </w:sectPr>
      </w:pPr>
    </w:p>
    <w:bookmarkStart w:id="88" w:name="page89"/>
    <w:bookmarkEnd w:id="8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340" w:hanging="332"/>
        <w:spacing w:after="0"/>
        <w:tabs>
          <w:tab w:leader="none" w:pos="340" w:val="left"/>
        </w:tabs>
        <w:numPr>
          <w:ilvl w:val="0"/>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Other Non-Current Assets</w:t>
      </w:r>
    </w:p>
    <w:p>
      <w:pPr>
        <w:spacing w:after="0" w:line="173" w:lineRule="exact"/>
        <w:rPr>
          <w:rFonts w:ascii="Times New Roman" w:cs="Times New Roman" w:eastAsia="Times New Roman" w:hAnsi="Times New Roman"/>
          <w:sz w:val="18"/>
          <w:szCs w:val="18"/>
          <w:b w:val="1"/>
          <w:bCs w:val="1"/>
          <w:color w:val="auto"/>
        </w:rPr>
      </w:pPr>
    </w:p>
    <w:p>
      <w:pPr>
        <w:ind w:left="3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Other non-current assets consisted of:</w:t>
      </w:r>
    </w:p>
    <w:p>
      <w:pPr>
        <w:spacing w:after="0" w:line="210" w:lineRule="exact"/>
        <w:rPr>
          <w:sz w:val="20"/>
          <w:szCs w:val="20"/>
          <w:color w:val="auto"/>
        </w:rPr>
      </w:pPr>
    </w:p>
    <w:tbl>
      <w:tblPr>
        <w:tblLayout w:type="fixed"/>
        <w:tblInd w:w="360" w:type="dxa"/>
        <w:tblCellMar>
          <w:top w:w="0" w:type="dxa"/>
          <w:left w:w="0" w:type="dxa"/>
          <w:bottom w:w="0" w:type="dxa"/>
          <w:right w:w="0" w:type="dxa"/>
        </w:tblCellMar>
      </w:tblPr>
      <w:tr>
        <w:trPr>
          <w:trHeight w:val="231"/>
        </w:trPr>
        <w:tc>
          <w:tcPr>
            <w:tcW w:w="8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gridSpan w:val="4"/>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As of December 31,</w:t>
            </w:r>
          </w:p>
        </w:tc>
      </w:tr>
      <w:tr>
        <w:trPr>
          <w:trHeight w:val="211"/>
        </w:trPr>
        <w:tc>
          <w:tcPr>
            <w:tcW w:w="8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w w:val="99"/>
              </w:rPr>
              <w:t>2009</w:t>
            </w:r>
          </w:p>
        </w:tc>
        <w:tc>
          <w:tcPr>
            <w:tcW w:w="6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2008</w:t>
            </w:r>
          </w:p>
        </w:tc>
      </w:tr>
      <w:tr>
        <w:trPr>
          <w:trHeight w:val="195"/>
        </w:trPr>
        <w:tc>
          <w:tcPr>
            <w:tcW w:w="862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 xml:space="preserve">Receivables from Realogy </w:t>
            </w:r>
            <w:r>
              <w:rPr>
                <w:rFonts w:ascii="Times New Roman" w:cs="Times New Roman" w:eastAsia="Times New Roman" w:hAnsi="Times New Roman"/>
                <w:sz w:val="11"/>
                <w:szCs w:val="11"/>
                <w:color w:val="auto"/>
              </w:rPr>
              <w:t>(a)</w:t>
            </w:r>
          </w:p>
        </w:tc>
        <w:tc>
          <w:tcPr>
            <w:tcW w:w="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96</w:t>
            </w:r>
          </w:p>
        </w:tc>
        <w:tc>
          <w:tcPr>
            <w:tcW w:w="68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435</w:t>
            </w:r>
          </w:p>
        </w:tc>
      </w:tr>
      <w:tr>
        <w:trPr>
          <w:trHeight w:val="216"/>
        </w:trPr>
        <w:tc>
          <w:tcPr>
            <w:tcW w:w="86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Receivables from Wyndham </w:t>
            </w:r>
            <w:r>
              <w:rPr>
                <w:rFonts w:ascii="Times New Roman" w:cs="Times New Roman" w:eastAsia="Times New Roman" w:hAnsi="Times New Roman"/>
                <w:sz w:val="11"/>
                <w:szCs w:val="11"/>
                <w:color w:val="auto"/>
              </w:rPr>
              <w:t>(a)</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w:t>
            </w:r>
          </w:p>
        </w:tc>
      </w:tr>
      <w:tr>
        <w:trPr>
          <w:trHeight w:val="216"/>
        </w:trPr>
        <w:tc>
          <w:tcPr>
            <w:tcW w:w="8620" w:type="dxa"/>
            <w:vAlign w:val="bottom"/>
          </w:tcPr>
          <w:p>
            <w:pPr>
              <w:spacing w:after="0"/>
              <w:rPr>
                <w:sz w:val="20"/>
                <w:szCs w:val="20"/>
                <w:color w:val="auto"/>
              </w:rPr>
            </w:pPr>
            <w:r>
              <w:rPr>
                <w:rFonts w:ascii="Times New Roman" w:cs="Times New Roman" w:eastAsia="Times New Roman" w:hAnsi="Times New Roman"/>
                <w:sz w:val="18"/>
                <w:szCs w:val="18"/>
                <w:color w:val="auto"/>
              </w:rPr>
              <w:t>Deferred financing costs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29"/>
        </w:trPr>
        <w:tc>
          <w:tcPr>
            <w:tcW w:w="862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6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w:t>
            </w:r>
          </w:p>
        </w:tc>
      </w:tr>
      <w:tr>
        <w:trPr>
          <w:trHeight w:val="224"/>
        </w:trPr>
        <w:tc>
          <w:tcPr>
            <w:tcW w:w="86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6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889</w:t>
            </w:r>
          </w:p>
        </w:tc>
      </w:tr>
      <w:tr>
        <w:trPr>
          <w:trHeight w:val="20"/>
        </w:trPr>
        <w:tc>
          <w:tcPr>
            <w:tcW w:w="8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ind w:left="800" w:hanging="454"/>
        <w:spacing w:after="0" w:line="244" w:lineRule="auto"/>
        <w:tabs>
          <w:tab w:leader="none" w:pos="800" w:val="left"/>
        </w:tabs>
        <w:numPr>
          <w:ilvl w:val="1"/>
          <w:numId w:val="57"/>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Represents amounts due for certain contingent, tax and other corporate liabilities assumed by Realogy and Wyndham in connection with the Cendant Separation. These amounts are due from Realogy and Wyndham on demand upon the Company’s settlement of the related liability. At December 31, 2009 and 2008, there are corresponding liabilities recorded within other non-current liabilities. During 2009, $573 million of receivables from Realogy and Wyndham, and a corresponding amount of liabilities, were reclassified from non-current to current, primarily related to tax matters. Realogy has posted a letter of credit for the benefit of the Company to cover Realogy’s performance in respect of these receivables, as more fully described under Note—19 Commitments and Contingencies.</w:t>
      </w:r>
    </w:p>
    <w:p>
      <w:pPr>
        <w:spacing w:after="0" w:line="187" w:lineRule="exact"/>
        <w:rPr>
          <w:rFonts w:ascii="Times New Roman" w:cs="Times New Roman" w:eastAsia="Times New Roman" w:hAnsi="Times New Roman"/>
          <w:sz w:val="22"/>
          <w:szCs w:val="22"/>
          <w:color w:val="auto"/>
          <w:vertAlign w:val="superscript"/>
        </w:rPr>
      </w:pPr>
    </w:p>
    <w:p>
      <w:pPr>
        <w:ind w:left="340" w:hanging="332"/>
        <w:spacing w:after="0"/>
        <w:tabs>
          <w:tab w:leader="none" w:pos="340" w:val="left"/>
        </w:tabs>
        <w:numPr>
          <w:ilvl w:val="0"/>
          <w:numId w:val="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Equity Investment</w:t>
      </w:r>
    </w:p>
    <w:p>
      <w:pPr>
        <w:spacing w:after="0" w:line="173" w:lineRule="exact"/>
        <w:rPr>
          <w:rFonts w:ascii="Times New Roman" w:cs="Times New Roman" w:eastAsia="Times New Roman" w:hAnsi="Times New Roman"/>
          <w:sz w:val="18"/>
          <w:szCs w:val="18"/>
          <w:b w:val="1"/>
          <w:bCs w:val="1"/>
          <w:color w:val="auto"/>
        </w:rPr>
      </w:pPr>
    </w:p>
    <w:p>
      <w:pPr>
        <w:ind w:left="360" w:right="420"/>
        <w:spacing w:after="0" w:line="27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At December 31, 2009, the Company’s equity-method investee and the Company’s approximate ownership interest, based on outstanding shares,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219710</wp:posOffset>
            </wp:positionH>
            <wp:positionV relativeFrom="paragraph">
              <wp:posOffset>-1509395</wp:posOffset>
            </wp:positionV>
            <wp:extent cx="72898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8" w:lineRule="exact"/>
        <w:rPr>
          <w:sz w:val="20"/>
          <w:szCs w:val="20"/>
          <w:color w:val="auto"/>
        </w:rPr>
      </w:pPr>
    </w:p>
    <w:tbl>
      <w:tblPr>
        <w:tblLayout w:type="fixed"/>
        <w:tblInd w:w="360" w:type="dxa"/>
        <w:tblCellMar>
          <w:top w:w="0" w:type="dxa"/>
          <w:left w:w="0" w:type="dxa"/>
          <w:bottom w:w="0" w:type="dxa"/>
          <w:right w:w="0" w:type="dxa"/>
        </w:tblCellMar>
      </w:tblPr>
      <w:tr>
        <w:trPr>
          <w:trHeight w:val="216"/>
        </w:trPr>
        <w:tc>
          <w:tcPr>
            <w:tcW w:w="72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5100" w:type="dxa"/>
            <w:vAlign w:val="bottom"/>
            <w:gridSpan w:val="3"/>
          </w:tcPr>
          <w:p>
            <w:pPr>
              <w:ind w:left="4120"/>
              <w:spacing w:after="0"/>
              <w:rPr>
                <w:sz w:val="20"/>
                <w:szCs w:val="20"/>
                <w:color w:val="auto"/>
              </w:rPr>
            </w:pPr>
            <w:r>
              <w:rPr>
                <w:rFonts w:ascii="Times New Roman" w:cs="Times New Roman" w:eastAsia="Times New Roman" w:hAnsi="Times New Roman"/>
                <w:sz w:val="18"/>
                <w:szCs w:val="18"/>
                <w:b w:val="1"/>
                <w:bCs w:val="1"/>
                <w:color w:val="auto"/>
              </w:rPr>
              <w:t>Percentage</w:t>
            </w:r>
          </w:p>
        </w:tc>
        <w:tc>
          <w:tcPr>
            <w:tcW w:w="0" w:type="dxa"/>
            <w:vAlign w:val="bottom"/>
          </w:tcPr>
          <w:p>
            <w:pPr>
              <w:spacing w:after="0"/>
              <w:rPr>
                <w:sz w:val="1"/>
                <w:szCs w:val="1"/>
                <w:color w:val="auto"/>
              </w:rPr>
            </w:pPr>
          </w:p>
        </w:tc>
      </w:tr>
      <w:tr>
        <w:trPr>
          <w:trHeight w:val="230"/>
        </w:trPr>
        <w:tc>
          <w:tcPr>
            <w:tcW w:w="55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Company</w:t>
            </w:r>
          </w:p>
        </w:tc>
        <w:tc>
          <w:tcPr>
            <w:tcW w:w="5100" w:type="dxa"/>
            <w:vAlign w:val="bottom"/>
            <w:gridSpan w:val="3"/>
          </w:tcPr>
          <w:p>
            <w:pPr>
              <w:ind w:left="4120"/>
              <w:spacing w:after="0"/>
              <w:rPr>
                <w:sz w:val="20"/>
                <w:szCs w:val="20"/>
                <w:color w:val="auto"/>
              </w:rPr>
            </w:pPr>
            <w:r>
              <w:rPr>
                <w:rFonts w:ascii="Times New Roman" w:cs="Times New Roman" w:eastAsia="Times New Roman" w:hAnsi="Times New Roman"/>
                <w:sz w:val="18"/>
                <w:szCs w:val="18"/>
                <w:b w:val="1"/>
                <w:bCs w:val="1"/>
                <w:color w:val="auto"/>
              </w:rPr>
              <w:t>Ownership</w:t>
            </w:r>
          </w:p>
        </w:tc>
        <w:tc>
          <w:tcPr>
            <w:tcW w:w="0" w:type="dxa"/>
            <w:vAlign w:val="bottom"/>
          </w:tcPr>
          <w:p>
            <w:pPr>
              <w:spacing w:after="0"/>
              <w:rPr>
                <w:sz w:val="1"/>
                <w:szCs w:val="1"/>
                <w:color w:val="auto"/>
              </w:rPr>
            </w:pPr>
          </w:p>
        </w:tc>
      </w:tr>
      <w:tr>
        <w:trPr>
          <w:trHeight w:val="20"/>
        </w:trPr>
        <w:tc>
          <w:tcPr>
            <w:tcW w:w="720" w:type="dxa"/>
            <w:vAlign w:val="bottom"/>
            <w:shd w:val="clear" w:color="auto" w:fill="000000"/>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4120" w:type="dxa"/>
            <w:vAlign w:val="bottom"/>
            <w:vMerge w:val="restart"/>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Carey Holdings, Inc.</w:t>
            </w:r>
          </w:p>
        </w:tc>
        <w:tc>
          <w:tcPr>
            <w:tcW w:w="4120" w:type="dxa"/>
            <w:vAlign w:val="bottom"/>
            <w:vMerge w:val="continue"/>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47.9%</w:t>
            </w:r>
          </w:p>
        </w:tc>
        <w:tc>
          <w:tcPr>
            <w:tcW w:w="0" w:type="dxa"/>
            <w:vAlign w:val="bottom"/>
          </w:tcPr>
          <w:p>
            <w:pPr>
              <w:spacing w:after="0"/>
              <w:rPr>
                <w:sz w:val="1"/>
                <w:szCs w:val="1"/>
                <w:color w:val="auto"/>
              </w:rPr>
            </w:pPr>
          </w:p>
        </w:tc>
      </w:tr>
    </w:tbl>
    <w:p>
      <w:pPr>
        <w:spacing w:after="0" w:line="135" w:lineRule="exact"/>
        <w:rPr>
          <w:sz w:val="20"/>
          <w:szCs w:val="20"/>
          <w:color w:val="auto"/>
        </w:rPr>
      </w:pPr>
    </w:p>
    <w:p>
      <w:pPr>
        <w:ind w:left="360" w:right="20"/>
        <w:spacing w:after="0" w:line="253" w:lineRule="auto"/>
        <w:rPr>
          <w:sz w:val="20"/>
          <w:szCs w:val="20"/>
          <w:color w:val="auto"/>
        </w:rPr>
      </w:pPr>
      <w:r>
        <w:rPr>
          <w:rFonts w:ascii="Times New Roman" w:cs="Times New Roman" w:eastAsia="Times New Roman" w:hAnsi="Times New Roman"/>
          <w:sz w:val="18"/>
          <w:szCs w:val="18"/>
          <w:color w:val="auto"/>
        </w:rPr>
        <w:t>The Company acquired its investment in Carey Holdings, Inc. (“Carey”) on October 23, 2007 for approximately $60 million in cash. Carey’s subsidiary, Carey International, Inc., is a worldwide provider of chauffeured ground transportation services, operating in approximately 550 cities and 60 countries through a network of franchisees and alliance partners. The Company’s investment in Carey is recorded within other non-current assets on the Consolidated Balance Sheet and the Company’s share of Carey’s operating results has been reported within operating expenses on the Consolidated Statements of Operations. As of November 2009, Carey received a notice of default related to its primary debt agreements and entered into discussions with its lenders to restructure the terms of these agreements. On November 30, 2009, the Company recorded a $32 million charge ($19 million, net of tax) for impairment of its investment in Carey, to reflect the other-than-temporary decline of the investment’s fair value below its carrying value, based on cash flow estimates. This impairment charge reduced the carrying value of the Company’s investment in Carey to zero. In 2009, the Company’s share of Carey’s operating results was a net loss of $11 million.</w:t>
      </w:r>
    </w:p>
    <w:p>
      <w:pPr>
        <w:spacing w:after="0" w:line="143" w:lineRule="exact"/>
        <w:rPr>
          <w:sz w:val="20"/>
          <w:szCs w:val="20"/>
          <w:color w:val="auto"/>
        </w:rPr>
      </w:pPr>
    </w:p>
    <w:p>
      <w:pPr>
        <w:ind w:left="360"/>
        <w:spacing w:after="0" w:line="301" w:lineRule="auto"/>
        <w:rPr>
          <w:sz w:val="20"/>
          <w:szCs w:val="20"/>
          <w:color w:val="auto"/>
        </w:rPr>
      </w:pPr>
      <w:r>
        <w:rPr>
          <w:rFonts w:ascii="Times New Roman" w:cs="Times New Roman" w:eastAsia="Times New Roman" w:hAnsi="Times New Roman"/>
          <w:sz w:val="16"/>
          <w:szCs w:val="16"/>
          <w:color w:val="auto"/>
        </w:rPr>
        <w:t>In 2008, the Company recorded an $18 million charge ($11 million, net of tax), for impairment of its investment in Carey to reflect the other-than-temporary decline of the investment’s fair value below its carrying value. The impairment relates to the Company’s common equity investment in Carey and included its option to acquire an additional ownership stake in Carey, which was not exercised. At December 31, 2008, the Company’s investment totaled $43 million. The Company’s share of Carey’s operating results were insignificant in 2008 and were a net loss of $2 million from October 23, 2007 to December 31, 2007.</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F-28</w:t>
      </w:r>
    </w:p>
    <w:p>
      <w:pPr>
        <w:sectPr>
          <w:pgSz w:w="11900" w:h="16838" w:orient="portrait"/>
          <w:cols w:equalWidth="0" w:num="1">
            <w:col w:w="11400"/>
          </w:cols>
          <w:pgMar w:left="240" w:top="455" w:right="259" w:bottom="1440" w:gutter="0" w:footer="0" w:header="0"/>
        </w:sectPr>
      </w:pPr>
    </w:p>
    <w:bookmarkStart w:id="89" w:name="page90"/>
    <w:bookmarkEnd w:id="8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15. Accounts Payable and Other Current Liabilities</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378"/>
        </w:trPr>
        <w:tc>
          <w:tcPr>
            <w:tcW w:w="89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payable and other current liabilities consisted of:</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420"/>
        </w:trPr>
        <w:tc>
          <w:tcPr>
            <w:tcW w:w="8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gridSpan w:val="4"/>
          </w:tcPr>
          <w:p>
            <w:pPr>
              <w:jc w:val="right"/>
              <w:ind w:right="252"/>
              <w:spacing w:after="0"/>
              <w:rPr>
                <w:sz w:val="20"/>
                <w:szCs w:val="20"/>
                <w:color w:val="auto"/>
              </w:rPr>
            </w:pPr>
            <w:r>
              <w:rPr>
                <w:rFonts w:ascii="Times New Roman" w:cs="Times New Roman" w:eastAsia="Times New Roman" w:hAnsi="Times New Roman"/>
                <w:sz w:val="18"/>
                <w:szCs w:val="18"/>
                <w:b w:val="1"/>
                <w:bCs w:val="1"/>
                <w:color w:val="auto"/>
              </w:rPr>
              <w:t>As of December 31,</w:t>
            </w:r>
          </w:p>
        </w:tc>
      </w:tr>
      <w:tr>
        <w:trPr>
          <w:trHeight w:val="211"/>
        </w:trPr>
        <w:tc>
          <w:tcPr>
            <w:tcW w:w="8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2009</w:t>
            </w:r>
          </w:p>
        </w:tc>
        <w:tc>
          <w:tcPr>
            <w:tcW w:w="7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2008</w:t>
            </w:r>
          </w:p>
        </w:tc>
      </w:tr>
      <w:tr>
        <w:trPr>
          <w:trHeight w:val="195"/>
        </w:trPr>
        <w:tc>
          <w:tcPr>
            <w:tcW w:w="8960" w:type="dxa"/>
            <w:vAlign w:val="bottom"/>
          </w:tcPr>
          <w:p>
            <w:pPr>
              <w:ind w:left="360"/>
              <w:spacing w:after="0" w:line="195" w:lineRule="exact"/>
              <w:rPr>
                <w:sz w:val="20"/>
                <w:szCs w:val="20"/>
                <w:color w:val="auto"/>
              </w:rPr>
            </w:pPr>
            <w:r>
              <w:rPr>
                <w:rFonts w:ascii="Times New Roman" w:cs="Times New Roman" w:eastAsia="Times New Roman" w:hAnsi="Times New Roman"/>
                <w:sz w:val="18"/>
                <w:szCs w:val="18"/>
                <w:color w:val="auto"/>
              </w:rPr>
              <w:t xml:space="preserve">Income taxes payable—current </w:t>
            </w:r>
            <w:r>
              <w:rPr>
                <w:rFonts w:ascii="Times New Roman" w:cs="Times New Roman" w:eastAsia="Times New Roman" w:hAnsi="Times New Roman"/>
                <w:sz w:val="11"/>
                <w:szCs w:val="11"/>
                <w:color w:val="auto"/>
              </w:rPr>
              <w:t>(a)</w:t>
            </w:r>
          </w:p>
        </w:tc>
        <w:tc>
          <w:tcPr>
            <w:tcW w:w="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399</w:t>
            </w:r>
          </w:p>
        </w:tc>
        <w:tc>
          <w:tcPr>
            <w:tcW w:w="7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w:t>
            </w:r>
          </w:p>
        </w:tc>
      </w:tr>
      <w:tr>
        <w:trPr>
          <w:trHeight w:val="216"/>
        </w:trPr>
        <w:tc>
          <w:tcPr>
            <w:tcW w:w="89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w:t>
            </w:r>
          </w:p>
        </w:tc>
      </w:tr>
      <w:tr>
        <w:trPr>
          <w:trHeight w:val="216"/>
        </w:trPr>
        <w:tc>
          <w:tcPr>
            <w:tcW w:w="89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Accrued payroll and related</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r>
      <w:tr>
        <w:trPr>
          <w:trHeight w:val="216"/>
        </w:trPr>
        <w:tc>
          <w:tcPr>
            <w:tcW w:w="89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Public liability and property damage insurance liabilities—current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r>
      <w:tr>
        <w:trPr>
          <w:trHeight w:val="216"/>
        </w:trPr>
        <w:tc>
          <w:tcPr>
            <w:tcW w:w="89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 xml:space="preserve">Accrued interest related to tax contingencies </w:t>
            </w:r>
            <w:r>
              <w:rPr>
                <w:rFonts w:ascii="Times New Roman" w:cs="Times New Roman" w:eastAsia="Times New Roman" w:hAnsi="Times New Roman"/>
                <w:sz w:val="11"/>
                <w:szCs w:val="11"/>
                <w:color w:val="auto"/>
              </w:rPr>
              <w:t>(a)</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9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Disposition related liabilities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16"/>
        </w:trPr>
        <w:tc>
          <w:tcPr>
            <w:tcW w:w="89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Accrued legal settlements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r>
      <w:tr>
        <w:trPr>
          <w:trHeight w:val="229"/>
        </w:trPr>
        <w:tc>
          <w:tcPr>
            <w:tcW w:w="89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7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w:t>
            </w:r>
          </w:p>
        </w:tc>
      </w:tr>
      <w:tr>
        <w:trPr>
          <w:trHeight w:val="224"/>
        </w:trPr>
        <w:tc>
          <w:tcPr>
            <w:tcW w:w="89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1,272</w:t>
            </w:r>
          </w:p>
        </w:tc>
        <w:tc>
          <w:tcPr>
            <w:tcW w:w="7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901</w:t>
            </w:r>
          </w:p>
        </w:tc>
      </w:tr>
      <w:tr>
        <w:trPr>
          <w:trHeight w:val="20"/>
        </w:trPr>
        <w:tc>
          <w:tcPr>
            <w:tcW w:w="8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left="800" w:hanging="454"/>
        <w:spacing w:after="0" w:line="231" w:lineRule="auto"/>
        <w:tabs>
          <w:tab w:leader="none" w:pos="800" w:val="left"/>
        </w:tabs>
        <w:numPr>
          <w:ilvl w:val="1"/>
          <w:numId w:val="59"/>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During 2009, $383 million of income taxes payable and $89 million of accrued interest, and a corresponding amount of receivables from Realogy and Wyndham were reclassified from non-current to current.</w:t>
      </w:r>
    </w:p>
    <w:p>
      <w:pPr>
        <w:spacing w:after="0" w:line="190" w:lineRule="exact"/>
        <w:rPr>
          <w:rFonts w:ascii="Times New Roman" w:cs="Times New Roman" w:eastAsia="Times New Roman" w:hAnsi="Times New Roman"/>
          <w:sz w:val="22"/>
          <w:szCs w:val="22"/>
          <w:color w:val="auto"/>
          <w:vertAlign w:val="superscript"/>
        </w:rPr>
      </w:pPr>
    </w:p>
    <w:p>
      <w:pPr>
        <w:ind w:left="340" w:hanging="332"/>
        <w:spacing w:after="0"/>
        <w:tabs>
          <w:tab w:leader="none" w:pos="340" w:val="left"/>
        </w:tabs>
        <w:numPr>
          <w:ilvl w:val="0"/>
          <w:numId w:val="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Other Non-Current Liabilities</w:t>
      </w:r>
    </w:p>
    <w:p>
      <w:pPr>
        <w:spacing w:after="0" w:line="173" w:lineRule="exact"/>
        <w:rPr>
          <w:rFonts w:ascii="Times New Roman" w:cs="Times New Roman" w:eastAsia="Times New Roman" w:hAnsi="Times New Roman"/>
          <w:sz w:val="18"/>
          <w:szCs w:val="18"/>
          <w:b w:val="1"/>
          <w:bCs w:val="1"/>
          <w:color w:val="auto"/>
        </w:rPr>
      </w:pPr>
    </w:p>
    <w:p>
      <w:pPr>
        <w:ind w:left="3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Other non-current liabilities consisted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219710</wp:posOffset>
            </wp:positionH>
            <wp:positionV relativeFrom="paragraph">
              <wp:posOffset>-790575</wp:posOffset>
            </wp:positionV>
            <wp:extent cx="72898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90" w:lineRule="exact"/>
        <w:rPr>
          <w:sz w:val="20"/>
          <w:szCs w:val="20"/>
          <w:color w:val="auto"/>
        </w:rPr>
      </w:pPr>
    </w:p>
    <w:tbl>
      <w:tblPr>
        <w:tblLayout w:type="fixed"/>
        <w:tblInd w:w="360" w:type="dxa"/>
        <w:tblCellMar>
          <w:top w:w="0" w:type="dxa"/>
          <w:left w:w="0" w:type="dxa"/>
          <w:bottom w:w="0" w:type="dxa"/>
          <w:right w:w="0" w:type="dxa"/>
        </w:tblCellMar>
      </w:tblPr>
      <w:tr>
        <w:trPr>
          <w:trHeight w:val="231"/>
        </w:trPr>
        <w:tc>
          <w:tcPr>
            <w:tcW w:w="8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gridSpan w:val="4"/>
          </w:tcPr>
          <w:p>
            <w:pPr>
              <w:jc w:val="right"/>
              <w:ind w:right="252"/>
              <w:spacing w:after="0"/>
              <w:rPr>
                <w:sz w:val="20"/>
                <w:szCs w:val="20"/>
                <w:color w:val="auto"/>
              </w:rPr>
            </w:pPr>
            <w:r>
              <w:rPr>
                <w:rFonts w:ascii="Times New Roman" w:cs="Times New Roman" w:eastAsia="Times New Roman" w:hAnsi="Times New Roman"/>
                <w:sz w:val="18"/>
                <w:szCs w:val="18"/>
                <w:b w:val="1"/>
                <w:bCs w:val="1"/>
                <w:color w:val="auto"/>
              </w:rPr>
              <w:t>As of December 31,</w:t>
            </w:r>
          </w:p>
        </w:tc>
      </w:tr>
      <w:tr>
        <w:trPr>
          <w:trHeight w:val="211"/>
        </w:trPr>
        <w:tc>
          <w:tcPr>
            <w:tcW w:w="8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2009</w:t>
            </w:r>
          </w:p>
        </w:tc>
        <w:tc>
          <w:tcPr>
            <w:tcW w:w="7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2008</w:t>
            </w:r>
          </w:p>
        </w:tc>
      </w:tr>
      <w:tr>
        <w:trPr>
          <w:trHeight w:val="195"/>
        </w:trPr>
        <w:tc>
          <w:tcPr>
            <w:tcW w:w="860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Public liability and property damage insurance liability</w:t>
            </w:r>
          </w:p>
        </w:tc>
        <w:tc>
          <w:tcPr>
            <w:tcW w:w="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211</w:t>
            </w:r>
          </w:p>
        </w:tc>
        <w:tc>
          <w:tcPr>
            <w:tcW w:w="7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219</w:t>
            </w:r>
          </w:p>
        </w:tc>
      </w:tr>
      <w:tr>
        <w:trPr>
          <w:trHeight w:val="216"/>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Income taxes payable </w:t>
            </w:r>
            <w:r>
              <w:rPr>
                <w:rFonts w:ascii="Times New Roman" w:cs="Times New Roman" w:eastAsia="Times New Roman" w:hAnsi="Times New Roman"/>
                <w:sz w:val="11"/>
                <w:szCs w:val="11"/>
                <w:color w:val="auto"/>
              </w:rPr>
              <w:t>(a)</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w:t>
            </w:r>
          </w:p>
        </w:tc>
      </w:tr>
      <w:tr>
        <w:trPr>
          <w:trHeight w:val="216"/>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Pension liability</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16"/>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Acquisition related liabilities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16"/>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Accrued interest related to tax contingencies </w:t>
            </w:r>
            <w:r>
              <w:rPr>
                <w:rFonts w:ascii="Times New Roman" w:cs="Times New Roman" w:eastAsia="Times New Roman" w:hAnsi="Times New Roman"/>
                <w:sz w:val="11"/>
                <w:szCs w:val="11"/>
                <w:color w:val="auto"/>
              </w:rPr>
              <w:t>(a)</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r>
      <w:tr>
        <w:trPr>
          <w:trHeight w:val="216"/>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Derivatives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29"/>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7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w:t>
            </w:r>
          </w:p>
        </w:tc>
      </w:tr>
      <w:tr>
        <w:trPr>
          <w:trHeight w:val="224"/>
        </w:trPr>
        <w:tc>
          <w:tcPr>
            <w:tcW w:w="86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630</w:t>
            </w:r>
          </w:p>
        </w:tc>
        <w:tc>
          <w:tcPr>
            <w:tcW w:w="7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1,121</w:t>
            </w:r>
          </w:p>
        </w:tc>
      </w:tr>
      <w:tr>
        <w:trPr>
          <w:trHeight w:val="20"/>
        </w:trPr>
        <w:tc>
          <w:tcPr>
            <w:tcW w:w="8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4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1"/>
          <w:szCs w:val="11"/>
          <w:color w:val="auto"/>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219710</wp:posOffset>
            </wp:positionH>
            <wp:positionV relativeFrom="paragraph">
              <wp:posOffset>-28575</wp:posOffset>
            </wp:positionV>
            <wp:extent cx="72898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ind w:left="800"/>
        <w:spacing w:after="0" w:line="252" w:lineRule="auto"/>
        <w:rPr>
          <w:sz w:val="20"/>
          <w:szCs w:val="20"/>
          <w:color w:val="auto"/>
        </w:rPr>
      </w:pPr>
      <w:r>
        <w:rPr>
          <w:rFonts w:ascii="Times New Roman" w:cs="Times New Roman" w:eastAsia="Times New Roman" w:hAnsi="Times New Roman"/>
          <w:sz w:val="18"/>
          <w:szCs w:val="18"/>
          <w:color w:val="auto"/>
        </w:rPr>
        <w:t>During 2009, $383 million of income taxes payable and $89 million of accrued interest, and a corresponding amount of receivables from Realogy and Wyndham were reclassified from non-current to current.</w:t>
      </w:r>
    </w:p>
    <w:p>
      <w:pPr>
        <w:spacing w:after="0" w:line="12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F-29</w:t>
      </w:r>
    </w:p>
    <w:p>
      <w:pPr>
        <w:sectPr>
          <w:pgSz w:w="11900" w:h="16838" w:orient="portrait"/>
          <w:cols w:equalWidth="0" w:num="1">
            <w:col w:w="11340"/>
          </w:cols>
          <w:pgMar w:left="240" w:top="455" w:right="319" w:bottom="1440" w:gutter="0" w:footer="0" w:header="0"/>
        </w:sectPr>
      </w:pPr>
    </w:p>
    <w:bookmarkStart w:id="90" w:name="page91"/>
    <w:bookmarkEnd w:id="9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360" w:right="7560" w:hanging="352"/>
        <w:spacing w:after="0" w:line="461" w:lineRule="auto"/>
        <w:tabs>
          <w:tab w:leader="none" w:pos="355" w:val="left"/>
        </w:tabs>
        <w:numPr>
          <w:ilvl w:val="0"/>
          <w:numId w:val="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Long-term Debt and Borrowing Arrangements </w:t>
      </w:r>
      <w:r>
        <w:rPr>
          <w:rFonts w:ascii="Times New Roman" w:cs="Times New Roman" w:eastAsia="Times New Roman" w:hAnsi="Times New Roman"/>
          <w:sz w:val="18"/>
          <w:szCs w:val="18"/>
          <w:color w:val="auto"/>
        </w:rPr>
        <w:t>Long-term debt consisted of:</w:t>
      </w:r>
    </w:p>
    <w:p>
      <w:pPr>
        <w:spacing w:after="0" w:line="2" w:lineRule="exact"/>
        <w:rPr>
          <w:sz w:val="20"/>
          <w:szCs w:val="20"/>
          <w:color w:val="auto"/>
        </w:rPr>
      </w:pPr>
    </w:p>
    <w:tbl>
      <w:tblPr>
        <w:tblLayout w:type="fixed"/>
        <w:tblInd w:w="360" w:type="dxa"/>
        <w:tblCellMar>
          <w:top w:w="0" w:type="dxa"/>
          <w:left w:w="0" w:type="dxa"/>
          <w:bottom w:w="0" w:type="dxa"/>
          <w:right w:w="0" w:type="dxa"/>
        </w:tblCellMar>
      </w:tblPr>
      <w:tr>
        <w:trPr>
          <w:trHeight w:val="216"/>
        </w:trPr>
        <w:tc>
          <w:tcPr>
            <w:tcW w:w="6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As of</w:t>
            </w: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As of</w:t>
            </w:r>
          </w:p>
        </w:tc>
      </w:tr>
      <w:tr>
        <w:trPr>
          <w:trHeight w:val="216"/>
        </w:trPr>
        <w:tc>
          <w:tcPr>
            <w:tcW w:w="6340" w:type="dxa"/>
            <w:vAlign w:val="bottom"/>
          </w:tcPr>
          <w:p>
            <w:pPr>
              <w:spacing w:after="0"/>
              <w:rPr>
                <w:sz w:val="18"/>
                <w:szCs w:val="18"/>
                <w:color w:val="auto"/>
              </w:rPr>
            </w:pPr>
          </w:p>
        </w:tc>
        <w:tc>
          <w:tcPr>
            <w:tcW w:w="980" w:type="dxa"/>
            <w:vAlign w:val="bottom"/>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Maturity</w:t>
            </w:r>
          </w:p>
        </w:tc>
        <w:tc>
          <w:tcPr>
            <w:tcW w:w="660" w:type="dxa"/>
            <w:vAlign w:val="bottom"/>
          </w:tcPr>
          <w:p>
            <w:pPr>
              <w:spacing w:after="0"/>
              <w:rPr>
                <w:sz w:val="18"/>
                <w:szCs w:val="18"/>
                <w:color w:val="auto"/>
              </w:rPr>
            </w:pPr>
          </w:p>
        </w:tc>
        <w:tc>
          <w:tcPr>
            <w:tcW w:w="10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w w:val="95"/>
              </w:rPr>
              <w:t>December 31,</w:t>
            </w:r>
          </w:p>
        </w:tc>
        <w:tc>
          <w:tcPr>
            <w:tcW w:w="1700" w:type="dxa"/>
            <w:vAlign w:val="bottom"/>
            <w:gridSpan w:val="3"/>
          </w:tcPr>
          <w:p>
            <w:pPr>
              <w:ind w:left="680"/>
              <w:spacing w:after="0"/>
              <w:rPr>
                <w:sz w:val="20"/>
                <w:szCs w:val="20"/>
                <w:color w:val="auto"/>
              </w:rPr>
            </w:pPr>
            <w:r>
              <w:rPr>
                <w:rFonts w:ascii="Times New Roman" w:cs="Times New Roman" w:eastAsia="Times New Roman" w:hAnsi="Times New Roman"/>
                <w:sz w:val="18"/>
                <w:szCs w:val="18"/>
                <w:b w:val="1"/>
                <w:bCs w:val="1"/>
                <w:color w:val="auto"/>
                <w:w w:val="95"/>
              </w:rPr>
              <w:t>December 31,</w:t>
            </w:r>
          </w:p>
        </w:tc>
      </w:tr>
      <w:tr>
        <w:trPr>
          <w:trHeight w:val="230"/>
        </w:trPr>
        <w:tc>
          <w:tcPr>
            <w:tcW w:w="6340" w:type="dxa"/>
            <w:vAlign w:val="bottom"/>
          </w:tcPr>
          <w:p>
            <w:pPr>
              <w:spacing w:after="0"/>
              <w:rPr>
                <w:sz w:val="20"/>
                <w:szCs w:val="20"/>
                <w:color w:val="auto"/>
              </w:rPr>
            </w:pPr>
          </w:p>
        </w:tc>
        <w:tc>
          <w:tcPr>
            <w:tcW w:w="98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Date</w:t>
            </w: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8"/>
                <w:szCs w:val="18"/>
                <w:b w:val="1"/>
                <w:bCs w:val="1"/>
                <w:color w:val="auto"/>
              </w:rPr>
              <w:t>2009</w:t>
            </w:r>
          </w:p>
        </w:tc>
        <w:tc>
          <w:tcPr>
            <w:tcW w:w="6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8"/>
                <w:szCs w:val="18"/>
                <w:b w:val="1"/>
                <w:bCs w:val="1"/>
                <w:color w:val="auto"/>
              </w:rPr>
              <w:t>2008</w:t>
            </w:r>
          </w:p>
        </w:tc>
      </w:tr>
      <w:tr>
        <w:trPr>
          <w:trHeight w:val="197"/>
        </w:trPr>
        <w:tc>
          <w:tcPr>
            <w:tcW w:w="6340" w:type="dxa"/>
            <w:vAlign w:val="bottom"/>
          </w:tcPr>
          <w:p>
            <w:pPr>
              <w:spacing w:after="0" w:line="197" w:lineRule="exact"/>
              <w:rPr>
                <w:sz w:val="20"/>
                <w:szCs w:val="20"/>
                <w:color w:val="auto"/>
              </w:rPr>
            </w:pPr>
            <w:r>
              <w:rPr>
                <w:rFonts w:ascii="Times New Roman" w:cs="Times New Roman" w:eastAsia="Times New Roman" w:hAnsi="Times New Roman"/>
                <w:sz w:val="18"/>
                <w:szCs w:val="18"/>
                <w:color w:val="auto"/>
              </w:rPr>
              <w:t xml:space="preserve">Floating rate term loan </w:t>
            </w:r>
            <w:r>
              <w:rPr>
                <w:rFonts w:ascii="Times New Roman" w:cs="Times New Roman" w:eastAsia="Times New Roman" w:hAnsi="Times New Roman"/>
                <w:sz w:val="11"/>
                <w:szCs w:val="11"/>
                <w:color w:val="auto"/>
              </w:rPr>
              <w:t>(a)</w:t>
            </w:r>
          </w:p>
        </w:tc>
        <w:tc>
          <w:tcPr>
            <w:tcW w:w="980" w:type="dxa"/>
            <w:vAlign w:val="bottom"/>
          </w:tcPr>
          <w:p>
            <w:pPr>
              <w:jc w:val="right"/>
              <w:spacing w:after="0" w:line="197" w:lineRule="exact"/>
              <w:rPr>
                <w:sz w:val="20"/>
                <w:szCs w:val="20"/>
                <w:color w:val="auto"/>
              </w:rPr>
            </w:pPr>
            <w:r>
              <w:rPr>
                <w:rFonts w:ascii="Times New Roman" w:cs="Times New Roman" w:eastAsia="Times New Roman" w:hAnsi="Times New Roman"/>
                <w:sz w:val="18"/>
                <w:szCs w:val="18"/>
                <w:color w:val="auto"/>
              </w:rPr>
              <w:t>April 2012</w:t>
            </w: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line="197" w:lineRule="exact"/>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line="197" w:lineRule="exact"/>
              <w:rPr>
                <w:sz w:val="20"/>
                <w:szCs w:val="20"/>
                <w:color w:val="auto"/>
              </w:rPr>
            </w:pPr>
            <w:r>
              <w:rPr>
                <w:rFonts w:ascii="Times New Roman" w:cs="Times New Roman" w:eastAsia="Times New Roman" w:hAnsi="Times New Roman"/>
                <w:sz w:val="18"/>
                <w:szCs w:val="18"/>
                <w:color w:val="auto"/>
              </w:rPr>
              <w:t>778</w:t>
            </w:r>
          </w:p>
        </w:tc>
        <w:tc>
          <w:tcPr>
            <w:tcW w:w="680" w:type="dxa"/>
            <w:vAlign w:val="bottom"/>
          </w:tcPr>
          <w:p>
            <w:pPr>
              <w:spacing w:after="0"/>
              <w:rPr>
                <w:sz w:val="17"/>
                <w:szCs w:val="17"/>
                <w:color w:val="auto"/>
              </w:rPr>
            </w:pPr>
          </w:p>
        </w:tc>
        <w:tc>
          <w:tcPr>
            <w:tcW w:w="200" w:type="dxa"/>
            <w:vAlign w:val="bottom"/>
          </w:tcPr>
          <w:p>
            <w:pPr>
              <w:spacing w:after="0" w:line="197" w:lineRule="exact"/>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line="197" w:lineRule="exact"/>
              <w:rPr>
                <w:sz w:val="20"/>
                <w:szCs w:val="20"/>
                <w:color w:val="auto"/>
              </w:rPr>
            </w:pPr>
            <w:r>
              <w:rPr>
                <w:rFonts w:ascii="Times New Roman" w:cs="Times New Roman" w:eastAsia="Times New Roman" w:hAnsi="Times New Roman"/>
                <w:sz w:val="18"/>
                <w:szCs w:val="18"/>
                <w:color w:val="auto"/>
              </w:rPr>
              <w:t>787</w:t>
            </w:r>
          </w:p>
        </w:tc>
      </w:tr>
      <w:tr>
        <w:trPr>
          <w:trHeight w:val="216"/>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Floating rate notes</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May 2014</w:t>
            </w: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r>
      <w:tr>
        <w:trPr>
          <w:trHeight w:val="216"/>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7 </w:t>
            </w:r>
            <w:r>
              <w:rPr>
                <w:rFonts w:ascii="Times New Roman" w:cs="Times New Roman" w:eastAsia="Times New Roman" w:hAnsi="Times New Roman"/>
                <w:sz w:val="11"/>
                <w:szCs w:val="11"/>
                <w:color w:val="auto"/>
              </w:rPr>
              <w:t>5</w:t>
            </w:r>
            <w:r>
              <w:rPr>
                <w:rFonts w:ascii="Times New Roman" w:cs="Times New Roman" w:eastAsia="Times New Roman" w:hAnsi="Times New Roman"/>
                <w:sz w:val="18"/>
                <w:szCs w:val="18"/>
                <w:color w:val="auto"/>
              </w:rPr>
              <w:t>/</w:t>
            </w:r>
            <w:r>
              <w:rPr>
                <w:rFonts w:ascii="Times New Roman" w:cs="Times New Roman" w:eastAsia="Times New Roman" w:hAnsi="Times New Roman"/>
                <w:sz w:val="13"/>
                <w:szCs w:val="13"/>
                <w:color w:val="auto"/>
              </w:rPr>
              <w:t>8</w:t>
            </w:r>
            <w:r>
              <w:rPr>
                <w:rFonts w:ascii="Times New Roman" w:cs="Times New Roman" w:eastAsia="Times New Roman" w:hAnsi="Times New Roman"/>
                <w:sz w:val="18"/>
                <w:szCs w:val="18"/>
                <w:color w:val="auto"/>
              </w:rPr>
              <w:t>% notes</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May 2014</w:t>
            </w: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w:t>
            </w:r>
          </w:p>
        </w:tc>
      </w:tr>
      <w:tr>
        <w:trPr>
          <w:trHeight w:val="216"/>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3 </w:t>
            </w:r>
            <w:r>
              <w:rPr>
                <w:rFonts w:ascii="Times New Roman" w:cs="Times New Roman" w:eastAsia="Times New Roman" w:hAnsi="Times New Roman"/>
                <w:sz w:val="11"/>
                <w:szCs w:val="11"/>
                <w:color w:val="auto"/>
              </w:rPr>
              <w:t>1</w:t>
            </w:r>
            <w:r>
              <w:rPr>
                <w:rFonts w:ascii="Times New Roman" w:cs="Times New Roman" w:eastAsia="Times New Roman" w:hAnsi="Times New Roman"/>
                <w:sz w:val="18"/>
                <w:szCs w:val="18"/>
                <w:color w:val="auto"/>
              </w:rPr>
              <w:t>/</w:t>
            </w:r>
            <w:r>
              <w:rPr>
                <w:rFonts w:ascii="Times New Roman" w:cs="Times New Roman" w:eastAsia="Times New Roman" w:hAnsi="Times New Roman"/>
                <w:sz w:val="13"/>
                <w:szCs w:val="13"/>
                <w:color w:val="auto"/>
              </w:rPr>
              <w:t>2</w:t>
            </w:r>
            <w:r>
              <w:rPr>
                <w:rFonts w:ascii="Times New Roman" w:cs="Times New Roman" w:eastAsia="Times New Roman" w:hAnsi="Times New Roman"/>
                <w:sz w:val="18"/>
                <w:szCs w:val="18"/>
                <w:color w:val="auto"/>
              </w:rPr>
              <w:t>% convertible notes</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October 2014</w:t>
            </w: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7 </w:t>
            </w:r>
            <w:r>
              <w:rPr>
                <w:rFonts w:ascii="Times New Roman" w:cs="Times New Roman" w:eastAsia="Times New Roman" w:hAnsi="Times New Roman"/>
                <w:sz w:val="11"/>
                <w:szCs w:val="11"/>
                <w:color w:val="auto"/>
              </w:rPr>
              <w:t>3</w:t>
            </w:r>
            <w:r>
              <w:rPr>
                <w:rFonts w:ascii="Times New Roman" w:cs="Times New Roman" w:eastAsia="Times New Roman" w:hAnsi="Times New Roman"/>
                <w:sz w:val="18"/>
                <w:szCs w:val="18"/>
                <w:color w:val="auto"/>
              </w:rPr>
              <w:t>/</w:t>
            </w:r>
            <w:r>
              <w:rPr>
                <w:rFonts w:ascii="Times New Roman" w:cs="Times New Roman" w:eastAsia="Times New Roman" w:hAnsi="Times New Roman"/>
                <w:sz w:val="13"/>
                <w:szCs w:val="13"/>
                <w:color w:val="auto"/>
              </w:rPr>
              <w:t>4</w:t>
            </w:r>
            <w:r>
              <w:rPr>
                <w:rFonts w:ascii="Times New Roman" w:cs="Times New Roman" w:eastAsia="Times New Roman" w:hAnsi="Times New Roman"/>
                <w:sz w:val="18"/>
                <w:szCs w:val="18"/>
                <w:color w:val="auto"/>
              </w:rPr>
              <w:t>% notes</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May 2016</w:t>
            </w: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6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375</w:t>
            </w:r>
          </w:p>
        </w:tc>
      </w:tr>
      <w:tr>
        <w:trPr>
          <w:trHeight w:val="210"/>
        </w:trPr>
        <w:tc>
          <w:tcPr>
            <w:tcW w:w="6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2,123</w:t>
            </w: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1,787</w:t>
            </w:r>
          </w:p>
        </w:tc>
      </w:tr>
      <w:tr>
        <w:trPr>
          <w:trHeight w:val="228"/>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9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6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1"/>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Total long-term debt</w:t>
            </w:r>
          </w:p>
        </w:tc>
        <w:tc>
          <w:tcPr>
            <w:tcW w:w="9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2,131</w:t>
            </w: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1,789</w:t>
            </w:r>
          </w:p>
        </w:tc>
      </w:tr>
      <w:tr>
        <w:trPr>
          <w:trHeight w:val="228"/>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Less: Current portion</w:t>
            </w:r>
          </w:p>
        </w:tc>
        <w:tc>
          <w:tcPr>
            <w:tcW w:w="9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6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25"/>
        </w:trPr>
        <w:tc>
          <w:tcPr>
            <w:tcW w:w="6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Long-term debt</w:t>
            </w:r>
          </w:p>
        </w:tc>
        <w:tc>
          <w:tcPr>
            <w:tcW w:w="9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2,119</w:t>
            </w:r>
          </w:p>
        </w:tc>
        <w:tc>
          <w:tcPr>
            <w:tcW w:w="680" w:type="dxa"/>
            <w:vAlign w:val="bottom"/>
          </w:tcPr>
          <w:p>
            <w:pPr>
              <w:spacing w:after="0"/>
              <w:rPr>
                <w:sz w:val="19"/>
                <w:szCs w:val="19"/>
                <w:color w:val="auto"/>
              </w:rPr>
            </w:pPr>
          </w:p>
        </w:tc>
        <w:tc>
          <w:tcPr>
            <w:tcW w:w="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1,779</w:t>
            </w:r>
          </w:p>
        </w:tc>
      </w:tr>
      <w:tr>
        <w:trPr>
          <w:trHeight w:val="20"/>
        </w:trPr>
        <w:tc>
          <w:tcPr>
            <w:tcW w:w="6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800" w:right="20" w:hanging="454"/>
        <w:spacing w:after="0" w:line="237" w:lineRule="auto"/>
        <w:tabs>
          <w:tab w:leader="none" w:pos="800" w:val="left"/>
        </w:tabs>
        <w:numPr>
          <w:ilvl w:val="0"/>
          <w:numId w:val="62"/>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The floating rate term loan and our revolving credit facility are secured by pledges of all of the capital stock of all of the Company’s direct or indirect domestic subsidiaries and up to 66% of the capital stock of each direct foreign subsidiary, subject to certain exceptions, and liens on substantially all of the Company’s intellectual property and certain other real and personal property.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219710</wp:posOffset>
            </wp:positionH>
            <wp:positionV relativeFrom="paragraph">
              <wp:posOffset>-434340</wp:posOffset>
            </wp:positionV>
            <wp:extent cx="72898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1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color w:val="auto"/>
        </w:rPr>
        <w:t>AVIS BUDGET GROUP, INC. CORPORATE DEBT</w:t>
      </w:r>
    </w:p>
    <w:p>
      <w:pPr>
        <w:spacing w:after="0" w:line="16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3 </w:t>
      </w:r>
      <w:r>
        <w:rPr>
          <w:rFonts w:ascii="Times New Roman" w:cs="Times New Roman" w:eastAsia="Times New Roman" w:hAnsi="Times New Roman"/>
          <w:sz w:val="11"/>
          <w:szCs w:val="11"/>
          <w:b w:val="1"/>
          <w:bCs w:val="1"/>
          <w:i w:val="1"/>
          <w:iCs w:val="1"/>
          <w:color w:val="auto"/>
        </w:rPr>
        <w:t>1</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3"/>
          <w:szCs w:val="13"/>
          <w:b w:val="1"/>
          <w:bCs w:val="1"/>
          <w:i w:val="1"/>
          <w:iCs w:val="1"/>
          <w:color w:val="auto"/>
        </w:rPr>
        <w:t>2</w:t>
      </w:r>
      <w:r>
        <w:rPr>
          <w:rFonts w:ascii="Times New Roman" w:cs="Times New Roman" w:eastAsia="Times New Roman" w:hAnsi="Times New Roman"/>
          <w:sz w:val="18"/>
          <w:szCs w:val="18"/>
          <w:b w:val="1"/>
          <w:bCs w:val="1"/>
          <w:i w:val="1"/>
          <w:iCs w:val="1"/>
          <w:color w:val="auto"/>
        </w:rPr>
        <w:t>% Convertible Senior Notes</w:t>
      </w:r>
    </w:p>
    <w:p>
      <w:pPr>
        <w:spacing w:after="0" w:line="175" w:lineRule="exact"/>
        <w:rPr>
          <w:sz w:val="20"/>
          <w:szCs w:val="20"/>
          <w:color w:val="auto"/>
        </w:rPr>
      </w:pPr>
    </w:p>
    <w:p>
      <w:pPr>
        <w:ind w:left="360" w:right="40"/>
        <w:spacing w:after="0" w:line="256" w:lineRule="auto"/>
        <w:rPr>
          <w:sz w:val="20"/>
          <w:szCs w:val="20"/>
          <w:color w:val="auto"/>
        </w:rPr>
      </w:pPr>
      <w:r>
        <w:rPr>
          <w:rFonts w:ascii="Times New Roman" w:cs="Times New Roman" w:eastAsia="Times New Roman" w:hAnsi="Times New Roman"/>
          <w:sz w:val="18"/>
          <w:szCs w:val="18"/>
          <w:color w:val="auto"/>
        </w:rPr>
        <w:t xml:space="preserve">The Company’s 3 </w:t>
      </w:r>
      <w:r>
        <w:rPr>
          <w:rFonts w:ascii="Times New Roman" w:cs="Times New Roman" w:eastAsia="Times New Roman" w:hAnsi="Times New Roman"/>
          <w:sz w:val="11"/>
          <w:szCs w:val="11"/>
          <w:color w:val="auto"/>
        </w:rPr>
        <w:t>1</w:t>
      </w:r>
      <w:r>
        <w:rPr>
          <w:rFonts w:ascii="Times New Roman" w:cs="Times New Roman" w:eastAsia="Times New Roman" w:hAnsi="Times New Roman"/>
          <w:sz w:val="18"/>
          <w:szCs w:val="18"/>
          <w:color w:val="auto"/>
        </w:rPr>
        <w:t>/</w:t>
      </w:r>
      <w:r>
        <w:rPr>
          <w:rFonts w:ascii="Times New Roman" w:cs="Times New Roman" w:eastAsia="Times New Roman" w:hAnsi="Times New Roman"/>
          <w:sz w:val="13"/>
          <w:szCs w:val="13"/>
          <w:color w:val="auto"/>
        </w:rPr>
        <w:t>2</w:t>
      </w:r>
      <w:r>
        <w:rPr>
          <w:rFonts w:ascii="Times New Roman" w:cs="Times New Roman" w:eastAsia="Times New Roman" w:hAnsi="Times New Roman"/>
          <w:sz w:val="18"/>
          <w:szCs w:val="18"/>
          <w:color w:val="auto"/>
        </w:rPr>
        <w:t>% Convertible Senior Notes due 2014 (the “Convertible Notes”) were issued in October 2009 at 100% of their face value for aggregate proceeds of $345 million. The Convertible Notes are general unsecured senior obligations of the Company. The Convertible Notes are not redeemable by the Company prior to maturity; however, they are convertible by the holders at any time prior to the second trading day before the maturity date of the Convertible Notes. The initial conversion rate for the Convertible Notes is 61.5385 shares of common stock per $1,000 principal amount, which is equal to an initial conversion price of approximately $16.25 per share. The Convertible Notes mature October 1, 2014.</w:t>
      </w:r>
    </w:p>
    <w:p>
      <w:pPr>
        <w:spacing w:after="0" w:line="139" w:lineRule="exact"/>
        <w:rPr>
          <w:sz w:val="20"/>
          <w:szCs w:val="20"/>
          <w:color w:val="auto"/>
        </w:rPr>
      </w:pPr>
    </w:p>
    <w:p>
      <w:pPr>
        <w:ind w:left="360"/>
        <w:spacing w:after="0" w:line="255" w:lineRule="auto"/>
        <w:rPr>
          <w:sz w:val="20"/>
          <w:szCs w:val="20"/>
          <w:color w:val="auto"/>
        </w:rPr>
      </w:pPr>
      <w:r>
        <w:rPr>
          <w:rFonts w:ascii="Times New Roman" w:cs="Times New Roman" w:eastAsia="Times New Roman" w:hAnsi="Times New Roman"/>
          <w:sz w:val="18"/>
          <w:szCs w:val="18"/>
          <w:color w:val="auto"/>
        </w:rPr>
        <w:t>Holders may require the Company to repurchase, for cash, all or part of the Convertible Notes upon a “fundamental change”, as defined under the indenture, at a price equal to 100% of the principal amount of the Convertible Notes being repurchased plus any accrued and unpaid interest. In addition, upon a “make-whole fundamental change”, prior to the maturity date of the Convertible Notes, the Company may, in some cases, increase the conversion rate for a holder that elects to convert its notes in connection with such make-whole fundamental change. Under these “make-whole” provisions the Company could be required to issue an additional 6.4 million shares to settle the Convertible Notes. The Company has designated 27.6 million shares (including the shares that could be issued under the “make-whole” provisions) which it can issue to settle its obligation upon conversion.</w:t>
      </w:r>
    </w:p>
    <w:p>
      <w:pPr>
        <w:spacing w:after="0" w:line="139" w:lineRule="exact"/>
        <w:rPr>
          <w:sz w:val="20"/>
          <w:szCs w:val="20"/>
          <w:color w:val="auto"/>
        </w:rPr>
      </w:pPr>
    </w:p>
    <w:p>
      <w:pPr>
        <w:jc w:val="both"/>
        <w:ind w:left="360" w:right="300"/>
        <w:spacing w:after="0" w:line="258" w:lineRule="auto"/>
        <w:rPr>
          <w:sz w:val="20"/>
          <w:szCs w:val="20"/>
          <w:color w:val="auto"/>
        </w:rPr>
      </w:pPr>
      <w:r>
        <w:rPr>
          <w:rFonts w:ascii="Times New Roman" w:cs="Times New Roman" w:eastAsia="Times New Roman" w:hAnsi="Times New Roman"/>
          <w:sz w:val="18"/>
          <w:szCs w:val="18"/>
          <w:color w:val="auto"/>
        </w:rPr>
        <w:t>Concurrently with the issuance of the Convertible Notes, the Company purchased a convertible note hedge and entered into a warrant transaction, which effectively increased the conversion price of the Convertible Notes, from the Company’s perspective, to $22.50 per share. The convertible note hedge is intended to reduce the net number of shares required to be issued upon conversion of the Convertible Notes. The significant terms of the convertible note hedge and warrant transactions can be found in Note 20—Stockholders’ Equity.</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F-30</w:t>
      </w:r>
    </w:p>
    <w:p>
      <w:pPr>
        <w:sectPr>
          <w:pgSz w:w="11900" w:h="16838" w:orient="portrait"/>
          <w:cols w:equalWidth="0" w:num="1">
            <w:col w:w="11420"/>
          </w:cols>
          <w:pgMar w:left="240" w:top="455" w:right="239" w:bottom="1440" w:gutter="0" w:footer="0" w:header="0"/>
        </w:sectPr>
      </w:pPr>
    </w:p>
    <w:bookmarkStart w:id="91" w:name="page92"/>
    <w:bookmarkEnd w:id="9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color w:val="auto"/>
        </w:rPr>
        <w:t>AVIS BUDGET CAR RENTAL CORPORATE DEBT</w:t>
      </w:r>
    </w:p>
    <w:p>
      <w:pPr>
        <w:spacing w:after="0" w:line="16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i w:val="1"/>
          <w:iCs w:val="1"/>
          <w:color w:val="auto"/>
        </w:rPr>
        <w:t>Floating Rate Term Loan</w:t>
      </w:r>
    </w:p>
    <w:p>
      <w:pPr>
        <w:spacing w:after="0" w:line="175" w:lineRule="exact"/>
        <w:rPr>
          <w:sz w:val="20"/>
          <w:szCs w:val="20"/>
          <w:color w:val="auto"/>
        </w:rPr>
      </w:pPr>
    </w:p>
    <w:p>
      <w:pPr>
        <w:ind w:left="360" w:right="260"/>
        <w:spacing w:after="0" w:line="258" w:lineRule="auto"/>
        <w:rPr>
          <w:sz w:val="20"/>
          <w:szCs w:val="20"/>
          <w:color w:val="auto"/>
        </w:rPr>
      </w:pPr>
      <w:r>
        <w:rPr>
          <w:rFonts w:ascii="Times New Roman" w:cs="Times New Roman" w:eastAsia="Times New Roman" w:hAnsi="Times New Roman"/>
          <w:sz w:val="18"/>
          <w:szCs w:val="18"/>
          <w:color w:val="auto"/>
        </w:rPr>
        <w:t>The Company’s floating rate term loan was entered into in April 2006. This facility has a six year term and bears interest at three month LIBOR plus 375 basis points, for a rate of 4.0% at December 31, 2009. Quarterly installment payments of approximately $2 million are required for the first five and three quarter years with the remaining amount repayable in full at the end of the term. During 2009 and 2008, the Company repaid $9 million and $9 million, respectively, of outstanding principal under the Floating Rate Term Loan.</w:t>
      </w:r>
    </w:p>
    <w:p>
      <w:pPr>
        <w:spacing w:after="0" w:line="13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i w:val="1"/>
          <w:iCs w:val="1"/>
          <w:color w:val="auto"/>
        </w:rPr>
        <w:t>Floating Rate Senior Notes</w:t>
      </w:r>
    </w:p>
    <w:p>
      <w:pPr>
        <w:spacing w:after="0" w:line="175" w:lineRule="exact"/>
        <w:rPr>
          <w:sz w:val="20"/>
          <w:szCs w:val="20"/>
          <w:color w:val="auto"/>
        </w:rPr>
      </w:pPr>
    </w:p>
    <w:p>
      <w:pPr>
        <w:ind w:left="360" w:right="20"/>
        <w:spacing w:after="0" w:line="256" w:lineRule="auto"/>
        <w:rPr>
          <w:sz w:val="20"/>
          <w:szCs w:val="20"/>
          <w:color w:val="auto"/>
        </w:rPr>
      </w:pPr>
      <w:r>
        <w:rPr>
          <w:rFonts w:ascii="Times New Roman" w:cs="Times New Roman" w:eastAsia="Times New Roman" w:hAnsi="Times New Roman"/>
          <w:sz w:val="18"/>
          <w:szCs w:val="18"/>
          <w:color w:val="auto"/>
        </w:rPr>
        <w:t>The Company’s Floating Rate Senior Notes were issued in April 2006 at 100% of their face value for aggregate proceeds of $250 million. The interest rate on these notes is equal to three month LIBOR plus 250 basis points, for a rate of 2.8% at December 31, 2009. The Company has the right to redeem these notes in whole or in part at any time after May 15, 2008, at the applicable scheduled redemption price, plus in each case, accrued and unpaid interest through the redemption date. These notes are senior unsecured obligations and rank equally in right of payment with all the Company’s existing and future senior indebtedness.</w:t>
      </w:r>
    </w:p>
    <w:p>
      <w:pPr>
        <w:spacing w:after="0" w:line="13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7 </w:t>
      </w:r>
      <w:r>
        <w:rPr>
          <w:rFonts w:ascii="Times New Roman" w:cs="Times New Roman" w:eastAsia="Times New Roman" w:hAnsi="Times New Roman"/>
          <w:sz w:val="11"/>
          <w:szCs w:val="11"/>
          <w:b w:val="1"/>
          <w:bCs w:val="1"/>
          <w:i w:val="1"/>
          <w:iCs w:val="1"/>
          <w:color w:val="auto"/>
        </w:rPr>
        <w:t>5</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3"/>
          <w:szCs w:val="13"/>
          <w:b w:val="1"/>
          <w:bCs w:val="1"/>
          <w:i w:val="1"/>
          <w:iCs w:val="1"/>
          <w:color w:val="auto"/>
        </w:rPr>
        <w:t>8</w:t>
      </w:r>
      <w:r>
        <w:rPr>
          <w:rFonts w:ascii="Times New Roman" w:cs="Times New Roman" w:eastAsia="Times New Roman" w:hAnsi="Times New Roman"/>
          <w:sz w:val="18"/>
          <w:szCs w:val="18"/>
          <w:b w:val="1"/>
          <w:bCs w:val="1"/>
          <w:i w:val="1"/>
          <w:iCs w:val="1"/>
          <w:color w:val="auto"/>
        </w:rPr>
        <w:t xml:space="preserve">% and 7 </w:t>
      </w:r>
      <w:r>
        <w:rPr>
          <w:rFonts w:ascii="Times New Roman" w:cs="Times New Roman" w:eastAsia="Times New Roman" w:hAnsi="Times New Roman"/>
          <w:sz w:val="11"/>
          <w:szCs w:val="11"/>
          <w:b w:val="1"/>
          <w:bCs w:val="1"/>
          <w:i w:val="1"/>
          <w:iCs w:val="1"/>
          <w:color w:val="auto"/>
        </w:rPr>
        <w:t>3</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3"/>
          <w:szCs w:val="13"/>
          <w:b w:val="1"/>
          <w:bCs w:val="1"/>
          <w:i w:val="1"/>
          <w:iCs w:val="1"/>
          <w:color w:val="auto"/>
        </w:rPr>
        <w:t>4</w:t>
      </w:r>
      <w:r>
        <w:rPr>
          <w:rFonts w:ascii="Times New Roman" w:cs="Times New Roman" w:eastAsia="Times New Roman" w:hAnsi="Times New Roman"/>
          <w:sz w:val="18"/>
          <w:szCs w:val="18"/>
          <w:b w:val="1"/>
          <w:bCs w:val="1"/>
          <w:i w:val="1"/>
          <w:iCs w:val="1"/>
          <w:color w:val="auto"/>
        </w:rPr>
        <w:t>% Senior Notes</w:t>
      </w:r>
    </w:p>
    <w:p>
      <w:pPr>
        <w:spacing w:after="0" w:line="175" w:lineRule="exact"/>
        <w:rPr>
          <w:sz w:val="20"/>
          <w:szCs w:val="20"/>
          <w:color w:val="auto"/>
        </w:rPr>
      </w:pPr>
    </w:p>
    <w:p>
      <w:pPr>
        <w:ind w:left="360" w:right="20"/>
        <w:spacing w:after="0" w:line="256" w:lineRule="auto"/>
        <w:rPr>
          <w:sz w:val="20"/>
          <w:szCs w:val="20"/>
          <w:color w:val="auto"/>
        </w:rPr>
      </w:pPr>
      <w:r>
        <w:rPr>
          <w:rFonts w:ascii="Times New Roman" w:cs="Times New Roman" w:eastAsia="Times New Roman" w:hAnsi="Times New Roman"/>
          <w:sz w:val="18"/>
          <w:szCs w:val="18"/>
          <w:color w:val="auto"/>
        </w:rPr>
        <w:t xml:space="preserve">The Company’s 7 </w:t>
      </w:r>
      <w:r>
        <w:rPr>
          <w:rFonts w:ascii="Times New Roman" w:cs="Times New Roman" w:eastAsia="Times New Roman" w:hAnsi="Times New Roman"/>
          <w:sz w:val="11"/>
          <w:szCs w:val="11"/>
          <w:color w:val="auto"/>
        </w:rPr>
        <w:t>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3"/>
          <w:szCs w:val="13"/>
          <w:color w:val="auto"/>
        </w:rPr>
        <w:t>8</w:t>
      </w:r>
      <w:r>
        <w:rPr>
          <w:rFonts w:ascii="Times New Roman" w:cs="Times New Roman" w:eastAsia="Times New Roman" w:hAnsi="Times New Roman"/>
          <w:sz w:val="18"/>
          <w:szCs w:val="18"/>
          <w:color w:val="auto"/>
        </w:rPr>
        <w:t xml:space="preserve">% and 7 </w:t>
      </w:r>
      <w:r>
        <w:rPr>
          <w:rFonts w:ascii="Times New Roman" w:cs="Times New Roman" w:eastAsia="Times New Roman" w:hAnsi="Times New Roman"/>
          <w:sz w:val="11"/>
          <w:szCs w:val="11"/>
          <w:color w:val="auto"/>
        </w:rPr>
        <w:t>3</w:t>
      </w:r>
      <w:r>
        <w:rPr>
          <w:rFonts w:ascii="Times New Roman" w:cs="Times New Roman" w:eastAsia="Times New Roman" w:hAnsi="Times New Roman"/>
          <w:sz w:val="18"/>
          <w:szCs w:val="18"/>
          <w:color w:val="auto"/>
        </w:rPr>
        <w:t>/</w:t>
      </w:r>
      <w:r>
        <w:rPr>
          <w:rFonts w:ascii="Times New Roman" w:cs="Times New Roman" w:eastAsia="Times New Roman" w:hAnsi="Times New Roman"/>
          <w:sz w:val="13"/>
          <w:szCs w:val="13"/>
          <w:color w:val="auto"/>
        </w:rPr>
        <w:t>4</w:t>
      </w:r>
      <w:r>
        <w:rPr>
          <w:rFonts w:ascii="Times New Roman" w:cs="Times New Roman" w:eastAsia="Times New Roman" w:hAnsi="Times New Roman"/>
          <w:sz w:val="18"/>
          <w:szCs w:val="18"/>
          <w:color w:val="auto"/>
        </w:rPr>
        <w:t xml:space="preserve">% Senior Notes were issued in April 2006 at 100% of their face value for aggregate proceeds of $750 million. The Company has the right to redeem the 7 </w:t>
      </w:r>
      <w:r>
        <w:rPr>
          <w:rFonts w:ascii="Times New Roman" w:cs="Times New Roman" w:eastAsia="Times New Roman" w:hAnsi="Times New Roman"/>
          <w:sz w:val="11"/>
          <w:szCs w:val="11"/>
          <w:color w:val="auto"/>
        </w:rPr>
        <w:t>5</w:t>
      </w:r>
      <w:r>
        <w:rPr>
          <w:rFonts w:ascii="Times New Roman" w:cs="Times New Roman" w:eastAsia="Times New Roman" w:hAnsi="Times New Roman"/>
          <w:sz w:val="18"/>
          <w:szCs w:val="18"/>
          <w:color w:val="auto"/>
        </w:rPr>
        <w:t>/</w:t>
      </w:r>
      <w:r>
        <w:rPr>
          <w:rFonts w:ascii="Times New Roman" w:cs="Times New Roman" w:eastAsia="Times New Roman" w:hAnsi="Times New Roman"/>
          <w:sz w:val="13"/>
          <w:szCs w:val="13"/>
          <w:color w:val="auto"/>
        </w:rPr>
        <w:t>8</w:t>
      </w:r>
      <w:r>
        <w:rPr>
          <w:rFonts w:ascii="Times New Roman" w:cs="Times New Roman" w:eastAsia="Times New Roman" w:hAnsi="Times New Roman"/>
          <w:sz w:val="18"/>
          <w:szCs w:val="18"/>
          <w:color w:val="auto"/>
        </w:rPr>
        <w:t xml:space="preserve">% and 7 </w:t>
      </w:r>
      <w:r>
        <w:rPr>
          <w:rFonts w:ascii="Times New Roman" w:cs="Times New Roman" w:eastAsia="Times New Roman" w:hAnsi="Times New Roman"/>
          <w:sz w:val="11"/>
          <w:szCs w:val="11"/>
          <w:color w:val="auto"/>
        </w:rPr>
        <w:t>3</w:t>
      </w:r>
      <w:r>
        <w:rPr>
          <w:rFonts w:ascii="Times New Roman" w:cs="Times New Roman" w:eastAsia="Times New Roman" w:hAnsi="Times New Roman"/>
          <w:sz w:val="18"/>
          <w:szCs w:val="18"/>
          <w:color w:val="auto"/>
        </w:rPr>
        <w:t>/</w:t>
      </w:r>
      <w:r>
        <w:rPr>
          <w:rFonts w:ascii="Times New Roman" w:cs="Times New Roman" w:eastAsia="Times New Roman" w:hAnsi="Times New Roman"/>
          <w:sz w:val="13"/>
          <w:szCs w:val="13"/>
          <w:color w:val="auto"/>
        </w:rPr>
        <w:t>4</w:t>
      </w:r>
      <w:r>
        <w:rPr>
          <w:rFonts w:ascii="Times New Roman" w:cs="Times New Roman" w:eastAsia="Times New Roman" w:hAnsi="Times New Roman"/>
          <w:sz w:val="18"/>
          <w:szCs w:val="18"/>
          <w:color w:val="auto"/>
        </w:rPr>
        <w:t>% Senior Notes in whole or in part at any time prior to May 15, 2010 and May 15, 2011, respectively, at the applicable make-whole redemption price and, in whole or in part, at any time on or after May 15, 2010 and May 15, 2011, respectively, at the applicable scheduled redemption price, plus in each case, accrued and unpaid interest through the redemption date. These notes are senior unsecured obligations and rank equally in right of payment with all the Company’s existing and future senior indebtedness.</w:t>
      </w:r>
    </w:p>
    <w:p>
      <w:pPr>
        <w:spacing w:after="0" w:line="13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color w:val="auto"/>
        </w:rPr>
        <w:t>CORPORATE GUARANTEE</w:t>
      </w:r>
    </w:p>
    <w:p>
      <w:pPr>
        <w:spacing w:after="0" w:line="173" w:lineRule="exact"/>
        <w:rPr>
          <w:sz w:val="20"/>
          <w:szCs w:val="20"/>
          <w:color w:val="auto"/>
        </w:rPr>
      </w:pPr>
    </w:p>
    <w:p>
      <w:pPr>
        <w:ind w:left="360" w:right="300"/>
        <w:spacing w:after="0" w:line="289" w:lineRule="auto"/>
        <w:rPr>
          <w:sz w:val="20"/>
          <w:szCs w:val="20"/>
          <w:color w:val="auto"/>
        </w:rPr>
      </w:pPr>
      <w:r>
        <w:rPr>
          <w:rFonts w:ascii="Times New Roman" w:cs="Times New Roman" w:eastAsia="Times New Roman" w:hAnsi="Times New Roman"/>
          <w:sz w:val="16"/>
          <w:szCs w:val="16"/>
          <w:color w:val="auto"/>
        </w:rPr>
        <w:t>On February 9, 2007, the Company agreed to guarantee (the “Guarantee”) the payment of principal, premium, if any, and interest on the $1.0 billion aggregate principal amount of senior notes issued by Avis Budget Car Rental in April 2006 (the “Notes”). The Notes consist of Avis Budget Car Rental’s</w:t>
      </w:r>
    </w:p>
    <w:p>
      <w:pPr>
        <w:spacing w:after="0" w:line="1" w:lineRule="exact"/>
        <w:rPr>
          <w:sz w:val="20"/>
          <w:szCs w:val="20"/>
          <w:color w:val="auto"/>
        </w:rPr>
      </w:pPr>
    </w:p>
    <w:p>
      <w:pPr>
        <w:ind w:left="360" w:hanging="10"/>
        <w:spacing w:after="0" w:line="267" w:lineRule="auto"/>
        <w:tabs>
          <w:tab w:leader="none" w:pos="5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1"/>
          <w:szCs w:val="11"/>
          <w:color w:val="auto"/>
        </w:rPr>
        <w:t>5</w:t>
      </w:r>
      <w:r>
        <w:rPr>
          <w:rFonts w:ascii="Times New Roman" w:cs="Times New Roman" w:eastAsia="Times New Roman" w:hAnsi="Times New Roman"/>
          <w:sz w:val="17"/>
          <w:szCs w:val="17"/>
          <w:color w:val="auto"/>
        </w:rPr>
        <w:t>/</w:t>
      </w:r>
      <w:r>
        <w:rPr>
          <w:rFonts w:ascii="Times New Roman" w:cs="Times New Roman" w:eastAsia="Times New Roman" w:hAnsi="Times New Roman"/>
          <w:sz w:val="13"/>
          <w:szCs w:val="13"/>
          <w:color w:val="auto"/>
        </w:rPr>
        <w:t>8</w:t>
      </w:r>
      <w:r>
        <w:rPr>
          <w:rFonts w:ascii="Times New Roman" w:cs="Times New Roman" w:eastAsia="Times New Roman" w:hAnsi="Times New Roman"/>
          <w:sz w:val="17"/>
          <w:szCs w:val="17"/>
          <w:color w:val="auto"/>
        </w:rPr>
        <w:t>% Senior Notes, 7</w:t>
      </w:r>
      <w:r>
        <w:rPr>
          <w:rFonts w:ascii="Times New Roman" w:cs="Times New Roman" w:eastAsia="Times New Roman" w:hAnsi="Times New Roman"/>
          <w:sz w:val="11"/>
          <w:szCs w:val="11"/>
          <w:color w:val="auto"/>
        </w:rPr>
        <w:t xml:space="preserve"> 3</w:t>
      </w:r>
      <w:r>
        <w:rPr>
          <w:rFonts w:ascii="Times New Roman" w:cs="Times New Roman" w:eastAsia="Times New Roman" w:hAnsi="Times New Roman"/>
          <w:sz w:val="17"/>
          <w:szCs w:val="17"/>
          <w:color w:val="auto"/>
        </w:rPr>
        <w:t>/</w:t>
      </w:r>
      <w:r>
        <w:rPr>
          <w:rFonts w:ascii="Times New Roman" w:cs="Times New Roman" w:eastAsia="Times New Roman" w:hAnsi="Times New Roman"/>
          <w:sz w:val="13"/>
          <w:szCs w:val="13"/>
          <w:color w:val="auto"/>
        </w:rPr>
        <w:t>4</w:t>
      </w:r>
      <w:r>
        <w:rPr>
          <w:rFonts w:ascii="Times New Roman" w:cs="Times New Roman" w:eastAsia="Times New Roman" w:hAnsi="Times New Roman"/>
          <w:sz w:val="17"/>
          <w:szCs w:val="17"/>
          <w:color w:val="auto"/>
        </w:rPr>
        <w:t>% Senior Notes and Floating Rate Senior Notes in each case described above. The Company executed a Supplemental Indenture,</w:t>
      </w: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17"/>
          <w:szCs w:val="17"/>
          <w:color w:val="auto"/>
        </w:rPr>
        <w:t>dated February 9, 2007, to provide the Guarantee in accordance with the terms and limitations of the Notes and the indenture governing the Notes. In consideration for providing the Guarantee, the Company received $14 million, before fees and expenses, from certain institutional investors. The $14 million consideration has been deferred and is being amortized over the life of the debt. As of December 31, 2009, the deferred consideration remaining to be amortized amounted to $9 million.</w:t>
      </w:r>
    </w:p>
    <w:p>
      <w:pPr>
        <w:spacing w:after="0" w:line="12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color w:val="auto"/>
        </w:rPr>
        <w:t>DEBT MATURITIES</w:t>
      </w:r>
    </w:p>
    <w:p>
      <w:pPr>
        <w:spacing w:after="0" w:line="17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following table provides contractual maturities of the Company’s corporate debt at December 31, 2009:</w:t>
      </w:r>
    </w:p>
    <w:p>
      <w:pPr>
        <w:spacing w:after="0" w:line="210" w:lineRule="exact"/>
        <w:rPr>
          <w:sz w:val="20"/>
          <w:szCs w:val="20"/>
          <w:color w:val="auto"/>
        </w:rPr>
      </w:pPr>
    </w:p>
    <w:tbl>
      <w:tblPr>
        <w:tblLayout w:type="fixed"/>
        <w:tblInd w:w="360" w:type="dxa"/>
        <w:tblCellMar>
          <w:top w:w="0" w:type="dxa"/>
          <w:left w:w="0" w:type="dxa"/>
          <w:bottom w:w="0" w:type="dxa"/>
          <w:right w:w="0" w:type="dxa"/>
        </w:tblCellMar>
      </w:tblPr>
      <w:tr>
        <w:trPr>
          <w:trHeight w:val="230"/>
        </w:trPr>
        <w:tc>
          <w:tcPr>
            <w:tcW w:w="29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Year</w:t>
            </w:r>
          </w:p>
        </w:tc>
        <w:tc>
          <w:tcPr>
            <w:tcW w:w="7760" w:type="dxa"/>
            <w:vAlign w:val="bottom"/>
            <w:gridSpan w:val="3"/>
          </w:tcPr>
          <w:p>
            <w:pPr>
              <w:ind w:left="7140"/>
              <w:spacing w:after="0"/>
              <w:rPr>
                <w:sz w:val="20"/>
                <w:szCs w:val="20"/>
                <w:color w:val="auto"/>
              </w:rPr>
            </w:pPr>
            <w:r>
              <w:rPr>
                <w:rFonts w:ascii="Times New Roman" w:cs="Times New Roman" w:eastAsia="Times New Roman" w:hAnsi="Times New Roman"/>
                <w:sz w:val="18"/>
                <w:szCs w:val="18"/>
                <w:b w:val="1"/>
                <w:bCs w:val="1"/>
                <w:color w:val="auto"/>
                <w:w w:val="95"/>
              </w:rPr>
              <w:t>Amount</w:t>
            </w:r>
          </w:p>
        </w:tc>
      </w:tr>
      <w:tr>
        <w:trPr>
          <w:trHeight w:val="197"/>
        </w:trPr>
        <w:tc>
          <w:tcPr>
            <w:tcW w:w="380" w:type="dxa"/>
            <w:vAlign w:val="bottom"/>
            <w:tcBorders>
              <w:top w:val="single" w:sz="8" w:color="auto"/>
            </w:tcBorders>
          </w:tcPr>
          <w:p>
            <w:pPr>
              <w:spacing w:after="0" w:line="197" w:lineRule="exact"/>
              <w:rPr>
                <w:sz w:val="20"/>
                <w:szCs w:val="20"/>
                <w:color w:val="auto"/>
              </w:rPr>
            </w:pPr>
            <w:r>
              <w:rPr>
                <w:rFonts w:ascii="Times New Roman" w:cs="Times New Roman" w:eastAsia="Times New Roman" w:hAnsi="Times New Roman"/>
                <w:sz w:val="18"/>
                <w:szCs w:val="18"/>
                <w:color w:val="auto"/>
                <w:w w:val="99"/>
              </w:rPr>
              <w:t>2010</w:t>
            </w:r>
          </w:p>
        </w:tc>
        <w:tc>
          <w:tcPr>
            <w:tcW w:w="2580" w:type="dxa"/>
            <w:vAlign w:val="bottom"/>
          </w:tcPr>
          <w:p>
            <w:pPr>
              <w:spacing w:after="0"/>
              <w:rPr>
                <w:sz w:val="17"/>
                <w:szCs w:val="17"/>
                <w:color w:val="auto"/>
              </w:rPr>
            </w:pPr>
          </w:p>
        </w:tc>
        <w:tc>
          <w:tcPr>
            <w:tcW w:w="7140" w:type="dxa"/>
            <w:vAlign w:val="bottom"/>
          </w:tcPr>
          <w:p>
            <w:pPr>
              <w:spacing w:after="0"/>
              <w:rPr>
                <w:sz w:val="17"/>
                <w:szCs w:val="17"/>
                <w:color w:val="auto"/>
              </w:rPr>
            </w:pPr>
          </w:p>
        </w:tc>
        <w:tc>
          <w:tcPr>
            <w:tcW w:w="160" w:type="dxa"/>
            <w:vAlign w:val="bottom"/>
            <w:tcBorders>
              <w:top w:val="single" w:sz="8" w:color="auto"/>
            </w:tcBorders>
          </w:tcPr>
          <w:p>
            <w:pPr>
              <w:spacing w:after="0" w:line="197" w:lineRule="exact"/>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top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rPr>
              <w:t>12</w:t>
            </w:r>
          </w:p>
        </w:tc>
      </w:tr>
      <w:tr>
        <w:trPr>
          <w:trHeight w:val="216"/>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w w:val="99"/>
              </w:rPr>
              <w:t>2011</w:t>
            </w:r>
          </w:p>
        </w:tc>
        <w:tc>
          <w:tcPr>
            <w:tcW w:w="2580" w:type="dxa"/>
            <w:vAlign w:val="bottom"/>
          </w:tcPr>
          <w:p>
            <w:pPr>
              <w:spacing w:after="0"/>
              <w:rPr>
                <w:sz w:val="18"/>
                <w:szCs w:val="18"/>
                <w:color w:val="auto"/>
              </w:rPr>
            </w:pPr>
          </w:p>
        </w:tc>
        <w:tc>
          <w:tcPr>
            <w:tcW w:w="7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w w:val="99"/>
              </w:rPr>
              <w:t>2012</w:t>
            </w:r>
          </w:p>
        </w:tc>
        <w:tc>
          <w:tcPr>
            <w:tcW w:w="2580" w:type="dxa"/>
            <w:vAlign w:val="bottom"/>
          </w:tcPr>
          <w:p>
            <w:pPr>
              <w:spacing w:after="0"/>
              <w:rPr>
                <w:sz w:val="18"/>
                <w:szCs w:val="18"/>
                <w:color w:val="auto"/>
              </w:rPr>
            </w:pPr>
          </w:p>
        </w:tc>
        <w:tc>
          <w:tcPr>
            <w:tcW w:w="7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761</w:t>
            </w:r>
          </w:p>
        </w:tc>
      </w:tr>
      <w:tr>
        <w:trPr>
          <w:trHeight w:val="216"/>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w w:val="99"/>
              </w:rPr>
              <w:t>2013</w:t>
            </w:r>
          </w:p>
        </w:tc>
        <w:tc>
          <w:tcPr>
            <w:tcW w:w="2580" w:type="dxa"/>
            <w:vAlign w:val="bottom"/>
          </w:tcPr>
          <w:p>
            <w:pPr>
              <w:spacing w:after="0"/>
              <w:rPr>
                <w:sz w:val="18"/>
                <w:szCs w:val="18"/>
                <w:color w:val="auto"/>
              </w:rPr>
            </w:pPr>
          </w:p>
        </w:tc>
        <w:tc>
          <w:tcPr>
            <w:tcW w:w="7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w w:val="99"/>
              </w:rPr>
              <w:t>2014</w:t>
            </w:r>
          </w:p>
        </w:tc>
        <w:tc>
          <w:tcPr>
            <w:tcW w:w="2580" w:type="dxa"/>
            <w:vAlign w:val="bottom"/>
          </w:tcPr>
          <w:p>
            <w:pPr>
              <w:spacing w:after="0"/>
              <w:rPr>
                <w:sz w:val="18"/>
                <w:szCs w:val="18"/>
                <w:color w:val="auto"/>
              </w:rPr>
            </w:pPr>
          </w:p>
        </w:tc>
        <w:tc>
          <w:tcPr>
            <w:tcW w:w="7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971</w:t>
            </w:r>
          </w:p>
        </w:tc>
      </w:tr>
      <w:tr>
        <w:trPr>
          <w:trHeight w:val="229"/>
        </w:trPr>
        <w:tc>
          <w:tcPr>
            <w:tcW w:w="2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Thereafter</w:t>
            </w:r>
          </w:p>
        </w:tc>
        <w:tc>
          <w:tcPr>
            <w:tcW w:w="71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376</w:t>
            </w:r>
          </w:p>
        </w:tc>
      </w:tr>
      <w:tr>
        <w:trPr>
          <w:trHeight w:val="224"/>
        </w:trPr>
        <w:tc>
          <w:tcPr>
            <w:tcW w:w="38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7140" w:type="dxa"/>
            <w:vAlign w:val="bottom"/>
          </w:tcPr>
          <w:p>
            <w:pPr>
              <w:spacing w:after="0"/>
              <w:rPr>
                <w:sz w:val="19"/>
                <w:szCs w:val="19"/>
                <w:color w:val="auto"/>
              </w:rPr>
            </w:pPr>
          </w:p>
        </w:tc>
        <w:tc>
          <w:tcPr>
            <w:tcW w:w="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2,131</w:t>
            </w:r>
          </w:p>
        </w:tc>
      </w:tr>
      <w:tr>
        <w:trPr>
          <w:trHeight w:val="20"/>
        </w:trPr>
        <w:tc>
          <w:tcPr>
            <w:tcW w:w="38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7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r>
      <w:tr>
        <w:trPr>
          <w:trHeight w:val="357"/>
        </w:trPr>
        <w:tc>
          <w:tcPr>
            <w:tcW w:w="38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7300" w:type="dxa"/>
            <w:vAlign w:val="bottom"/>
            <w:gridSpan w:val="2"/>
          </w:tcPr>
          <w:p>
            <w:pPr>
              <w:ind w:left="2220"/>
              <w:spacing w:after="0"/>
              <w:rPr>
                <w:sz w:val="20"/>
                <w:szCs w:val="20"/>
                <w:color w:val="auto"/>
              </w:rPr>
            </w:pPr>
            <w:r>
              <w:rPr>
                <w:rFonts w:ascii="Times New Roman" w:cs="Times New Roman" w:eastAsia="Times New Roman" w:hAnsi="Times New Roman"/>
                <w:sz w:val="18"/>
                <w:szCs w:val="18"/>
                <w:color w:val="auto"/>
              </w:rPr>
              <w:t>F-31</w:t>
            </w:r>
          </w:p>
        </w:tc>
        <w:tc>
          <w:tcPr>
            <w:tcW w:w="460" w:type="dxa"/>
            <w:vAlign w:val="bottom"/>
          </w:tcPr>
          <w:p>
            <w:pPr>
              <w:spacing w:after="0"/>
              <w:rPr>
                <w:sz w:val="24"/>
                <w:szCs w:val="24"/>
                <w:color w:val="auto"/>
              </w:rPr>
            </w:pPr>
          </w:p>
        </w:tc>
      </w:tr>
    </w:tbl>
    <w:p>
      <w:pPr>
        <w:sectPr>
          <w:pgSz w:w="11900" w:h="16838" w:orient="portrait"/>
          <w:cols w:equalWidth="0" w:num="1">
            <w:col w:w="11400"/>
          </w:cols>
          <w:pgMar w:left="240" w:top="455" w:right="259" w:bottom="1440" w:gutter="0" w:footer="0" w:header="0"/>
        </w:sectPr>
      </w:pPr>
    </w:p>
    <w:bookmarkStart w:id="92" w:name="page93"/>
    <w:bookmarkEnd w:id="9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color w:val="auto"/>
        </w:rPr>
        <w:t>COMMITTED CREDIT FACILITIES AND AVAILABLE FUNDING ARRANGEMENTS</w:t>
      </w:r>
    </w:p>
    <w:p>
      <w:pPr>
        <w:spacing w:after="0" w:line="173" w:lineRule="exact"/>
        <w:rPr>
          <w:sz w:val="20"/>
          <w:szCs w:val="20"/>
          <w:color w:val="auto"/>
        </w:rPr>
      </w:pPr>
    </w:p>
    <w:p>
      <w:pPr>
        <w:ind w:left="360" w:right="40"/>
        <w:spacing w:after="0" w:line="275" w:lineRule="auto"/>
        <w:rPr>
          <w:sz w:val="20"/>
          <w:szCs w:val="20"/>
          <w:color w:val="auto"/>
        </w:rPr>
      </w:pPr>
      <w:r>
        <w:rPr>
          <w:rFonts w:ascii="Times New Roman" w:cs="Times New Roman" w:eastAsia="Times New Roman" w:hAnsi="Times New Roman"/>
          <w:sz w:val="18"/>
          <w:szCs w:val="18"/>
          <w:color w:val="auto"/>
        </w:rPr>
        <w:t>At December 31, 2009, the committed credit facilities available to the Company and/or its subsidiaries at the corporate or Avis Budget Car Rental level were as follows:</w:t>
      </w:r>
    </w:p>
    <w:p>
      <w:pPr>
        <w:spacing w:after="0" w:line="158" w:lineRule="exact"/>
        <w:rPr>
          <w:sz w:val="20"/>
          <w:szCs w:val="20"/>
          <w:color w:val="auto"/>
        </w:rPr>
      </w:pPr>
    </w:p>
    <w:tbl>
      <w:tblPr>
        <w:tblLayout w:type="fixed"/>
        <w:tblInd w:w="360" w:type="dxa"/>
        <w:tblCellMar>
          <w:top w:w="0" w:type="dxa"/>
          <w:left w:w="0" w:type="dxa"/>
          <w:bottom w:w="0" w:type="dxa"/>
          <w:right w:w="0" w:type="dxa"/>
        </w:tblCellMar>
      </w:tblPr>
      <w:tr>
        <w:trPr>
          <w:trHeight w:val="216"/>
        </w:trPr>
        <w:tc>
          <w:tcPr>
            <w:tcW w:w="35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680" w:type="dxa"/>
            <w:vAlign w:val="bottom"/>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6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Outstanding</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w w:val="96"/>
              </w:rPr>
              <w:t>Letters of</w:t>
            </w:r>
          </w:p>
        </w:tc>
        <w:tc>
          <w:tcPr>
            <w:tcW w:w="1440" w:type="dxa"/>
            <w:vAlign w:val="bottom"/>
            <w:gridSpan w:val="3"/>
          </w:tcPr>
          <w:p>
            <w:pPr>
              <w:ind w:left="740"/>
              <w:spacing w:after="0"/>
              <w:rPr>
                <w:sz w:val="20"/>
                <w:szCs w:val="20"/>
                <w:color w:val="auto"/>
              </w:rPr>
            </w:pPr>
            <w:r>
              <w:rPr>
                <w:rFonts w:ascii="Times New Roman" w:cs="Times New Roman" w:eastAsia="Times New Roman" w:hAnsi="Times New Roman"/>
                <w:sz w:val="18"/>
                <w:szCs w:val="18"/>
                <w:b w:val="1"/>
                <w:bCs w:val="1"/>
                <w:color w:val="auto"/>
                <w:w w:val="93"/>
              </w:rPr>
              <w:t>Available</w:t>
            </w:r>
          </w:p>
        </w:tc>
      </w:tr>
      <w:tr>
        <w:trPr>
          <w:trHeight w:val="230"/>
        </w:trPr>
        <w:tc>
          <w:tcPr>
            <w:tcW w:w="35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5"/>
              </w:rPr>
              <w:t>Capacity</w:t>
            </w:r>
          </w:p>
        </w:tc>
        <w:tc>
          <w:tcPr>
            <w:tcW w:w="720" w:type="dxa"/>
            <w:vAlign w:val="bottom"/>
          </w:tcPr>
          <w:p>
            <w:pPr>
              <w:spacing w:after="0"/>
              <w:rPr>
                <w:sz w:val="20"/>
                <w:szCs w:val="20"/>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Borrowings</w:t>
            </w: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Credit Issued</w:t>
            </w:r>
          </w:p>
        </w:tc>
        <w:tc>
          <w:tcPr>
            <w:tcW w:w="740" w:type="dxa"/>
            <w:vAlign w:val="bottom"/>
          </w:tcPr>
          <w:p>
            <w:pPr>
              <w:spacing w:after="0"/>
              <w:rPr>
                <w:sz w:val="20"/>
                <w:szCs w:val="20"/>
                <w:color w:val="auto"/>
              </w:rPr>
            </w:pPr>
          </w:p>
        </w:tc>
        <w:tc>
          <w:tcPr>
            <w:tcW w:w="7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w w:val="98"/>
              </w:rPr>
              <w:t>Capacity</w:t>
            </w:r>
          </w:p>
        </w:tc>
      </w:tr>
      <w:tr>
        <w:trPr>
          <w:trHeight w:val="197"/>
        </w:trPr>
        <w:tc>
          <w:tcPr>
            <w:tcW w:w="3520" w:type="dxa"/>
            <w:vAlign w:val="bottom"/>
          </w:tcPr>
          <w:p>
            <w:pPr>
              <w:spacing w:after="0" w:line="197" w:lineRule="exact"/>
              <w:rPr>
                <w:sz w:val="20"/>
                <w:szCs w:val="20"/>
                <w:color w:val="auto"/>
              </w:rPr>
            </w:pPr>
            <w:r>
              <w:rPr>
                <w:rFonts w:ascii="Times New Roman" w:cs="Times New Roman" w:eastAsia="Times New Roman" w:hAnsi="Times New Roman"/>
                <w:sz w:val="18"/>
                <w:szCs w:val="18"/>
                <w:color w:val="auto"/>
              </w:rPr>
              <w:t xml:space="preserve">Revolving credit facility </w:t>
            </w:r>
            <w:r>
              <w:rPr>
                <w:rFonts w:ascii="Times New Roman" w:cs="Times New Roman" w:eastAsia="Times New Roman" w:hAnsi="Times New Roman"/>
                <w:sz w:val="11"/>
                <w:szCs w:val="11"/>
                <w:color w:val="auto"/>
              </w:rPr>
              <w:t>(a)</w:t>
            </w:r>
          </w:p>
        </w:tc>
        <w:tc>
          <w:tcPr>
            <w:tcW w:w="1660" w:type="dxa"/>
            <w:vAlign w:val="bottom"/>
          </w:tcPr>
          <w:p>
            <w:pPr>
              <w:spacing w:after="0"/>
              <w:rPr>
                <w:sz w:val="17"/>
                <w:szCs w:val="17"/>
                <w:color w:val="auto"/>
              </w:rPr>
            </w:pPr>
          </w:p>
        </w:tc>
        <w:tc>
          <w:tcPr>
            <w:tcW w:w="680" w:type="dxa"/>
            <w:vAlign w:val="bottom"/>
            <w:tcBorders>
              <w:top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rPr>
              <w:t>$  1,150</w:t>
            </w:r>
          </w:p>
        </w:tc>
        <w:tc>
          <w:tcPr>
            <w:tcW w:w="720" w:type="dxa"/>
            <w:vAlign w:val="bottom"/>
          </w:tcPr>
          <w:p>
            <w:pPr>
              <w:spacing w:after="0"/>
              <w:rPr>
                <w:sz w:val="17"/>
                <w:szCs w:val="17"/>
                <w:color w:val="auto"/>
              </w:rPr>
            </w:pPr>
          </w:p>
        </w:tc>
        <w:tc>
          <w:tcPr>
            <w:tcW w:w="500" w:type="dxa"/>
            <w:vAlign w:val="bottom"/>
            <w:tcBorders>
              <w:top w:val="single" w:sz="8" w:color="auto"/>
            </w:tcBorders>
          </w:tcPr>
          <w:p>
            <w:pPr>
              <w:jc w:val="right"/>
              <w:ind w:right="312"/>
              <w:spacing w:after="0" w:line="197" w:lineRule="exact"/>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top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spacing w:after="0"/>
              <w:rPr>
                <w:sz w:val="17"/>
                <w:szCs w:val="17"/>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rPr>
              <w:t>389</w:t>
            </w:r>
          </w:p>
        </w:tc>
        <w:tc>
          <w:tcPr>
            <w:tcW w:w="740" w:type="dxa"/>
            <w:vAlign w:val="bottom"/>
          </w:tcPr>
          <w:p>
            <w:pPr>
              <w:spacing w:after="0"/>
              <w:rPr>
                <w:sz w:val="17"/>
                <w:szCs w:val="17"/>
                <w:color w:val="auto"/>
              </w:rPr>
            </w:pPr>
          </w:p>
        </w:tc>
        <w:tc>
          <w:tcPr>
            <w:tcW w:w="260" w:type="dxa"/>
            <w:vAlign w:val="bottom"/>
            <w:tcBorders>
              <w:top w:val="single" w:sz="8" w:color="auto"/>
            </w:tcBorders>
          </w:tcPr>
          <w:p>
            <w:pPr>
              <w:spacing w:after="0" w:line="197" w:lineRule="exact"/>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top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rPr>
              <w:t>761</w:t>
            </w:r>
          </w:p>
        </w:tc>
      </w:tr>
      <w:tr>
        <w:trPr>
          <w:trHeight w:val="228"/>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Letter of credit facility </w:t>
            </w:r>
            <w:r>
              <w:rPr>
                <w:rFonts w:ascii="Times New Roman" w:cs="Times New Roman" w:eastAsia="Times New Roman" w:hAnsi="Times New Roman"/>
                <w:sz w:val="11"/>
                <w:szCs w:val="11"/>
                <w:color w:val="auto"/>
              </w:rPr>
              <w:t>(b)</w:t>
            </w:r>
          </w:p>
        </w:tc>
        <w:tc>
          <w:tcPr>
            <w:tcW w:w="2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7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136" w:lineRule="exact"/>
        <w:rPr>
          <w:sz w:val="20"/>
          <w:szCs w:val="20"/>
          <w:color w:val="auto"/>
        </w:rPr>
      </w:pPr>
    </w:p>
    <w:p>
      <w:pPr>
        <w:ind w:left="800" w:hanging="454"/>
        <w:spacing w:after="0" w:line="244" w:lineRule="auto"/>
        <w:tabs>
          <w:tab w:leader="none" w:pos="800" w:val="left"/>
        </w:tabs>
        <w:numPr>
          <w:ilvl w:val="0"/>
          <w:numId w:val="64"/>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This secured revolving credit facility, which was entered into by Avis Budget Car Rental in April 2006 and amended in December 2008, has a five year term and as of December 31, 2009 bears interest at one month LIBOR plus 400 basis points. The senior credit facilities, which encompass the floating rate term loan and the revolving credit facility, are secured by pledges of all of the capital stock of all of the Company’s direct or indirect domestic subsidiaries and up to 66% of the capital stock of each direct foreign subsidiary, subject to certain exceptions, and liens on substantially all of the Company’s intellectual property and certain other real and personal property. There is $761 million available capacity for the issuance of letter of credit, while the remaining borrowing capacity is $275 million, as total outstanding borrowings are limited to $275 million under this secured revolving credit facility.</w:t>
      </w:r>
    </w:p>
    <w:p>
      <w:pPr>
        <w:spacing w:after="0" w:line="5" w:lineRule="exact"/>
        <w:rPr>
          <w:rFonts w:ascii="Times New Roman" w:cs="Times New Roman" w:eastAsia="Times New Roman" w:hAnsi="Times New Roman"/>
          <w:sz w:val="22"/>
          <w:szCs w:val="22"/>
          <w:color w:val="auto"/>
          <w:vertAlign w:val="superscript"/>
        </w:rPr>
      </w:pPr>
    </w:p>
    <w:p>
      <w:pPr>
        <w:ind w:left="800" w:hanging="454"/>
        <w:spacing w:after="0" w:line="204" w:lineRule="auto"/>
        <w:tabs>
          <w:tab w:leader="none" w:pos="800" w:val="left"/>
        </w:tabs>
        <w:numPr>
          <w:ilvl w:val="0"/>
          <w:numId w:val="64"/>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Final maturity date is March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219710</wp:posOffset>
            </wp:positionH>
            <wp:positionV relativeFrom="paragraph">
              <wp:posOffset>-1120775</wp:posOffset>
            </wp:positionV>
            <wp:extent cx="72898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color w:val="auto"/>
        </w:rPr>
        <w:t>DEBT COVENANTS</w:t>
      </w:r>
    </w:p>
    <w:p>
      <w:pPr>
        <w:spacing w:after="0" w:line="173" w:lineRule="exact"/>
        <w:rPr>
          <w:sz w:val="20"/>
          <w:szCs w:val="20"/>
          <w:color w:val="auto"/>
        </w:rPr>
      </w:pPr>
    </w:p>
    <w:p>
      <w:pPr>
        <w:ind w:left="360" w:right="20"/>
        <w:spacing w:after="0" w:line="255" w:lineRule="auto"/>
        <w:rPr>
          <w:sz w:val="20"/>
          <w:szCs w:val="20"/>
          <w:color w:val="auto"/>
        </w:rPr>
      </w:pPr>
      <w:r>
        <w:rPr>
          <w:rFonts w:ascii="Times New Roman" w:cs="Times New Roman" w:eastAsia="Times New Roman" w:hAnsi="Times New Roman"/>
          <w:sz w:val="18"/>
          <w:szCs w:val="18"/>
          <w:color w:val="auto"/>
        </w:rPr>
        <w:t>The Company’s debt agreements contain restrictive covenants, including restrictions on dividends paid to the Company by certain of its subsidiaries, the incurrence of additional indebtedness by the Company and certain of its subsidiaries, acquisitions, mergers, liquidations, and sale and leaseback transactions. The Company’s senior credit facilities also require it to maintain a minimum trailing twelve month EBITDA (as defined in the senior credit facilities) amount on a quarterly basis. Commencing with the Company’s fiscal quarter ending June 30, 2010, this requirement will be replaced by a maximum leverage ratio requirement. As of December 31, 2009, the Company was in compliance with the financial covenants of its senior credit facilities. The indenture governing the Company’s senior unsecured notes prohibits it from incurring additional debt, subject to certain exceptions.</w:t>
      </w:r>
    </w:p>
    <w:p>
      <w:pPr>
        <w:spacing w:after="0" w:line="178" w:lineRule="exact"/>
        <w:rPr>
          <w:sz w:val="20"/>
          <w:szCs w:val="20"/>
          <w:color w:val="auto"/>
        </w:rPr>
      </w:pPr>
    </w:p>
    <w:p>
      <w:pPr>
        <w:ind w:left="340" w:hanging="332"/>
        <w:spacing w:after="0"/>
        <w:tabs>
          <w:tab w:leader="none" w:pos="340" w:val="left"/>
        </w:tabs>
        <w:numPr>
          <w:ilvl w:val="0"/>
          <w:numId w:val="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Debt Under Vehicle Programs and Borrowing Arrangements</w:t>
      </w:r>
    </w:p>
    <w:p>
      <w:pPr>
        <w:spacing w:after="0" w:line="173" w:lineRule="exact"/>
        <w:rPr>
          <w:rFonts w:ascii="Times New Roman" w:cs="Times New Roman" w:eastAsia="Times New Roman" w:hAnsi="Times New Roman"/>
          <w:sz w:val="18"/>
          <w:szCs w:val="18"/>
          <w:b w:val="1"/>
          <w:bCs w:val="1"/>
          <w:color w:val="auto"/>
        </w:rPr>
      </w:pPr>
    </w:p>
    <w:p>
      <w:pPr>
        <w:ind w:left="360" w:right="380"/>
        <w:spacing w:after="0" w:line="27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Debt under vehicle programs (including related party debt due to Avis Budget Rental Car Funding (AESOP) LLC (“Avis Budget Rental Car Funding”)) consisted of:</w:t>
      </w:r>
    </w:p>
    <w:p>
      <w:pPr>
        <w:spacing w:after="0" w:line="158" w:lineRule="exact"/>
        <w:rPr>
          <w:sz w:val="20"/>
          <w:szCs w:val="20"/>
          <w:color w:val="auto"/>
        </w:rPr>
      </w:pPr>
    </w:p>
    <w:tbl>
      <w:tblPr>
        <w:tblLayout w:type="fixed"/>
        <w:tblInd w:w="360" w:type="dxa"/>
        <w:tblCellMar>
          <w:top w:w="0" w:type="dxa"/>
          <w:left w:w="0" w:type="dxa"/>
          <w:bottom w:w="0" w:type="dxa"/>
          <w:right w:w="0" w:type="dxa"/>
        </w:tblCellMar>
      </w:tblPr>
      <w:tr>
        <w:trPr>
          <w:trHeight w:val="216"/>
        </w:trPr>
        <w:tc>
          <w:tcPr>
            <w:tcW w:w="7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As of</w:t>
            </w: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As of</w:t>
            </w:r>
          </w:p>
        </w:tc>
      </w:tr>
      <w:tr>
        <w:trPr>
          <w:trHeight w:val="216"/>
        </w:trPr>
        <w:tc>
          <w:tcPr>
            <w:tcW w:w="7740" w:type="dxa"/>
            <w:vAlign w:val="bottom"/>
          </w:tcPr>
          <w:p>
            <w:pPr>
              <w:spacing w:after="0"/>
              <w:rPr>
                <w:sz w:val="18"/>
                <w:szCs w:val="18"/>
                <w:color w:val="auto"/>
              </w:rPr>
            </w:pPr>
          </w:p>
        </w:tc>
        <w:tc>
          <w:tcPr>
            <w:tcW w:w="10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w w:val="95"/>
              </w:rPr>
              <w:t>December 31,</w:t>
            </w:r>
          </w:p>
        </w:tc>
        <w:tc>
          <w:tcPr>
            <w:tcW w:w="1960" w:type="dxa"/>
            <w:vAlign w:val="bottom"/>
            <w:gridSpan w:val="3"/>
          </w:tcPr>
          <w:p>
            <w:pPr>
              <w:ind w:left="940"/>
              <w:spacing w:after="0"/>
              <w:rPr>
                <w:sz w:val="20"/>
                <w:szCs w:val="20"/>
                <w:color w:val="auto"/>
              </w:rPr>
            </w:pPr>
            <w:r>
              <w:rPr>
                <w:rFonts w:ascii="Times New Roman" w:cs="Times New Roman" w:eastAsia="Times New Roman" w:hAnsi="Times New Roman"/>
                <w:sz w:val="18"/>
                <w:szCs w:val="18"/>
                <w:b w:val="1"/>
                <w:bCs w:val="1"/>
                <w:color w:val="auto"/>
                <w:w w:val="95"/>
              </w:rPr>
              <w:t>December 31,</w:t>
            </w:r>
          </w:p>
        </w:tc>
      </w:tr>
      <w:tr>
        <w:trPr>
          <w:trHeight w:val="230"/>
        </w:trPr>
        <w:tc>
          <w:tcPr>
            <w:tcW w:w="7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8"/>
                <w:szCs w:val="18"/>
                <w:b w:val="1"/>
                <w:bCs w:val="1"/>
                <w:color w:val="auto"/>
              </w:rPr>
              <w:t>2009</w:t>
            </w:r>
          </w:p>
        </w:tc>
        <w:tc>
          <w:tcPr>
            <w:tcW w:w="9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8"/>
                <w:szCs w:val="18"/>
                <w:b w:val="1"/>
                <w:bCs w:val="1"/>
                <w:color w:val="auto"/>
              </w:rPr>
              <w:t>2008</w:t>
            </w:r>
          </w:p>
        </w:tc>
      </w:tr>
      <w:tr>
        <w:trPr>
          <w:trHeight w:val="197"/>
        </w:trPr>
        <w:tc>
          <w:tcPr>
            <w:tcW w:w="7740" w:type="dxa"/>
            <w:vAlign w:val="bottom"/>
          </w:tcPr>
          <w:p>
            <w:pPr>
              <w:spacing w:after="0" w:line="197" w:lineRule="exact"/>
              <w:rPr>
                <w:sz w:val="20"/>
                <w:szCs w:val="20"/>
                <w:color w:val="auto"/>
              </w:rPr>
            </w:pPr>
            <w:r>
              <w:rPr>
                <w:rFonts w:ascii="Times New Roman" w:cs="Times New Roman" w:eastAsia="Times New Roman" w:hAnsi="Times New Roman"/>
                <w:sz w:val="18"/>
                <w:szCs w:val="18"/>
                <w:color w:val="auto"/>
              </w:rPr>
              <w:t xml:space="preserve">Debt due to Avis Budget Rental Car Funding </w:t>
            </w:r>
            <w:r>
              <w:rPr>
                <w:rFonts w:ascii="Times New Roman" w:cs="Times New Roman" w:eastAsia="Times New Roman" w:hAnsi="Times New Roman"/>
                <w:sz w:val="11"/>
                <w:szCs w:val="11"/>
                <w:color w:val="auto"/>
              </w:rPr>
              <w:t>(a)</w:t>
            </w:r>
          </w:p>
        </w:tc>
        <w:tc>
          <w:tcPr>
            <w:tcW w:w="20" w:type="dxa"/>
            <w:vAlign w:val="bottom"/>
          </w:tcPr>
          <w:p>
            <w:pPr>
              <w:spacing w:after="0"/>
              <w:rPr>
                <w:sz w:val="17"/>
                <w:szCs w:val="17"/>
                <w:color w:val="auto"/>
              </w:rPr>
            </w:pPr>
          </w:p>
        </w:tc>
        <w:tc>
          <w:tcPr>
            <w:tcW w:w="180" w:type="dxa"/>
            <w:vAlign w:val="bottom"/>
          </w:tcPr>
          <w:p>
            <w:pPr>
              <w:spacing w:after="0" w:line="197" w:lineRule="exact"/>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line="197" w:lineRule="exact"/>
              <w:rPr>
                <w:sz w:val="20"/>
                <w:szCs w:val="20"/>
                <w:color w:val="auto"/>
              </w:rPr>
            </w:pPr>
            <w:r>
              <w:rPr>
                <w:rFonts w:ascii="Times New Roman" w:cs="Times New Roman" w:eastAsia="Times New Roman" w:hAnsi="Times New Roman"/>
                <w:sz w:val="18"/>
                <w:szCs w:val="18"/>
                <w:color w:val="auto"/>
              </w:rPr>
              <w:t>3,660</w:t>
            </w:r>
          </w:p>
        </w:tc>
        <w:tc>
          <w:tcPr>
            <w:tcW w:w="940" w:type="dxa"/>
            <w:vAlign w:val="bottom"/>
          </w:tcPr>
          <w:p>
            <w:pPr>
              <w:spacing w:after="0"/>
              <w:rPr>
                <w:sz w:val="17"/>
                <w:szCs w:val="17"/>
                <w:color w:val="auto"/>
              </w:rPr>
            </w:pPr>
          </w:p>
        </w:tc>
        <w:tc>
          <w:tcPr>
            <w:tcW w:w="200" w:type="dxa"/>
            <w:vAlign w:val="bottom"/>
          </w:tcPr>
          <w:p>
            <w:pPr>
              <w:spacing w:after="0" w:line="197" w:lineRule="exact"/>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line="197" w:lineRule="exact"/>
              <w:rPr>
                <w:sz w:val="20"/>
                <w:szCs w:val="20"/>
                <w:color w:val="auto"/>
              </w:rPr>
            </w:pPr>
            <w:r>
              <w:rPr>
                <w:rFonts w:ascii="Times New Roman" w:cs="Times New Roman" w:eastAsia="Times New Roman" w:hAnsi="Times New Roman"/>
                <w:sz w:val="18"/>
                <w:szCs w:val="18"/>
                <w:color w:val="auto"/>
              </w:rPr>
              <w:t>5,142</w:t>
            </w: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Budget Truck financing:</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6"/>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 xml:space="preserve">Budget Truck Funding program </w:t>
            </w:r>
            <w:r>
              <w:rPr>
                <w:rFonts w:ascii="Times New Roman" w:cs="Times New Roman" w:eastAsia="Times New Roman" w:hAnsi="Times New Roman"/>
                <w:sz w:val="11"/>
                <w:szCs w:val="11"/>
                <w:color w:val="auto"/>
              </w:rPr>
              <w:t>(b)</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w:t>
            </w:r>
          </w:p>
        </w:tc>
      </w:tr>
      <w:tr>
        <w:trPr>
          <w:trHeight w:val="216"/>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 xml:space="preserve">Capital leases </w:t>
            </w:r>
            <w:r>
              <w:rPr>
                <w:rFonts w:ascii="Times New Roman" w:cs="Times New Roman" w:eastAsia="Times New Roman" w:hAnsi="Times New Roman"/>
                <w:sz w:val="11"/>
                <w:szCs w:val="11"/>
                <w:color w:val="auto"/>
              </w:rPr>
              <w:t>(c)</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r>
      <w:tr>
        <w:trPr>
          <w:trHeight w:val="229"/>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463</w:t>
            </w:r>
          </w:p>
        </w:tc>
        <w:tc>
          <w:tcPr>
            <w:tcW w:w="9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w:t>
            </w:r>
          </w:p>
        </w:tc>
      </w:tr>
      <w:tr>
        <w:trPr>
          <w:trHeight w:val="224"/>
        </w:trPr>
        <w:tc>
          <w:tcPr>
            <w:tcW w:w="77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4,374</w:t>
            </w:r>
          </w:p>
        </w:tc>
        <w:tc>
          <w:tcPr>
            <w:tcW w:w="940" w:type="dxa"/>
            <w:vAlign w:val="bottom"/>
          </w:tcPr>
          <w:p>
            <w:pPr>
              <w:spacing w:after="0"/>
              <w:rPr>
                <w:sz w:val="19"/>
                <w:szCs w:val="19"/>
                <w:color w:val="auto"/>
              </w:rPr>
            </w:pPr>
          </w:p>
        </w:tc>
        <w:tc>
          <w:tcPr>
            <w:tcW w:w="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6,034</w:t>
            </w:r>
          </w:p>
        </w:tc>
      </w:tr>
      <w:tr>
        <w:trPr>
          <w:trHeight w:val="20"/>
        </w:trPr>
        <w:tc>
          <w:tcPr>
            <w:tcW w:w="7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sectPr>
          <w:pgSz w:w="11900" w:h="16838" w:orient="portrait"/>
          <w:cols w:equalWidth="0" w:num="1">
            <w:col w:w="11400"/>
          </w:cols>
          <w:pgMar w:left="240" w:top="455" w:right="259" w:bottom="1440" w:gutter="0" w:footer="0" w:header="0"/>
        </w:sectPr>
      </w:pPr>
    </w:p>
    <w:p>
      <w:pPr>
        <w:jc w:val="center"/>
        <w:ind w:left="340"/>
        <w:spacing w:after="0"/>
        <w:rPr>
          <w:sz w:val="20"/>
          <w:szCs w:val="20"/>
          <w:color w:val="auto"/>
        </w:rPr>
      </w:pPr>
      <w:r>
        <w:rPr>
          <w:rFonts w:ascii="Times New Roman" w:cs="Times New Roman" w:eastAsia="Times New Roman" w:hAnsi="Times New Roman"/>
          <w:sz w:val="11"/>
          <w:szCs w:val="11"/>
          <w:color w:val="auto"/>
        </w:rPr>
        <w:t>(a)</w:t>
      </w:r>
    </w:p>
    <w:p>
      <w:pPr>
        <w:spacing w:after="0" w:line="30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1"/>
          <w:szCs w:val="11"/>
          <w:color w:val="auto"/>
        </w:rPr>
        <w:t>(b)</w:t>
      </w:r>
    </w:p>
    <w:p>
      <w:pPr>
        <w:spacing w:after="0" w:line="9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1"/>
          <w:szCs w:val="11"/>
          <w:color w:val="auto"/>
        </w:rPr>
        <w:t>(c)</w:t>
      </w:r>
    </w:p>
    <w:p>
      <w:pPr>
        <w:spacing w:after="0" w:line="20" w:lineRule="exact"/>
        <w:rPr>
          <w:sz w:val="20"/>
          <w:szCs w:val="20"/>
          <w:color w:val="auto"/>
        </w:rPr>
      </w:pPr>
      <w:r>
        <w:rPr>
          <w:sz w:val="20"/>
          <w:szCs w:val="20"/>
          <w:color w:val="auto"/>
        </w:rPr>
        <w:br w:type="column"/>
      </w:r>
    </w:p>
    <w:p>
      <w:pPr>
        <w:spacing w:after="0" w:line="38" w:lineRule="exact"/>
        <w:rPr>
          <w:sz w:val="20"/>
          <w:szCs w:val="20"/>
          <w:color w:val="auto"/>
        </w:rPr>
      </w:pPr>
    </w:p>
    <w:p>
      <w:pPr>
        <w:ind w:right="300"/>
        <w:spacing w:after="0" w:line="257" w:lineRule="auto"/>
        <w:rPr>
          <w:sz w:val="20"/>
          <w:szCs w:val="20"/>
          <w:color w:val="auto"/>
        </w:rPr>
      </w:pPr>
      <w:r>
        <w:rPr>
          <w:rFonts w:ascii="Times New Roman" w:cs="Times New Roman" w:eastAsia="Times New Roman" w:hAnsi="Times New Roman"/>
          <w:sz w:val="18"/>
          <w:szCs w:val="18"/>
          <w:color w:val="auto"/>
        </w:rPr>
        <w:t>The decrease reflects reduced borrowing within Domestic Car Rental operations due to a decrease in the size of the Company’s domestic car rental fleet.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-297180</wp:posOffset>
            </wp:positionV>
            <wp:extent cx="72898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6"/>
          <w:szCs w:val="16"/>
          <w:color w:val="auto"/>
        </w:rPr>
        <w:t>The decrease reflects facility maturities and reduced borrowing, principally due to a decrease in the size of the Company’s Budget Truck rental fleet.</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decrease principally reflects maturities of capital lease arrangements.</w:t>
      </w:r>
    </w:p>
    <w:p>
      <w:pPr>
        <w:spacing w:after="0" w:line="145" w:lineRule="exact"/>
        <w:rPr>
          <w:sz w:val="20"/>
          <w:szCs w:val="20"/>
          <w:color w:val="auto"/>
        </w:rPr>
      </w:pPr>
    </w:p>
    <w:p>
      <w:pPr>
        <w:jc w:val="center"/>
        <w:ind w:right="760"/>
        <w:spacing w:after="0"/>
        <w:rPr>
          <w:sz w:val="20"/>
          <w:szCs w:val="20"/>
          <w:color w:val="auto"/>
        </w:rPr>
      </w:pPr>
      <w:r>
        <w:rPr>
          <w:rFonts w:ascii="Times New Roman" w:cs="Times New Roman" w:eastAsia="Times New Roman" w:hAnsi="Times New Roman"/>
          <w:sz w:val="18"/>
          <w:szCs w:val="18"/>
          <w:color w:val="auto"/>
        </w:rPr>
        <w:t>F-32</w:t>
      </w:r>
    </w:p>
    <w:p>
      <w:pPr>
        <w:sectPr>
          <w:pgSz w:w="11900" w:h="16838" w:orient="portrait"/>
          <w:cols w:equalWidth="0" w:num="2">
            <w:col w:w="480" w:space="320"/>
            <w:col w:w="10600"/>
          </w:cols>
          <w:pgMar w:left="240" w:top="455" w:right="259" w:bottom="1440" w:gutter="0" w:footer="0" w:header="0"/>
          <w:type w:val="continuous"/>
        </w:sectPr>
      </w:pPr>
    </w:p>
    <w:bookmarkStart w:id="93" w:name="page94"/>
    <w:bookmarkEnd w:id="9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360"/>
        <w:spacing w:after="0" w:line="251" w:lineRule="auto"/>
        <w:rPr>
          <w:sz w:val="20"/>
          <w:szCs w:val="20"/>
          <w:color w:val="auto"/>
        </w:rPr>
      </w:pPr>
      <w:r>
        <w:rPr>
          <w:rFonts w:ascii="Times New Roman" w:cs="Times New Roman" w:eastAsia="Times New Roman" w:hAnsi="Times New Roman"/>
          <w:sz w:val="18"/>
          <w:szCs w:val="18"/>
          <w:i w:val="1"/>
          <w:iCs w:val="1"/>
          <w:color w:val="auto"/>
        </w:rPr>
        <w:t>Avis Budget Rental Car Funding (AESOP) LLC</w:t>
      </w:r>
      <w:r>
        <w:rPr>
          <w:rFonts w:ascii="Times New Roman" w:cs="Times New Roman" w:eastAsia="Times New Roman" w:hAnsi="Times New Roman"/>
          <w:sz w:val="18"/>
          <w:szCs w:val="18"/>
          <w:color w:val="auto"/>
        </w:rPr>
        <w:t>. Avis Budget Rental Car Funding, an unconsolidated bankruptcy remote qualifying special purpose limited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liability company, issues private placement notes to investors as well as to bank conduit facilities. Avis Budget Rental Car Funding then uses the proceeds from its note issuances to make loans to a wholly-owned subsidiary of the Company, AESOP Leasing LP (“AESOP Leasing”) on a continuing basis. By issuing debt through the AESOP program, Avis Budget has been paying a lower rate of interest than if the Company had issued debt directly to third parties. AESOP Leasing is required to use these proceeds to acquire or finance the acquisition of vehicles used in the Company’s rental car operations. Avis Budget Rental Car Funding is not consolidated, as its interests, including its equity interest, are not considered variable interests and the Company is not the “primary beneficiary” of Avis Budget Rental Car Funding. As a result, AESOP Leasing’s obligation to Avis Budget Rental Car Funding is reflected as related party debt on the Company’s Consolidated Balance Sheets as of December 31, 2009 and 2008. The Company also recorded an asset within assets under vehicle programs on its Consolidated Balance Sheets at December 31, 2009 and 2008, which represented the equity issued to the Company by Avis Budget Rental Car Funding. AESOP Leasing is consolidated, as the Company is the “primary beneficiary” of AESOP Leasing; as a result, the vehicles purchased by AESOP Leasing remain on the Company’s Consolidated Balance Sheets. The Company determined it is the “primary beneficiary” of AESOP Leasing, as it absorbs a majority of its expected losses and residual returns. This determination was made by developing multiple scenarios with different sets of assumptions and determining the probability weighted cash flows that result. AESOP Leasing’s vehicles and related assets, which approximate $5.1 billion and many of which are subject to manufacturer repurchase and guaranteed depreciation agreements, collateralize the debt issued by Avis Budget Rental Car Funding. The assets and liabilities of AESOP Leasing and their carrying values are presented on our consolidated balance sheets within Assets under vehicle programs and Liabilities under vehicle programs, respectively. The assets of AESOP Leasing, included within Assets under vehicle programs (excluding the Investment in Avis Budget Rental Car Funding (AESOP) LLC– related party) are restricted. They may be used only to repay the respective AESOP Leasing liabilities, included within Liabilities under vehicle programs; and to purchase new vehicles, although if certain collateral coverage requirements are met excess cash may be dividended to the Company. The creditors of AESOP Leasing have no recourse to the general credit of the Company. The Company also finances vehicles through other variable interest entities and partnerships, which are consolidated and whose assets and liabilities are included within Assets under vehicle programs and Liabilities under vehicle programs, respectively. The requirements of these entities include maintaining sufficient collateral levels and other covenants.</w:t>
      </w:r>
    </w:p>
    <w:p>
      <w:pPr>
        <w:spacing w:after="0" w:line="156" w:lineRule="exact"/>
        <w:rPr>
          <w:sz w:val="20"/>
          <w:szCs w:val="20"/>
          <w:color w:val="auto"/>
        </w:rPr>
      </w:pPr>
    </w:p>
    <w:p>
      <w:pPr>
        <w:ind w:left="360" w:right="120"/>
        <w:spacing w:after="0" w:line="254" w:lineRule="auto"/>
        <w:rPr>
          <w:sz w:val="20"/>
          <w:szCs w:val="20"/>
          <w:color w:val="auto"/>
        </w:rPr>
      </w:pPr>
      <w:r>
        <w:rPr>
          <w:rFonts w:ascii="Times New Roman" w:cs="Times New Roman" w:eastAsia="Times New Roman" w:hAnsi="Times New Roman"/>
          <w:sz w:val="18"/>
          <w:szCs w:val="18"/>
          <w:color w:val="auto"/>
        </w:rPr>
        <w:t>The business activities of Avis Budget Rental Car Funding are limited primarily to issuing indebtedness and using the proceeds thereof to make loans to AESOP Leasing for the purpose of acquiring or financing the acquisition of vehicles to be leased to the Company’s rental car subsidiaries and pledging its assets to secure the indebtedness. Because Avis Budget Rental Car Funding is not consolidated by the Company, its results of operations and cash flows are not reflected within the Company’s Consolidated Financial Statements. Borrowings under the Avis Budget Rental Car Funding program primarily represent floating and fixed rate notes with a weighted average interest rate of 2% as of December 31, 2009 and 2008. (Due to hedging transactions to reduce the Company’s exposure to interest rate movements, the Company’s weighted average effective interest rate related to the debt of Avis Budget Rental Car Funding was approximately 7% as of December 31, 2009.)</w:t>
      </w:r>
    </w:p>
    <w:p>
      <w:pPr>
        <w:spacing w:after="0" w:line="139" w:lineRule="exact"/>
        <w:rPr>
          <w:sz w:val="20"/>
          <w:szCs w:val="20"/>
          <w:color w:val="auto"/>
        </w:rPr>
      </w:pPr>
    </w:p>
    <w:p>
      <w:pPr>
        <w:ind w:left="360" w:right="160"/>
        <w:spacing w:after="0" w:line="293" w:lineRule="auto"/>
        <w:rPr>
          <w:sz w:val="20"/>
          <w:szCs w:val="20"/>
          <w:color w:val="auto"/>
        </w:rPr>
      </w:pPr>
      <w:r>
        <w:rPr>
          <w:rFonts w:ascii="Times New Roman" w:cs="Times New Roman" w:eastAsia="Times New Roman" w:hAnsi="Times New Roman"/>
          <w:sz w:val="16"/>
          <w:szCs w:val="16"/>
          <w:i w:val="1"/>
          <w:iCs w:val="1"/>
          <w:color w:val="auto"/>
        </w:rPr>
        <w:t>Truck financing</w:t>
      </w:r>
      <w:r>
        <w:rPr>
          <w:rFonts w:ascii="Times New Roman" w:cs="Times New Roman" w:eastAsia="Times New Roman" w:hAnsi="Times New Roman"/>
          <w:sz w:val="16"/>
          <w:szCs w:val="16"/>
          <w:color w:val="auto"/>
        </w:rPr>
        <w:t>. The Budget Truck Funding program consists of debt facilities established by the Company to finance the acquisition of the Budget Truck</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rental fleet. The borrowings under the Budget Truck Funding program are collateralized by $291 million of corresponding assets and are floating rate notes with a weighted average interest rate of 5% and 4% as of December 31, 2009 and 2008, respectively. The Company has also obtained a portion of its truck rental fleet under capital lease arrangements for which there are corresponding gross assets of $83 million and $354 million with accumulated amortization of $42 million and $211 million classified within vehicles, net on the Company’s Consolidated Balance Sheets as of December 31, 2009 and 2008, respectively. Interest paid as part of capital lease obligations was $4 million and $8 million during 2009 and 2008, respectively.</w:t>
      </w:r>
    </w:p>
    <w:p>
      <w:pPr>
        <w:spacing w:after="0" w:line="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F-33</w:t>
      </w:r>
    </w:p>
    <w:p>
      <w:pPr>
        <w:sectPr>
          <w:pgSz w:w="11900" w:h="16838" w:orient="portrait"/>
          <w:cols w:equalWidth="0" w:num="1">
            <w:col w:w="11420"/>
          </w:cols>
          <w:pgMar w:left="240" w:top="455" w:right="239" w:bottom="1440" w:gutter="0" w:footer="0" w:header="0"/>
        </w:sectPr>
      </w:pPr>
    </w:p>
    <w:bookmarkStart w:id="94" w:name="page95"/>
    <w:bookmarkEnd w:id="9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360"/>
        <w:spacing w:after="0" w:line="257" w:lineRule="auto"/>
        <w:rPr>
          <w:sz w:val="20"/>
          <w:szCs w:val="20"/>
          <w:color w:val="auto"/>
        </w:rPr>
      </w:pPr>
      <w:r>
        <w:rPr>
          <w:rFonts w:ascii="Times New Roman" w:cs="Times New Roman" w:eastAsia="Times New Roman" w:hAnsi="Times New Roman"/>
          <w:sz w:val="18"/>
          <w:szCs w:val="18"/>
          <w:i w:val="1"/>
          <w:iCs w:val="1"/>
          <w:color w:val="auto"/>
        </w:rPr>
        <w:t>Other</w:t>
      </w:r>
      <w:r>
        <w:rPr>
          <w:rFonts w:ascii="Times New Roman" w:cs="Times New Roman" w:eastAsia="Times New Roman" w:hAnsi="Times New Roman"/>
          <w:sz w:val="18"/>
          <w:szCs w:val="18"/>
          <w:color w:val="auto"/>
        </w:rPr>
        <w:t>. Borrowings under the Company’s other vehicle rental programs primarily represent amounts issued under financing facilities that provide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borrowings to support the acquisition of vehicles used in the Company’s International Car Rental operations and loans to support the acquisition of certain vehicles for Domestic Car Rental operations. The debt issued is collateralized by $986 million of vehicles and related assets and primarily represents floating rate bank loans and a commercial paper conduit facility for which the weighted average interest rate as of December 31, 2009 and 2008 was 4% and 5%, respectively.</w:t>
      </w:r>
    </w:p>
    <w:p>
      <w:pPr>
        <w:spacing w:after="0" w:line="136" w:lineRule="exact"/>
        <w:rPr>
          <w:sz w:val="20"/>
          <w:szCs w:val="20"/>
          <w:color w:val="auto"/>
        </w:rPr>
      </w:pPr>
    </w:p>
    <w:p>
      <w:pPr>
        <w:ind w:left="360" w:right="420"/>
        <w:spacing w:after="0" w:line="275" w:lineRule="auto"/>
        <w:rPr>
          <w:sz w:val="20"/>
          <w:szCs w:val="20"/>
          <w:color w:val="auto"/>
        </w:rPr>
      </w:pPr>
      <w:r>
        <w:rPr>
          <w:rFonts w:ascii="Times New Roman" w:cs="Times New Roman" w:eastAsia="Times New Roman" w:hAnsi="Times New Roman"/>
          <w:sz w:val="18"/>
          <w:szCs w:val="18"/>
          <w:color w:val="auto"/>
        </w:rPr>
        <w:t>The following table provides the contractual maturities of the Company’s debt under vehicle programs (including related party debt due to Avis Budget Rental Car Funding) at December 31, 2009:</w:t>
      </w:r>
    </w:p>
    <w:p>
      <w:pPr>
        <w:spacing w:after="0" w:line="158" w:lineRule="exact"/>
        <w:rPr>
          <w:sz w:val="20"/>
          <w:szCs w:val="20"/>
          <w:color w:val="auto"/>
        </w:rPr>
      </w:pPr>
    </w:p>
    <w:tbl>
      <w:tblPr>
        <w:tblLayout w:type="fixed"/>
        <w:tblInd w:w="360" w:type="dxa"/>
        <w:tblCellMar>
          <w:top w:w="0" w:type="dxa"/>
          <w:left w:w="0" w:type="dxa"/>
          <w:bottom w:w="0" w:type="dxa"/>
          <w:right w:w="0" w:type="dxa"/>
        </w:tblCellMar>
      </w:tblPr>
      <w:tr>
        <w:trPr>
          <w:trHeight w:val="216"/>
        </w:trPr>
        <w:tc>
          <w:tcPr>
            <w:tcW w:w="8040" w:type="dxa"/>
            <w:vAlign w:val="bottom"/>
          </w:tcPr>
          <w:p>
            <w:pPr>
              <w:spacing w:after="0"/>
              <w:rPr>
                <w:sz w:val="18"/>
                <w:szCs w:val="18"/>
                <w:color w:val="auto"/>
              </w:rPr>
            </w:pPr>
          </w:p>
        </w:tc>
        <w:tc>
          <w:tcPr>
            <w:tcW w:w="6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w w:val="95"/>
              </w:rPr>
              <w:t>Vehicle-</w:t>
            </w: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216"/>
        </w:trPr>
        <w:tc>
          <w:tcPr>
            <w:tcW w:w="8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Backed</w:t>
            </w:r>
          </w:p>
        </w:tc>
        <w:tc>
          <w:tcPr>
            <w:tcW w:w="1060" w:type="dxa"/>
            <w:vAlign w:val="bottom"/>
            <w:gridSpan w:val="3"/>
          </w:tcPr>
          <w:p>
            <w:pPr>
              <w:ind w:left="500"/>
              <w:spacing w:after="0"/>
              <w:rPr>
                <w:sz w:val="20"/>
                <w:szCs w:val="20"/>
                <w:color w:val="auto"/>
              </w:rPr>
            </w:pPr>
            <w:r>
              <w:rPr>
                <w:rFonts w:ascii="Times New Roman" w:cs="Times New Roman" w:eastAsia="Times New Roman" w:hAnsi="Times New Roman"/>
                <w:sz w:val="18"/>
                <w:szCs w:val="18"/>
                <w:b w:val="1"/>
                <w:bCs w:val="1"/>
                <w:color w:val="auto"/>
                <w:w w:val="94"/>
              </w:rPr>
              <w:t>Capital</w:t>
            </w: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230"/>
        </w:trPr>
        <w:tc>
          <w:tcPr>
            <w:tcW w:w="80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w w:val="97"/>
              </w:rPr>
              <w:t>Debt</w:t>
            </w:r>
          </w:p>
        </w:tc>
        <w:tc>
          <w:tcPr>
            <w:tcW w:w="500" w:type="dxa"/>
            <w:vAlign w:val="bottom"/>
          </w:tcPr>
          <w:p>
            <w:pPr>
              <w:spacing w:after="0"/>
              <w:rPr>
                <w:sz w:val="20"/>
                <w:szCs w:val="20"/>
                <w:color w:val="auto"/>
              </w:rPr>
            </w:pPr>
          </w:p>
        </w:tc>
        <w:tc>
          <w:tcPr>
            <w:tcW w:w="5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Leases</w:t>
            </w:r>
          </w:p>
        </w:tc>
        <w:tc>
          <w:tcPr>
            <w:tcW w:w="500" w:type="dxa"/>
            <w:vAlign w:val="bottom"/>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197"/>
        </w:trPr>
        <w:tc>
          <w:tcPr>
            <w:tcW w:w="8040" w:type="dxa"/>
            <w:vAlign w:val="bottom"/>
          </w:tcPr>
          <w:p>
            <w:pPr>
              <w:spacing w:after="0" w:line="197" w:lineRule="exact"/>
              <w:rPr>
                <w:sz w:val="20"/>
                <w:szCs w:val="20"/>
                <w:color w:val="auto"/>
              </w:rPr>
            </w:pPr>
            <w:r>
              <w:rPr>
                <w:rFonts w:ascii="Times New Roman" w:cs="Times New Roman" w:eastAsia="Times New Roman" w:hAnsi="Times New Roman"/>
                <w:sz w:val="18"/>
                <w:szCs w:val="18"/>
                <w:color w:val="auto"/>
              </w:rPr>
              <w:t>2010</w:t>
            </w:r>
          </w:p>
        </w:tc>
        <w:tc>
          <w:tcPr>
            <w:tcW w:w="20" w:type="dxa"/>
            <w:vAlign w:val="bottom"/>
          </w:tcPr>
          <w:p>
            <w:pPr>
              <w:spacing w:after="0"/>
              <w:rPr>
                <w:sz w:val="17"/>
                <w:szCs w:val="17"/>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tcPr>
          <w:p>
            <w:pPr>
              <w:jc w:val="right"/>
              <w:spacing w:after="0" w:line="197" w:lineRule="exact"/>
              <w:rPr>
                <w:sz w:val="20"/>
                <w:szCs w:val="20"/>
                <w:color w:val="auto"/>
              </w:rPr>
            </w:pPr>
            <w:r>
              <w:rPr>
                <w:rFonts w:ascii="Times New Roman" w:cs="Times New Roman" w:eastAsia="Times New Roman" w:hAnsi="Times New Roman"/>
                <w:sz w:val="18"/>
                <w:szCs w:val="18"/>
                <w:color w:val="auto"/>
              </w:rPr>
              <w:t>1,553</w:t>
            </w:r>
          </w:p>
        </w:tc>
        <w:tc>
          <w:tcPr>
            <w:tcW w:w="500" w:type="dxa"/>
            <w:vAlign w:val="bottom"/>
          </w:tcPr>
          <w:p>
            <w:pPr>
              <w:spacing w:after="0"/>
              <w:rPr>
                <w:sz w:val="17"/>
                <w:szCs w:val="17"/>
                <w:color w:val="auto"/>
              </w:rPr>
            </w:pPr>
          </w:p>
        </w:tc>
        <w:tc>
          <w:tcPr>
            <w:tcW w:w="220" w:type="dxa"/>
            <w:vAlign w:val="bottom"/>
          </w:tcPr>
          <w:p>
            <w:pPr>
              <w:spacing w:after="0" w:line="197" w:lineRule="exact"/>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spacing w:after="0" w:line="197" w:lineRule="exact"/>
              <w:rPr>
                <w:sz w:val="20"/>
                <w:szCs w:val="20"/>
                <w:color w:val="auto"/>
              </w:rPr>
            </w:pPr>
            <w:r>
              <w:rPr>
                <w:rFonts w:ascii="Times New Roman" w:cs="Times New Roman" w:eastAsia="Times New Roman" w:hAnsi="Times New Roman"/>
                <w:sz w:val="18"/>
                <w:szCs w:val="18"/>
                <w:color w:val="auto"/>
              </w:rPr>
              <w:t>31</w:t>
            </w:r>
          </w:p>
        </w:tc>
        <w:tc>
          <w:tcPr>
            <w:tcW w:w="500" w:type="dxa"/>
            <w:vAlign w:val="bottom"/>
          </w:tcPr>
          <w:p>
            <w:pPr>
              <w:spacing w:after="0"/>
              <w:rPr>
                <w:sz w:val="17"/>
                <w:szCs w:val="17"/>
                <w:color w:val="auto"/>
              </w:rPr>
            </w:pPr>
          </w:p>
        </w:tc>
        <w:tc>
          <w:tcPr>
            <w:tcW w:w="500" w:type="dxa"/>
            <w:vAlign w:val="bottom"/>
          </w:tcPr>
          <w:p>
            <w:pPr>
              <w:jc w:val="right"/>
              <w:spacing w:after="0" w:line="197" w:lineRule="exact"/>
              <w:rPr>
                <w:sz w:val="20"/>
                <w:szCs w:val="20"/>
                <w:color w:val="auto"/>
              </w:rPr>
            </w:pPr>
            <w:r>
              <w:rPr>
                <w:rFonts w:ascii="Times New Roman" w:cs="Times New Roman" w:eastAsia="Times New Roman" w:hAnsi="Times New Roman"/>
                <w:sz w:val="18"/>
                <w:szCs w:val="18"/>
                <w:color w:val="auto"/>
                <w:w w:val="96"/>
              </w:rPr>
              <w:t>$1,584</w:t>
            </w:r>
          </w:p>
        </w:tc>
      </w:tr>
      <w:tr>
        <w:trPr>
          <w:trHeight w:val="216"/>
        </w:trPr>
        <w:tc>
          <w:tcPr>
            <w:tcW w:w="8040" w:type="dxa"/>
            <w:vAlign w:val="bottom"/>
          </w:tcPr>
          <w:p>
            <w:pPr>
              <w:spacing w:after="0"/>
              <w:rPr>
                <w:sz w:val="20"/>
                <w:szCs w:val="20"/>
                <w:color w:val="auto"/>
              </w:rPr>
            </w:pPr>
            <w:r>
              <w:rPr>
                <w:rFonts w:ascii="Times New Roman" w:cs="Times New Roman" w:eastAsia="Times New Roman" w:hAnsi="Times New Roman"/>
                <w:sz w:val="18"/>
                <w:szCs w:val="18"/>
                <w:color w:val="auto"/>
              </w:rPr>
              <w:t>2011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748</w:t>
            </w: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748</w:t>
            </w:r>
          </w:p>
        </w:tc>
      </w:tr>
      <w:tr>
        <w:trPr>
          <w:trHeight w:val="216"/>
        </w:trPr>
        <w:tc>
          <w:tcPr>
            <w:tcW w:w="8040" w:type="dxa"/>
            <w:vAlign w:val="bottom"/>
          </w:tcPr>
          <w:p>
            <w:pPr>
              <w:spacing w:after="0"/>
              <w:rPr>
                <w:sz w:val="20"/>
                <w:szCs w:val="20"/>
                <w:color w:val="auto"/>
              </w:rPr>
            </w:pPr>
            <w:r>
              <w:rPr>
                <w:rFonts w:ascii="Times New Roman" w:cs="Times New Roman" w:eastAsia="Times New Roman" w:hAnsi="Times New Roman"/>
                <w:sz w:val="18"/>
                <w:szCs w:val="18"/>
                <w:color w:val="auto"/>
              </w:rPr>
              <w:t>2012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1,865</w:t>
            </w: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1,865</w:t>
            </w:r>
          </w:p>
        </w:tc>
      </w:tr>
      <w:tr>
        <w:trPr>
          <w:trHeight w:val="216"/>
        </w:trPr>
        <w:tc>
          <w:tcPr>
            <w:tcW w:w="8040" w:type="dxa"/>
            <w:vAlign w:val="bottom"/>
          </w:tcPr>
          <w:p>
            <w:pPr>
              <w:spacing w:after="0"/>
              <w:rPr>
                <w:sz w:val="20"/>
                <w:szCs w:val="20"/>
                <w:color w:val="auto"/>
              </w:rPr>
            </w:pPr>
            <w:r>
              <w:rPr>
                <w:rFonts w:ascii="Times New Roman" w:cs="Times New Roman" w:eastAsia="Times New Roman" w:hAnsi="Times New Roman"/>
                <w:sz w:val="18"/>
                <w:szCs w:val="18"/>
                <w:color w:val="auto"/>
              </w:rPr>
              <w:t>2013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150</w:t>
            </w:r>
          </w:p>
        </w:tc>
      </w:tr>
      <w:tr>
        <w:trPr>
          <w:trHeight w:val="216"/>
        </w:trPr>
        <w:tc>
          <w:tcPr>
            <w:tcW w:w="8040" w:type="dxa"/>
            <w:vAlign w:val="bottom"/>
          </w:tcPr>
          <w:p>
            <w:pPr>
              <w:spacing w:after="0"/>
              <w:rPr>
                <w:sz w:val="20"/>
                <w:szCs w:val="20"/>
                <w:color w:val="auto"/>
              </w:rPr>
            </w:pPr>
            <w:r>
              <w:rPr>
                <w:rFonts w:ascii="Times New Roman" w:cs="Times New Roman" w:eastAsia="Times New Roman" w:hAnsi="Times New Roman"/>
                <w:sz w:val="18"/>
                <w:szCs w:val="18"/>
                <w:color w:val="auto"/>
              </w:rPr>
              <w:t>2014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04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24"/>
        </w:trPr>
        <w:tc>
          <w:tcPr>
            <w:tcW w:w="80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4,343</w:t>
            </w:r>
          </w:p>
        </w:tc>
        <w:tc>
          <w:tcPr>
            <w:tcW w:w="50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50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4,374</w:t>
            </w:r>
          </w:p>
        </w:tc>
      </w:tr>
      <w:tr>
        <w:trPr>
          <w:trHeight w:val="20"/>
        </w:trPr>
        <w:tc>
          <w:tcPr>
            <w:tcW w:w="8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bl>
    <w:p>
      <w:pPr>
        <w:spacing w:after="0" w:line="15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color w:val="auto"/>
        </w:rPr>
        <w:t>COMMITTED CREDIT FACILITIES AND AVAILABLE FUNDING ARRANGEMENTS</w:t>
      </w:r>
    </w:p>
    <w:p>
      <w:pPr>
        <w:spacing w:after="0" w:line="17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As of December 31, 2009, available funding under the Company’s vehicle programs (including related party debt due to Avis Budget Rental Car Funding)</w:t>
      </w:r>
    </w:p>
    <w:p>
      <w:pPr>
        <w:spacing w:after="0" w:line="4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consisted of:</w:t>
      </w:r>
    </w:p>
    <w:p>
      <w:pPr>
        <w:spacing w:after="0" w:line="197" w:lineRule="exact"/>
        <w:rPr>
          <w:sz w:val="20"/>
          <w:szCs w:val="20"/>
          <w:color w:val="auto"/>
        </w:rPr>
      </w:pPr>
    </w:p>
    <w:tbl>
      <w:tblPr>
        <w:tblLayout w:type="fixed"/>
        <w:tblInd w:w="360" w:type="dxa"/>
        <w:tblCellMar>
          <w:top w:w="0" w:type="dxa"/>
          <w:left w:w="0" w:type="dxa"/>
          <w:bottom w:w="0" w:type="dxa"/>
          <w:right w:w="0" w:type="dxa"/>
        </w:tblCellMar>
      </w:tblPr>
      <w:tr>
        <w:trPr>
          <w:trHeight w:val="216"/>
        </w:trPr>
        <w:tc>
          <w:tcPr>
            <w:tcW w:w="6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700" w:type="dxa"/>
            <w:vAlign w:val="bottom"/>
            <w:gridSpan w:val="3"/>
          </w:tcPr>
          <w:p>
            <w:pPr>
              <w:ind w:left="740"/>
              <w:spacing w:after="0"/>
              <w:rPr>
                <w:sz w:val="20"/>
                <w:szCs w:val="20"/>
                <w:color w:val="auto"/>
              </w:rPr>
            </w:pPr>
            <w:r>
              <w:rPr>
                <w:rFonts w:ascii="Times New Roman" w:cs="Times New Roman" w:eastAsia="Times New Roman" w:hAnsi="Times New Roman"/>
                <w:sz w:val="18"/>
                <w:szCs w:val="18"/>
                <w:b w:val="1"/>
                <w:bCs w:val="1"/>
                <w:color w:val="auto"/>
                <w:w w:val="97"/>
              </w:rPr>
              <w:t>Outstanding</w:t>
            </w:r>
          </w:p>
        </w:tc>
        <w:tc>
          <w:tcPr>
            <w:tcW w:w="1440" w:type="dxa"/>
            <w:vAlign w:val="bottom"/>
            <w:gridSpan w:val="3"/>
          </w:tcPr>
          <w:p>
            <w:pPr>
              <w:ind w:left="740"/>
              <w:spacing w:after="0"/>
              <w:rPr>
                <w:sz w:val="20"/>
                <w:szCs w:val="20"/>
                <w:color w:val="auto"/>
              </w:rPr>
            </w:pPr>
            <w:r>
              <w:rPr>
                <w:rFonts w:ascii="Times New Roman" w:cs="Times New Roman" w:eastAsia="Times New Roman" w:hAnsi="Times New Roman"/>
                <w:sz w:val="18"/>
                <w:szCs w:val="18"/>
                <w:b w:val="1"/>
                <w:bCs w:val="1"/>
                <w:color w:val="auto"/>
                <w:w w:val="93"/>
              </w:rPr>
              <w:t>Available</w:t>
            </w:r>
          </w:p>
        </w:tc>
      </w:tr>
      <w:tr>
        <w:trPr>
          <w:trHeight w:val="230"/>
        </w:trPr>
        <w:tc>
          <w:tcPr>
            <w:tcW w:w="6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w w:val="92"/>
              </w:rPr>
              <w:t xml:space="preserve">Capacity </w:t>
            </w:r>
            <w:r>
              <w:rPr>
                <w:rFonts w:ascii="Times New Roman" w:cs="Times New Roman" w:eastAsia="Times New Roman" w:hAnsi="Times New Roman"/>
                <w:sz w:val="11"/>
                <w:szCs w:val="11"/>
                <w:b w:val="1"/>
                <w:bCs w:val="1"/>
                <w:color w:val="auto"/>
                <w:w w:val="92"/>
              </w:rPr>
              <w:t>(a)</w:t>
            </w:r>
          </w:p>
        </w:tc>
        <w:tc>
          <w:tcPr>
            <w:tcW w:w="760" w:type="dxa"/>
            <w:vAlign w:val="bottom"/>
          </w:tcPr>
          <w:p>
            <w:pPr>
              <w:spacing w:after="0"/>
              <w:rPr>
                <w:sz w:val="20"/>
                <w:szCs w:val="20"/>
                <w:color w:val="auto"/>
              </w:rPr>
            </w:pPr>
          </w:p>
        </w:tc>
        <w:tc>
          <w:tcPr>
            <w:tcW w:w="9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Borrowings</w:t>
            </w:r>
          </w:p>
        </w:tc>
        <w:tc>
          <w:tcPr>
            <w:tcW w:w="740" w:type="dxa"/>
            <w:vAlign w:val="bottom"/>
          </w:tcPr>
          <w:p>
            <w:pPr>
              <w:spacing w:after="0"/>
              <w:rPr>
                <w:sz w:val="20"/>
                <w:szCs w:val="20"/>
                <w:color w:val="auto"/>
              </w:rPr>
            </w:pPr>
          </w:p>
        </w:tc>
        <w:tc>
          <w:tcPr>
            <w:tcW w:w="7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w w:val="98"/>
              </w:rPr>
              <w:t>Capacity</w:t>
            </w:r>
          </w:p>
        </w:tc>
      </w:tr>
      <w:tr>
        <w:trPr>
          <w:trHeight w:val="197"/>
        </w:trPr>
        <w:tc>
          <w:tcPr>
            <w:tcW w:w="6740" w:type="dxa"/>
            <w:vAlign w:val="bottom"/>
          </w:tcPr>
          <w:p>
            <w:pPr>
              <w:spacing w:after="0" w:line="197" w:lineRule="exact"/>
              <w:rPr>
                <w:sz w:val="20"/>
                <w:szCs w:val="20"/>
                <w:color w:val="auto"/>
              </w:rPr>
            </w:pPr>
            <w:r>
              <w:rPr>
                <w:rFonts w:ascii="Times New Roman" w:cs="Times New Roman" w:eastAsia="Times New Roman" w:hAnsi="Times New Roman"/>
                <w:sz w:val="18"/>
                <w:szCs w:val="18"/>
                <w:color w:val="auto"/>
              </w:rPr>
              <w:t>Debt due to Avis Budget Rental Car Funding</w:t>
            </w:r>
          </w:p>
        </w:tc>
        <w:tc>
          <w:tcPr>
            <w:tcW w:w="20" w:type="dxa"/>
            <w:vAlign w:val="bottom"/>
          </w:tcPr>
          <w:p>
            <w:pPr>
              <w:spacing w:after="0"/>
              <w:rPr>
                <w:sz w:val="17"/>
                <w:szCs w:val="17"/>
                <w:color w:val="auto"/>
              </w:rPr>
            </w:pPr>
          </w:p>
        </w:tc>
        <w:tc>
          <w:tcPr>
            <w:tcW w:w="140" w:type="dxa"/>
            <w:vAlign w:val="bottom"/>
            <w:gridSpan w:val="2"/>
          </w:tcPr>
          <w:p>
            <w:pPr>
              <w:spacing w:after="0" w:line="197" w:lineRule="exact"/>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line="197" w:lineRule="exact"/>
              <w:rPr>
                <w:sz w:val="20"/>
                <w:szCs w:val="20"/>
                <w:color w:val="auto"/>
              </w:rPr>
            </w:pPr>
            <w:r>
              <w:rPr>
                <w:rFonts w:ascii="Times New Roman" w:cs="Times New Roman" w:eastAsia="Times New Roman" w:hAnsi="Times New Roman"/>
                <w:sz w:val="18"/>
                <w:szCs w:val="18"/>
                <w:color w:val="auto"/>
              </w:rPr>
              <w:t>5,985</w:t>
            </w:r>
          </w:p>
        </w:tc>
        <w:tc>
          <w:tcPr>
            <w:tcW w:w="760" w:type="dxa"/>
            <w:vAlign w:val="bottom"/>
          </w:tcPr>
          <w:p>
            <w:pPr>
              <w:spacing w:after="0"/>
              <w:rPr>
                <w:sz w:val="17"/>
                <w:szCs w:val="17"/>
                <w:color w:val="auto"/>
              </w:rPr>
            </w:pPr>
          </w:p>
        </w:tc>
        <w:tc>
          <w:tcPr>
            <w:tcW w:w="300" w:type="dxa"/>
            <w:vAlign w:val="bottom"/>
          </w:tcPr>
          <w:p>
            <w:pPr>
              <w:spacing w:after="0" w:line="197" w:lineRule="exact"/>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line="197" w:lineRule="exact"/>
              <w:rPr>
                <w:sz w:val="20"/>
                <w:szCs w:val="20"/>
                <w:color w:val="auto"/>
              </w:rPr>
            </w:pPr>
            <w:r>
              <w:rPr>
                <w:rFonts w:ascii="Times New Roman" w:cs="Times New Roman" w:eastAsia="Times New Roman" w:hAnsi="Times New Roman"/>
                <w:sz w:val="18"/>
                <w:szCs w:val="18"/>
                <w:color w:val="auto"/>
              </w:rPr>
              <w:t>3,660</w:t>
            </w:r>
          </w:p>
        </w:tc>
        <w:tc>
          <w:tcPr>
            <w:tcW w:w="740" w:type="dxa"/>
            <w:vAlign w:val="bottom"/>
          </w:tcPr>
          <w:p>
            <w:pPr>
              <w:spacing w:after="0"/>
              <w:rPr>
                <w:sz w:val="17"/>
                <w:szCs w:val="17"/>
                <w:color w:val="auto"/>
              </w:rPr>
            </w:pPr>
          </w:p>
        </w:tc>
        <w:tc>
          <w:tcPr>
            <w:tcW w:w="200" w:type="dxa"/>
            <w:vAlign w:val="bottom"/>
          </w:tcPr>
          <w:p>
            <w:pPr>
              <w:spacing w:after="0" w:line="197" w:lineRule="exact"/>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line="197" w:lineRule="exact"/>
              <w:rPr>
                <w:sz w:val="20"/>
                <w:szCs w:val="20"/>
                <w:color w:val="auto"/>
              </w:rPr>
            </w:pPr>
            <w:r>
              <w:rPr>
                <w:rFonts w:ascii="Times New Roman" w:cs="Times New Roman" w:eastAsia="Times New Roman" w:hAnsi="Times New Roman"/>
                <w:sz w:val="18"/>
                <w:szCs w:val="18"/>
                <w:color w:val="auto"/>
              </w:rPr>
              <w:t>2,325</w:t>
            </w:r>
          </w:p>
        </w:tc>
      </w:tr>
      <w:tr>
        <w:trPr>
          <w:trHeight w:val="216"/>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Budget Truck financing:</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216"/>
        </w:trPr>
        <w:tc>
          <w:tcPr>
            <w:tcW w:w="6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Budget Truck Funding program</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Capital leases</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874</w:t>
            </w:r>
          </w:p>
        </w:tc>
        <w:tc>
          <w:tcPr>
            <w:tcW w:w="7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463</w:t>
            </w:r>
          </w:p>
        </w:tc>
        <w:tc>
          <w:tcPr>
            <w:tcW w:w="7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411</w:t>
            </w:r>
          </w:p>
        </w:tc>
      </w:tr>
      <w:tr>
        <w:trPr>
          <w:trHeight w:val="224"/>
        </w:trPr>
        <w:tc>
          <w:tcPr>
            <w:tcW w:w="6740" w:type="dxa"/>
            <w:vAlign w:val="bottom"/>
          </w:tcPr>
          <w:p>
            <w:pPr>
              <w:spacing w:after="0"/>
              <w:rPr>
                <w:sz w:val="19"/>
                <w:szCs w:val="19"/>
                <w:color w:val="auto"/>
              </w:rPr>
            </w:pPr>
          </w:p>
        </w:tc>
        <w:tc>
          <w:tcPr>
            <w:tcW w:w="40" w:type="dxa"/>
            <w:vAlign w:val="bottom"/>
            <w:tcBorders>
              <w:bottom w:val="single" w:sz="8" w:color="auto"/>
            </w:tcBorders>
            <w:gridSpan w:val="2"/>
          </w:tcPr>
          <w:p>
            <w:pPr>
              <w:spacing w:after="0"/>
              <w:rPr>
                <w:sz w:val="19"/>
                <w:szCs w:val="19"/>
                <w:color w:val="auto"/>
              </w:rPr>
            </w:pP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7,110</w:t>
            </w:r>
          </w:p>
        </w:tc>
        <w:tc>
          <w:tcPr>
            <w:tcW w:w="760" w:type="dxa"/>
            <w:vAlign w:val="bottom"/>
          </w:tcPr>
          <w:p>
            <w:pPr>
              <w:spacing w:after="0"/>
              <w:rPr>
                <w:sz w:val="19"/>
                <w:szCs w:val="19"/>
                <w:color w:val="auto"/>
              </w:rPr>
            </w:pPr>
          </w:p>
        </w:tc>
        <w:tc>
          <w:tcPr>
            <w:tcW w:w="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4,374</w:t>
            </w:r>
          </w:p>
        </w:tc>
        <w:tc>
          <w:tcPr>
            <w:tcW w:w="740" w:type="dxa"/>
            <w:vAlign w:val="bottom"/>
          </w:tcPr>
          <w:p>
            <w:pPr>
              <w:spacing w:after="0"/>
              <w:rPr>
                <w:sz w:val="19"/>
                <w:szCs w:val="19"/>
                <w:color w:val="auto"/>
              </w:rPr>
            </w:pPr>
          </w:p>
        </w:tc>
        <w:tc>
          <w:tcPr>
            <w:tcW w:w="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2,736</w:t>
            </w:r>
          </w:p>
        </w:tc>
      </w:tr>
      <w:tr>
        <w:trPr>
          <w:trHeight w:val="20"/>
        </w:trPr>
        <w:tc>
          <w:tcPr>
            <w:tcW w:w="6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bl>
    <w:p>
      <w:pPr>
        <w:spacing w:after="0" w:line="123" w:lineRule="exact"/>
        <w:rPr>
          <w:sz w:val="20"/>
          <w:szCs w:val="20"/>
          <w:color w:val="auto"/>
        </w:rPr>
      </w:pPr>
    </w:p>
    <w:p>
      <w:pPr>
        <w:ind w:left="800" w:hanging="454"/>
        <w:spacing w:after="0"/>
        <w:tabs>
          <w:tab w:leader="none" w:pos="800" w:val="left"/>
        </w:tabs>
        <w:numPr>
          <w:ilvl w:val="0"/>
          <w:numId w:val="6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Capacity is subject to maintaining sufficient assets to collateralize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219710</wp:posOffset>
            </wp:positionH>
            <wp:positionV relativeFrom="paragraph">
              <wp:posOffset>-161290</wp:posOffset>
            </wp:positionV>
            <wp:extent cx="72898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color w:val="auto"/>
        </w:rPr>
        <w:t>DEBT COVENANTS</w:t>
      </w:r>
    </w:p>
    <w:p>
      <w:pPr>
        <w:spacing w:after="0" w:line="173" w:lineRule="exact"/>
        <w:rPr>
          <w:sz w:val="20"/>
          <w:szCs w:val="20"/>
          <w:color w:val="auto"/>
        </w:rPr>
      </w:pPr>
    </w:p>
    <w:p>
      <w:pPr>
        <w:ind w:left="360" w:right="160"/>
        <w:spacing w:after="0" w:line="258" w:lineRule="auto"/>
        <w:rPr>
          <w:sz w:val="20"/>
          <w:szCs w:val="20"/>
          <w:color w:val="auto"/>
        </w:rPr>
      </w:pPr>
      <w:r>
        <w:rPr>
          <w:rFonts w:ascii="Times New Roman" w:cs="Times New Roman" w:eastAsia="Times New Roman" w:hAnsi="Times New Roman"/>
          <w:sz w:val="18"/>
          <w:szCs w:val="18"/>
          <w:color w:val="auto"/>
        </w:rPr>
        <w:t>Debt agreements under the Company’s vehicle-backed funding programs contain restrictive covenants, including restrictions on dividends paid to the Company by certain of its subsidiaries and restrictions on indebtedness, mergers, liens, liquidations and sale and leaseback transactions and in some cases also require compliance with certain financial requirements. As of December 31, 2009, the Company is not aware of any instances of non-compliance with any of its financial or restrictive covenants.</w:t>
      </w:r>
    </w:p>
    <w:p>
      <w:pPr>
        <w:spacing w:after="0" w:line="175" w:lineRule="exact"/>
        <w:rPr>
          <w:sz w:val="20"/>
          <w:szCs w:val="20"/>
          <w:color w:val="auto"/>
        </w:rPr>
      </w:pPr>
    </w:p>
    <w:p>
      <w:pPr>
        <w:ind w:left="360" w:right="8560" w:hanging="352"/>
        <w:spacing w:after="0" w:line="494" w:lineRule="auto"/>
        <w:tabs>
          <w:tab w:leader="none" w:pos="355" w:val="left"/>
        </w:tabs>
        <w:numPr>
          <w:ilvl w:val="0"/>
          <w:numId w:val="67"/>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Commitments and Contingencies </w:t>
      </w:r>
      <w:r>
        <w:rPr>
          <w:rFonts w:ascii="Times New Roman" w:cs="Times New Roman" w:eastAsia="Times New Roman" w:hAnsi="Times New Roman"/>
          <w:sz w:val="16"/>
          <w:szCs w:val="16"/>
          <w:b w:val="1"/>
          <w:bCs w:val="1"/>
          <w:i w:val="1"/>
          <w:iCs w:val="1"/>
          <w:color w:val="auto"/>
        </w:rPr>
        <w:t>Lease Commitments</w:t>
      </w:r>
    </w:p>
    <w:p>
      <w:pPr>
        <w:ind w:left="360" w:right="620"/>
        <w:spacing w:after="0" w:line="275"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8"/>
          <w:szCs w:val="18"/>
          <w:color w:val="auto"/>
        </w:rPr>
        <w:t>The Company is committed to making rental payments under noncancelable operating leases covering various facilities and equipment. Many of the Company’s operating leases for facilities contain renewal</w:t>
      </w:r>
    </w:p>
    <w:p>
      <w:pPr>
        <w:spacing w:after="0" w:line="1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F-34</w:t>
      </w:r>
    </w:p>
    <w:p>
      <w:pPr>
        <w:sectPr>
          <w:pgSz w:w="11900" w:h="16838" w:orient="portrait"/>
          <w:cols w:equalWidth="0" w:num="1">
            <w:col w:w="11400"/>
          </w:cols>
          <w:pgMar w:left="240" w:top="455" w:right="259" w:bottom="1440" w:gutter="0" w:footer="0" w:header="0"/>
        </w:sectPr>
      </w:pPr>
    </w:p>
    <w:bookmarkStart w:id="95" w:name="page96"/>
    <w:bookmarkEnd w:id="9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360" w:right="440"/>
        <w:spacing w:after="0" w:line="275" w:lineRule="auto"/>
        <w:rPr>
          <w:sz w:val="20"/>
          <w:szCs w:val="20"/>
          <w:color w:val="auto"/>
        </w:rPr>
      </w:pPr>
      <w:r>
        <w:rPr>
          <w:rFonts w:ascii="Times New Roman" w:cs="Times New Roman" w:eastAsia="Times New Roman" w:hAnsi="Times New Roman"/>
          <w:sz w:val="18"/>
          <w:szCs w:val="18"/>
          <w:color w:val="auto"/>
        </w:rPr>
        <w:t>options. These renewal options vary, but the majority include clauses for renewal for various term lengths and prevailing market rate rents, subject to a market review. Future minimum lease payments required under noncancelable operating leases as of December 31, 2009 are as follows:</w:t>
      </w:r>
    </w:p>
    <w:p>
      <w:pPr>
        <w:spacing w:after="0" w:line="158" w:lineRule="exact"/>
        <w:rPr>
          <w:sz w:val="20"/>
          <w:szCs w:val="20"/>
          <w:color w:val="auto"/>
        </w:rPr>
      </w:pPr>
    </w:p>
    <w:tbl>
      <w:tblPr>
        <w:tblLayout w:type="fixed"/>
        <w:tblInd w:w="360" w:type="dxa"/>
        <w:tblCellMar>
          <w:top w:w="0" w:type="dxa"/>
          <w:left w:w="0" w:type="dxa"/>
          <w:bottom w:w="0" w:type="dxa"/>
          <w:right w:w="0" w:type="dxa"/>
        </w:tblCellMar>
      </w:tblPr>
      <w:tr>
        <w:trPr>
          <w:trHeight w:val="230"/>
        </w:trPr>
        <w:tc>
          <w:tcPr>
            <w:tcW w:w="10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Year</w:t>
            </w:r>
          </w:p>
        </w:tc>
        <w:tc>
          <w:tcPr>
            <w:tcW w:w="6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w w:val="95"/>
              </w:rPr>
              <w:t>Amount</w:t>
            </w:r>
          </w:p>
        </w:tc>
      </w:tr>
      <w:tr>
        <w:trPr>
          <w:trHeight w:val="197"/>
        </w:trPr>
        <w:tc>
          <w:tcPr>
            <w:tcW w:w="380" w:type="dxa"/>
            <w:vAlign w:val="bottom"/>
            <w:tcBorders>
              <w:top w:val="single" w:sz="8" w:color="auto"/>
            </w:tcBorders>
          </w:tcPr>
          <w:p>
            <w:pPr>
              <w:spacing w:after="0" w:line="197" w:lineRule="exact"/>
              <w:rPr>
                <w:sz w:val="20"/>
                <w:szCs w:val="20"/>
                <w:color w:val="auto"/>
              </w:rPr>
            </w:pPr>
            <w:r>
              <w:rPr>
                <w:rFonts w:ascii="Times New Roman" w:cs="Times New Roman" w:eastAsia="Times New Roman" w:hAnsi="Times New Roman"/>
                <w:sz w:val="18"/>
                <w:szCs w:val="18"/>
                <w:color w:val="auto"/>
                <w:w w:val="99"/>
              </w:rPr>
              <w:t>2010</w:t>
            </w:r>
          </w:p>
        </w:tc>
        <w:tc>
          <w:tcPr>
            <w:tcW w:w="9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Borders>
              <w:top w:val="single" w:sz="8" w:color="auto"/>
            </w:tcBorders>
          </w:tcPr>
          <w:p>
            <w:pPr>
              <w:spacing w:after="0" w:line="197" w:lineRule="exact"/>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top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rPr>
              <w:t>378</w:t>
            </w:r>
          </w:p>
        </w:tc>
      </w:tr>
      <w:tr>
        <w:trPr>
          <w:trHeight w:val="216"/>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w w:val="99"/>
              </w:rPr>
              <w:t>2011</w:t>
            </w:r>
          </w:p>
        </w:tc>
        <w:tc>
          <w:tcPr>
            <w:tcW w:w="9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w:t>
            </w:r>
          </w:p>
        </w:tc>
      </w:tr>
      <w:tr>
        <w:trPr>
          <w:trHeight w:val="216"/>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w w:val="99"/>
              </w:rPr>
              <w:t>2012</w:t>
            </w:r>
          </w:p>
        </w:tc>
        <w:tc>
          <w:tcPr>
            <w:tcW w:w="9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w:t>
            </w:r>
          </w:p>
        </w:tc>
      </w:tr>
      <w:tr>
        <w:trPr>
          <w:trHeight w:val="216"/>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w w:val="99"/>
              </w:rPr>
              <w:t>2013</w:t>
            </w:r>
          </w:p>
        </w:tc>
        <w:tc>
          <w:tcPr>
            <w:tcW w:w="9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w:t>
            </w:r>
          </w:p>
        </w:tc>
      </w:tr>
      <w:tr>
        <w:trPr>
          <w:trHeight w:val="216"/>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w w:val="99"/>
              </w:rPr>
              <w:t>2014</w:t>
            </w:r>
          </w:p>
        </w:tc>
        <w:tc>
          <w:tcPr>
            <w:tcW w:w="9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r>
      <w:tr>
        <w:trPr>
          <w:trHeight w:val="229"/>
        </w:trPr>
        <w:tc>
          <w:tcPr>
            <w:tcW w:w="10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Thereafter</w:t>
            </w: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629</w:t>
            </w:r>
          </w:p>
        </w:tc>
      </w:tr>
      <w:tr>
        <w:trPr>
          <w:trHeight w:val="224"/>
        </w:trPr>
        <w:tc>
          <w:tcPr>
            <w:tcW w:w="380" w:type="dxa"/>
            <w:vAlign w:val="bottom"/>
          </w:tcPr>
          <w:p>
            <w:pPr>
              <w:spacing w:after="0"/>
              <w:rPr>
                <w:sz w:val="19"/>
                <w:szCs w:val="19"/>
                <w:color w:val="auto"/>
              </w:rPr>
            </w:pPr>
          </w:p>
        </w:tc>
        <w:tc>
          <w:tcPr>
            <w:tcW w:w="97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1,844</w:t>
            </w:r>
          </w:p>
        </w:tc>
      </w:tr>
      <w:tr>
        <w:trPr>
          <w:trHeight w:val="20"/>
        </w:trPr>
        <w:tc>
          <w:tcPr>
            <w:tcW w:w="380" w:type="dxa"/>
            <w:vAlign w:val="bottom"/>
          </w:tcPr>
          <w:p>
            <w:pPr>
              <w:spacing w:after="0" w:line="20" w:lineRule="exact"/>
              <w:rPr>
                <w:sz w:val="1"/>
                <w:szCs w:val="1"/>
                <w:color w:val="auto"/>
              </w:rPr>
            </w:pPr>
          </w:p>
        </w:tc>
        <w:tc>
          <w:tcPr>
            <w:tcW w:w="9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left="360" w:right="500"/>
        <w:spacing w:after="0" w:line="275" w:lineRule="auto"/>
        <w:rPr>
          <w:sz w:val="20"/>
          <w:szCs w:val="20"/>
          <w:color w:val="auto"/>
        </w:rPr>
      </w:pPr>
      <w:r>
        <w:rPr>
          <w:rFonts w:ascii="Times New Roman" w:cs="Times New Roman" w:eastAsia="Times New Roman" w:hAnsi="Times New Roman"/>
          <w:sz w:val="18"/>
          <w:szCs w:val="18"/>
          <w:color w:val="auto"/>
        </w:rPr>
        <w:t>The future minimum lease payments in the above table have been reduced by minimum future sublease rental inflows in aggregate of $14 million and include minimum concession fees charged by airport authorities which, in many locations, are recoverable from vehicle rental customers.</w:t>
      </w:r>
    </w:p>
    <w:p>
      <w:pPr>
        <w:spacing w:after="0" w:line="120" w:lineRule="exact"/>
        <w:rPr>
          <w:sz w:val="20"/>
          <w:szCs w:val="20"/>
          <w:color w:val="auto"/>
        </w:rPr>
      </w:pPr>
    </w:p>
    <w:p>
      <w:pPr>
        <w:ind w:left="360" w:right="300"/>
        <w:spacing w:after="0" w:line="262" w:lineRule="auto"/>
        <w:rPr>
          <w:sz w:val="20"/>
          <w:szCs w:val="20"/>
          <w:color w:val="auto"/>
        </w:rPr>
      </w:pPr>
      <w:r>
        <w:rPr>
          <w:rFonts w:ascii="Times New Roman" w:cs="Times New Roman" w:eastAsia="Times New Roman" w:hAnsi="Times New Roman"/>
          <w:sz w:val="18"/>
          <w:szCs w:val="18"/>
          <w:color w:val="auto"/>
        </w:rPr>
        <w:t>The Company maintains concession agreements with various airport authorities that allow the Company to conduct its car rental operations onsite. In general, concession fees for airport locations are based on a percentage of total commissionable revenue (as defined by each airport authority), subject to minimum annual guaranteed amounts. These concession fees are included in the Company’s total rent expense and were as follows:</w:t>
      </w:r>
    </w:p>
    <w:p>
      <w:pPr>
        <w:spacing w:after="0" w:line="171" w:lineRule="exact"/>
        <w:rPr>
          <w:sz w:val="20"/>
          <w:szCs w:val="20"/>
          <w:color w:val="auto"/>
        </w:rPr>
      </w:pPr>
    </w:p>
    <w:tbl>
      <w:tblPr>
        <w:tblLayout w:type="fixed"/>
        <w:tblInd w:w="360" w:type="dxa"/>
        <w:tblCellMar>
          <w:top w:w="0" w:type="dxa"/>
          <w:left w:w="0" w:type="dxa"/>
          <w:bottom w:w="0" w:type="dxa"/>
          <w:right w:w="0" w:type="dxa"/>
        </w:tblCellMar>
      </w:tblPr>
      <w:tr>
        <w:trPr>
          <w:trHeight w:val="230"/>
        </w:trPr>
        <w:tc>
          <w:tcPr>
            <w:tcW w:w="7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340" w:type="dxa"/>
            <w:vAlign w:val="bottom"/>
            <w:tcBorders>
              <w:bottom w:val="single" w:sz="8" w:color="auto"/>
            </w:tcBorders>
            <w:gridSpan w:val="8"/>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46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r>
      <w:tr>
        <w:trPr>
          <w:trHeight w:val="212"/>
        </w:trPr>
        <w:tc>
          <w:tcPr>
            <w:tcW w:w="7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2009</w:t>
            </w:r>
          </w:p>
        </w:tc>
        <w:tc>
          <w:tcPr>
            <w:tcW w:w="380" w:type="dxa"/>
            <w:vAlign w:val="bottom"/>
          </w:tcPr>
          <w:p>
            <w:pPr>
              <w:spacing w:after="0"/>
              <w:rPr>
                <w:sz w:val="18"/>
                <w:szCs w:val="18"/>
                <w:color w:val="auto"/>
              </w:rPr>
            </w:pP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2008</w:t>
            </w: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w w:val="94"/>
              </w:rPr>
              <w:t>2007</w:t>
            </w:r>
          </w:p>
        </w:tc>
        <w:tc>
          <w:tcPr>
            <w:tcW w:w="40" w:type="dxa"/>
            <w:vAlign w:val="bottom"/>
          </w:tcPr>
          <w:p>
            <w:pPr>
              <w:spacing w:after="0"/>
              <w:rPr>
                <w:sz w:val="18"/>
                <w:szCs w:val="18"/>
                <w:color w:val="auto"/>
              </w:rPr>
            </w:pPr>
          </w:p>
        </w:tc>
      </w:tr>
      <w:tr>
        <w:trPr>
          <w:trHeight w:val="195"/>
        </w:trPr>
        <w:tc>
          <w:tcPr>
            <w:tcW w:w="766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Rent and minimum concession fees</w:t>
            </w:r>
          </w:p>
        </w:tc>
        <w:tc>
          <w:tcPr>
            <w:tcW w:w="20" w:type="dxa"/>
            <w:vAlign w:val="bottom"/>
          </w:tcPr>
          <w:p>
            <w:pPr>
              <w:spacing w:after="0"/>
              <w:rPr>
                <w:sz w:val="16"/>
                <w:szCs w:val="16"/>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340" w:type="dxa"/>
            <w:vAlign w:val="bottom"/>
            <w:tcBorders>
              <w:top w:val="single" w:sz="8" w:color="auto"/>
            </w:tcBorders>
          </w:tcPr>
          <w:p>
            <w:pPr>
              <w:jc w:val="right"/>
              <w:spacing w:after="0" w:line="195" w:lineRule="exact"/>
              <w:rPr>
                <w:sz w:val="20"/>
                <w:szCs w:val="20"/>
                <w:color w:val="auto"/>
              </w:rPr>
            </w:pPr>
            <w:r>
              <w:rPr>
                <w:rFonts w:ascii="Times New Roman" w:cs="Times New Roman" w:eastAsia="Times New Roman" w:hAnsi="Times New Roman"/>
                <w:sz w:val="18"/>
                <w:szCs w:val="18"/>
                <w:color w:val="auto"/>
              </w:rPr>
              <w:t>493</w:t>
            </w:r>
          </w:p>
        </w:tc>
        <w:tc>
          <w:tcPr>
            <w:tcW w:w="3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360" w:type="dxa"/>
            <w:vAlign w:val="bottom"/>
            <w:tcBorders>
              <w:top w:val="single" w:sz="8" w:color="auto"/>
            </w:tcBorders>
          </w:tcPr>
          <w:p>
            <w:pPr>
              <w:jc w:val="right"/>
              <w:spacing w:after="0" w:line="195" w:lineRule="exact"/>
              <w:rPr>
                <w:sz w:val="20"/>
                <w:szCs w:val="20"/>
                <w:color w:val="auto"/>
              </w:rPr>
            </w:pPr>
            <w:r>
              <w:rPr>
                <w:rFonts w:ascii="Times New Roman" w:cs="Times New Roman" w:eastAsia="Times New Roman" w:hAnsi="Times New Roman"/>
                <w:sz w:val="18"/>
                <w:szCs w:val="18"/>
                <w:color w:val="auto"/>
              </w:rPr>
              <w:t>477</w:t>
            </w:r>
          </w:p>
        </w:tc>
        <w:tc>
          <w:tcPr>
            <w:tcW w:w="3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60" w:type="dxa"/>
            <w:vAlign w:val="bottom"/>
            <w:tcBorders>
              <w:top w:val="single" w:sz="8" w:color="auto"/>
            </w:tcBorders>
          </w:tcPr>
          <w:p>
            <w:pPr>
              <w:jc w:val="right"/>
              <w:spacing w:after="0" w:line="195" w:lineRule="exact"/>
              <w:rPr>
                <w:sz w:val="20"/>
                <w:szCs w:val="20"/>
                <w:color w:val="auto"/>
              </w:rPr>
            </w:pPr>
            <w:r>
              <w:rPr>
                <w:rFonts w:ascii="Times New Roman" w:cs="Times New Roman" w:eastAsia="Times New Roman" w:hAnsi="Times New Roman"/>
                <w:sz w:val="18"/>
                <w:szCs w:val="18"/>
                <w:color w:val="auto"/>
              </w:rPr>
              <w:t>465</w:t>
            </w:r>
          </w:p>
        </w:tc>
        <w:tc>
          <w:tcPr>
            <w:tcW w:w="40" w:type="dxa"/>
            <w:vAlign w:val="bottom"/>
          </w:tcPr>
          <w:p>
            <w:pPr>
              <w:spacing w:after="0"/>
              <w:rPr>
                <w:sz w:val="16"/>
                <w:szCs w:val="16"/>
                <w:color w:val="auto"/>
              </w:rPr>
            </w:pPr>
          </w:p>
        </w:tc>
      </w:tr>
      <w:tr>
        <w:trPr>
          <w:trHeight w:val="229"/>
        </w:trPr>
        <w:tc>
          <w:tcPr>
            <w:tcW w:w="7660" w:type="dxa"/>
            <w:vAlign w:val="bottom"/>
          </w:tcPr>
          <w:p>
            <w:pPr>
              <w:spacing w:after="0"/>
              <w:rPr>
                <w:sz w:val="20"/>
                <w:szCs w:val="20"/>
                <w:color w:val="auto"/>
              </w:rPr>
            </w:pPr>
            <w:r>
              <w:rPr>
                <w:rFonts w:ascii="Times New Roman" w:cs="Times New Roman" w:eastAsia="Times New Roman" w:hAnsi="Times New Roman"/>
                <w:sz w:val="18"/>
                <w:szCs w:val="18"/>
                <w:color w:val="auto"/>
              </w:rPr>
              <w:t>Contingent concession expense</w:t>
            </w: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40" w:type="dxa"/>
            <w:vAlign w:val="bottom"/>
          </w:tcPr>
          <w:p>
            <w:pPr>
              <w:spacing w:after="0"/>
              <w:rPr>
                <w:sz w:val="19"/>
                <w:szCs w:val="19"/>
                <w:color w:val="auto"/>
              </w:rPr>
            </w:pPr>
          </w:p>
        </w:tc>
      </w:tr>
      <w:tr>
        <w:trPr>
          <w:trHeight w:val="210"/>
        </w:trPr>
        <w:tc>
          <w:tcPr>
            <w:tcW w:w="7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w:t>
            </w: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w:t>
            </w: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w:t>
            </w:r>
          </w:p>
        </w:tc>
        <w:tc>
          <w:tcPr>
            <w:tcW w:w="40" w:type="dxa"/>
            <w:vAlign w:val="bottom"/>
          </w:tcPr>
          <w:p>
            <w:pPr>
              <w:spacing w:after="0"/>
              <w:rPr>
                <w:sz w:val="18"/>
                <w:szCs w:val="18"/>
                <w:color w:val="auto"/>
              </w:rPr>
            </w:pPr>
          </w:p>
        </w:tc>
      </w:tr>
      <w:tr>
        <w:trPr>
          <w:trHeight w:val="228"/>
        </w:trPr>
        <w:tc>
          <w:tcPr>
            <w:tcW w:w="7660" w:type="dxa"/>
            <w:vAlign w:val="bottom"/>
          </w:tcPr>
          <w:p>
            <w:pPr>
              <w:spacing w:after="0"/>
              <w:rPr>
                <w:sz w:val="20"/>
                <w:szCs w:val="20"/>
                <w:color w:val="auto"/>
              </w:rPr>
            </w:pPr>
            <w:r>
              <w:rPr>
                <w:rFonts w:ascii="Times New Roman" w:cs="Times New Roman" w:eastAsia="Times New Roman" w:hAnsi="Times New Roman"/>
                <w:sz w:val="18"/>
                <w:szCs w:val="18"/>
                <w:color w:val="auto"/>
              </w:rPr>
              <w:t>Less: sublease rental income</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w:t>
            </w: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25"/>
        </w:trPr>
        <w:tc>
          <w:tcPr>
            <w:tcW w:w="766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582</w:t>
            </w: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598</w:t>
            </w:r>
          </w:p>
        </w:tc>
        <w:tc>
          <w:tcPr>
            <w:tcW w:w="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587</w:t>
            </w:r>
          </w:p>
        </w:tc>
        <w:tc>
          <w:tcPr>
            <w:tcW w:w="40" w:type="dxa"/>
            <w:vAlign w:val="bottom"/>
          </w:tcPr>
          <w:p>
            <w:pPr>
              <w:spacing w:after="0"/>
              <w:rPr>
                <w:sz w:val="19"/>
                <w:szCs w:val="19"/>
                <w:color w:val="auto"/>
              </w:rPr>
            </w:pPr>
          </w:p>
        </w:tc>
      </w:tr>
      <w:tr>
        <w:trPr>
          <w:trHeight w:val="20"/>
        </w:trPr>
        <w:tc>
          <w:tcPr>
            <w:tcW w:w="7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61" w:lineRule="exact"/>
        <w:rPr>
          <w:sz w:val="20"/>
          <w:szCs w:val="20"/>
          <w:color w:val="auto"/>
        </w:rPr>
      </w:pPr>
    </w:p>
    <w:p>
      <w:pPr>
        <w:ind w:left="360" w:right="40"/>
        <w:spacing w:after="0" w:line="275" w:lineRule="auto"/>
        <w:rPr>
          <w:sz w:val="20"/>
          <w:szCs w:val="20"/>
          <w:color w:val="auto"/>
        </w:rPr>
      </w:pPr>
      <w:r>
        <w:rPr>
          <w:rFonts w:ascii="Times New Roman" w:cs="Times New Roman" w:eastAsia="Times New Roman" w:hAnsi="Times New Roman"/>
          <w:sz w:val="18"/>
          <w:szCs w:val="18"/>
          <w:color w:val="auto"/>
        </w:rPr>
        <w:t>Commitments under capital leases, other than those within the Company’s vehicle rental programs, for which the future minimum lease payments have been reflected in Note 18—Debt Under Vehicle Programs and Borrowing Arrangements, are not significant.</w:t>
      </w:r>
    </w:p>
    <w:p>
      <w:pPr>
        <w:spacing w:after="0" w:line="11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i w:val="1"/>
          <w:iCs w:val="1"/>
          <w:color w:val="auto"/>
        </w:rPr>
        <w:t>Contingencies</w:t>
      </w:r>
    </w:p>
    <w:p>
      <w:pPr>
        <w:spacing w:after="0" w:line="17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IRS is examining the Company’s taxable years 2003 through 2006, the year of the Cendant Separation (see Note 10—Income Taxes).</w:t>
      </w:r>
    </w:p>
    <w:p>
      <w:pPr>
        <w:spacing w:after="0" w:line="171" w:lineRule="exact"/>
        <w:rPr>
          <w:sz w:val="20"/>
          <w:szCs w:val="20"/>
          <w:color w:val="auto"/>
        </w:rPr>
      </w:pPr>
    </w:p>
    <w:p>
      <w:pPr>
        <w:ind w:left="360"/>
        <w:spacing w:after="0" w:line="254" w:lineRule="auto"/>
        <w:rPr>
          <w:sz w:val="20"/>
          <w:szCs w:val="20"/>
          <w:color w:val="auto"/>
        </w:rPr>
      </w:pPr>
      <w:r>
        <w:rPr>
          <w:rFonts w:ascii="Times New Roman" w:cs="Times New Roman" w:eastAsia="Times New Roman" w:hAnsi="Times New Roman"/>
          <w:sz w:val="18"/>
          <w:szCs w:val="18"/>
          <w:color w:val="auto"/>
        </w:rPr>
        <w:t>In connection with the spin-offs of Realogy and Wyndham, the Company entered into the Separation Agreement, pursuant to which Realogy assumed 62.5% and Wyndham assumed 37.5% of certain contingent and other corporate liabilities of the Company or its subsidiaries, which are not primarily related to any of the respective businesses of Realogy, Wyndham, Travelport and/or the Company’s vehicle rental operations, in each case incurred or allegedly incurred on or prior to the separation of Travelport from the Company (“Assumed Liabilities”). Realogy is entitled to receive 62.5% and Wyndham is entitled to receive 37.5% of the proceeds from certain contingent corporate assets of the Company, which are not primarily related to any of the respective businesses of Realogy, Wyndham, Travelport and/or the Company’s vehicle rental operations, arising or accrued on or prior to the separation of Travelport from the Company (“Assumed</w:t>
      </w:r>
    </w:p>
    <w:p>
      <w:pPr>
        <w:spacing w:after="0" w:line="12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F-35</w:t>
      </w:r>
    </w:p>
    <w:p>
      <w:pPr>
        <w:sectPr>
          <w:pgSz w:w="11900" w:h="16838" w:orient="portrait"/>
          <w:cols w:equalWidth="0" w:num="1">
            <w:col w:w="11380"/>
          </w:cols>
          <w:pgMar w:left="240" w:top="455" w:right="279" w:bottom="1440" w:gutter="0" w:footer="0" w:header="0"/>
        </w:sectPr>
      </w:pPr>
    </w:p>
    <w:bookmarkStart w:id="96" w:name="page97"/>
    <w:bookmarkEnd w:id="9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360"/>
        <w:spacing w:after="0" w:line="262" w:lineRule="auto"/>
        <w:rPr>
          <w:sz w:val="20"/>
          <w:szCs w:val="20"/>
          <w:color w:val="auto"/>
        </w:rPr>
      </w:pPr>
      <w:r>
        <w:rPr>
          <w:rFonts w:ascii="Times New Roman" w:cs="Times New Roman" w:eastAsia="Times New Roman" w:hAnsi="Times New Roman"/>
          <w:sz w:val="18"/>
          <w:szCs w:val="18"/>
          <w:color w:val="auto"/>
        </w:rPr>
        <w:t>Assets”). Additionally, if Realogy or Wyndham were to default on its payment of costs or expenses to the Company related to any Assumed Liabilities, the Company would be responsible for 50% of the defaulting party’s obligation. In such event, the Company would be allowed to use the defaulting party’s share of the proceeds of any Assumed Assets as a right of offset.</w:t>
      </w:r>
    </w:p>
    <w:p>
      <w:pPr>
        <w:spacing w:after="0" w:line="132" w:lineRule="exact"/>
        <w:rPr>
          <w:sz w:val="20"/>
          <w:szCs w:val="20"/>
          <w:color w:val="auto"/>
        </w:rPr>
      </w:pPr>
    </w:p>
    <w:p>
      <w:pPr>
        <w:ind w:left="360" w:right="20"/>
        <w:spacing w:after="0" w:line="256" w:lineRule="auto"/>
        <w:rPr>
          <w:sz w:val="20"/>
          <w:szCs w:val="20"/>
          <w:color w:val="auto"/>
        </w:rPr>
      </w:pPr>
      <w:r>
        <w:rPr>
          <w:rFonts w:ascii="Times New Roman" w:cs="Times New Roman" w:eastAsia="Times New Roman" w:hAnsi="Times New Roman"/>
          <w:sz w:val="18"/>
          <w:szCs w:val="18"/>
          <w:color w:val="auto"/>
        </w:rPr>
        <w:t>The Company does not believe that the impact of any unresolved proceedings constituting Assumed Liabilities related to the Credentials Litigation described below or other pre-Separation activities should result in a material liability to the Company in relation to its consolidated financial position or liquidity, as Realogy and Wyndham each have agreed to assume responsibility for these liabilities as well as other liabilities related to the Company’s litigation that are not related to its vehicle rental operations. Such litigation assumed by Realogy and Wyndham includes litigation which was retained by the Company in connection with the sale of its former Marketing Services division (“MSD”).</w:t>
      </w:r>
    </w:p>
    <w:p>
      <w:pPr>
        <w:spacing w:after="0" w:line="139" w:lineRule="exact"/>
        <w:rPr>
          <w:sz w:val="20"/>
          <w:szCs w:val="20"/>
          <w:color w:val="auto"/>
        </w:rPr>
      </w:pPr>
    </w:p>
    <w:p>
      <w:pPr>
        <w:ind w:left="360" w:right="100"/>
        <w:spacing w:after="0" w:line="255" w:lineRule="auto"/>
        <w:rPr>
          <w:sz w:val="20"/>
          <w:szCs w:val="20"/>
          <w:color w:val="auto"/>
        </w:rPr>
      </w:pPr>
      <w:r>
        <w:rPr>
          <w:rFonts w:ascii="Times New Roman" w:cs="Times New Roman" w:eastAsia="Times New Roman" w:hAnsi="Times New Roman"/>
          <w:sz w:val="18"/>
          <w:szCs w:val="18"/>
          <w:color w:val="auto"/>
        </w:rPr>
        <w:t>In April 2007, Realogy was acquired by an affiliate of Apollo Management VI, L.P. The acquisition does not affect Realogy’s obligation to satisfy 62.5% of the contingent and other corporate liabilities of the Company or its subsidiaries pursuant to the terms of the Separation Agreement. As a result of the acquisition, Realogy has greater debt obligations and its ability to satisfy its portion of the contingent and other corporate liabilities may be adversely impacted. In accordance with the terms of the Separation Agreement, Realogy posted a letter of credit in April 2007 for the benefit of the Company to cover its estimated share of the Assumed Liabilities discussed above, subject to adjustment, although there can be no assurance that such letter of credit will be sufficient or effective to cover Realogy’s actual obligations if and when they arise.</w:t>
      </w:r>
    </w:p>
    <w:p>
      <w:pPr>
        <w:spacing w:after="0" w:line="13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As a result of payments made by Realogy and Wyndham in July 2009, the judgment in respect of the litigation alleging breach of contract and fraud arising</w:t>
      </w:r>
    </w:p>
    <w:p>
      <w:pPr>
        <w:spacing w:after="0" w:line="4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out of the acquisition of a business in 1998 (“Credentials Litigation”) was satisfied. Plaintiffs have petitioned the court for attorneys’ fees in the amount of</w:t>
      </w:r>
    </w:p>
    <w:p>
      <w:pPr>
        <w:spacing w:after="0" w:line="3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$33 million and the Company has accrued liabilities of approximately $12 million in respect of this petition based on its assessment of amounts that plaintiffs</w:t>
      </w:r>
    </w:p>
    <w:p>
      <w:pPr>
        <w:spacing w:after="0" w:line="3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are likely to recover. In January 2010, the court issued a summary order referring the determination of the proper amount of attorneys’ fees to a magistrate.</w:t>
      </w:r>
    </w:p>
    <w:p>
      <w:pPr>
        <w:spacing w:after="0" w:line="3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Regardless of the ultimate outcome of the petition for attorneys’ fees, pursuant to the Separation Agreement, Realogy and Wyndham have assumed all</w:t>
      </w:r>
    </w:p>
    <w:p>
      <w:pPr>
        <w:spacing w:after="0" w:line="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liabilities related to this litigation and therefore a corresponding receivable has been established for such amount. Changes in liabilities related to such legal</w:t>
      </w:r>
    </w:p>
    <w:p>
      <w:pPr>
        <w:spacing w:after="0" w:line="3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matters for which the Company is entitled to indemnification, and corresponding changes in the Company’s indemnification assets, are shown net on the</w:t>
      </w:r>
    </w:p>
    <w:p>
      <w:pPr>
        <w:spacing w:after="0" w:line="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Consolidated Statements of Operations. There was no net impact to the Company’s financial statements or cash balances as a result of the satisfaction of this</w:t>
      </w:r>
    </w:p>
    <w:p>
      <w:pPr>
        <w:spacing w:after="0" w:line="3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judgment or the petition for attorneys’ fees.</w:t>
      </w:r>
    </w:p>
    <w:p>
      <w:pPr>
        <w:spacing w:after="0" w:line="159" w:lineRule="exact"/>
        <w:rPr>
          <w:sz w:val="20"/>
          <w:szCs w:val="20"/>
          <w:color w:val="auto"/>
        </w:rPr>
      </w:pPr>
    </w:p>
    <w:p>
      <w:pPr>
        <w:ind w:left="360" w:right="160"/>
        <w:spacing w:after="0" w:line="256" w:lineRule="auto"/>
        <w:rPr>
          <w:sz w:val="20"/>
          <w:szCs w:val="20"/>
          <w:color w:val="auto"/>
        </w:rPr>
      </w:pPr>
      <w:r>
        <w:rPr>
          <w:rFonts w:ascii="Times New Roman" w:cs="Times New Roman" w:eastAsia="Times New Roman" w:hAnsi="Times New Roman"/>
          <w:sz w:val="18"/>
          <w:szCs w:val="18"/>
          <w:color w:val="auto"/>
        </w:rPr>
        <w:t>In October 2009, a judgment was entered against the Company in the amount of $16 million following the completion of a jury trial for damages related to breach of contract in the United States District Court for the District of Alaska. The lawsuit, which was filed in 2003, involved breach of contract and other claims by one of the Company’s licensees related to the acquisition of its Budget vehicle rental business in 2002. The Company believes the verdict in this case is unsupported by the evidence. In November 2009, the Company filed a motion for judgment notwithstanding verdict, which was denied in January 2010. The Company intends to appeal the judgment.</w:t>
      </w:r>
    </w:p>
    <w:p>
      <w:pPr>
        <w:spacing w:after="0" w:line="139" w:lineRule="exact"/>
        <w:rPr>
          <w:sz w:val="20"/>
          <w:szCs w:val="20"/>
          <w:color w:val="auto"/>
        </w:rPr>
      </w:pPr>
    </w:p>
    <w:p>
      <w:pPr>
        <w:ind w:left="360" w:right="80"/>
        <w:spacing w:after="0" w:line="255" w:lineRule="auto"/>
        <w:rPr>
          <w:sz w:val="20"/>
          <w:szCs w:val="20"/>
          <w:color w:val="auto"/>
        </w:rPr>
      </w:pPr>
      <w:r>
        <w:rPr>
          <w:rFonts w:ascii="Times New Roman" w:cs="Times New Roman" w:eastAsia="Times New Roman" w:hAnsi="Times New Roman"/>
          <w:sz w:val="18"/>
          <w:szCs w:val="18"/>
          <w:color w:val="auto"/>
        </w:rPr>
        <w:t>In addition to the matters discussed above, the Company is also involved in claims, legal proceedings and governmental inquiries related to its vehicle rental operations, including with respect to contract disputes, business practices including wage and hour claims, insurance claims, intellectual property claims, environmental issues and other commercial, employment and tax matters, and breach of contract claims by licensees. The Company believes that it has adequately accrued for such matters as appropriate or, for matters not requiring accrual, believes that they will not have a material adverse impact on its results of operations, financial position or cash flows based on information currently available. However, litigation is inherently unpredictable and, although the Company believes that its accruals are adequate and/or that it has valid</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F-36</w:t>
      </w:r>
    </w:p>
    <w:p>
      <w:pPr>
        <w:sectPr>
          <w:pgSz w:w="11900" w:h="16838" w:orient="portrait"/>
          <w:cols w:equalWidth="0" w:num="1">
            <w:col w:w="11420"/>
          </w:cols>
          <w:pgMar w:left="240" w:top="455" w:right="239" w:bottom="1440" w:gutter="0" w:footer="0" w:header="0"/>
        </w:sectPr>
      </w:pPr>
    </w:p>
    <w:bookmarkStart w:id="97" w:name="page98"/>
    <w:bookmarkEnd w:id="9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360" w:right="620"/>
        <w:spacing w:after="0" w:line="275" w:lineRule="auto"/>
        <w:rPr>
          <w:sz w:val="20"/>
          <w:szCs w:val="20"/>
          <w:color w:val="auto"/>
        </w:rPr>
      </w:pPr>
      <w:r>
        <w:rPr>
          <w:rFonts w:ascii="Times New Roman" w:cs="Times New Roman" w:eastAsia="Times New Roman" w:hAnsi="Times New Roman"/>
          <w:sz w:val="18"/>
          <w:szCs w:val="18"/>
          <w:color w:val="auto"/>
        </w:rPr>
        <w:t>defenses in these matters, unfavorable resolutions could occur, which could adversely impact the Company’s results of operations or cash flows in a particular reporting period.</w:t>
      </w:r>
    </w:p>
    <w:p>
      <w:pPr>
        <w:spacing w:after="0" w:line="11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i w:val="1"/>
          <w:iCs w:val="1"/>
          <w:color w:val="auto"/>
        </w:rPr>
        <w:t>Commitments to Purchase Vehicles</w:t>
      </w:r>
    </w:p>
    <w:p>
      <w:pPr>
        <w:spacing w:after="0" w:line="175" w:lineRule="exact"/>
        <w:rPr>
          <w:sz w:val="20"/>
          <w:szCs w:val="20"/>
          <w:color w:val="auto"/>
        </w:rPr>
      </w:pPr>
    </w:p>
    <w:p>
      <w:pPr>
        <w:jc w:val="both"/>
        <w:ind w:left="360" w:right="180"/>
        <w:spacing w:after="0" w:line="301" w:lineRule="auto"/>
        <w:rPr>
          <w:sz w:val="20"/>
          <w:szCs w:val="20"/>
          <w:color w:val="auto"/>
        </w:rPr>
      </w:pPr>
      <w:r>
        <w:rPr>
          <w:rFonts w:ascii="Times New Roman" w:cs="Times New Roman" w:eastAsia="Times New Roman" w:hAnsi="Times New Roman"/>
          <w:sz w:val="16"/>
          <w:szCs w:val="16"/>
          <w:color w:val="auto"/>
        </w:rPr>
        <w:t>The Company maintains agreements with vehicle manufacturers under which the Company has agreed to purchase approximately $4.2 billion of vehicles from manufacturers over the next twelve months. The majority of these commitments are subject to the vehicle manufacturers’ satisfying their obligations under the repurchase and guaranteed depreciation agreements. The purchase of such vehicles is financed primarily through the issuance of vehicle-backed debt in addition to cash received upon the sale of vehicles in the used car market and under repurchase and guaranteed depreciation programs.</w:t>
      </w:r>
    </w:p>
    <w:p>
      <w:pPr>
        <w:spacing w:after="0" w:line="9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i w:val="1"/>
          <w:iCs w:val="1"/>
          <w:color w:val="auto"/>
        </w:rPr>
        <w:t>Other Purchase Commitments</w:t>
      </w:r>
    </w:p>
    <w:p>
      <w:pPr>
        <w:spacing w:after="0" w:line="175" w:lineRule="exact"/>
        <w:rPr>
          <w:sz w:val="20"/>
          <w:szCs w:val="20"/>
          <w:color w:val="auto"/>
        </w:rPr>
      </w:pPr>
    </w:p>
    <w:p>
      <w:pPr>
        <w:ind w:left="360" w:right="20"/>
        <w:spacing w:after="0" w:line="262" w:lineRule="auto"/>
        <w:rPr>
          <w:sz w:val="20"/>
          <w:szCs w:val="20"/>
          <w:color w:val="auto"/>
        </w:rPr>
      </w:pPr>
      <w:r>
        <w:rPr>
          <w:rFonts w:ascii="Times New Roman" w:cs="Times New Roman" w:eastAsia="Times New Roman" w:hAnsi="Times New Roman"/>
          <w:sz w:val="18"/>
          <w:szCs w:val="18"/>
          <w:color w:val="auto"/>
        </w:rPr>
        <w:t>In the normal course of business, the Company makes various commitments to purchase goods or services from specific suppliers, including those related to capital expenditures. None of the purchase commitments made by the Company as of December 31, 2009 (aggregating approximately $58 million) was individually significant. These purchase obligations extend through 2014.</w:t>
      </w:r>
    </w:p>
    <w:p>
      <w:pPr>
        <w:spacing w:after="0" w:line="12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i w:val="1"/>
          <w:iCs w:val="1"/>
          <w:color w:val="auto"/>
        </w:rPr>
        <w:t>Concentrations</w:t>
      </w:r>
    </w:p>
    <w:p>
      <w:pPr>
        <w:spacing w:after="0" w:line="175" w:lineRule="exact"/>
        <w:rPr>
          <w:sz w:val="20"/>
          <w:szCs w:val="20"/>
          <w:color w:val="auto"/>
        </w:rPr>
      </w:pPr>
    </w:p>
    <w:p>
      <w:pPr>
        <w:ind w:left="360"/>
        <w:spacing w:after="0" w:line="256" w:lineRule="auto"/>
        <w:rPr>
          <w:sz w:val="20"/>
          <w:szCs w:val="20"/>
          <w:color w:val="auto"/>
        </w:rPr>
      </w:pPr>
      <w:r>
        <w:rPr>
          <w:rFonts w:ascii="Times New Roman" w:cs="Times New Roman" w:eastAsia="Times New Roman" w:hAnsi="Times New Roman"/>
          <w:sz w:val="18"/>
          <w:szCs w:val="18"/>
          <w:color w:val="auto"/>
        </w:rPr>
        <w:t>Concentrations of credit risk at December 31, 2009 include (i) risks related to the Company’s repurchase and guaranteed depreciation agreements with domestic and foreign car manufacturers, including General Motors Company, Ford Motor Company, Chrysler Group LLC, Hyundai Motor America and Kia Motors America, Inc., primarily with respect to receivables for program cars that have been returned to the car manufacturers and (ii) risks related to Realogy and Wyndham, including receivables of $506 million and $309 million, respectively, related to certain contingent, income tax and other corporate liabilities assumed by Realogy and Wyndham in connection with the Cendant Separation.</w:t>
      </w:r>
    </w:p>
    <w:p>
      <w:pPr>
        <w:spacing w:after="0" w:line="13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i w:val="1"/>
          <w:iCs w:val="1"/>
          <w:color w:val="auto"/>
        </w:rPr>
        <w:t>Asset Retirement Obligations</w:t>
      </w:r>
    </w:p>
    <w:p>
      <w:pPr>
        <w:spacing w:after="0" w:line="175" w:lineRule="exact"/>
        <w:rPr>
          <w:sz w:val="20"/>
          <w:szCs w:val="20"/>
          <w:color w:val="auto"/>
        </w:rPr>
      </w:pPr>
    </w:p>
    <w:p>
      <w:pPr>
        <w:ind w:left="360" w:right="140"/>
        <w:spacing w:after="0" w:line="258" w:lineRule="auto"/>
        <w:rPr>
          <w:sz w:val="20"/>
          <w:szCs w:val="20"/>
          <w:color w:val="auto"/>
        </w:rPr>
      </w:pPr>
      <w:r>
        <w:rPr>
          <w:rFonts w:ascii="Times New Roman" w:cs="Times New Roman" w:eastAsia="Times New Roman" w:hAnsi="Times New Roman"/>
          <w:sz w:val="18"/>
          <w:szCs w:val="18"/>
          <w:color w:val="auto"/>
        </w:rPr>
        <w:t>The Company maintains a liability for asset retirement obligations. An asset retirement obligation is a legal obligation to perform certain activities in connection with the retirement, disposal or abandonment of assets. The Company’s asset retirement obligations, which are measured at discounted fair values, are primarily related to the removal of underground gas storage tanks at its rental facilities. Liabilities accrued for asset retirement obligations were $21 million at December 31, 2009 and 2008.</w:t>
      </w:r>
    </w:p>
    <w:p>
      <w:pPr>
        <w:spacing w:after="0" w:line="13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i w:val="1"/>
          <w:iCs w:val="1"/>
          <w:color w:val="auto"/>
        </w:rPr>
        <w:t>Standard Guarantees/Indemnifications</w:t>
      </w:r>
    </w:p>
    <w:p>
      <w:pPr>
        <w:spacing w:after="0" w:line="175" w:lineRule="exact"/>
        <w:rPr>
          <w:sz w:val="20"/>
          <w:szCs w:val="20"/>
          <w:color w:val="auto"/>
        </w:rPr>
      </w:pPr>
    </w:p>
    <w:p>
      <w:pPr>
        <w:ind w:left="360"/>
        <w:spacing w:after="0" w:line="289" w:lineRule="auto"/>
        <w:rPr>
          <w:sz w:val="20"/>
          <w:szCs w:val="20"/>
          <w:color w:val="auto"/>
        </w:rPr>
      </w:pPr>
      <w:r>
        <w:rPr>
          <w:rFonts w:ascii="Times New Roman" w:cs="Times New Roman" w:eastAsia="Times New Roman" w:hAnsi="Times New Roman"/>
          <w:sz w:val="16"/>
          <w:szCs w:val="16"/>
          <w:color w:val="auto"/>
        </w:rPr>
        <w:t>In the ordinary course of business, the Company enters into numerous agreements that contain standard guarantees and indemnities whereby the Company indemnifies another party, among other things, for breaches of representations and warranties. In addition, many of these parties are also indemnified against any third-party claim resulting from the transaction that is contemplated in the underlying agreement. Such guarantees or indemnifications are granted under various agreements, including those governing (i) purchases, sales or outsourcing of assets or businesses, (ii) leases of real estate, (iii) licensing of trademarks, (iv) access to credit facilities and use of derivatives and (v) issuances of debt or equity securities. The guarantees or indemnifications issued are for the benefit of the (i) buyers in sale agreements and sellers in purchase agreements, (ii) landlords in lease contracts, (iii) franchisees in licensing agreements, (iv) financial institutions in credit facility arrangements and derivative contracts and (v) underwriters in debt or equity security issuances. While some of these guarantees extend only for the duration of the underlying agreement, many survive the expiration of the term of the agreement or extend into perpetuity (unless subject to a legal statute of limitations). There are no specific limitations on the maximum potential amount of future</w:t>
      </w:r>
    </w:p>
    <w:p>
      <w:pPr>
        <w:spacing w:after="0" w:line="9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F-37</w:t>
      </w:r>
    </w:p>
    <w:p>
      <w:pPr>
        <w:sectPr>
          <w:pgSz w:w="11900" w:h="16838" w:orient="portrait"/>
          <w:cols w:equalWidth="0" w:num="1">
            <w:col w:w="11360"/>
          </w:cols>
          <w:pgMar w:left="240" w:top="455" w:right="299" w:bottom="1440" w:gutter="0" w:footer="0" w:header="0"/>
        </w:sectPr>
      </w:pPr>
    </w:p>
    <w:bookmarkStart w:id="98" w:name="page99"/>
    <w:bookmarkEnd w:id="9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360" w:right="280"/>
        <w:spacing w:after="0" w:line="258" w:lineRule="auto"/>
        <w:rPr>
          <w:sz w:val="20"/>
          <w:szCs w:val="20"/>
          <w:color w:val="auto"/>
        </w:rPr>
      </w:pPr>
      <w:r>
        <w:rPr>
          <w:rFonts w:ascii="Times New Roman" w:cs="Times New Roman" w:eastAsia="Times New Roman" w:hAnsi="Times New Roman"/>
          <w:sz w:val="18"/>
          <w:szCs w:val="18"/>
          <w:color w:val="auto"/>
        </w:rPr>
        <w:t>payments that the Company could be required to make under these guarantees, nor is the Company able to develop an estimate of the maximum potential amount of future payments to be made under these guarantees as the triggering events are not subject to predictability. With respect to certain of the aforementioned guarantees, such as indemnifications provided to landlords against third-party claims for the use of real estate property leased by the Company, the Company maintains insurance coverage that mitigates its potential exposure.</w:t>
      </w:r>
    </w:p>
    <w:p>
      <w:pPr>
        <w:spacing w:after="0" w:line="13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i w:val="1"/>
          <w:iCs w:val="1"/>
          <w:color w:val="auto"/>
        </w:rPr>
        <w:t>Other Guarantees</w:t>
      </w:r>
    </w:p>
    <w:p>
      <w:pPr>
        <w:spacing w:after="0" w:line="175" w:lineRule="exact"/>
        <w:rPr>
          <w:sz w:val="20"/>
          <w:szCs w:val="20"/>
          <w:color w:val="auto"/>
        </w:rPr>
      </w:pPr>
    </w:p>
    <w:p>
      <w:pPr>
        <w:ind w:left="360" w:right="20"/>
        <w:spacing w:after="0" w:line="254" w:lineRule="auto"/>
        <w:rPr>
          <w:sz w:val="20"/>
          <w:szCs w:val="20"/>
          <w:color w:val="auto"/>
        </w:rPr>
      </w:pPr>
      <w:r>
        <w:rPr>
          <w:rFonts w:ascii="Times New Roman" w:cs="Times New Roman" w:eastAsia="Times New Roman" w:hAnsi="Times New Roman"/>
          <w:sz w:val="18"/>
          <w:szCs w:val="18"/>
          <w:color w:val="auto"/>
        </w:rPr>
        <w:t>The Company has provided certain guarantees to, or for the benefit of, subsidiaries of Realogy, Wyndham and Travelport which, as previously discussed, were disposed of during third quarter 2006. These guarantees relate to various real estate operating leases. The maximum potential amount of future payments that the Company may be required to make under the guarantees relating to the various real estate operating leases is estimated to be approximately $237 million. At December 31, 2009, the liability recorded by the Company in connection with these guarantees was approximately $5 million. To the extent that the Company would be required to perform under any of these guarantees, the Company is entitled to indemnification by Realogy, Wyndham and Travelport. The Company monitors the credit ratings and other relevant information for Realogy, Wyndham and Travelport’s parent company in order to assess the status of the payment/performance risk of these guarantees.</w:t>
      </w:r>
    </w:p>
    <w:p>
      <w:pPr>
        <w:spacing w:after="0" w:line="141" w:lineRule="exact"/>
        <w:rPr>
          <w:sz w:val="20"/>
          <w:szCs w:val="20"/>
          <w:color w:val="auto"/>
        </w:rPr>
      </w:pPr>
    </w:p>
    <w:p>
      <w:pPr>
        <w:ind w:left="360" w:right="100"/>
        <w:spacing w:after="0" w:line="256" w:lineRule="auto"/>
        <w:rPr>
          <w:sz w:val="20"/>
          <w:szCs w:val="20"/>
          <w:color w:val="auto"/>
        </w:rPr>
      </w:pPr>
      <w:r>
        <w:rPr>
          <w:rFonts w:ascii="Times New Roman" w:cs="Times New Roman" w:eastAsia="Times New Roman" w:hAnsi="Times New Roman"/>
          <w:sz w:val="18"/>
          <w:szCs w:val="18"/>
          <w:color w:val="auto"/>
        </w:rPr>
        <w:t>The Company has provided certain guarantees to, or for the benefit of, subsidiaries of PHH, which was spun-off during first quarter 2005. These guarantees relate primarily to various real estate leases. The maximum potential amount of future payments that the Company may be required to make under the guarantees relating to the various real estate leases is estimated to be approximately $10 million. At December 31, 2009, the liability recorded by the Company in connection with these guarantees was less than $1 million. To the extent that the Company would be required to perform under any of these guarantees, PHH has agreed to indemnify the Company.</w:t>
      </w:r>
    </w:p>
    <w:p>
      <w:pPr>
        <w:spacing w:after="0" w:line="139" w:lineRule="exact"/>
        <w:rPr>
          <w:sz w:val="20"/>
          <w:szCs w:val="20"/>
          <w:color w:val="auto"/>
        </w:rPr>
      </w:pPr>
    </w:p>
    <w:p>
      <w:pPr>
        <w:ind w:left="360" w:right="40"/>
        <w:spacing w:after="0" w:line="288" w:lineRule="auto"/>
        <w:rPr>
          <w:sz w:val="20"/>
          <w:szCs w:val="20"/>
          <w:color w:val="auto"/>
        </w:rPr>
      </w:pPr>
      <w:r>
        <w:rPr>
          <w:rFonts w:ascii="Times New Roman" w:cs="Times New Roman" w:eastAsia="Times New Roman" w:hAnsi="Times New Roman"/>
          <w:sz w:val="16"/>
          <w:szCs w:val="16"/>
          <w:color w:val="auto"/>
        </w:rPr>
        <w:t>In connection with the Company’s disposition of MSD, the Company agreed to provide certain indemnifications related to, among other things, litigation matters related to various suits brought against MSD by individual consumers and state regulatory authorities seeking monetary and/or injunctive relief regarding the marketing of certain membership programs and inquiries from state regulatory authorities related to such programs. Such indemnification entitles the purchaser to reimbursement for a portion of the actual losses suffered by it in regards to such matters. In addition, pursuant to a number of commercial arrangements entered into between certain of the Company’s subsidiaries and MSD, the Company also agreed among other things to provide a minimum number of call transfers to certain MSD subsidiaries, as well as retaining pre-existing guarantee obligations for certain real estate operating lease obligations on behalf of certain MSD subsidiaries. The Company established a liability for the estimated fair value of these guarantees in the amount of approximately $100 million on the sale date, which reduced the gain on the transaction recorded within discontinued operations. The residual liability as of December 31, 2009 was approximately $12 million. The maximum potential amount of future payments to be made under these guarantees is approximately $40 million, excluding one litigation matter for which there is no limitation to the maximum potential amount of future payments.</w:t>
      </w:r>
    </w:p>
    <w:p>
      <w:pPr>
        <w:spacing w:after="0" w:line="336" w:lineRule="exact"/>
        <w:rPr>
          <w:sz w:val="20"/>
          <w:szCs w:val="20"/>
          <w:color w:val="auto"/>
        </w:rPr>
      </w:pPr>
    </w:p>
    <w:p>
      <w:pPr>
        <w:ind w:left="360"/>
        <w:spacing w:after="0" w:line="310" w:lineRule="auto"/>
        <w:rPr>
          <w:sz w:val="20"/>
          <w:szCs w:val="20"/>
          <w:color w:val="auto"/>
        </w:rPr>
      </w:pPr>
      <w:r>
        <w:rPr>
          <w:rFonts w:ascii="Times New Roman" w:cs="Times New Roman" w:eastAsia="Times New Roman" w:hAnsi="Times New Roman"/>
          <w:sz w:val="16"/>
          <w:szCs w:val="16"/>
          <w:color w:val="auto"/>
        </w:rPr>
        <w:t>Realogy and Wyndham have agreed to assume responsibility for the Company’s potential liabilities relating to PHH and MSD (other than the call transfer obligation). The Company monitors the credit ratings and other relevant information for Realogy and Wyndham in order to assess the status of the payment/performance risk of these guarantees. The Company also has a letter of credit which covers Realogy’s portion of these and certain other obligations.</w:t>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F-38</w:t>
      </w:r>
    </w:p>
    <w:p>
      <w:pPr>
        <w:sectPr>
          <w:pgSz w:w="11900" w:h="16838" w:orient="portrait"/>
          <w:cols w:equalWidth="0" w:num="1">
            <w:col w:w="11400"/>
          </w:cols>
          <w:pgMar w:left="240" w:top="455" w:right="259" w:bottom="1440" w:gutter="0" w:footer="0" w:header="0"/>
        </w:sectPr>
      </w:pPr>
    </w:p>
    <w:bookmarkStart w:id="99" w:name="page100"/>
    <w:bookmarkEnd w:id="9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360" w:right="9240" w:hanging="352"/>
        <w:spacing w:after="0" w:line="494" w:lineRule="auto"/>
        <w:tabs>
          <w:tab w:leader="none" w:pos="355" w:val="left"/>
        </w:tabs>
        <w:numPr>
          <w:ilvl w:val="0"/>
          <w:numId w:val="68"/>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Stockholders’ Equity </w:t>
      </w:r>
      <w:r>
        <w:rPr>
          <w:rFonts w:ascii="Times New Roman" w:cs="Times New Roman" w:eastAsia="Times New Roman" w:hAnsi="Times New Roman"/>
          <w:sz w:val="16"/>
          <w:szCs w:val="16"/>
          <w:b w:val="1"/>
          <w:bCs w:val="1"/>
          <w:i w:val="1"/>
          <w:iCs w:val="1"/>
          <w:color w:val="auto"/>
        </w:rPr>
        <w:t>Cash Dividend Payments</w:t>
      </w:r>
    </w:p>
    <w:p>
      <w:pPr>
        <w:ind w:left="360"/>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8"/>
          <w:szCs w:val="18"/>
          <w:color w:val="auto"/>
        </w:rPr>
        <w:t>During 2009, 2008 and 2007, the Company did not pay cash dividends.</w:t>
      </w:r>
    </w:p>
    <w:p>
      <w:pPr>
        <w:spacing w:after="0" w:line="167" w:lineRule="exact"/>
        <w:rPr>
          <w:rFonts w:ascii="Times New Roman" w:cs="Times New Roman" w:eastAsia="Times New Roman" w:hAnsi="Times New Roman"/>
          <w:sz w:val="16"/>
          <w:szCs w:val="16"/>
          <w:b w:val="1"/>
          <w:bCs w:val="1"/>
          <w:color w:val="auto"/>
        </w:rPr>
      </w:pPr>
    </w:p>
    <w:p>
      <w:pPr>
        <w:ind w:left="360"/>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8"/>
          <w:szCs w:val="18"/>
          <w:b w:val="1"/>
          <w:bCs w:val="1"/>
          <w:i w:val="1"/>
          <w:iCs w:val="1"/>
          <w:color w:val="auto"/>
        </w:rPr>
        <w:t>Share Repurchases</w:t>
      </w:r>
    </w:p>
    <w:p>
      <w:pPr>
        <w:spacing w:after="0" w:line="175" w:lineRule="exact"/>
        <w:rPr>
          <w:rFonts w:ascii="Times New Roman" w:cs="Times New Roman" w:eastAsia="Times New Roman" w:hAnsi="Times New Roman"/>
          <w:sz w:val="16"/>
          <w:szCs w:val="16"/>
          <w:b w:val="1"/>
          <w:bCs w:val="1"/>
          <w:color w:val="auto"/>
        </w:rPr>
      </w:pPr>
    </w:p>
    <w:p>
      <w:pPr>
        <w:ind w:left="360"/>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8"/>
          <w:szCs w:val="18"/>
          <w:color w:val="auto"/>
        </w:rPr>
        <w:t>During 2009 and 2007, the Company did not repurchase any of its common stock.</w:t>
      </w:r>
    </w:p>
    <w:p>
      <w:pPr>
        <w:spacing w:after="0" w:line="171" w:lineRule="exact"/>
        <w:rPr>
          <w:rFonts w:ascii="Times New Roman" w:cs="Times New Roman" w:eastAsia="Times New Roman" w:hAnsi="Times New Roman"/>
          <w:sz w:val="16"/>
          <w:szCs w:val="16"/>
          <w:b w:val="1"/>
          <w:bCs w:val="1"/>
          <w:color w:val="auto"/>
        </w:rPr>
      </w:pPr>
    </w:p>
    <w:p>
      <w:pPr>
        <w:ind w:left="360" w:right="20"/>
        <w:spacing w:after="0" w:line="275"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8"/>
          <w:szCs w:val="18"/>
          <w:color w:val="auto"/>
        </w:rPr>
        <w:t>During 2008, the Company used approximately $33 million of available cash to repurchase approximately 2.9 million shares of Avis Budget Group common stock under its common stock repurchase program.</w:t>
      </w:r>
    </w:p>
    <w:p>
      <w:pPr>
        <w:spacing w:after="0" w:line="115" w:lineRule="exact"/>
        <w:rPr>
          <w:rFonts w:ascii="Times New Roman" w:cs="Times New Roman" w:eastAsia="Times New Roman" w:hAnsi="Times New Roman"/>
          <w:sz w:val="16"/>
          <w:szCs w:val="16"/>
          <w:b w:val="1"/>
          <w:bCs w:val="1"/>
          <w:color w:val="auto"/>
        </w:rPr>
      </w:pPr>
    </w:p>
    <w:p>
      <w:pPr>
        <w:ind w:left="360"/>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8"/>
          <w:szCs w:val="18"/>
          <w:b w:val="1"/>
          <w:bCs w:val="1"/>
          <w:i w:val="1"/>
          <w:iCs w:val="1"/>
          <w:color w:val="auto"/>
        </w:rPr>
        <w:t>Convertible Note Hedge and Warrants</w:t>
      </w:r>
    </w:p>
    <w:p>
      <w:pPr>
        <w:spacing w:after="0" w:line="175" w:lineRule="exact"/>
        <w:rPr>
          <w:rFonts w:ascii="Times New Roman" w:cs="Times New Roman" w:eastAsia="Times New Roman" w:hAnsi="Times New Roman"/>
          <w:sz w:val="16"/>
          <w:szCs w:val="16"/>
          <w:b w:val="1"/>
          <w:bCs w:val="1"/>
          <w:color w:val="auto"/>
        </w:rPr>
      </w:pPr>
    </w:p>
    <w:p>
      <w:pPr>
        <w:ind w:left="360"/>
        <w:spacing w:after="0" w:line="262"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8"/>
          <w:szCs w:val="18"/>
          <w:color w:val="auto"/>
        </w:rPr>
        <w:t>In order to potentially reduce the net number of shares required to be issued upon conversion of the Convertible Notes, the Company purchased a convertible note hedge for approximately $95 million ($59 million, net of tax). Concurrently, the Company issued warrants for approximately $62 million to offset the cost of the convertible note hedge.</w:t>
      </w:r>
    </w:p>
    <w:p>
      <w:pPr>
        <w:spacing w:after="0" w:line="132" w:lineRule="exact"/>
        <w:rPr>
          <w:rFonts w:ascii="Times New Roman" w:cs="Times New Roman" w:eastAsia="Times New Roman" w:hAnsi="Times New Roman"/>
          <w:sz w:val="16"/>
          <w:szCs w:val="16"/>
          <w:b w:val="1"/>
          <w:bCs w:val="1"/>
          <w:color w:val="auto"/>
        </w:rPr>
      </w:pPr>
    </w:p>
    <w:p>
      <w:pPr>
        <w:ind w:left="360" w:right="20"/>
        <w:spacing w:after="0" w:line="262"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8"/>
          <w:szCs w:val="18"/>
          <w:color w:val="auto"/>
        </w:rPr>
        <w:t>The convertible note hedge and warrants, which will be net-share settled, cover the purchase and issuance, respectively, of approximately 21.2 million shares of common stock, subject to customary anti-dilution provisions. The initial strike price per share of the convertible note hedge and warrants is $16.25 and $22.50, respectively.</w:t>
      </w:r>
    </w:p>
    <w:p>
      <w:pPr>
        <w:spacing w:after="0" w:line="132" w:lineRule="exact"/>
        <w:rPr>
          <w:rFonts w:ascii="Times New Roman" w:cs="Times New Roman" w:eastAsia="Times New Roman" w:hAnsi="Times New Roman"/>
          <w:sz w:val="16"/>
          <w:szCs w:val="16"/>
          <w:b w:val="1"/>
          <w:bCs w:val="1"/>
          <w:color w:val="auto"/>
        </w:rPr>
      </w:pPr>
    </w:p>
    <w:p>
      <w:pPr>
        <w:ind w:left="360" w:right="120"/>
        <w:spacing w:after="0" w:line="258"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8"/>
          <w:szCs w:val="18"/>
          <w:color w:val="auto"/>
        </w:rPr>
        <w:t>The convertible note hedge expires in October 2014 and is exercisable before expiration only to the extent that corresponding amounts of the Convertible Notes are exercised. The warrants expire ratably over 80 trading days beginning January 5, 2015. The convertible note hedge and warrant transactions were accounted for as capital transactions and included as a component of stockholders’ equity. The significant terms of the Convertible Notes can be found in Note 17—Long-term Debt and Borrowing Arrangements.</w:t>
      </w:r>
    </w:p>
    <w:p>
      <w:pPr>
        <w:spacing w:after="0" w:line="132" w:lineRule="exact"/>
        <w:rPr>
          <w:rFonts w:ascii="Times New Roman" w:cs="Times New Roman" w:eastAsia="Times New Roman" w:hAnsi="Times New Roman"/>
          <w:sz w:val="16"/>
          <w:szCs w:val="16"/>
          <w:b w:val="1"/>
          <w:bCs w:val="1"/>
          <w:color w:val="auto"/>
        </w:rPr>
      </w:pPr>
    </w:p>
    <w:p>
      <w:pPr>
        <w:ind w:left="360"/>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8"/>
          <w:szCs w:val="18"/>
          <w:b w:val="1"/>
          <w:bCs w:val="1"/>
          <w:i w:val="1"/>
          <w:iCs w:val="1"/>
          <w:color w:val="auto"/>
        </w:rPr>
        <w:t>Accumulated Other Comprehensive Income</w:t>
      </w:r>
    </w:p>
    <w:p>
      <w:pPr>
        <w:spacing w:after="0" w:line="175" w:lineRule="exact"/>
        <w:rPr>
          <w:rFonts w:ascii="Times New Roman" w:cs="Times New Roman" w:eastAsia="Times New Roman" w:hAnsi="Times New Roman"/>
          <w:sz w:val="16"/>
          <w:szCs w:val="16"/>
          <w:b w:val="1"/>
          <w:bCs w:val="1"/>
          <w:color w:val="auto"/>
        </w:rPr>
      </w:pPr>
    </w:p>
    <w:p>
      <w:pPr>
        <w:ind w:left="360"/>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8"/>
          <w:szCs w:val="18"/>
          <w:color w:val="auto"/>
        </w:rPr>
        <w:t>The components of accumulated other comprehensive income are as follows:</w:t>
      </w:r>
    </w:p>
    <w:p>
      <w:pPr>
        <w:spacing w:after="0" w:line="210"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116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center"/>
              <w:ind w:right="580"/>
              <w:spacing w:after="0"/>
              <w:rPr>
                <w:sz w:val="20"/>
                <w:szCs w:val="20"/>
                <w:color w:val="auto"/>
              </w:rPr>
            </w:pPr>
            <w:r>
              <w:rPr>
                <w:rFonts w:ascii="Times New Roman" w:cs="Times New Roman" w:eastAsia="Times New Roman" w:hAnsi="Times New Roman"/>
                <w:sz w:val="18"/>
                <w:szCs w:val="18"/>
                <w:b w:val="1"/>
                <w:bCs w:val="1"/>
                <w:color w:val="auto"/>
                <w:w w:val="97"/>
              </w:rPr>
              <w:t>Unrealized</w:t>
            </w:r>
          </w:p>
        </w:tc>
        <w:tc>
          <w:tcPr>
            <w:tcW w:w="400" w:type="dxa"/>
            <w:vAlign w:val="bottom"/>
          </w:tcPr>
          <w:p>
            <w:pPr>
              <w:spacing w:after="0"/>
              <w:rPr>
                <w:sz w:val="18"/>
                <w:szCs w:val="18"/>
                <w:color w:val="auto"/>
              </w:rPr>
            </w:pPr>
          </w:p>
        </w:tc>
        <w:tc>
          <w:tcPr>
            <w:tcW w:w="1340" w:type="dxa"/>
            <w:vAlign w:val="bottom"/>
            <w:gridSpan w:val="3"/>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8"/>
              </w:rPr>
              <w:t>Minimum</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8"/>
              </w:rPr>
              <w:t>Accumulated</w:t>
            </w:r>
          </w:p>
        </w:tc>
      </w:tr>
      <w:tr>
        <w:trPr>
          <w:trHeight w:val="216"/>
        </w:trPr>
        <w:tc>
          <w:tcPr>
            <w:tcW w:w="116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2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w w:val="97"/>
              </w:rPr>
              <w:t>Currency</w:t>
            </w:r>
          </w:p>
        </w:tc>
        <w:tc>
          <w:tcPr>
            <w:tcW w:w="1960" w:type="dxa"/>
            <w:vAlign w:val="bottom"/>
            <w:gridSpan w:val="4"/>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6"/>
              </w:rPr>
              <w:t>Gains (Losses)</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560"/>
              <w:spacing w:after="0"/>
              <w:rPr>
                <w:sz w:val="20"/>
                <w:szCs w:val="20"/>
                <w:color w:val="auto"/>
              </w:rPr>
            </w:pPr>
            <w:r>
              <w:rPr>
                <w:rFonts w:ascii="Times New Roman" w:cs="Times New Roman" w:eastAsia="Times New Roman" w:hAnsi="Times New Roman"/>
                <w:sz w:val="18"/>
                <w:szCs w:val="18"/>
                <w:b w:val="1"/>
                <w:bCs w:val="1"/>
                <w:color w:val="auto"/>
                <w:w w:val="99"/>
              </w:rPr>
              <w:t>Pension</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5"/>
              </w:rPr>
              <w:t>Other</w:t>
            </w:r>
          </w:p>
        </w:tc>
      </w:tr>
      <w:tr>
        <w:trPr>
          <w:trHeight w:val="216"/>
        </w:trPr>
        <w:tc>
          <w:tcPr>
            <w:tcW w:w="116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80" w:type="dxa"/>
            <w:vAlign w:val="bottom"/>
            <w:gridSpan w:val="3"/>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w w:val="93"/>
              </w:rPr>
              <w:t>Translation</w:t>
            </w:r>
          </w:p>
        </w:tc>
        <w:tc>
          <w:tcPr>
            <w:tcW w:w="400" w:type="dxa"/>
            <w:vAlign w:val="bottom"/>
          </w:tcPr>
          <w:p>
            <w:pPr>
              <w:spacing w:after="0"/>
              <w:rPr>
                <w:sz w:val="18"/>
                <w:szCs w:val="18"/>
                <w:color w:val="auto"/>
              </w:rPr>
            </w:pPr>
          </w:p>
        </w:tc>
        <w:tc>
          <w:tcPr>
            <w:tcW w:w="1560" w:type="dxa"/>
            <w:vAlign w:val="bottom"/>
            <w:gridSpan w:val="3"/>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7"/>
              </w:rPr>
              <w:t>on Cash Flow</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560"/>
              <w:spacing w:after="0"/>
              <w:rPr>
                <w:sz w:val="20"/>
                <w:szCs w:val="20"/>
                <w:color w:val="auto"/>
              </w:rPr>
            </w:pPr>
            <w:r>
              <w:rPr>
                <w:rFonts w:ascii="Times New Roman" w:cs="Times New Roman" w:eastAsia="Times New Roman" w:hAnsi="Times New Roman"/>
                <w:sz w:val="18"/>
                <w:szCs w:val="18"/>
                <w:b w:val="1"/>
                <w:bCs w:val="1"/>
                <w:color w:val="auto"/>
                <w:w w:val="96"/>
              </w:rPr>
              <w:t>Liability</w:t>
            </w:r>
          </w:p>
        </w:tc>
        <w:tc>
          <w:tcPr>
            <w:tcW w:w="1640" w:type="dxa"/>
            <w:vAlign w:val="bottom"/>
            <w:gridSpan w:val="4"/>
          </w:tcPr>
          <w:p>
            <w:pPr>
              <w:jc w:val="center"/>
              <w:ind w:left="272"/>
              <w:spacing w:after="0"/>
              <w:rPr>
                <w:sz w:val="20"/>
                <w:szCs w:val="20"/>
                <w:color w:val="auto"/>
              </w:rPr>
            </w:pPr>
            <w:r>
              <w:rPr>
                <w:rFonts w:ascii="Times New Roman" w:cs="Times New Roman" w:eastAsia="Times New Roman" w:hAnsi="Times New Roman"/>
                <w:sz w:val="18"/>
                <w:szCs w:val="18"/>
                <w:b w:val="1"/>
                <w:bCs w:val="1"/>
                <w:color w:val="auto"/>
                <w:w w:val="96"/>
              </w:rPr>
              <w:t>Comprehensive</w:t>
            </w:r>
          </w:p>
        </w:tc>
      </w:tr>
      <w:tr>
        <w:trPr>
          <w:trHeight w:val="230"/>
        </w:trPr>
        <w:tc>
          <w:tcPr>
            <w:tcW w:w="116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Adjustments</w:t>
            </w: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gridSpan w:val="2"/>
          </w:tcPr>
          <w:p>
            <w:pPr>
              <w:jc w:val="center"/>
              <w:ind w:right="580"/>
              <w:spacing w:after="0"/>
              <w:rPr>
                <w:sz w:val="20"/>
                <w:szCs w:val="20"/>
                <w:color w:val="auto"/>
              </w:rPr>
            </w:pPr>
            <w:r>
              <w:rPr>
                <w:rFonts w:ascii="Times New Roman" w:cs="Times New Roman" w:eastAsia="Times New Roman" w:hAnsi="Times New Roman"/>
                <w:sz w:val="18"/>
                <w:szCs w:val="18"/>
                <w:b w:val="1"/>
                <w:bCs w:val="1"/>
                <w:color w:val="auto"/>
                <w:w w:val="96"/>
              </w:rPr>
              <w:t>Hedges</w:t>
            </w:r>
          </w:p>
        </w:tc>
        <w:tc>
          <w:tcPr>
            <w:tcW w:w="1740" w:type="dxa"/>
            <w:vAlign w:val="bottom"/>
            <w:gridSpan w:val="4"/>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6"/>
              </w:rPr>
              <w:t>Adjustment</w:t>
            </w:r>
          </w:p>
        </w:tc>
        <w:tc>
          <w:tcPr>
            <w:tcW w:w="420" w:type="dxa"/>
            <w:vAlign w:val="bottom"/>
          </w:tcPr>
          <w:p>
            <w:pPr>
              <w:spacing w:after="0"/>
              <w:rPr>
                <w:sz w:val="20"/>
                <w:szCs w:val="20"/>
                <w:color w:val="auto"/>
              </w:rPr>
            </w:pPr>
          </w:p>
        </w:tc>
        <w:tc>
          <w:tcPr>
            <w:tcW w:w="1220" w:type="dxa"/>
            <w:vAlign w:val="bottom"/>
            <w:gridSpan w:val="3"/>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5"/>
              </w:rPr>
              <w:t>Income (Loss)</w:t>
            </w:r>
          </w:p>
        </w:tc>
      </w:tr>
      <w:tr>
        <w:trPr>
          <w:trHeight w:val="197"/>
        </w:trPr>
        <w:tc>
          <w:tcPr>
            <w:tcW w:w="3920" w:type="dxa"/>
            <w:vAlign w:val="bottom"/>
            <w:gridSpan w:val="2"/>
          </w:tcPr>
          <w:p>
            <w:pPr>
              <w:ind w:left="20"/>
              <w:spacing w:after="0" w:line="197" w:lineRule="exact"/>
              <w:rPr>
                <w:sz w:val="20"/>
                <w:szCs w:val="20"/>
                <w:color w:val="auto"/>
              </w:rPr>
            </w:pPr>
            <w:r>
              <w:rPr>
                <w:rFonts w:ascii="Times New Roman" w:cs="Times New Roman" w:eastAsia="Times New Roman" w:hAnsi="Times New Roman"/>
                <w:sz w:val="18"/>
                <w:szCs w:val="18"/>
                <w:color w:val="auto"/>
              </w:rPr>
              <w:t>Balance, January 1, 2007</w:t>
            </w:r>
          </w:p>
        </w:tc>
        <w:tc>
          <w:tcPr>
            <w:tcW w:w="20" w:type="dxa"/>
            <w:vAlign w:val="bottom"/>
          </w:tcPr>
          <w:p>
            <w:pPr>
              <w:spacing w:after="0"/>
              <w:rPr>
                <w:sz w:val="17"/>
                <w:szCs w:val="17"/>
                <w:color w:val="auto"/>
              </w:rPr>
            </w:pPr>
          </w:p>
        </w:tc>
        <w:tc>
          <w:tcPr>
            <w:tcW w:w="8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top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rPr>
              <w:t>67</w:t>
            </w:r>
          </w:p>
        </w:tc>
        <w:tc>
          <w:tcPr>
            <w:tcW w:w="4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top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rPr>
              <w:t>30</w:t>
            </w:r>
          </w:p>
        </w:tc>
        <w:tc>
          <w:tcPr>
            <w:tcW w:w="4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rPr>
              <w:t>(29)</w:t>
            </w:r>
          </w:p>
        </w:tc>
        <w:tc>
          <w:tcPr>
            <w:tcW w:w="4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top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rPr>
              <w:t>68</w:t>
            </w:r>
          </w:p>
        </w:tc>
        <w:tc>
          <w:tcPr>
            <w:tcW w:w="40" w:type="dxa"/>
            <w:vAlign w:val="bottom"/>
          </w:tcPr>
          <w:p>
            <w:pPr>
              <w:spacing w:after="0"/>
              <w:rPr>
                <w:sz w:val="17"/>
                <w:szCs w:val="17"/>
                <w:color w:val="auto"/>
              </w:rPr>
            </w:pPr>
          </w:p>
        </w:tc>
      </w:tr>
      <w:tr>
        <w:trPr>
          <w:trHeight w:val="228"/>
        </w:trPr>
        <w:tc>
          <w:tcPr>
            <w:tcW w:w="3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Period change</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4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(93)</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11"/>
        </w:trPr>
        <w:tc>
          <w:tcPr>
            <w:tcW w:w="3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Balance, December 31, 2007</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40" w:type="dxa"/>
            <w:vAlign w:val="bottom"/>
          </w:tcPr>
          <w:p>
            <w:pPr>
              <w:spacing w:after="0"/>
              <w:rPr>
                <w:sz w:val="18"/>
                <w:szCs w:val="18"/>
                <w:color w:val="auto"/>
              </w:rPr>
            </w:pPr>
          </w:p>
        </w:tc>
      </w:tr>
      <w:tr>
        <w:trPr>
          <w:trHeight w:val="228"/>
        </w:trPr>
        <w:tc>
          <w:tcPr>
            <w:tcW w:w="3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Period change</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(110)</w:t>
            </w: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(86)</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(30)</w:t>
            </w: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(226)</w:t>
            </w:r>
          </w:p>
        </w:tc>
      </w:tr>
      <w:tr>
        <w:trPr>
          <w:trHeight w:val="211"/>
        </w:trPr>
        <w:tc>
          <w:tcPr>
            <w:tcW w:w="3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Balance, December 31, 2008</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40" w:type="dxa"/>
            <w:vAlign w:val="bottom"/>
          </w:tcPr>
          <w:p>
            <w:pPr>
              <w:spacing w:after="0"/>
              <w:rPr>
                <w:sz w:val="18"/>
                <w:szCs w:val="18"/>
                <w:color w:val="auto"/>
              </w:rPr>
            </w:pPr>
          </w:p>
        </w:tc>
      </w:tr>
      <w:tr>
        <w:trPr>
          <w:trHeight w:val="228"/>
        </w:trPr>
        <w:tc>
          <w:tcPr>
            <w:tcW w:w="3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Current period change</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4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4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40" w:type="dxa"/>
            <w:vAlign w:val="bottom"/>
          </w:tcPr>
          <w:p>
            <w:pPr>
              <w:spacing w:after="0"/>
              <w:rPr>
                <w:sz w:val="19"/>
                <w:szCs w:val="19"/>
                <w:color w:val="auto"/>
              </w:rPr>
            </w:pPr>
          </w:p>
        </w:tc>
      </w:tr>
      <w:tr>
        <w:trPr>
          <w:trHeight w:val="225"/>
        </w:trPr>
        <w:tc>
          <w:tcPr>
            <w:tcW w:w="3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Balance, December 31, 2009</w:t>
            </w:r>
          </w:p>
        </w:tc>
        <w:tc>
          <w:tcPr>
            <w:tcW w:w="40" w:type="dxa"/>
            <w:vAlign w:val="bottom"/>
            <w:tcBorders>
              <w:bottom w:val="single" w:sz="8" w:color="auto"/>
            </w:tcBorders>
            <w:gridSpan w:val="2"/>
          </w:tcPr>
          <w:p>
            <w:pPr>
              <w:spacing w:after="0"/>
              <w:rPr>
                <w:sz w:val="19"/>
                <w:szCs w:val="19"/>
                <w:color w:val="auto"/>
              </w:rPr>
            </w:pPr>
          </w:p>
        </w:tc>
        <w:tc>
          <w:tcPr>
            <w:tcW w:w="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4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4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40" w:type="dxa"/>
            <w:vAlign w:val="bottom"/>
          </w:tcPr>
          <w:p>
            <w:pPr>
              <w:spacing w:after="0"/>
              <w:rPr>
                <w:sz w:val="19"/>
                <w:szCs w:val="19"/>
                <w:color w:val="auto"/>
              </w:rPr>
            </w:pPr>
          </w:p>
        </w:tc>
      </w:tr>
      <w:tr>
        <w:trPr>
          <w:trHeight w:val="20"/>
        </w:trPr>
        <w:tc>
          <w:tcPr>
            <w:tcW w:w="11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27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6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98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0" w:type="dxa"/>
            <w:vAlign w:val="bottom"/>
          </w:tcPr>
          <w:p>
            <w:pPr>
              <w:spacing w:after="0"/>
              <w:rPr>
                <w:sz w:val="8"/>
                <w:szCs w:val="8"/>
                <w:color w:val="auto"/>
              </w:rPr>
            </w:pPr>
          </w:p>
        </w:tc>
      </w:tr>
    </w:tbl>
    <w:p>
      <w:pPr>
        <w:spacing w:after="0" w:line="13" w:lineRule="exact"/>
        <w:rPr>
          <w:sz w:val="20"/>
          <w:szCs w:val="20"/>
          <w:color w:val="auto"/>
        </w:rPr>
      </w:pPr>
    </w:p>
    <w:p>
      <w:pPr>
        <w:jc w:val="both"/>
        <w:ind w:left="360" w:right="400"/>
        <w:spacing w:after="0" w:line="275" w:lineRule="auto"/>
        <w:rPr>
          <w:sz w:val="20"/>
          <w:szCs w:val="20"/>
          <w:color w:val="auto"/>
        </w:rPr>
      </w:pPr>
      <w:r>
        <w:rPr>
          <w:rFonts w:ascii="Times New Roman" w:cs="Times New Roman" w:eastAsia="Times New Roman" w:hAnsi="Times New Roman"/>
          <w:sz w:val="18"/>
          <w:szCs w:val="18"/>
          <w:color w:val="auto"/>
        </w:rPr>
        <w:t>All components of accumulated other comprehensive income (loss) are net of tax, except currency translation adjustments, which exclude income taxes related to indefinite investments in foreign subsidiaries.</w:t>
      </w:r>
    </w:p>
    <w:p>
      <w:pPr>
        <w:spacing w:after="0" w:line="120" w:lineRule="exact"/>
        <w:rPr>
          <w:sz w:val="20"/>
          <w:szCs w:val="20"/>
          <w:color w:val="auto"/>
        </w:rPr>
      </w:pPr>
    </w:p>
    <w:p>
      <w:pPr>
        <w:jc w:val="both"/>
        <w:ind w:left="360" w:right="400"/>
        <w:spacing w:after="0" w:line="275" w:lineRule="auto"/>
        <w:rPr>
          <w:sz w:val="20"/>
          <w:szCs w:val="20"/>
          <w:color w:val="auto"/>
        </w:rPr>
      </w:pPr>
      <w:r>
        <w:rPr>
          <w:rFonts w:ascii="Times New Roman" w:cs="Times New Roman" w:eastAsia="Times New Roman" w:hAnsi="Times New Roman"/>
          <w:sz w:val="18"/>
          <w:szCs w:val="18"/>
          <w:color w:val="auto"/>
        </w:rPr>
        <w:t>During 2009, the Company recorded unrealized gains on cash flow hedges of $71 million ($43 million, net of tax) in accumulated other comprehensive income which primarily related to the derivatives used to manage</w:t>
      </w:r>
    </w:p>
    <w:p>
      <w:pPr>
        <w:spacing w:after="0" w:line="1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F-39</w:t>
      </w:r>
    </w:p>
    <w:p>
      <w:pPr>
        <w:sectPr>
          <w:pgSz w:w="11900" w:h="16838" w:orient="portrait"/>
          <w:cols w:equalWidth="0" w:num="1">
            <w:col w:w="11400"/>
          </w:cols>
          <w:pgMar w:left="240" w:top="455" w:right="259" w:bottom="1440" w:gutter="0" w:footer="0" w:header="0"/>
        </w:sectPr>
      </w:pPr>
    </w:p>
    <w:bookmarkStart w:id="100" w:name="page101"/>
    <w:bookmarkEnd w:id="10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jc w:val="both"/>
        <w:ind w:left="360" w:right="180"/>
        <w:spacing w:after="0" w:line="262" w:lineRule="auto"/>
        <w:rPr>
          <w:sz w:val="20"/>
          <w:szCs w:val="20"/>
          <w:color w:val="auto"/>
        </w:rPr>
      </w:pPr>
      <w:r>
        <w:rPr>
          <w:rFonts w:ascii="Times New Roman" w:cs="Times New Roman" w:eastAsia="Times New Roman" w:hAnsi="Times New Roman"/>
          <w:sz w:val="18"/>
          <w:szCs w:val="18"/>
          <w:color w:val="auto"/>
        </w:rPr>
        <w:t>the interest-rate risk associated with the Company’s vehicle-backed debt and the Company’s floating rate debt (see Note 23—Financial Instruments). Such amount in 2009 includes $78 million ($47 million, net of tax) of unrealized gains on cash flow hedges related to the Company’s vehicle-backed debt and is offset by a corresponding increase in the Company’s Investment in Avis Budget Rental Car Funding on the Consolidated Balance Sheets.</w:t>
      </w:r>
    </w:p>
    <w:p>
      <w:pPr>
        <w:spacing w:after="0" w:line="171" w:lineRule="exact"/>
        <w:rPr>
          <w:sz w:val="20"/>
          <w:szCs w:val="20"/>
          <w:color w:val="auto"/>
        </w:rPr>
      </w:pPr>
    </w:p>
    <w:p>
      <w:pPr>
        <w:ind w:left="340" w:hanging="332"/>
        <w:spacing w:after="0"/>
        <w:tabs>
          <w:tab w:leader="none" w:pos="340" w:val="left"/>
        </w:tabs>
        <w:numPr>
          <w:ilvl w:val="0"/>
          <w:numId w:val="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Stock-Based Compensation</w:t>
      </w:r>
    </w:p>
    <w:p>
      <w:pPr>
        <w:spacing w:after="0" w:line="173" w:lineRule="exact"/>
        <w:rPr>
          <w:rFonts w:ascii="Times New Roman" w:cs="Times New Roman" w:eastAsia="Times New Roman" w:hAnsi="Times New Roman"/>
          <w:sz w:val="18"/>
          <w:szCs w:val="18"/>
          <w:b w:val="1"/>
          <w:bCs w:val="1"/>
          <w:color w:val="auto"/>
        </w:rPr>
      </w:pPr>
    </w:p>
    <w:p>
      <w:pPr>
        <w:ind w:left="360" w:right="8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may grant stock options, stock appreciation rights (“SARs”), restricted shares and restricted stock units (“RSUs”) to its employees, including directors and officers of the Company and its affiliates. As of December 31, 2009, the Company’s active stock-based compensation plan consists of the amended 2007 Equity and Incentive Plan, under which the Company is authorized to grant up to 12.5 million shares of its common stock and approximately 7 million shares were available for future grants. The Company may settle employee stock option exercises with either treasury shares or shares purchased on the open market. The Company typically issues shares related to vested RSUs from treasury shares.</w:t>
      </w:r>
    </w:p>
    <w:p>
      <w:pPr>
        <w:spacing w:after="0" w:line="138" w:lineRule="exact"/>
        <w:rPr>
          <w:rFonts w:ascii="Times New Roman" w:cs="Times New Roman" w:eastAsia="Times New Roman" w:hAnsi="Times New Roman"/>
          <w:sz w:val="18"/>
          <w:szCs w:val="18"/>
          <w:b w:val="1"/>
          <w:bCs w:val="1"/>
          <w:color w:val="auto"/>
        </w:rPr>
      </w:pPr>
    </w:p>
    <w:p>
      <w:pPr>
        <w:ind w:left="360" w:right="140"/>
        <w:spacing w:after="0" w:line="26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applies the direct method and tax law ordering approach to calculate the tax effects of stock-based compensation. In jurisdictions with net operating loss carryforwards, tax deductions for 2008 and 2007 exercises of stock-based awards did not generate a cash benefit. Approximately $30 million of tax benefits will be recorded in additional paid-in capital when realized in these jurisdictions.</w:t>
      </w:r>
    </w:p>
    <w:p>
      <w:pPr>
        <w:spacing w:after="0" w:line="128" w:lineRule="exact"/>
        <w:rPr>
          <w:rFonts w:ascii="Times New Roman" w:cs="Times New Roman" w:eastAsia="Times New Roman" w:hAnsi="Times New Roman"/>
          <w:sz w:val="18"/>
          <w:szCs w:val="18"/>
          <w:b w:val="1"/>
          <w:bCs w:val="1"/>
          <w:color w:val="auto"/>
        </w:rPr>
      </w:pPr>
    </w:p>
    <w:p>
      <w:pPr>
        <w:ind w:left="3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Stock Options</w:t>
      </w:r>
    </w:p>
    <w:p>
      <w:pPr>
        <w:spacing w:after="0" w:line="175" w:lineRule="exact"/>
        <w:rPr>
          <w:rFonts w:ascii="Times New Roman" w:cs="Times New Roman" w:eastAsia="Times New Roman" w:hAnsi="Times New Roman"/>
          <w:sz w:val="18"/>
          <w:szCs w:val="18"/>
          <w:b w:val="1"/>
          <w:bCs w:val="1"/>
          <w:color w:val="auto"/>
        </w:rPr>
      </w:pPr>
    </w:p>
    <w:p>
      <w:pPr>
        <w:ind w:left="360" w:right="20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Following the spin-offs of Realogy and Wyndham, all previously outstanding and unvested stock options vested and converted into stock options of Avis Budget, Realogy and Wyndham. No stock options were granted during 2008 and 2007, and the Company granted approximately 4 million stock options under the 2007 Equity and Incentive Plan in first quarter 2009 that vest based on performance, market and/or time vesting criteria. The grant consisted of approximately 2.7 million time-vesting stock options, approximately 0.9 million performance-vesting stock options and approximately 0.4 million market-vesting stock options. The performance-vesting and market-vesting stock options also contain a time-vesting component.</w:t>
      </w:r>
    </w:p>
    <w:p>
      <w:pPr>
        <w:spacing w:after="0" w:line="138" w:lineRule="exact"/>
        <w:rPr>
          <w:rFonts w:ascii="Times New Roman" w:cs="Times New Roman" w:eastAsia="Times New Roman" w:hAnsi="Times New Roman"/>
          <w:sz w:val="18"/>
          <w:szCs w:val="18"/>
          <w:b w:val="1"/>
          <w:bCs w:val="1"/>
          <w:color w:val="auto"/>
        </w:rPr>
      </w:pPr>
    </w:p>
    <w:p>
      <w:pPr>
        <w:ind w:left="36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time-based awards cliff vest on the two-year anniversary of the date of grant while the performance-based awards vest on the one-year anniversary of the date of grant provided certain minimum EBITDA levels are attained. The market-based awards were granted to the Company’s CEO and President and vest on the two-year anniversary of the date of grant. The vesting of the market-based awards is conditional on the average closing stock price of the Company’s common stock equaling or exceeding $5 for a 20 consecutive trading day period, which was achieved during 2009. The option exercise price was set at the closing price of the Company’s common stock on the date of the grant and the options expire 10 years from the date of the grant. The performance-vesting stock options expire immediately if vesting criteria are not met by the deadline of such criteria.</w:t>
      </w:r>
    </w:p>
    <w:p>
      <w:pPr>
        <w:spacing w:after="0" w:line="139" w:lineRule="exact"/>
        <w:rPr>
          <w:rFonts w:ascii="Times New Roman" w:cs="Times New Roman" w:eastAsia="Times New Roman" w:hAnsi="Times New Roman"/>
          <w:sz w:val="18"/>
          <w:szCs w:val="18"/>
          <w:b w:val="1"/>
          <w:bCs w:val="1"/>
          <w:color w:val="auto"/>
        </w:rPr>
      </w:pPr>
    </w:p>
    <w:p>
      <w:pPr>
        <w:ind w:left="360" w:right="40"/>
        <w:spacing w:after="0" w:line="25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used the Black-Scholes option pricing model to calculate the fair value of the time-vesting and performance-vesting stock option awards granted in first quarter 2009. The Company determined the fair value of its market-vesting awards using a Monte Carlo simulation model with assumptions including, but not limited to, the options’ expected life and the price volatility of the underlying stock. Based on facts and circumstances at the time of the grant, the Company used a blended volatility rate that combines market-based measures of implied volatility with historical volatility as the most appropriate indicator of the Company’s expected volatility. The Company considered several factors in estimating the life of the options granted, including the historical option exercise behavior of employees and the option vesting periods. The risk-free interest rate is derived from the U.S. Treasury yield curve in effect at the time of grant and, since the Company does not currently pay or plan to pay a dividend on its common stock, the expected dividend yield was zero. Based on these assumptions, the fair value of each of the Company’s time-vesting, performance-</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F-40</w:t>
      </w:r>
    </w:p>
    <w:p>
      <w:pPr>
        <w:sectPr>
          <w:pgSz w:w="11900" w:h="16838" w:orient="portrait"/>
          <w:cols w:equalWidth="0" w:num="1">
            <w:col w:w="11420"/>
          </w:cols>
          <w:pgMar w:left="240" w:top="455" w:right="239" w:bottom="1440" w:gutter="0" w:footer="0" w:header="0"/>
        </w:sectPr>
      </w:pPr>
    </w:p>
    <w:bookmarkStart w:id="101" w:name="page102"/>
    <w:bookmarkEnd w:id="10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vesting and market-vesting stock options issued in first quarter 2009 was estimated to be approximately $0.64, $0.59 and $0.45, respectively.</w:t>
      </w:r>
    </w:p>
    <w:p>
      <w:pPr>
        <w:spacing w:after="0" w:line="171" w:lineRule="exact"/>
        <w:rPr>
          <w:sz w:val="20"/>
          <w:szCs w:val="20"/>
          <w:color w:val="auto"/>
        </w:rPr>
      </w:pPr>
    </w:p>
    <w:p>
      <w:pPr>
        <w:ind w:left="360" w:right="180"/>
        <w:spacing w:after="0" w:line="275" w:lineRule="auto"/>
        <w:rPr>
          <w:sz w:val="20"/>
          <w:szCs w:val="20"/>
          <w:color w:val="auto"/>
        </w:rPr>
      </w:pPr>
      <w:r>
        <w:rPr>
          <w:rFonts w:ascii="Times New Roman" w:cs="Times New Roman" w:eastAsia="Times New Roman" w:hAnsi="Times New Roman"/>
          <w:sz w:val="18"/>
          <w:szCs w:val="18"/>
          <w:color w:val="auto"/>
        </w:rPr>
        <w:t>The following table presents the assumptions used to estimate the fair value of stock options at the time of the grant using the Black-Scholes and Monte Carlo simulation option pricing models:</w:t>
      </w:r>
    </w:p>
    <w:p>
      <w:pPr>
        <w:spacing w:after="0" w:line="158" w:lineRule="exact"/>
        <w:rPr>
          <w:sz w:val="20"/>
          <w:szCs w:val="20"/>
          <w:color w:val="auto"/>
        </w:rPr>
      </w:pPr>
    </w:p>
    <w:tbl>
      <w:tblPr>
        <w:tblLayout w:type="fixed"/>
        <w:tblInd w:w="360" w:type="dxa"/>
        <w:tblCellMar>
          <w:top w:w="0" w:type="dxa"/>
          <w:left w:w="0" w:type="dxa"/>
          <w:bottom w:w="0" w:type="dxa"/>
          <w:right w:w="0" w:type="dxa"/>
        </w:tblCellMar>
      </w:tblPr>
      <w:tr>
        <w:trPr>
          <w:trHeight w:val="230"/>
        </w:trPr>
        <w:tc>
          <w:tcPr>
            <w:tcW w:w="34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2"/>
          </w:tcPr>
          <w:p>
            <w:pPr>
              <w:jc w:val="right"/>
              <w:ind w:right="392"/>
              <w:spacing w:after="0"/>
              <w:rPr>
                <w:sz w:val="20"/>
                <w:szCs w:val="20"/>
                <w:color w:val="auto"/>
              </w:rPr>
            </w:pPr>
            <w:r>
              <w:rPr>
                <w:rFonts w:ascii="Times New Roman" w:cs="Times New Roman" w:eastAsia="Times New Roman" w:hAnsi="Times New Roman"/>
                <w:sz w:val="18"/>
                <w:szCs w:val="18"/>
                <w:b w:val="1"/>
                <w:bCs w:val="1"/>
                <w:color w:val="auto"/>
              </w:rPr>
              <w:t>2009</w:t>
            </w:r>
          </w:p>
        </w:tc>
      </w:tr>
      <w:tr>
        <w:trPr>
          <w:trHeight w:val="197"/>
        </w:trPr>
        <w:tc>
          <w:tcPr>
            <w:tcW w:w="3420" w:type="dxa"/>
            <w:vAlign w:val="bottom"/>
          </w:tcPr>
          <w:p>
            <w:pPr>
              <w:spacing w:after="0" w:line="197" w:lineRule="exact"/>
              <w:rPr>
                <w:sz w:val="20"/>
                <w:szCs w:val="20"/>
                <w:color w:val="auto"/>
              </w:rPr>
            </w:pPr>
            <w:r>
              <w:rPr>
                <w:rFonts w:ascii="Times New Roman" w:cs="Times New Roman" w:eastAsia="Times New Roman" w:hAnsi="Times New Roman"/>
                <w:sz w:val="18"/>
                <w:szCs w:val="18"/>
                <w:color w:val="auto"/>
              </w:rPr>
              <w:t>Expected volatility of stock price</w:t>
            </w:r>
          </w:p>
        </w:tc>
        <w:tc>
          <w:tcPr>
            <w:tcW w:w="10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20" w:type="dxa"/>
            <w:vAlign w:val="bottom"/>
            <w:gridSpan w:val="2"/>
          </w:tcPr>
          <w:p>
            <w:pPr>
              <w:jc w:val="right"/>
              <w:spacing w:after="0" w:line="197" w:lineRule="exact"/>
              <w:rPr>
                <w:sz w:val="20"/>
                <w:szCs w:val="20"/>
                <w:color w:val="auto"/>
              </w:rPr>
            </w:pPr>
            <w:r>
              <w:rPr>
                <w:rFonts w:ascii="Times New Roman" w:cs="Times New Roman" w:eastAsia="Times New Roman" w:hAnsi="Times New Roman"/>
                <w:sz w:val="18"/>
                <w:szCs w:val="18"/>
                <w:color w:val="auto"/>
              </w:rPr>
              <w:t>130%</w:t>
            </w:r>
          </w:p>
        </w:tc>
      </w:tr>
      <w:tr>
        <w:trPr>
          <w:trHeight w:val="216"/>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0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1.22%-1.46%</w:t>
            </w:r>
          </w:p>
        </w:tc>
      </w:tr>
      <w:tr>
        <w:trPr>
          <w:trHeight w:val="216"/>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Expected life of options</w:t>
            </w:r>
          </w:p>
        </w:tc>
        <w:tc>
          <w:tcPr>
            <w:tcW w:w="10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 years</w:t>
            </w:r>
          </w:p>
        </w:tc>
      </w:tr>
      <w:tr>
        <w:trPr>
          <w:trHeight w:val="228"/>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10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w:t>
            </w:r>
          </w:p>
        </w:tc>
      </w:tr>
      <w:tr>
        <w:trPr>
          <w:trHeight w:val="378"/>
        </w:trPr>
        <w:tc>
          <w:tcPr>
            <w:tcW w:w="7400" w:type="dxa"/>
            <w:vAlign w:val="bottom"/>
            <w:gridSpan w:val="9"/>
          </w:tcPr>
          <w:p>
            <w:pPr>
              <w:spacing w:after="0"/>
              <w:rPr>
                <w:sz w:val="20"/>
                <w:szCs w:val="20"/>
                <w:color w:val="auto"/>
              </w:rPr>
            </w:pPr>
            <w:r>
              <w:rPr>
                <w:rFonts w:ascii="Times New Roman" w:cs="Times New Roman" w:eastAsia="Times New Roman" w:hAnsi="Times New Roman"/>
                <w:sz w:val="18"/>
                <w:szCs w:val="18"/>
                <w:color w:val="auto"/>
                <w:w w:val="98"/>
              </w:rPr>
              <w:t>The annual activity of the Company’s common stock option plans consisted of (in thousands of shares):</w:t>
            </w: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420"/>
        </w:trPr>
        <w:tc>
          <w:tcPr>
            <w:tcW w:w="3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2009</w:t>
            </w:r>
          </w:p>
        </w:tc>
        <w:tc>
          <w:tcPr>
            <w:tcW w:w="720" w:type="dxa"/>
            <w:vAlign w:val="bottom"/>
            <w:tcBorders>
              <w:bottom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2008</w:t>
            </w:r>
          </w:p>
        </w:tc>
        <w:tc>
          <w:tcPr>
            <w:tcW w:w="720" w:type="dxa"/>
            <w:vAlign w:val="bottom"/>
            <w:tcBorders>
              <w:bottom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2007</w:t>
            </w:r>
          </w:p>
        </w:tc>
        <w:tc>
          <w:tcPr>
            <w:tcW w:w="720" w:type="dxa"/>
            <w:vAlign w:val="bottom"/>
            <w:tcBorders>
              <w:bottom w:val="single" w:sz="8" w:color="auto"/>
            </w:tcBorders>
          </w:tcPr>
          <w:p>
            <w:pPr>
              <w:spacing w:after="0"/>
              <w:rPr>
                <w:sz w:val="24"/>
                <w:szCs w:val="24"/>
                <w:color w:val="auto"/>
              </w:rPr>
            </w:pPr>
          </w:p>
        </w:tc>
      </w:tr>
      <w:tr>
        <w:trPr>
          <w:trHeight w:val="194"/>
        </w:trPr>
        <w:tc>
          <w:tcPr>
            <w:tcW w:w="34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gridSpan w:val="2"/>
          </w:tcPr>
          <w:p>
            <w:pPr>
              <w:jc w:val="center"/>
              <w:ind w:left="292"/>
              <w:spacing w:after="0" w:line="195" w:lineRule="exact"/>
              <w:rPr>
                <w:sz w:val="20"/>
                <w:szCs w:val="20"/>
                <w:color w:val="auto"/>
              </w:rPr>
            </w:pPr>
            <w:r>
              <w:rPr>
                <w:rFonts w:ascii="Times New Roman" w:cs="Times New Roman" w:eastAsia="Times New Roman" w:hAnsi="Times New Roman"/>
                <w:sz w:val="18"/>
                <w:szCs w:val="18"/>
                <w:b w:val="1"/>
                <w:bCs w:val="1"/>
                <w:color w:val="auto"/>
                <w:w w:val="94"/>
              </w:rPr>
              <w:t>Weighted</w:t>
            </w:r>
          </w:p>
        </w:tc>
        <w:tc>
          <w:tcPr>
            <w:tcW w:w="3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20" w:type="dxa"/>
            <w:vAlign w:val="bottom"/>
            <w:gridSpan w:val="2"/>
          </w:tcPr>
          <w:p>
            <w:pPr>
              <w:jc w:val="center"/>
              <w:ind w:left="312"/>
              <w:spacing w:after="0" w:line="195" w:lineRule="exact"/>
              <w:rPr>
                <w:sz w:val="20"/>
                <w:szCs w:val="20"/>
                <w:color w:val="auto"/>
              </w:rPr>
            </w:pPr>
            <w:r>
              <w:rPr>
                <w:rFonts w:ascii="Times New Roman" w:cs="Times New Roman" w:eastAsia="Times New Roman" w:hAnsi="Times New Roman"/>
                <w:sz w:val="18"/>
                <w:szCs w:val="18"/>
                <w:b w:val="1"/>
                <w:bCs w:val="1"/>
                <w:color w:val="auto"/>
                <w:w w:val="97"/>
              </w:rPr>
              <w:t>Weighted</w:t>
            </w:r>
          </w:p>
        </w:tc>
        <w:tc>
          <w:tcPr>
            <w:tcW w:w="3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20" w:type="dxa"/>
            <w:vAlign w:val="bottom"/>
            <w:gridSpan w:val="2"/>
          </w:tcPr>
          <w:p>
            <w:pPr>
              <w:jc w:val="center"/>
              <w:ind w:left="312"/>
              <w:spacing w:after="0" w:line="195" w:lineRule="exact"/>
              <w:rPr>
                <w:sz w:val="20"/>
                <w:szCs w:val="20"/>
                <w:color w:val="auto"/>
              </w:rPr>
            </w:pPr>
            <w:r>
              <w:rPr>
                <w:rFonts w:ascii="Times New Roman" w:cs="Times New Roman" w:eastAsia="Times New Roman" w:hAnsi="Times New Roman"/>
                <w:sz w:val="18"/>
                <w:szCs w:val="18"/>
                <w:b w:val="1"/>
                <w:bCs w:val="1"/>
                <w:color w:val="auto"/>
                <w:w w:val="97"/>
              </w:rPr>
              <w:t>Weighted</w:t>
            </w:r>
          </w:p>
        </w:tc>
      </w:tr>
      <w:tr>
        <w:trPr>
          <w:trHeight w:val="216"/>
        </w:trPr>
        <w:tc>
          <w:tcPr>
            <w:tcW w:w="3420" w:type="dxa"/>
            <w:vAlign w:val="bottom"/>
          </w:tcPr>
          <w:p>
            <w:pPr>
              <w:spacing w:after="0"/>
              <w:rPr>
                <w:sz w:val="18"/>
                <w:szCs w:val="18"/>
                <w:color w:val="auto"/>
              </w:rPr>
            </w:pPr>
          </w:p>
        </w:tc>
        <w:tc>
          <w:tcPr>
            <w:tcW w:w="1800" w:type="dxa"/>
            <w:vAlign w:val="bottom"/>
            <w:gridSpan w:val="3"/>
          </w:tcPr>
          <w:p>
            <w:pPr>
              <w:jc w:val="center"/>
              <w:ind w:left="912"/>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40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060" w:type="dxa"/>
            <w:vAlign w:val="bottom"/>
            <w:gridSpan w:val="3"/>
          </w:tcPr>
          <w:p>
            <w:pPr>
              <w:jc w:val="center"/>
              <w:ind w:left="192"/>
              <w:spacing w:after="0"/>
              <w:rPr>
                <w:sz w:val="20"/>
                <w:szCs w:val="20"/>
                <w:color w:val="auto"/>
              </w:rPr>
            </w:pPr>
            <w:r>
              <w:rPr>
                <w:rFonts w:ascii="Times New Roman" w:cs="Times New Roman" w:eastAsia="Times New Roman" w:hAnsi="Times New Roman"/>
                <w:sz w:val="18"/>
                <w:szCs w:val="18"/>
                <w:b w:val="1"/>
                <w:bCs w:val="1"/>
                <w:color w:val="auto"/>
                <w:w w:val="96"/>
              </w:rPr>
              <w:t>Number</w:t>
            </w:r>
          </w:p>
        </w:tc>
        <w:tc>
          <w:tcPr>
            <w:tcW w:w="40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3"/>
              </w:rPr>
              <w:t>Average</w:t>
            </w:r>
          </w:p>
        </w:tc>
        <w:tc>
          <w:tcPr>
            <w:tcW w:w="1080" w:type="dxa"/>
            <w:vAlign w:val="bottom"/>
            <w:gridSpan w:val="4"/>
          </w:tcPr>
          <w:p>
            <w:pPr>
              <w:jc w:val="center"/>
              <w:ind w:left="212"/>
              <w:spacing w:after="0"/>
              <w:rPr>
                <w:sz w:val="20"/>
                <w:szCs w:val="20"/>
                <w:color w:val="auto"/>
              </w:rPr>
            </w:pPr>
            <w:r>
              <w:rPr>
                <w:rFonts w:ascii="Times New Roman" w:cs="Times New Roman" w:eastAsia="Times New Roman" w:hAnsi="Times New Roman"/>
                <w:sz w:val="18"/>
                <w:szCs w:val="18"/>
                <w:b w:val="1"/>
                <w:bCs w:val="1"/>
                <w:color w:val="auto"/>
                <w:w w:val="96"/>
              </w:rPr>
              <w:t>Number</w:t>
            </w:r>
          </w:p>
        </w:tc>
        <w:tc>
          <w:tcPr>
            <w:tcW w:w="40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3"/>
              </w:rPr>
              <w:t>Average</w:t>
            </w:r>
          </w:p>
        </w:tc>
      </w:tr>
      <w:tr>
        <w:trPr>
          <w:trHeight w:val="216"/>
        </w:trPr>
        <w:tc>
          <w:tcPr>
            <w:tcW w:w="34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of</w:t>
            </w:r>
          </w:p>
        </w:tc>
        <w:tc>
          <w:tcPr>
            <w:tcW w:w="40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Exercise</w:t>
            </w:r>
          </w:p>
        </w:tc>
        <w:tc>
          <w:tcPr>
            <w:tcW w:w="360" w:type="dxa"/>
            <w:vAlign w:val="bottom"/>
          </w:tcPr>
          <w:p>
            <w:pPr>
              <w:spacing w:after="0"/>
              <w:rPr>
                <w:sz w:val="18"/>
                <w:szCs w:val="18"/>
                <w:color w:val="auto"/>
              </w:rPr>
            </w:pPr>
          </w:p>
        </w:tc>
        <w:tc>
          <w:tcPr>
            <w:tcW w:w="7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3"/>
              </w:rPr>
              <w:t>of</w:t>
            </w:r>
          </w:p>
        </w:tc>
        <w:tc>
          <w:tcPr>
            <w:tcW w:w="40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380" w:type="dxa"/>
            <w:vAlign w:val="bottom"/>
          </w:tcPr>
          <w:p>
            <w:pPr>
              <w:spacing w:after="0"/>
              <w:rPr>
                <w:sz w:val="18"/>
                <w:szCs w:val="18"/>
                <w:color w:val="auto"/>
              </w:rPr>
            </w:pPr>
          </w:p>
        </w:tc>
        <w:tc>
          <w:tcPr>
            <w:tcW w:w="70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3"/>
              </w:rPr>
              <w:t>of</w:t>
            </w:r>
          </w:p>
        </w:tc>
        <w:tc>
          <w:tcPr>
            <w:tcW w:w="40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Exercise</w:t>
            </w:r>
          </w:p>
        </w:tc>
      </w:tr>
      <w:tr>
        <w:trPr>
          <w:trHeight w:val="230"/>
        </w:trPr>
        <w:tc>
          <w:tcPr>
            <w:tcW w:w="34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7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Options</w:t>
            </w:r>
          </w:p>
        </w:tc>
        <w:tc>
          <w:tcPr>
            <w:tcW w:w="400" w:type="dxa"/>
            <w:vAlign w:val="bottom"/>
          </w:tcPr>
          <w:p>
            <w:pPr>
              <w:spacing w:after="0"/>
              <w:rPr>
                <w:sz w:val="20"/>
                <w:szCs w:val="20"/>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4"/>
              </w:rPr>
              <w:t>Price</w:t>
            </w:r>
          </w:p>
        </w:tc>
        <w:tc>
          <w:tcPr>
            <w:tcW w:w="360" w:type="dxa"/>
            <w:vAlign w:val="bottom"/>
          </w:tcPr>
          <w:p>
            <w:pPr>
              <w:spacing w:after="0"/>
              <w:rPr>
                <w:sz w:val="20"/>
                <w:szCs w:val="20"/>
                <w:color w:val="auto"/>
              </w:rPr>
            </w:pPr>
          </w:p>
        </w:tc>
        <w:tc>
          <w:tcPr>
            <w:tcW w:w="7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4"/>
              </w:rPr>
              <w:t>Options</w:t>
            </w:r>
          </w:p>
        </w:tc>
        <w:tc>
          <w:tcPr>
            <w:tcW w:w="400" w:type="dxa"/>
            <w:vAlign w:val="bottom"/>
          </w:tcPr>
          <w:p>
            <w:pPr>
              <w:spacing w:after="0"/>
              <w:rPr>
                <w:sz w:val="20"/>
                <w:szCs w:val="20"/>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380" w:type="dxa"/>
            <w:vAlign w:val="bottom"/>
          </w:tcPr>
          <w:p>
            <w:pPr>
              <w:spacing w:after="0"/>
              <w:rPr>
                <w:sz w:val="20"/>
                <w:szCs w:val="20"/>
                <w:color w:val="auto"/>
              </w:rPr>
            </w:pPr>
          </w:p>
        </w:tc>
        <w:tc>
          <w:tcPr>
            <w:tcW w:w="70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4"/>
              </w:rPr>
              <w:t>Options</w:t>
            </w:r>
          </w:p>
        </w:tc>
        <w:tc>
          <w:tcPr>
            <w:tcW w:w="400" w:type="dxa"/>
            <w:vAlign w:val="bottom"/>
          </w:tcPr>
          <w:p>
            <w:pPr>
              <w:spacing w:after="0"/>
              <w:rPr>
                <w:sz w:val="20"/>
                <w:szCs w:val="20"/>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Price</w:t>
            </w:r>
          </w:p>
        </w:tc>
      </w:tr>
      <w:tr>
        <w:trPr>
          <w:trHeight w:val="197"/>
        </w:trPr>
        <w:tc>
          <w:tcPr>
            <w:tcW w:w="3420" w:type="dxa"/>
            <w:vAlign w:val="bottom"/>
          </w:tcPr>
          <w:p>
            <w:pPr>
              <w:spacing w:after="0" w:line="197" w:lineRule="exact"/>
              <w:rPr>
                <w:sz w:val="20"/>
                <w:szCs w:val="20"/>
                <w:color w:val="auto"/>
              </w:rPr>
            </w:pPr>
            <w:r>
              <w:rPr>
                <w:rFonts w:ascii="Times New Roman" w:cs="Times New Roman" w:eastAsia="Times New Roman" w:hAnsi="Times New Roman"/>
                <w:sz w:val="18"/>
                <w:szCs w:val="18"/>
                <w:color w:val="auto"/>
              </w:rPr>
              <w:t>Balance at beginning of year</w:t>
            </w:r>
          </w:p>
        </w:tc>
        <w:tc>
          <w:tcPr>
            <w:tcW w:w="1080" w:type="dxa"/>
            <w:vAlign w:val="bottom"/>
          </w:tcPr>
          <w:p>
            <w:pPr>
              <w:spacing w:after="0"/>
              <w:rPr>
                <w:sz w:val="17"/>
                <w:szCs w:val="17"/>
                <w:color w:val="auto"/>
              </w:rPr>
            </w:pPr>
          </w:p>
        </w:tc>
        <w:tc>
          <w:tcPr>
            <w:tcW w:w="640" w:type="dxa"/>
            <w:vAlign w:val="bottom"/>
            <w:tcBorders>
              <w:top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rPr>
              <w:t>5,003</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20" w:type="dxa"/>
            <w:vAlign w:val="bottom"/>
            <w:tcBorders>
              <w:top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rPr>
              <w:t>$   24.90</w:t>
            </w:r>
          </w:p>
        </w:tc>
        <w:tc>
          <w:tcPr>
            <w:tcW w:w="360" w:type="dxa"/>
            <w:vAlign w:val="bottom"/>
          </w:tcPr>
          <w:p>
            <w:pPr>
              <w:spacing w:after="0"/>
              <w:rPr>
                <w:sz w:val="17"/>
                <w:szCs w:val="17"/>
                <w:color w:val="auto"/>
              </w:rPr>
            </w:pPr>
          </w:p>
        </w:tc>
        <w:tc>
          <w:tcPr>
            <w:tcW w:w="640" w:type="dxa"/>
            <w:vAlign w:val="bottom"/>
            <w:tcBorders>
              <w:top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rPr>
              <w:t>5,963</w:t>
            </w: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20" w:type="dxa"/>
            <w:vAlign w:val="bottom"/>
            <w:tcBorders>
              <w:top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rPr>
              <w:t>$   26.16</w:t>
            </w:r>
          </w:p>
        </w:tc>
        <w:tc>
          <w:tcPr>
            <w:tcW w:w="380" w:type="dxa"/>
            <w:vAlign w:val="bottom"/>
          </w:tcPr>
          <w:p>
            <w:pPr>
              <w:spacing w:after="0"/>
              <w:rPr>
                <w:sz w:val="17"/>
                <w:szCs w:val="17"/>
                <w:color w:val="auto"/>
              </w:rPr>
            </w:pPr>
          </w:p>
        </w:tc>
        <w:tc>
          <w:tcPr>
            <w:tcW w:w="640" w:type="dxa"/>
            <w:vAlign w:val="bottom"/>
            <w:tcBorders>
              <w:top w:val="single" w:sz="8" w:color="auto"/>
            </w:tcBorders>
            <w:gridSpan w:val="2"/>
          </w:tcPr>
          <w:p>
            <w:pPr>
              <w:jc w:val="right"/>
              <w:ind w:right="20"/>
              <w:spacing w:after="0" w:line="197" w:lineRule="exact"/>
              <w:rPr>
                <w:sz w:val="20"/>
                <w:szCs w:val="20"/>
                <w:color w:val="auto"/>
              </w:rPr>
            </w:pPr>
            <w:r>
              <w:rPr>
                <w:rFonts w:ascii="Times New Roman" w:cs="Times New Roman" w:eastAsia="Times New Roman" w:hAnsi="Times New Roman"/>
                <w:sz w:val="18"/>
                <w:szCs w:val="18"/>
                <w:color w:val="auto"/>
              </w:rPr>
              <w:t>11,037</w:t>
            </w: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20" w:type="dxa"/>
            <w:vAlign w:val="bottom"/>
            <w:tcBorders>
              <w:top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rPr>
              <w:t>$   27.22</w:t>
            </w:r>
          </w:p>
        </w:tc>
      </w:tr>
      <w:tr>
        <w:trPr>
          <w:trHeight w:val="216"/>
        </w:trPr>
        <w:tc>
          <w:tcPr>
            <w:tcW w:w="3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Granted at fair market value</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4,012</w:t>
            </w:r>
          </w:p>
        </w:tc>
        <w:tc>
          <w:tcPr>
            <w:tcW w:w="8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0.79</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 xml:space="preserve">Exercised </w:t>
            </w:r>
            <w:r>
              <w:rPr>
                <w:rFonts w:ascii="Times New Roman" w:cs="Times New Roman" w:eastAsia="Times New Roman" w:hAnsi="Times New Roman"/>
                <w:sz w:val="11"/>
                <w:szCs w:val="11"/>
                <w:color w:val="auto"/>
              </w:rPr>
              <w:t>(a)</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(5)</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10.68</w:t>
            </w:r>
          </w:p>
        </w:tc>
        <w:tc>
          <w:tcPr>
            <w:tcW w:w="10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(2,495)</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19.92</w:t>
            </w:r>
          </w:p>
        </w:tc>
      </w:tr>
      <w:tr>
        <w:trPr>
          <w:trHeight w:val="228"/>
        </w:trPr>
        <w:tc>
          <w:tcPr>
            <w:tcW w:w="3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Forfeited</w:t>
            </w:r>
          </w:p>
        </w:tc>
        <w:tc>
          <w:tcPr>
            <w:tcW w:w="18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(1,819)</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25.51</w:t>
            </w:r>
          </w:p>
        </w:tc>
        <w:tc>
          <w:tcPr>
            <w:tcW w:w="10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(955)</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32.89</w:t>
            </w:r>
          </w:p>
        </w:tc>
        <w:tc>
          <w:tcPr>
            <w:tcW w:w="10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(2,579)</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36.74</w:t>
            </w:r>
          </w:p>
        </w:tc>
      </w:tr>
      <w:tr>
        <w:trPr>
          <w:trHeight w:val="225"/>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Balance at end of year </w:t>
            </w:r>
            <w:r>
              <w:rPr>
                <w:rFonts w:ascii="Times New Roman" w:cs="Times New Roman" w:eastAsia="Times New Roman" w:hAnsi="Times New Roman"/>
                <w:sz w:val="11"/>
                <w:szCs w:val="11"/>
                <w:color w:val="auto"/>
              </w:rPr>
              <w:t>(b)</w:t>
            </w:r>
          </w:p>
        </w:tc>
        <w:tc>
          <w:tcPr>
            <w:tcW w:w="108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7,196</w:t>
            </w:r>
          </w:p>
        </w:tc>
        <w:tc>
          <w:tcPr>
            <w:tcW w:w="8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11.30</w:t>
            </w:r>
          </w:p>
        </w:tc>
        <w:tc>
          <w:tcPr>
            <w:tcW w:w="36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5,003</w:t>
            </w:r>
          </w:p>
        </w:tc>
        <w:tc>
          <w:tcPr>
            <w:tcW w:w="6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24.90</w:t>
            </w:r>
          </w:p>
        </w:tc>
        <w:tc>
          <w:tcPr>
            <w:tcW w:w="380" w:type="dxa"/>
            <w:vAlign w:val="bottom"/>
          </w:tcPr>
          <w:p>
            <w:pPr>
              <w:spacing w:after="0"/>
              <w:rPr>
                <w:sz w:val="19"/>
                <w:szCs w:val="19"/>
                <w:color w:val="auto"/>
              </w:rPr>
            </w:pPr>
          </w:p>
        </w:tc>
        <w:tc>
          <w:tcPr>
            <w:tcW w:w="64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5,963</w:t>
            </w:r>
          </w:p>
        </w:tc>
        <w:tc>
          <w:tcPr>
            <w:tcW w:w="6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26.16</w:t>
            </w:r>
          </w:p>
        </w:tc>
      </w:tr>
      <w:tr>
        <w:trPr>
          <w:trHeight w:val="20"/>
        </w:trPr>
        <w:tc>
          <w:tcPr>
            <w:tcW w:w="34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bl>
    <w:p>
      <w:pPr>
        <w:spacing w:after="0" w:line="135" w:lineRule="exact"/>
        <w:rPr>
          <w:sz w:val="20"/>
          <w:szCs w:val="20"/>
          <w:color w:val="auto"/>
        </w:rPr>
      </w:pPr>
    </w:p>
    <w:p>
      <w:pPr>
        <w:ind w:left="800" w:hanging="454"/>
        <w:spacing w:after="0"/>
        <w:tabs>
          <w:tab w:leader="none" w:pos="800" w:val="left"/>
        </w:tabs>
        <w:numPr>
          <w:ilvl w:val="0"/>
          <w:numId w:val="70"/>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7"/>
          <w:szCs w:val="17"/>
          <w:color w:val="auto"/>
        </w:rPr>
        <w:t>The intrinsic value of stock options exercised during 2008 was insignificant. Stock options exercised during 2007 had intrinsic value of $20 million.</w:t>
      </w:r>
    </w:p>
    <w:p>
      <w:pPr>
        <w:spacing w:after="0" w:line="7" w:lineRule="exact"/>
        <w:rPr>
          <w:rFonts w:ascii="Times New Roman" w:cs="Times New Roman" w:eastAsia="Times New Roman" w:hAnsi="Times New Roman"/>
          <w:sz w:val="21"/>
          <w:szCs w:val="21"/>
          <w:color w:val="auto"/>
          <w:vertAlign w:val="superscript"/>
        </w:rPr>
      </w:pPr>
    </w:p>
    <w:p>
      <w:pPr>
        <w:ind w:left="800" w:right="180" w:hanging="454"/>
        <w:spacing w:after="0" w:line="221" w:lineRule="auto"/>
        <w:tabs>
          <w:tab w:leader="none" w:pos="800" w:val="left"/>
        </w:tabs>
        <w:numPr>
          <w:ilvl w:val="0"/>
          <w:numId w:val="70"/>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As of December 31, 2009, the Company’s outstanding stock options had an aggregate intrinsic value of $49 million; there were 4 million “in-the-money” stock options; and aggregate unrecognized compensation expense related to unvested stock options was $1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219710</wp:posOffset>
            </wp:positionH>
            <wp:positionV relativeFrom="paragraph">
              <wp:posOffset>-434975</wp:posOffset>
            </wp:positionV>
            <wp:extent cx="72898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table below summarizes information regarding the Company’s outstanding stock options as of December 31, 2009 (in thousands of shares):</w:t>
      </w:r>
    </w:p>
    <w:p>
      <w:pPr>
        <w:spacing w:after="0" w:line="210" w:lineRule="exact"/>
        <w:rPr>
          <w:sz w:val="20"/>
          <w:szCs w:val="20"/>
          <w:color w:val="auto"/>
        </w:rPr>
      </w:pPr>
    </w:p>
    <w:tbl>
      <w:tblPr>
        <w:tblLayout w:type="fixed"/>
        <w:tblInd w:w="360" w:type="dxa"/>
        <w:tblCellMar>
          <w:top w:w="0" w:type="dxa"/>
          <w:left w:w="0" w:type="dxa"/>
          <w:bottom w:w="0" w:type="dxa"/>
          <w:right w:w="0" w:type="dxa"/>
        </w:tblCellMar>
      </w:tblPr>
      <w:tr>
        <w:trPr>
          <w:trHeight w:val="231"/>
        </w:trPr>
        <w:tc>
          <w:tcPr>
            <w:tcW w:w="114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gridSpan w:val="3"/>
          </w:tcPr>
          <w:p>
            <w:pPr>
              <w:ind w:left="340"/>
              <w:spacing w:after="0"/>
              <w:rPr>
                <w:sz w:val="20"/>
                <w:szCs w:val="20"/>
                <w:color w:val="auto"/>
              </w:rPr>
            </w:pPr>
            <w:r>
              <w:rPr>
                <w:rFonts w:ascii="Times New Roman" w:cs="Times New Roman" w:eastAsia="Times New Roman" w:hAnsi="Times New Roman"/>
                <w:sz w:val="18"/>
                <w:szCs w:val="18"/>
                <w:b w:val="1"/>
                <w:bCs w:val="1"/>
                <w:color w:val="auto"/>
              </w:rPr>
              <w:t>Outstanding Options</w:t>
            </w:r>
          </w:p>
        </w:tc>
        <w:tc>
          <w:tcPr>
            <w:tcW w:w="1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114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39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20" w:type="dxa"/>
            <w:vAlign w:val="bottom"/>
            <w:gridSpan w:val="2"/>
          </w:tcPr>
          <w:p>
            <w:pPr>
              <w:jc w:val="center"/>
              <w:ind w:right="520"/>
              <w:spacing w:after="0" w:line="195" w:lineRule="exact"/>
              <w:rPr>
                <w:sz w:val="20"/>
                <w:szCs w:val="20"/>
                <w:color w:val="auto"/>
              </w:rPr>
            </w:pPr>
            <w:r>
              <w:rPr>
                <w:rFonts w:ascii="Times New Roman" w:cs="Times New Roman" w:eastAsia="Times New Roman" w:hAnsi="Times New Roman"/>
                <w:sz w:val="18"/>
                <w:szCs w:val="18"/>
                <w:b w:val="1"/>
                <w:bCs w:val="1"/>
                <w:color w:val="auto"/>
                <w:w w:val="94"/>
              </w:rPr>
              <w:t>Weighted</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2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860" w:type="dxa"/>
            <w:vAlign w:val="bottom"/>
            <w:gridSpan w:val="3"/>
          </w:tcPr>
          <w:p>
            <w:pPr>
              <w:jc w:val="center"/>
              <w:ind w:left="52"/>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0" w:type="dxa"/>
            <w:vAlign w:val="bottom"/>
          </w:tcPr>
          <w:p>
            <w:pPr>
              <w:spacing w:after="0"/>
              <w:rPr>
                <w:sz w:val="1"/>
                <w:szCs w:val="1"/>
                <w:color w:val="auto"/>
              </w:rPr>
            </w:pPr>
          </w:p>
        </w:tc>
      </w:tr>
      <w:tr>
        <w:trPr>
          <w:trHeight w:val="216"/>
        </w:trPr>
        <w:tc>
          <w:tcPr>
            <w:tcW w:w="32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Range of</w:t>
            </w:r>
          </w:p>
        </w:tc>
        <w:tc>
          <w:tcPr>
            <w:tcW w:w="4580" w:type="dxa"/>
            <w:vAlign w:val="bottom"/>
            <w:gridSpan w:val="2"/>
          </w:tcPr>
          <w:p>
            <w:pPr>
              <w:jc w:val="center"/>
              <w:ind w:left="3832"/>
              <w:spacing w:after="0"/>
              <w:rPr>
                <w:sz w:val="20"/>
                <w:szCs w:val="20"/>
                <w:color w:val="auto"/>
              </w:rPr>
            </w:pPr>
            <w:r>
              <w:rPr>
                <w:rFonts w:ascii="Times New Roman" w:cs="Times New Roman" w:eastAsia="Times New Roman" w:hAnsi="Times New Roman"/>
                <w:sz w:val="18"/>
                <w:szCs w:val="18"/>
                <w:b w:val="1"/>
                <w:bCs w:val="1"/>
                <w:color w:val="auto"/>
                <w:w w:val="96"/>
              </w:rPr>
              <w:t>Number</w:t>
            </w:r>
          </w:p>
        </w:tc>
        <w:tc>
          <w:tcPr>
            <w:tcW w:w="640" w:type="dxa"/>
            <w:vAlign w:val="bottom"/>
          </w:tcPr>
          <w:p>
            <w:pPr>
              <w:spacing w:after="0"/>
              <w:rPr>
                <w:sz w:val="18"/>
                <w:szCs w:val="18"/>
                <w:color w:val="auto"/>
              </w:rPr>
            </w:pPr>
          </w:p>
        </w:tc>
        <w:tc>
          <w:tcPr>
            <w:tcW w:w="142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w w:val="97"/>
              </w:rPr>
              <w:t>Remaining</w:t>
            </w:r>
          </w:p>
        </w:tc>
        <w:tc>
          <w:tcPr>
            <w:tcW w:w="140" w:type="dxa"/>
            <w:vAlign w:val="bottom"/>
          </w:tcPr>
          <w:p>
            <w:pPr>
              <w:spacing w:after="0"/>
              <w:rPr>
                <w:sz w:val="18"/>
                <w:szCs w:val="18"/>
                <w:color w:val="auto"/>
              </w:rPr>
            </w:pPr>
          </w:p>
        </w:tc>
        <w:tc>
          <w:tcPr>
            <w:tcW w:w="7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3"/>
              </w:rPr>
              <w:t>Average</w:t>
            </w:r>
          </w:p>
        </w:tc>
        <w:tc>
          <w:tcPr>
            <w:tcW w:w="0" w:type="dxa"/>
            <w:vAlign w:val="bottom"/>
          </w:tcPr>
          <w:p>
            <w:pPr>
              <w:spacing w:after="0"/>
              <w:rPr>
                <w:sz w:val="1"/>
                <w:szCs w:val="1"/>
                <w:color w:val="auto"/>
              </w:rPr>
            </w:pPr>
          </w:p>
        </w:tc>
      </w:tr>
      <w:tr>
        <w:trPr>
          <w:trHeight w:val="203"/>
        </w:trPr>
        <w:tc>
          <w:tcPr>
            <w:tcW w:w="3220" w:type="dxa"/>
            <w:vAlign w:val="bottom"/>
            <w:gridSpan w:val="2"/>
            <w:vMerge w:val="continue"/>
          </w:tcPr>
          <w:p>
            <w:pPr>
              <w:spacing w:after="0"/>
              <w:rPr>
                <w:sz w:val="17"/>
                <w:szCs w:val="17"/>
                <w:color w:val="auto"/>
              </w:rPr>
            </w:pPr>
          </w:p>
        </w:tc>
        <w:tc>
          <w:tcPr>
            <w:tcW w:w="3940" w:type="dxa"/>
            <w:vAlign w:val="bottom"/>
          </w:tcPr>
          <w:p>
            <w:pPr>
              <w:spacing w:after="0"/>
              <w:rPr>
                <w:sz w:val="17"/>
                <w:szCs w:val="17"/>
                <w:color w:val="auto"/>
              </w:rPr>
            </w:pPr>
          </w:p>
        </w:tc>
        <w:tc>
          <w:tcPr>
            <w:tcW w:w="64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w w:val="93"/>
              </w:rPr>
              <w:t>of</w:t>
            </w:r>
          </w:p>
        </w:tc>
        <w:tc>
          <w:tcPr>
            <w:tcW w:w="2060" w:type="dxa"/>
            <w:vAlign w:val="bottom"/>
            <w:gridSpan w:val="3"/>
          </w:tcPr>
          <w:p>
            <w:pPr>
              <w:jc w:val="center"/>
              <w:ind w:left="32"/>
              <w:spacing w:after="0" w:line="202" w:lineRule="exact"/>
              <w:rPr>
                <w:sz w:val="20"/>
                <w:szCs w:val="20"/>
                <w:color w:val="auto"/>
              </w:rPr>
            </w:pPr>
            <w:r>
              <w:rPr>
                <w:rFonts w:ascii="Times New Roman" w:cs="Times New Roman" w:eastAsia="Times New Roman" w:hAnsi="Times New Roman"/>
                <w:sz w:val="18"/>
                <w:szCs w:val="18"/>
                <w:b w:val="1"/>
                <w:bCs w:val="1"/>
                <w:color w:val="auto"/>
                <w:w w:val="96"/>
              </w:rPr>
              <w:t>Contractual</w:t>
            </w:r>
          </w:p>
        </w:tc>
        <w:tc>
          <w:tcPr>
            <w:tcW w:w="140" w:type="dxa"/>
            <w:vAlign w:val="bottom"/>
          </w:tcPr>
          <w:p>
            <w:pPr>
              <w:spacing w:after="0"/>
              <w:rPr>
                <w:sz w:val="17"/>
                <w:szCs w:val="17"/>
                <w:color w:val="auto"/>
              </w:rPr>
            </w:pPr>
          </w:p>
        </w:tc>
        <w:tc>
          <w:tcPr>
            <w:tcW w:w="720" w:type="dxa"/>
            <w:vAlign w:val="bottom"/>
            <w:gridSpan w:val="2"/>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w w:val="98"/>
              </w:rPr>
              <w:t>Exercise</w:t>
            </w:r>
          </w:p>
        </w:tc>
        <w:tc>
          <w:tcPr>
            <w:tcW w:w="0" w:type="dxa"/>
            <w:vAlign w:val="bottom"/>
          </w:tcPr>
          <w:p>
            <w:pPr>
              <w:spacing w:after="0"/>
              <w:rPr>
                <w:sz w:val="1"/>
                <w:szCs w:val="1"/>
                <w:color w:val="auto"/>
              </w:rPr>
            </w:pPr>
          </w:p>
        </w:tc>
      </w:tr>
      <w:tr>
        <w:trPr>
          <w:trHeight w:val="252"/>
        </w:trPr>
        <w:tc>
          <w:tcPr>
            <w:tcW w:w="32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Exercise Prices</w:t>
            </w:r>
          </w:p>
        </w:tc>
        <w:tc>
          <w:tcPr>
            <w:tcW w:w="3940" w:type="dxa"/>
            <w:vAlign w:val="bottom"/>
          </w:tcPr>
          <w:p>
            <w:pPr>
              <w:spacing w:after="0"/>
              <w:rPr>
                <w:sz w:val="21"/>
                <w:szCs w:val="21"/>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4"/>
              </w:rPr>
              <w:t>Options</w:t>
            </w:r>
          </w:p>
        </w:tc>
        <w:tc>
          <w:tcPr>
            <w:tcW w:w="640" w:type="dxa"/>
            <w:vAlign w:val="bottom"/>
          </w:tcPr>
          <w:p>
            <w:pPr>
              <w:spacing w:after="0"/>
              <w:rPr>
                <w:sz w:val="21"/>
                <w:szCs w:val="21"/>
                <w:color w:val="auto"/>
              </w:rPr>
            </w:pPr>
          </w:p>
        </w:tc>
        <w:tc>
          <w:tcPr>
            <w:tcW w:w="142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w w:val="96"/>
              </w:rPr>
              <w:t>Life</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jc w:val="center"/>
              <w:ind w:right="32"/>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0" w:type="dxa"/>
            <w:vAlign w:val="bottom"/>
          </w:tcPr>
          <w:p>
            <w:pPr>
              <w:spacing w:after="0"/>
              <w:rPr>
                <w:sz w:val="1"/>
                <w:szCs w:val="1"/>
                <w:color w:val="auto"/>
              </w:rPr>
            </w:pPr>
          </w:p>
        </w:tc>
      </w:tr>
      <w:tr>
        <w:trPr>
          <w:trHeight w:val="189"/>
        </w:trPr>
        <w:tc>
          <w:tcPr>
            <w:tcW w:w="1140" w:type="dxa"/>
            <w:vAlign w:val="bottom"/>
            <w:tcBorders>
              <w:top w:val="single" w:sz="8" w:color="auto"/>
            </w:tcBorders>
          </w:tcPr>
          <w:p>
            <w:pPr>
              <w:spacing w:after="0" w:line="189" w:lineRule="exact"/>
              <w:rPr>
                <w:sz w:val="20"/>
                <w:szCs w:val="20"/>
                <w:color w:val="auto"/>
              </w:rPr>
            </w:pPr>
            <w:r>
              <w:rPr>
                <w:rFonts w:ascii="Times New Roman" w:cs="Times New Roman" w:eastAsia="Times New Roman" w:hAnsi="Times New Roman"/>
                <w:sz w:val="18"/>
                <w:szCs w:val="18"/>
                <w:color w:val="auto"/>
                <w:w w:val="98"/>
              </w:rPr>
              <w:t>Less than $5.00</w:t>
            </w:r>
          </w:p>
        </w:tc>
        <w:tc>
          <w:tcPr>
            <w:tcW w:w="2080" w:type="dxa"/>
            <w:vAlign w:val="bottom"/>
          </w:tcPr>
          <w:p>
            <w:pPr>
              <w:spacing w:after="0"/>
              <w:rPr>
                <w:sz w:val="16"/>
                <w:szCs w:val="16"/>
                <w:color w:val="auto"/>
              </w:rPr>
            </w:pPr>
          </w:p>
        </w:tc>
        <w:tc>
          <w:tcPr>
            <w:tcW w:w="3940" w:type="dxa"/>
            <w:vAlign w:val="bottom"/>
          </w:tcPr>
          <w:p>
            <w:pPr>
              <w:spacing w:after="0"/>
              <w:rPr>
                <w:sz w:val="16"/>
                <w:szCs w:val="16"/>
                <w:color w:val="auto"/>
              </w:rPr>
            </w:pPr>
          </w:p>
        </w:tc>
        <w:tc>
          <w:tcPr>
            <w:tcW w:w="640" w:type="dxa"/>
            <w:vAlign w:val="bottom"/>
            <w:tcBorders>
              <w:top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4,005</w:t>
            </w:r>
          </w:p>
        </w:tc>
        <w:tc>
          <w:tcPr>
            <w:tcW w:w="640" w:type="dxa"/>
            <w:vAlign w:val="bottom"/>
          </w:tcPr>
          <w:p>
            <w:pPr>
              <w:spacing w:after="0"/>
              <w:rPr>
                <w:sz w:val="16"/>
                <w:szCs w:val="16"/>
                <w:color w:val="auto"/>
              </w:rPr>
            </w:pPr>
          </w:p>
        </w:tc>
        <w:tc>
          <w:tcPr>
            <w:tcW w:w="920" w:type="dxa"/>
            <w:vAlign w:val="bottom"/>
            <w:tcBorders>
              <w:top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9.1</w:t>
            </w: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top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0.79</w:t>
            </w:r>
          </w:p>
        </w:tc>
        <w:tc>
          <w:tcPr>
            <w:tcW w:w="0" w:type="dxa"/>
            <w:vAlign w:val="bottom"/>
          </w:tcPr>
          <w:p>
            <w:pPr>
              <w:spacing w:after="0"/>
              <w:rPr>
                <w:sz w:val="1"/>
                <w:szCs w:val="1"/>
                <w:color w:val="auto"/>
              </w:rPr>
            </w:pPr>
          </w:p>
        </w:tc>
      </w:tr>
      <w:tr>
        <w:trPr>
          <w:trHeight w:val="216"/>
        </w:trPr>
        <w:tc>
          <w:tcPr>
            <w:tcW w:w="3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$5.01 to $10.00</w:t>
            </w:r>
          </w:p>
        </w:tc>
        <w:tc>
          <w:tcPr>
            <w:tcW w:w="4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$10.01 to $15.00</w:t>
            </w:r>
          </w:p>
        </w:tc>
        <w:tc>
          <w:tcPr>
            <w:tcW w:w="4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717</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13.53</w:t>
            </w:r>
          </w:p>
        </w:tc>
        <w:tc>
          <w:tcPr>
            <w:tcW w:w="0" w:type="dxa"/>
            <w:vAlign w:val="bottom"/>
          </w:tcPr>
          <w:p>
            <w:pPr>
              <w:spacing w:after="0"/>
              <w:rPr>
                <w:sz w:val="1"/>
                <w:szCs w:val="1"/>
                <w:color w:val="auto"/>
              </w:rPr>
            </w:pPr>
          </w:p>
        </w:tc>
      </w:tr>
      <w:tr>
        <w:trPr>
          <w:trHeight w:val="216"/>
        </w:trPr>
        <w:tc>
          <w:tcPr>
            <w:tcW w:w="3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$15.01 to $20.00</w:t>
            </w:r>
          </w:p>
        </w:tc>
        <w:tc>
          <w:tcPr>
            <w:tcW w:w="4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18.68</w:t>
            </w:r>
          </w:p>
        </w:tc>
        <w:tc>
          <w:tcPr>
            <w:tcW w:w="0" w:type="dxa"/>
            <w:vAlign w:val="bottom"/>
          </w:tcPr>
          <w:p>
            <w:pPr>
              <w:spacing w:after="0"/>
              <w:rPr>
                <w:sz w:val="1"/>
                <w:szCs w:val="1"/>
                <w:color w:val="auto"/>
              </w:rPr>
            </w:pPr>
          </w:p>
        </w:tc>
      </w:tr>
      <w:tr>
        <w:trPr>
          <w:trHeight w:val="216"/>
        </w:trPr>
        <w:tc>
          <w:tcPr>
            <w:tcW w:w="3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$20.01 to $25.00</w:t>
            </w:r>
          </w:p>
        </w:tc>
        <w:tc>
          <w:tcPr>
            <w:tcW w:w="4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22.01</w:t>
            </w:r>
          </w:p>
        </w:tc>
        <w:tc>
          <w:tcPr>
            <w:tcW w:w="0" w:type="dxa"/>
            <w:vAlign w:val="bottom"/>
          </w:tcPr>
          <w:p>
            <w:pPr>
              <w:spacing w:after="0"/>
              <w:rPr>
                <w:sz w:val="1"/>
                <w:szCs w:val="1"/>
                <w:color w:val="auto"/>
              </w:rPr>
            </w:pPr>
          </w:p>
        </w:tc>
      </w:tr>
      <w:tr>
        <w:trPr>
          <w:trHeight w:val="216"/>
        </w:trPr>
        <w:tc>
          <w:tcPr>
            <w:tcW w:w="3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$25.01 to $30.00</w:t>
            </w:r>
          </w:p>
        </w:tc>
        <w:tc>
          <w:tcPr>
            <w:tcW w:w="4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1,083</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27.24</w:t>
            </w:r>
          </w:p>
        </w:tc>
        <w:tc>
          <w:tcPr>
            <w:tcW w:w="0" w:type="dxa"/>
            <w:vAlign w:val="bottom"/>
          </w:tcPr>
          <w:p>
            <w:pPr>
              <w:spacing w:after="0"/>
              <w:rPr>
                <w:sz w:val="1"/>
                <w:szCs w:val="1"/>
                <w:color w:val="auto"/>
              </w:rPr>
            </w:pPr>
          </w:p>
        </w:tc>
      </w:tr>
      <w:tr>
        <w:trPr>
          <w:trHeight w:val="228"/>
        </w:trPr>
        <w:tc>
          <w:tcPr>
            <w:tcW w:w="3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$30.01 and above</w:t>
            </w:r>
          </w:p>
        </w:tc>
        <w:tc>
          <w:tcPr>
            <w:tcW w:w="4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948</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31.80</w:t>
            </w:r>
          </w:p>
        </w:tc>
        <w:tc>
          <w:tcPr>
            <w:tcW w:w="0" w:type="dxa"/>
            <w:vAlign w:val="bottom"/>
          </w:tcPr>
          <w:p>
            <w:pPr>
              <w:spacing w:after="0"/>
              <w:rPr>
                <w:sz w:val="1"/>
                <w:szCs w:val="1"/>
                <w:color w:val="auto"/>
              </w:rPr>
            </w:pPr>
          </w:p>
        </w:tc>
      </w:tr>
      <w:tr>
        <w:trPr>
          <w:trHeight w:val="225"/>
        </w:trPr>
        <w:tc>
          <w:tcPr>
            <w:tcW w:w="114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394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7,196</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11.30</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114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4580" w:type="dxa"/>
            <w:vAlign w:val="bottom"/>
            <w:gridSpan w:val="2"/>
          </w:tcPr>
          <w:p>
            <w:pPr>
              <w:jc w:val="right"/>
              <w:ind w:right="2192"/>
              <w:spacing w:after="0"/>
              <w:rPr>
                <w:sz w:val="20"/>
                <w:szCs w:val="20"/>
                <w:color w:val="auto"/>
              </w:rPr>
            </w:pPr>
            <w:r>
              <w:rPr>
                <w:rFonts w:ascii="Times New Roman" w:cs="Times New Roman" w:eastAsia="Times New Roman" w:hAnsi="Times New Roman"/>
                <w:sz w:val="18"/>
                <w:szCs w:val="18"/>
                <w:color w:val="auto"/>
              </w:rPr>
              <w:t>F-41</w:t>
            </w:r>
          </w:p>
        </w:tc>
        <w:tc>
          <w:tcPr>
            <w:tcW w:w="6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00"/>
          </w:cols>
          <w:pgMar w:left="240" w:top="455" w:right="459" w:bottom="1440" w:gutter="0" w:footer="0" w:header="0"/>
        </w:sectPr>
      </w:pPr>
    </w:p>
    <w:bookmarkStart w:id="102" w:name="page103"/>
    <w:bookmarkEnd w:id="10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175" w:lineRule="exact"/>
        <w:rPr>
          <w:sz w:val="20"/>
          <w:szCs w:val="20"/>
          <w:color w:val="auto"/>
        </w:rPr>
      </w:pPr>
    </w:p>
    <w:p>
      <w:pPr>
        <w:ind w:left="360" w:right="20"/>
        <w:spacing w:after="0" w:line="256" w:lineRule="auto"/>
        <w:rPr>
          <w:sz w:val="20"/>
          <w:szCs w:val="20"/>
          <w:color w:val="auto"/>
        </w:rPr>
      </w:pPr>
      <w:r>
        <w:rPr>
          <w:rFonts w:ascii="Times New Roman" w:cs="Times New Roman" w:eastAsia="Times New Roman" w:hAnsi="Times New Roman"/>
          <w:sz w:val="18"/>
          <w:szCs w:val="18"/>
          <w:color w:val="auto"/>
        </w:rPr>
        <w:t>RSUs currently granted by the Company entitle the employee to receive one share of Avis Budget common stock upon vesting, which occurs ratably over a four-year period for the majority of RSUs outstanding as of December 31, 2009. The Company also employs performance and time vesting criteria for RSU grants made to certain of the Company’s executives. The performance criteria will determine the number of RSUs that will ultimately vest and are based on growth in earnings before taxes and certain other metrics over varying periods of three to four years. The number of performance-based RSUs that will ultimately vest may range from 0% to 100% of the target award.</w:t>
      </w:r>
    </w:p>
    <w:p>
      <w:pPr>
        <w:spacing w:after="0" w:line="13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annual activity related to the Company’s time- and performance-based RSUs consisted of (in thousands of shares):</w:t>
      </w:r>
    </w:p>
    <w:p>
      <w:pPr>
        <w:spacing w:after="0" w:line="210" w:lineRule="exact"/>
        <w:rPr>
          <w:sz w:val="20"/>
          <w:szCs w:val="20"/>
          <w:color w:val="auto"/>
        </w:rPr>
      </w:pPr>
    </w:p>
    <w:tbl>
      <w:tblPr>
        <w:tblLayout w:type="fixed"/>
        <w:tblInd w:w="360" w:type="dxa"/>
        <w:tblCellMar>
          <w:top w:w="0" w:type="dxa"/>
          <w:left w:w="0" w:type="dxa"/>
          <w:bottom w:w="0" w:type="dxa"/>
          <w:right w:w="0" w:type="dxa"/>
        </w:tblCellMar>
      </w:tblPr>
      <w:tr>
        <w:trPr>
          <w:trHeight w:val="231"/>
        </w:trPr>
        <w:tc>
          <w:tcPr>
            <w:tcW w:w="3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2009</w:t>
            </w:r>
          </w:p>
        </w:tc>
        <w:tc>
          <w:tcPr>
            <w:tcW w:w="720" w:type="dxa"/>
            <w:vAlign w:val="bottom"/>
            <w:tcBorders>
              <w:bottom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2008</w:t>
            </w:r>
          </w:p>
        </w:tc>
        <w:tc>
          <w:tcPr>
            <w:tcW w:w="720" w:type="dxa"/>
            <w:vAlign w:val="bottom"/>
            <w:tcBorders>
              <w:bottom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2007</w:t>
            </w:r>
          </w:p>
        </w:tc>
        <w:tc>
          <w:tcPr>
            <w:tcW w:w="720" w:type="dxa"/>
            <w:vAlign w:val="bottom"/>
            <w:tcBorders>
              <w:bottom w:val="single" w:sz="8" w:color="auto"/>
            </w:tcBorders>
          </w:tcPr>
          <w:p>
            <w:pPr>
              <w:spacing w:after="0"/>
              <w:rPr>
                <w:sz w:val="20"/>
                <w:szCs w:val="20"/>
                <w:color w:val="auto"/>
              </w:rPr>
            </w:pPr>
          </w:p>
        </w:tc>
      </w:tr>
      <w:tr>
        <w:trPr>
          <w:trHeight w:val="194"/>
        </w:trPr>
        <w:tc>
          <w:tcPr>
            <w:tcW w:w="3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gridSpan w:val="2"/>
          </w:tcPr>
          <w:p>
            <w:pPr>
              <w:jc w:val="center"/>
              <w:ind w:left="372"/>
              <w:spacing w:after="0" w:line="195" w:lineRule="exact"/>
              <w:rPr>
                <w:sz w:val="20"/>
                <w:szCs w:val="20"/>
                <w:color w:val="auto"/>
              </w:rPr>
            </w:pPr>
            <w:r>
              <w:rPr>
                <w:rFonts w:ascii="Times New Roman" w:cs="Times New Roman" w:eastAsia="Times New Roman" w:hAnsi="Times New Roman"/>
                <w:sz w:val="18"/>
                <w:szCs w:val="18"/>
                <w:b w:val="1"/>
                <w:bCs w:val="1"/>
                <w:color w:val="auto"/>
                <w:w w:val="97"/>
              </w:rPr>
              <w:t>Weighted</w:t>
            </w:r>
          </w:p>
        </w:tc>
        <w:tc>
          <w:tcPr>
            <w:tcW w:w="4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jc w:val="center"/>
              <w:ind w:left="352"/>
              <w:spacing w:after="0" w:line="195" w:lineRule="exact"/>
              <w:rPr>
                <w:sz w:val="20"/>
                <w:szCs w:val="20"/>
                <w:color w:val="auto"/>
              </w:rPr>
            </w:pPr>
            <w:r>
              <w:rPr>
                <w:rFonts w:ascii="Times New Roman" w:cs="Times New Roman" w:eastAsia="Times New Roman" w:hAnsi="Times New Roman"/>
                <w:sz w:val="18"/>
                <w:szCs w:val="18"/>
                <w:b w:val="1"/>
                <w:bCs w:val="1"/>
                <w:color w:val="auto"/>
                <w:w w:val="94"/>
              </w:rPr>
              <w:t>Weighted</w:t>
            </w:r>
          </w:p>
        </w:tc>
        <w:tc>
          <w:tcPr>
            <w:tcW w:w="4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gridSpan w:val="2"/>
          </w:tcPr>
          <w:p>
            <w:pPr>
              <w:jc w:val="center"/>
              <w:ind w:left="372"/>
              <w:spacing w:after="0" w:line="195" w:lineRule="exact"/>
              <w:rPr>
                <w:sz w:val="20"/>
                <w:szCs w:val="20"/>
                <w:color w:val="auto"/>
              </w:rPr>
            </w:pPr>
            <w:r>
              <w:rPr>
                <w:rFonts w:ascii="Times New Roman" w:cs="Times New Roman" w:eastAsia="Times New Roman" w:hAnsi="Times New Roman"/>
                <w:sz w:val="18"/>
                <w:szCs w:val="18"/>
                <w:b w:val="1"/>
                <w:bCs w:val="1"/>
                <w:color w:val="auto"/>
                <w:w w:val="97"/>
              </w:rPr>
              <w:t>Weighted</w:t>
            </w:r>
          </w:p>
        </w:tc>
      </w:tr>
      <w:tr>
        <w:trPr>
          <w:trHeight w:val="216"/>
        </w:trPr>
        <w:tc>
          <w:tcPr>
            <w:tcW w:w="3240" w:type="dxa"/>
            <w:vAlign w:val="bottom"/>
          </w:tcPr>
          <w:p>
            <w:pPr>
              <w:spacing w:after="0"/>
              <w:rPr>
                <w:sz w:val="18"/>
                <w:szCs w:val="18"/>
                <w:color w:val="auto"/>
              </w:rPr>
            </w:pPr>
          </w:p>
        </w:tc>
        <w:tc>
          <w:tcPr>
            <w:tcW w:w="1600" w:type="dxa"/>
            <w:vAlign w:val="bottom"/>
            <w:gridSpan w:val="3"/>
          </w:tcPr>
          <w:p>
            <w:pPr>
              <w:jc w:val="center"/>
              <w:ind w:left="692"/>
              <w:spacing w:after="0"/>
              <w:rPr>
                <w:sz w:val="20"/>
                <w:szCs w:val="20"/>
                <w:color w:val="auto"/>
              </w:rPr>
            </w:pPr>
            <w:r>
              <w:rPr>
                <w:rFonts w:ascii="Times New Roman" w:cs="Times New Roman" w:eastAsia="Times New Roman" w:hAnsi="Times New Roman"/>
                <w:sz w:val="18"/>
                <w:szCs w:val="18"/>
                <w:b w:val="1"/>
                <w:bCs w:val="1"/>
                <w:color w:val="auto"/>
                <w:w w:val="96"/>
              </w:rPr>
              <w:t>Number</w:t>
            </w:r>
          </w:p>
        </w:tc>
        <w:tc>
          <w:tcPr>
            <w:tcW w:w="46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3"/>
              </w:rPr>
              <w:t>Average</w:t>
            </w:r>
          </w:p>
        </w:tc>
        <w:tc>
          <w:tcPr>
            <w:tcW w:w="1180" w:type="dxa"/>
            <w:vAlign w:val="bottom"/>
            <w:gridSpan w:val="3"/>
          </w:tcPr>
          <w:p>
            <w:pPr>
              <w:jc w:val="center"/>
              <w:ind w:left="252"/>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46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160" w:type="dxa"/>
            <w:vAlign w:val="bottom"/>
            <w:gridSpan w:val="3"/>
          </w:tcPr>
          <w:p>
            <w:pPr>
              <w:jc w:val="center"/>
              <w:ind w:left="252"/>
              <w:spacing w:after="0"/>
              <w:rPr>
                <w:sz w:val="20"/>
                <w:szCs w:val="20"/>
                <w:color w:val="auto"/>
              </w:rPr>
            </w:pPr>
            <w:r>
              <w:rPr>
                <w:rFonts w:ascii="Times New Roman" w:cs="Times New Roman" w:eastAsia="Times New Roman" w:hAnsi="Times New Roman"/>
                <w:sz w:val="18"/>
                <w:szCs w:val="18"/>
                <w:b w:val="1"/>
                <w:bCs w:val="1"/>
                <w:color w:val="auto"/>
                <w:w w:val="96"/>
              </w:rPr>
              <w:t>Number</w:t>
            </w:r>
          </w:p>
        </w:tc>
        <w:tc>
          <w:tcPr>
            <w:tcW w:w="46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3"/>
              </w:rPr>
              <w:t>Average</w:t>
            </w:r>
          </w:p>
        </w:tc>
      </w:tr>
      <w:tr>
        <w:trPr>
          <w:trHeight w:val="216"/>
        </w:trPr>
        <w:tc>
          <w:tcPr>
            <w:tcW w:w="3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3"/>
              </w:rPr>
              <w:t>of</w:t>
            </w:r>
          </w:p>
        </w:tc>
        <w:tc>
          <w:tcPr>
            <w:tcW w:w="46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Grant</w:t>
            </w:r>
          </w:p>
        </w:tc>
        <w:tc>
          <w:tcPr>
            <w:tcW w:w="440" w:type="dxa"/>
            <w:vAlign w:val="bottom"/>
          </w:tcPr>
          <w:p>
            <w:pPr>
              <w:spacing w:after="0"/>
              <w:rPr>
                <w:sz w:val="18"/>
                <w:szCs w:val="18"/>
                <w:color w:val="auto"/>
              </w:rPr>
            </w:pPr>
          </w:p>
        </w:tc>
        <w:tc>
          <w:tcPr>
            <w:tcW w:w="7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of</w:t>
            </w:r>
          </w:p>
        </w:tc>
        <w:tc>
          <w:tcPr>
            <w:tcW w:w="46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Grant</w:t>
            </w:r>
          </w:p>
        </w:tc>
        <w:tc>
          <w:tcPr>
            <w:tcW w:w="440" w:type="dxa"/>
            <w:vAlign w:val="bottom"/>
          </w:tcPr>
          <w:p>
            <w:pPr>
              <w:spacing w:after="0"/>
              <w:rPr>
                <w:sz w:val="18"/>
                <w:szCs w:val="18"/>
                <w:color w:val="auto"/>
              </w:rPr>
            </w:pPr>
          </w:p>
        </w:tc>
        <w:tc>
          <w:tcPr>
            <w:tcW w:w="7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3"/>
              </w:rPr>
              <w:t>of</w:t>
            </w:r>
          </w:p>
        </w:tc>
        <w:tc>
          <w:tcPr>
            <w:tcW w:w="46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Grant</w:t>
            </w:r>
          </w:p>
        </w:tc>
      </w:tr>
      <w:tr>
        <w:trPr>
          <w:trHeight w:val="230"/>
        </w:trPr>
        <w:tc>
          <w:tcPr>
            <w:tcW w:w="3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7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RSUs</w:t>
            </w:r>
          </w:p>
        </w:tc>
        <w:tc>
          <w:tcPr>
            <w:tcW w:w="460" w:type="dxa"/>
            <w:vAlign w:val="bottom"/>
          </w:tcPr>
          <w:p>
            <w:pPr>
              <w:spacing w:after="0"/>
              <w:rPr>
                <w:sz w:val="20"/>
                <w:szCs w:val="20"/>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440" w:type="dxa"/>
            <w:vAlign w:val="bottom"/>
          </w:tcPr>
          <w:p>
            <w:pPr>
              <w:spacing w:after="0"/>
              <w:rPr>
                <w:sz w:val="20"/>
                <w:szCs w:val="20"/>
                <w:color w:val="auto"/>
              </w:rPr>
            </w:pPr>
          </w:p>
        </w:tc>
        <w:tc>
          <w:tcPr>
            <w:tcW w:w="7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RSUs</w:t>
            </w:r>
          </w:p>
        </w:tc>
        <w:tc>
          <w:tcPr>
            <w:tcW w:w="460" w:type="dxa"/>
            <w:vAlign w:val="bottom"/>
          </w:tcPr>
          <w:p>
            <w:pPr>
              <w:spacing w:after="0"/>
              <w:rPr>
                <w:sz w:val="20"/>
                <w:szCs w:val="20"/>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4"/>
              </w:rPr>
              <w:t>Price</w:t>
            </w:r>
          </w:p>
        </w:tc>
        <w:tc>
          <w:tcPr>
            <w:tcW w:w="440" w:type="dxa"/>
            <w:vAlign w:val="bottom"/>
          </w:tcPr>
          <w:p>
            <w:pPr>
              <w:spacing w:after="0"/>
              <w:rPr>
                <w:sz w:val="20"/>
                <w:szCs w:val="20"/>
                <w:color w:val="auto"/>
              </w:rPr>
            </w:pPr>
          </w:p>
        </w:tc>
        <w:tc>
          <w:tcPr>
            <w:tcW w:w="7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RSUs</w:t>
            </w:r>
          </w:p>
        </w:tc>
        <w:tc>
          <w:tcPr>
            <w:tcW w:w="460" w:type="dxa"/>
            <w:vAlign w:val="bottom"/>
          </w:tcPr>
          <w:p>
            <w:pPr>
              <w:spacing w:after="0"/>
              <w:rPr>
                <w:sz w:val="20"/>
                <w:szCs w:val="20"/>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Price</w:t>
            </w:r>
          </w:p>
        </w:tc>
      </w:tr>
      <w:tr>
        <w:trPr>
          <w:trHeight w:val="197"/>
        </w:trPr>
        <w:tc>
          <w:tcPr>
            <w:tcW w:w="3240" w:type="dxa"/>
            <w:vAlign w:val="bottom"/>
          </w:tcPr>
          <w:p>
            <w:pPr>
              <w:spacing w:after="0" w:line="197" w:lineRule="exact"/>
              <w:rPr>
                <w:sz w:val="20"/>
                <w:szCs w:val="20"/>
                <w:color w:val="auto"/>
              </w:rPr>
            </w:pPr>
            <w:r>
              <w:rPr>
                <w:rFonts w:ascii="Times New Roman" w:cs="Times New Roman" w:eastAsia="Times New Roman" w:hAnsi="Times New Roman"/>
                <w:sz w:val="18"/>
                <w:szCs w:val="18"/>
                <w:color w:val="auto"/>
              </w:rPr>
              <w:t>Balance at beginning of year</w:t>
            </w:r>
          </w:p>
        </w:tc>
        <w:tc>
          <w:tcPr>
            <w:tcW w:w="880" w:type="dxa"/>
            <w:vAlign w:val="bottom"/>
          </w:tcPr>
          <w:p>
            <w:pPr>
              <w:spacing w:after="0"/>
              <w:rPr>
                <w:sz w:val="17"/>
                <w:szCs w:val="17"/>
                <w:color w:val="auto"/>
              </w:rPr>
            </w:pPr>
          </w:p>
        </w:tc>
        <w:tc>
          <w:tcPr>
            <w:tcW w:w="640" w:type="dxa"/>
            <w:vAlign w:val="bottom"/>
            <w:tcBorders>
              <w:top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rPr>
              <w:t>2,673</w:t>
            </w: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20" w:type="dxa"/>
            <w:vAlign w:val="bottom"/>
            <w:tcBorders>
              <w:top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rPr>
              <w:t>$   20.18</w:t>
            </w:r>
          </w:p>
        </w:tc>
        <w:tc>
          <w:tcPr>
            <w:tcW w:w="440" w:type="dxa"/>
            <w:vAlign w:val="bottom"/>
          </w:tcPr>
          <w:p>
            <w:pPr>
              <w:spacing w:after="0"/>
              <w:rPr>
                <w:sz w:val="17"/>
                <w:szCs w:val="17"/>
                <w:color w:val="auto"/>
              </w:rPr>
            </w:pPr>
          </w:p>
        </w:tc>
        <w:tc>
          <w:tcPr>
            <w:tcW w:w="640" w:type="dxa"/>
            <w:vAlign w:val="bottom"/>
            <w:tcBorders>
              <w:top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rPr>
              <w:t>2,330</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20" w:type="dxa"/>
            <w:vAlign w:val="bottom"/>
            <w:tcBorders>
              <w:top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rPr>
              <w:t>$   25.03</w:t>
            </w:r>
          </w:p>
        </w:tc>
        <w:tc>
          <w:tcPr>
            <w:tcW w:w="440" w:type="dxa"/>
            <w:vAlign w:val="bottom"/>
          </w:tcPr>
          <w:p>
            <w:pPr>
              <w:spacing w:after="0"/>
              <w:rPr>
                <w:sz w:val="17"/>
                <w:szCs w:val="17"/>
                <w:color w:val="auto"/>
              </w:rPr>
            </w:pPr>
          </w:p>
        </w:tc>
        <w:tc>
          <w:tcPr>
            <w:tcW w:w="640" w:type="dxa"/>
            <w:vAlign w:val="bottom"/>
            <w:tcBorders>
              <w:top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rPr>
              <w:t>1,774</w:t>
            </w: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20" w:type="dxa"/>
            <w:vAlign w:val="bottom"/>
            <w:tcBorders>
              <w:top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rPr>
              <w:t>$   24.33</w:t>
            </w:r>
          </w:p>
        </w:tc>
      </w:tr>
      <w:tr>
        <w:trPr>
          <w:trHeight w:val="216"/>
        </w:trPr>
        <w:tc>
          <w:tcPr>
            <w:tcW w:w="3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 xml:space="preserve">Granted at fair market value </w:t>
            </w:r>
            <w:r>
              <w:rPr>
                <w:rFonts w:ascii="Times New Roman" w:cs="Times New Roman" w:eastAsia="Times New Roman" w:hAnsi="Times New Roman"/>
                <w:sz w:val="11"/>
                <w:szCs w:val="11"/>
                <w:color w:val="auto"/>
              </w:rPr>
              <w:t>(a)</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1,156</w:t>
            </w:r>
          </w:p>
        </w:tc>
        <w:tc>
          <w:tcPr>
            <w:tcW w:w="10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12.84</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1,143</w:t>
            </w:r>
          </w:p>
        </w:tc>
        <w:tc>
          <w:tcPr>
            <w:tcW w:w="8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25.83</w:t>
            </w:r>
          </w:p>
        </w:tc>
      </w:tr>
      <w:tr>
        <w:trPr>
          <w:trHeight w:val="216"/>
        </w:trPr>
        <w:tc>
          <w:tcPr>
            <w:tcW w:w="3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 xml:space="preserve">Vested </w:t>
            </w:r>
            <w:r>
              <w:rPr>
                <w:rFonts w:ascii="Times New Roman" w:cs="Times New Roman" w:eastAsia="Times New Roman" w:hAnsi="Times New Roman"/>
                <w:sz w:val="11"/>
                <w:szCs w:val="11"/>
                <w:color w:val="auto"/>
              </w:rPr>
              <w:t>(b)</w:t>
            </w:r>
          </w:p>
        </w:tc>
        <w:tc>
          <w:tcPr>
            <w:tcW w:w="16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(620)</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21.93</w:t>
            </w:r>
          </w:p>
        </w:tc>
        <w:tc>
          <w:tcPr>
            <w:tcW w:w="11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(577)</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24.68</w:t>
            </w:r>
          </w:p>
        </w:tc>
        <w:tc>
          <w:tcPr>
            <w:tcW w:w="11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(382)</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24.31</w:t>
            </w:r>
          </w:p>
        </w:tc>
      </w:tr>
      <w:tr>
        <w:trPr>
          <w:trHeight w:val="228"/>
        </w:trPr>
        <w:tc>
          <w:tcPr>
            <w:tcW w:w="3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Canceled</w:t>
            </w:r>
          </w:p>
        </w:tc>
        <w:tc>
          <w:tcPr>
            <w:tcW w:w="16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(198)</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22.84</w:t>
            </w:r>
          </w:p>
        </w:tc>
        <w:tc>
          <w:tcPr>
            <w:tcW w:w="11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(236)</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21.05</w:t>
            </w:r>
          </w:p>
        </w:tc>
        <w:tc>
          <w:tcPr>
            <w:tcW w:w="11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(205)</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24.79</w:t>
            </w:r>
          </w:p>
        </w:tc>
      </w:tr>
      <w:tr>
        <w:trPr>
          <w:trHeight w:val="225"/>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Balance at end of year </w:t>
            </w:r>
            <w:r>
              <w:rPr>
                <w:rFonts w:ascii="Times New Roman" w:cs="Times New Roman" w:eastAsia="Times New Roman" w:hAnsi="Times New Roman"/>
                <w:sz w:val="11"/>
                <w:szCs w:val="11"/>
                <w:color w:val="auto"/>
              </w:rPr>
              <w:t>(c)</w:t>
            </w:r>
          </w:p>
        </w:tc>
        <w:tc>
          <w:tcPr>
            <w:tcW w:w="88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1,855</w:t>
            </w:r>
          </w:p>
        </w:tc>
        <w:tc>
          <w:tcPr>
            <w:tcW w:w="80" w:type="dxa"/>
            <w:vAlign w:val="bottom"/>
          </w:tcPr>
          <w:p>
            <w:pPr>
              <w:spacing w:after="0"/>
              <w:rPr>
                <w:sz w:val="19"/>
                <w:szCs w:val="19"/>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19.32</w:t>
            </w:r>
          </w:p>
        </w:tc>
        <w:tc>
          <w:tcPr>
            <w:tcW w:w="44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2,673</w:t>
            </w:r>
          </w:p>
        </w:tc>
        <w:tc>
          <w:tcPr>
            <w:tcW w:w="100" w:type="dxa"/>
            <w:vAlign w:val="bottom"/>
          </w:tcPr>
          <w:p>
            <w:pPr>
              <w:spacing w:after="0"/>
              <w:rPr>
                <w:sz w:val="19"/>
                <w:szCs w:val="19"/>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20.18</w:t>
            </w:r>
          </w:p>
        </w:tc>
        <w:tc>
          <w:tcPr>
            <w:tcW w:w="44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2,330</w:t>
            </w:r>
          </w:p>
        </w:tc>
        <w:tc>
          <w:tcPr>
            <w:tcW w:w="80" w:type="dxa"/>
            <w:vAlign w:val="bottom"/>
          </w:tcPr>
          <w:p>
            <w:pPr>
              <w:spacing w:after="0"/>
              <w:rPr>
                <w:sz w:val="19"/>
                <w:szCs w:val="19"/>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25.03</w:t>
            </w:r>
          </w:p>
        </w:tc>
      </w:tr>
      <w:tr>
        <w:trPr>
          <w:trHeight w:val="20"/>
        </w:trPr>
        <w:tc>
          <w:tcPr>
            <w:tcW w:w="3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bl>
    <w:p>
      <w:pPr>
        <w:spacing w:after="0" w:line="148" w:lineRule="exact"/>
        <w:rPr>
          <w:sz w:val="20"/>
          <w:szCs w:val="20"/>
          <w:color w:val="auto"/>
        </w:rPr>
      </w:pPr>
    </w:p>
    <w:p>
      <w:pPr>
        <w:ind w:left="800" w:right="600" w:hanging="454"/>
        <w:spacing w:after="0" w:line="231" w:lineRule="auto"/>
        <w:tabs>
          <w:tab w:leader="none" w:pos="800" w:val="left"/>
        </w:tabs>
        <w:numPr>
          <w:ilvl w:val="0"/>
          <w:numId w:val="7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Reflects the maximum number of RSUs assuming achievement of all performance and time vesting criteria. During 2009, 2008 and 2007, the Company granted 0, 633,000 and 745,000 time-based RSUs, respectively.</w:t>
      </w:r>
    </w:p>
    <w:p>
      <w:pPr>
        <w:spacing w:after="0" w:line="1" w:lineRule="exact"/>
        <w:rPr>
          <w:rFonts w:ascii="Times New Roman" w:cs="Times New Roman" w:eastAsia="Times New Roman" w:hAnsi="Times New Roman"/>
          <w:sz w:val="22"/>
          <w:szCs w:val="22"/>
          <w:color w:val="auto"/>
          <w:vertAlign w:val="superscript"/>
        </w:rPr>
      </w:pPr>
    </w:p>
    <w:p>
      <w:pPr>
        <w:ind w:left="800" w:hanging="454"/>
        <w:spacing w:after="0" w:line="204" w:lineRule="auto"/>
        <w:tabs>
          <w:tab w:leader="none" w:pos="800" w:val="left"/>
        </w:tabs>
        <w:numPr>
          <w:ilvl w:val="0"/>
          <w:numId w:val="7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During 2009, 2008 and 2007, 7,000, 46,000 and 0 performance-based RSUs vested, respectively.</w:t>
      </w:r>
    </w:p>
    <w:p>
      <w:pPr>
        <w:spacing w:after="0" w:line="8" w:lineRule="exact"/>
        <w:rPr>
          <w:rFonts w:ascii="Times New Roman" w:cs="Times New Roman" w:eastAsia="Times New Roman" w:hAnsi="Times New Roman"/>
          <w:sz w:val="22"/>
          <w:szCs w:val="22"/>
          <w:color w:val="auto"/>
          <w:vertAlign w:val="superscript"/>
        </w:rPr>
      </w:pPr>
    </w:p>
    <w:p>
      <w:pPr>
        <w:ind w:left="800" w:right="180" w:hanging="454"/>
        <w:spacing w:after="0" w:line="235" w:lineRule="auto"/>
        <w:tabs>
          <w:tab w:leader="none" w:pos="800" w:val="left"/>
        </w:tabs>
        <w:numPr>
          <w:ilvl w:val="0"/>
          <w:numId w:val="7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As of December 31, 2009, the Company’s outstanding RSUs had aggregate intrinsic value of $24 million. Aggregate unrecognized compensation expense related to RSUs amounted to $24 million as of December 31, 2009. The Company had approximately 1,016,000, 1,696,000, and 1,759,000 time-based awards outstanding at December 31, 2009, 2008 and 2007, respectively. Performance-based awards outstanding at December 31, 2009, 2008 and 2007 were approximately 839,000, 977,000 and 571,000,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219710</wp:posOffset>
            </wp:positionH>
            <wp:positionV relativeFrom="paragraph">
              <wp:posOffset>-983615</wp:posOffset>
            </wp:positionV>
            <wp:extent cx="72898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i w:val="1"/>
          <w:iCs w:val="1"/>
          <w:color w:val="auto"/>
        </w:rPr>
        <w:t>Stock Appreciation Rights</w:t>
      </w:r>
    </w:p>
    <w:p>
      <w:pPr>
        <w:spacing w:after="0" w:line="175" w:lineRule="exact"/>
        <w:rPr>
          <w:sz w:val="20"/>
          <w:szCs w:val="20"/>
          <w:color w:val="auto"/>
        </w:rPr>
      </w:pPr>
    </w:p>
    <w:p>
      <w:pPr>
        <w:ind w:left="360" w:right="100"/>
        <w:spacing w:after="0" w:line="258" w:lineRule="auto"/>
        <w:rPr>
          <w:sz w:val="20"/>
          <w:szCs w:val="20"/>
          <w:color w:val="auto"/>
        </w:rPr>
      </w:pPr>
      <w:r>
        <w:rPr>
          <w:rFonts w:ascii="Times New Roman" w:cs="Times New Roman" w:eastAsia="Times New Roman" w:hAnsi="Times New Roman"/>
          <w:sz w:val="18"/>
          <w:szCs w:val="18"/>
          <w:color w:val="auto"/>
        </w:rPr>
        <w:t>In 2006, the Company issued stock-settled SARs to certain executives. SARs are settled in Company stock, have a seven-year term, and vest ratably over a four-year period or after three years with no graded vesting prior thereto. The Company’s policy is to grant SARs with exercise prices at then-current fair market value. At December 31, 2009, the Company had approximately 0.5 million SARs outstanding with a weighted average exercise price of $24.40, a weighted average contractual life of 3.6 years and an insignificant amount of unrecognized compensation expense.</w:t>
      </w:r>
    </w:p>
    <w:p>
      <w:pPr>
        <w:spacing w:after="0" w:line="13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i w:val="1"/>
          <w:iCs w:val="1"/>
          <w:color w:val="auto"/>
        </w:rPr>
        <w:t>Employee Stock Purchase Plan</w:t>
      </w:r>
    </w:p>
    <w:p>
      <w:pPr>
        <w:spacing w:after="0" w:line="175" w:lineRule="exact"/>
        <w:rPr>
          <w:sz w:val="20"/>
          <w:szCs w:val="20"/>
          <w:color w:val="auto"/>
        </w:rPr>
      </w:pPr>
    </w:p>
    <w:p>
      <w:pPr>
        <w:ind w:left="360"/>
        <w:spacing w:after="0" w:line="296" w:lineRule="auto"/>
        <w:rPr>
          <w:sz w:val="20"/>
          <w:szCs w:val="20"/>
          <w:color w:val="auto"/>
        </w:rPr>
      </w:pPr>
      <w:r>
        <w:rPr>
          <w:rFonts w:ascii="Times New Roman" w:cs="Times New Roman" w:eastAsia="Times New Roman" w:hAnsi="Times New Roman"/>
          <w:sz w:val="16"/>
          <w:szCs w:val="16"/>
          <w:color w:val="auto"/>
        </w:rPr>
        <w:t>The Company is authorized to sell shares of its Avis Budget common stock to eligible employees under its non-compensatory employee stock purchase plan (“ESPP”). Under the terms of the ESPP, employees may authorize the company to withhold up to 10% of their compensation from each paycheck for the purchase of Avis Budget common stock. For amounts withheld in 2009, under the provisions of the 1998 Employee Stock Purchase Plan, the purchase price of the stock was calculated as 95% of the fair market value of Avis Budget common stock as of last business day each month. During 2009, the Company sold approximately 16,000 shares under this plan. As of December 31, 2009, the 1998 Employee Stock Purchase Plan was suspended.</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F-42</w:t>
      </w:r>
    </w:p>
    <w:p>
      <w:pPr>
        <w:sectPr>
          <w:pgSz w:w="11900" w:h="16838" w:orient="portrait"/>
          <w:cols w:equalWidth="0" w:num="1">
            <w:col w:w="11340"/>
          </w:cols>
          <w:pgMar w:left="240" w:top="455" w:right="319" w:bottom="1440" w:gutter="0" w:footer="0" w:header="0"/>
        </w:sectPr>
      </w:pPr>
    </w:p>
    <w:bookmarkStart w:id="103" w:name="page104"/>
    <w:bookmarkEnd w:id="10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360" w:right="20"/>
        <w:spacing w:after="0" w:line="254" w:lineRule="auto"/>
        <w:rPr>
          <w:sz w:val="20"/>
          <w:szCs w:val="20"/>
          <w:color w:val="auto"/>
        </w:rPr>
      </w:pPr>
      <w:r>
        <w:rPr>
          <w:rFonts w:ascii="Times New Roman" w:cs="Times New Roman" w:eastAsia="Times New Roman" w:hAnsi="Times New Roman"/>
          <w:sz w:val="18"/>
          <w:szCs w:val="18"/>
          <w:color w:val="auto"/>
        </w:rPr>
        <w:t>In June 2009, stockholders approved the adoption of the Avis Budget Group Inc. Employee Stock Purchase Plan, which became effective on January 1, 2010. Under the new terms of the ESPP, the fair market value of the shares of Avis Budget common stock which may be purchased by any employee cannot exceed $25,000 during any calendar year or 10% of the employee’s annual base salary. The purchase price of Avis Budget common stock shall be calculated at 95% of the fair market value of Avis Budget common stock at the end of the option period. The Company reserved a maximum of 2.5 million shares of which up to 125,000 shares of Avis Budget common stock purchased under the offer period may be either newly issued shares or existing treasury shares, and up to 1 million shares of Avis Budget common stock purchased under the ESPP in the aggregate may be either newly issued shares or existing treasury shares. Subject to the preceding limitation, shares purchased under the ESPP may be either newly issued shares, existing treasury shares, or new purchases in the open market.</w:t>
      </w:r>
    </w:p>
    <w:p>
      <w:pPr>
        <w:spacing w:after="0" w:line="13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i w:val="1"/>
          <w:iCs w:val="1"/>
          <w:color w:val="auto"/>
        </w:rPr>
        <w:t>Compensation Expense</w:t>
      </w:r>
    </w:p>
    <w:p>
      <w:pPr>
        <w:spacing w:after="0" w:line="175" w:lineRule="exact"/>
        <w:rPr>
          <w:sz w:val="20"/>
          <w:szCs w:val="20"/>
          <w:color w:val="auto"/>
        </w:rPr>
      </w:pPr>
    </w:p>
    <w:p>
      <w:pPr>
        <w:ind w:left="360"/>
        <w:spacing w:after="0" w:line="255" w:lineRule="auto"/>
        <w:rPr>
          <w:sz w:val="20"/>
          <w:szCs w:val="20"/>
          <w:color w:val="auto"/>
        </w:rPr>
      </w:pPr>
      <w:r>
        <w:rPr>
          <w:rFonts w:ascii="Times New Roman" w:cs="Times New Roman" w:eastAsia="Times New Roman" w:hAnsi="Times New Roman"/>
          <w:sz w:val="18"/>
          <w:szCs w:val="18"/>
          <w:color w:val="auto"/>
        </w:rPr>
        <w:t>Compensation expense for all outstanding employee stock awards is based on the estimated fair value of the award at the grant date and is recognized as an expense in the Consolidated Statements of Operations over the requisite service period. The Company’s policy is to record compensation expense related to the issuance of stock options and SARs to its employees on a straight-line basis over the vesting period of the award and based on the estimated number of stock options or SARs the Company believes it will ultimately provide. The Company records amortization expense of the deferred compensation related to RSUs on a straight-line basis over the remaining vesting periods of the respective RSUs and based on the estimated performance goals the Company believes it will ultimately achieve.</w:t>
      </w:r>
    </w:p>
    <w:p>
      <w:pPr>
        <w:spacing w:after="0" w:line="139" w:lineRule="exact"/>
        <w:rPr>
          <w:sz w:val="20"/>
          <w:szCs w:val="20"/>
          <w:color w:val="auto"/>
        </w:rPr>
      </w:pPr>
    </w:p>
    <w:p>
      <w:pPr>
        <w:ind w:left="360" w:right="20"/>
        <w:spacing w:after="0" w:line="275" w:lineRule="auto"/>
        <w:rPr>
          <w:sz w:val="20"/>
          <w:szCs w:val="20"/>
          <w:color w:val="auto"/>
        </w:rPr>
      </w:pPr>
      <w:r>
        <w:rPr>
          <w:rFonts w:ascii="Times New Roman" w:cs="Times New Roman" w:eastAsia="Times New Roman" w:hAnsi="Times New Roman"/>
          <w:sz w:val="18"/>
          <w:szCs w:val="18"/>
          <w:color w:val="auto"/>
        </w:rPr>
        <w:t>The Company recorded pretax stock-based compensation expense of $15 million, $15 million and $17 million ($9 million, $9 million and $10 million, net of tax) during 2009, 2008 and 2007, respectively, related to employee stock awards that were granted by the Company.</w:t>
      </w:r>
    </w:p>
    <w:p>
      <w:pPr>
        <w:spacing w:after="0" w:line="158" w:lineRule="exact"/>
        <w:rPr>
          <w:sz w:val="20"/>
          <w:szCs w:val="20"/>
          <w:color w:val="auto"/>
        </w:rPr>
      </w:pPr>
    </w:p>
    <w:p>
      <w:pPr>
        <w:ind w:left="340" w:hanging="332"/>
        <w:spacing w:after="0"/>
        <w:tabs>
          <w:tab w:leader="none" w:pos="340" w:val="left"/>
        </w:tabs>
        <w:numPr>
          <w:ilvl w:val="0"/>
          <w:numId w:val="7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Employee Benefit Plans</w:t>
      </w:r>
    </w:p>
    <w:p>
      <w:pPr>
        <w:spacing w:after="0" w:line="169" w:lineRule="exact"/>
        <w:rPr>
          <w:rFonts w:ascii="Times New Roman" w:cs="Times New Roman" w:eastAsia="Times New Roman" w:hAnsi="Times New Roman"/>
          <w:sz w:val="18"/>
          <w:szCs w:val="18"/>
          <w:b w:val="1"/>
          <w:bCs w:val="1"/>
          <w:color w:val="auto"/>
        </w:rPr>
      </w:pPr>
    </w:p>
    <w:p>
      <w:pPr>
        <w:ind w:left="3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Defined Contribution Savings Plans</w:t>
      </w:r>
    </w:p>
    <w:p>
      <w:pPr>
        <w:spacing w:after="0" w:line="175" w:lineRule="exact"/>
        <w:rPr>
          <w:rFonts w:ascii="Times New Roman" w:cs="Times New Roman" w:eastAsia="Times New Roman" w:hAnsi="Times New Roman"/>
          <w:sz w:val="18"/>
          <w:szCs w:val="18"/>
          <w:b w:val="1"/>
          <w:bCs w:val="1"/>
          <w:color w:val="auto"/>
        </w:rPr>
      </w:pPr>
    </w:p>
    <w:p>
      <w:pPr>
        <w:jc w:val="both"/>
        <w:ind w:left="360" w:right="360"/>
        <w:spacing w:after="0" w:line="26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sponsors several defined contribution savings plans that provide certain eligible employees of the Company an opportunity to accumulate funds for retirement. The Company matches portions of the contributions of participating employees on the basis specified by the plans. The Company’s contributions to these plans were $6 million, $15 million and $14 million during 2009, 2008 and 2007, respectively.</w:t>
      </w:r>
    </w:p>
    <w:p>
      <w:pPr>
        <w:spacing w:after="0" w:line="132" w:lineRule="exact"/>
        <w:rPr>
          <w:rFonts w:ascii="Times New Roman" w:cs="Times New Roman" w:eastAsia="Times New Roman" w:hAnsi="Times New Roman"/>
          <w:sz w:val="18"/>
          <w:szCs w:val="18"/>
          <w:b w:val="1"/>
          <w:bCs w:val="1"/>
          <w:color w:val="auto"/>
        </w:rPr>
      </w:pPr>
    </w:p>
    <w:p>
      <w:pPr>
        <w:ind w:left="360" w:right="740"/>
        <w:spacing w:after="0" w:line="27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2008, the Company made changes to various defined contribution savings plans. Included among these changes, effective January 1, 2009, were modifications to the Company’s matching contribution and of certain vesting criteria and the merger of certain plans.</w:t>
      </w:r>
    </w:p>
    <w:p>
      <w:pPr>
        <w:spacing w:after="0" w:line="115" w:lineRule="exact"/>
        <w:rPr>
          <w:rFonts w:ascii="Times New Roman" w:cs="Times New Roman" w:eastAsia="Times New Roman" w:hAnsi="Times New Roman"/>
          <w:sz w:val="18"/>
          <w:szCs w:val="18"/>
          <w:b w:val="1"/>
          <w:bCs w:val="1"/>
          <w:color w:val="auto"/>
        </w:rPr>
      </w:pPr>
    </w:p>
    <w:p>
      <w:pPr>
        <w:ind w:left="3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Defined Benefit Pension Plans</w:t>
      </w:r>
    </w:p>
    <w:p>
      <w:pPr>
        <w:spacing w:after="0" w:line="175" w:lineRule="exact"/>
        <w:rPr>
          <w:rFonts w:ascii="Times New Roman" w:cs="Times New Roman" w:eastAsia="Times New Roman" w:hAnsi="Times New Roman"/>
          <w:sz w:val="18"/>
          <w:szCs w:val="18"/>
          <w:b w:val="1"/>
          <w:bCs w:val="1"/>
          <w:color w:val="auto"/>
        </w:rPr>
      </w:pPr>
    </w:p>
    <w:p>
      <w:pPr>
        <w:ind w:left="360" w:right="20"/>
        <w:spacing w:after="0" w:line="31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6"/>
          <w:szCs w:val="16"/>
          <w:color w:val="auto"/>
        </w:rPr>
        <w:t>The Company sponsors domestic non-contributory defined benefit pension plans covering certain eligible employees and contributory defined benefit pension plans in certain foreign subsidiaries with participation in the plans at the employees’ option. Under these plans, benefits are based on an employee’s years of credited service and a percentage of final average compensation. However, the majority of such plans are frozen and are no longer accruing benefits.</w:t>
      </w:r>
    </w:p>
    <w:p>
      <w:pPr>
        <w:spacing w:after="0" w:line="97" w:lineRule="exact"/>
        <w:rPr>
          <w:rFonts w:ascii="Times New Roman" w:cs="Times New Roman" w:eastAsia="Times New Roman" w:hAnsi="Times New Roman"/>
          <w:sz w:val="18"/>
          <w:szCs w:val="18"/>
          <w:b w:val="1"/>
          <w:bCs w:val="1"/>
          <w:color w:val="auto"/>
        </w:rPr>
      </w:pPr>
    </w:p>
    <w:p>
      <w:pPr>
        <w:ind w:left="360" w:right="220"/>
        <w:spacing w:after="0" w:line="26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funded status of the defined benefit pension plans is recognized on the Consolidated Balance Sheets and the gains or losses and prior service costs or credits that arise during the period, but are not recognized as components of net periodic benefit cost, are recognized as a component of accumulated other comprehensive income (loss), net of tax.</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F-43</w:t>
      </w:r>
    </w:p>
    <w:p>
      <w:pPr>
        <w:sectPr>
          <w:pgSz w:w="11900" w:h="16838" w:orient="portrait"/>
          <w:cols w:equalWidth="0" w:num="1">
            <w:col w:w="11420"/>
          </w:cols>
          <w:pgMar w:left="240" w:top="455" w:right="239" w:bottom="1440" w:gutter="0" w:footer="0" w:header="0"/>
        </w:sectPr>
      </w:pPr>
    </w:p>
    <w:bookmarkStart w:id="104" w:name="page105"/>
    <w:bookmarkEnd w:id="10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tbl>
      <w:tblPr>
        <w:tblLayout w:type="fixed"/>
        <w:tblInd w:w="360" w:type="dxa"/>
        <w:tblCellMar>
          <w:top w:w="0" w:type="dxa"/>
          <w:left w:w="0" w:type="dxa"/>
          <w:bottom w:w="0" w:type="dxa"/>
          <w:right w:w="0" w:type="dxa"/>
        </w:tblCellMar>
      </w:tblPr>
      <w:tr>
        <w:trPr>
          <w:trHeight w:val="228"/>
        </w:trPr>
        <w:tc>
          <w:tcPr>
            <w:tcW w:w="816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The components of net periodic benefit cost and the assumptions related to the cost consisted of the following:</w:t>
            </w:r>
          </w:p>
        </w:tc>
        <w:tc>
          <w:tcPr>
            <w:tcW w:w="6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420"/>
        </w:trPr>
        <w:tc>
          <w:tcPr>
            <w:tcW w:w="6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4"/>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w w:val="95"/>
              </w:rPr>
              <w:t>For the Year Ended December 31,</w:t>
            </w:r>
          </w:p>
        </w:tc>
        <w:tc>
          <w:tcPr>
            <w:tcW w:w="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211"/>
        </w:trPr>
        <w:tc>
          <w:tcPr>
            <w:tcW w:w="6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2009</w:t>
            </w: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2008</w:t>
            </w: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2007</w:t>
            </w:r>
          </w:p>
        </w:tc>
        <w:tc>
          <w:tcPr>
            <w:tcW w:w="40" w:type="dxa"/>
            <w:vAlign w:val="bottom"/>
          </w:tcPr>
          <w:p>
            <w:pPr>
              <w:spacing w:after="0"/>
              <w:rPr>
                <w:sz w:val="18"/>
                <w:szCs w:val="18"/>
                <w:color w:val="auto"/>
              </w:rPr>
            </w:pPr>
          </w:p>
        </w:tc>
      </w:tr>
      <w:tr>
        <w:trPr>
          <w:trHeight w:val="195"/>
        </w:trPr>
        <w:tc>
          <w:tcPr>
            <w:tcW w:w="616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Service cost</w:t>
            </w:r>
          </w:p>
        </w:tc>
        <w:tc>
          <w:tcPr>
            <w:tcW w:w="20" w:type="dxa"/>
            <w:vAlign w:val="bottom"/>
          </w:tcPr>
          <w:p>
            <w:pPr>
              <w:spacing w:after="0"/>
              <w:rPr>
                <w:sz w:val="16"/>
                <w:szCs w:val="16"/>
                <w:color w:val="auto"/>
              </w:rPr>
            </w:pPr>
          </w:p>
        </w:tc>
        <w:tc>
          <w:tcPr>
            <w:tcW w:w="200" w:type="dxa"/>
            <w:vAlign w:val="bottom"/>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2</w:t>
            </w:r>
          </w:p>
        </w:tc>
        <w:tc>
          <w:tcPr>
            <w:tcW w:w="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jc w:val="right"/>
              <w:ind w:right="58"/>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2</w:t>
            </w: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2</w:t>
            </w:r>
          </w:p>
        </w:tc>
        <w:tc>
          <w:tcPr>
            <w:tcW w:w="40" w:type="dxa"/>
            <w:vAlign w:val="bottom"/>
          </w:tcPr>
          <w:p>
            <w:pPr>
              <w:spacing w:after="0"/>
              <w:rPr>
                <w:sz w:val="16"/>
                <w:szCs w:val="16"/>
                <w:color w:val="auto"/>
              </w:rPr>
            </w:pPr>
          </w:p>
        </w:tc>
      </w:tr>
      <w:tr>
        <w:trPr>
          <w:trHeight w:val="216"/>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Interest cost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40" w:type="dxa"/>
            <w:vAlign w:val="bottom"/>
          </w:tcPr>
          <w:p>
            <w:pPr>
              <w:spacing w:after="0"/>
              <w:rPr>
                <w:sz w:val="18"/>
                <w:szCs w:val="18"/>
                <w:color w:val="auto"/>
              </w:rPr>
            </w:pPr>
          </w:p>
        </w:tc>
      </w:tr>
      <w:tr>
        <w:trPr>
          <w:trHeight w:val="216"/>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w:t>
            </w: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gridSpan w:val="2"/>
          </w:tcPr>
          <w:p>
            <w:pPr>
              <w:jc w:val="right"/>
              <w:ind w:right="820"/>
              <w:spacing w:after="0"/>
              <w:rPr>
                <w:sz w:val="20"/>
                <w:szCs w:val="20"/>
                <w:color w:val="auto"/>
              </w:rPr>
            </w:pPr>
            <w:r>
              <w:rPr>
                <w:rFonts w:ascii="Times New Roman" w:cs="Times New Roman" w:eastAsia="Times New Roman" w:hAnsi="Times New Roman"/>
                <w:sz w:val="18"/>
                <w:szCs w:val="18"/>
                <w:color w:val="auto"/>
              </w:rPr>
              <w:t>(14)</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28"/>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unrecognized amounts</w:t>
            </w:r>
          </w:p>
        </w:tc>
        <w:tc>
          <w:tcPr>
            <w:tcW w:w="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40" w:type="dxa"/>
            <w:vAlign w:val="bottom"/>
          </w:tcPr>
          <w:p>
            <w:pPr>
              <w:spacing w:after="0"/>
              <w:rPr>
                <w:sz w:val="19"/>
                <w:szCs w:val="19"/>
                <w:color w:val="auto"/>
              </w:rPr>
            </w:pPr>
          </w:p>
        </w:tc>
      </w:tr>
      <w:tr>
        <w:trPr>
          <w:trHeight w:val="225"/>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Net periodic benefit cost</w:t>
            </w: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Borders>
              <w:bottom w:val="single" w:sz="8" w:color="auto"/>
            </w:tcBorders>
          </w:tcPr>
          <w:p>
            <w:pPr>
              <w:jc w:val="right"/>
              <w:ind w:right="58"/>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40" w:type="dxa"/>
            <w:vAlign w:val="bottom"/>
          </w:tcPr>
          <w:p>
            <w:pPr>
              <w:spacing w:after="0"/>
              <w:rPr>
                <w:sz w:val="19"/>
                <w:szCs w:val="19"/>
                <w:color w:val="auto"/>
              </w:rPr>
            </w:pPr>
          </w:p>
        </w:tc>
      </w:tr>
      <w:tr>
        <w:trPr>
          <w:trHeight w:val="20"/>
        </w:trPr>
        <w:tc>
          <w:tcPr>
            <w:tcW w:w="6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61" w:lineRule="exact"/>
        <w:rPr>
          <w:sz w:val="20"/>
          <w:szCs w:val="20"/>
          <w:color w:val="auto"/>
        </w:rPr>
      </w:pPr>
    </w:p>
    <w:p>
      <w:pPr>
        <w:ind w:left="360"/>
        <w:spacing w:after="0" w:line="275" w:lineRule="auto"/>
        <w:rPr>
          <w:sz w:val="20"/>
          <w:szCs w:val="20"/>
          <w:color w:val="auto"/>
        </w:rPr>
      </w:pPr>
      <w:r>
        <w:rPr>
          <w:rFonts w:ascii="Times New Roman" w:cs="Times New Roman" w:eastAsia="Times New Roman" w:hAnsi="Times New Roman"/>
          <w:sz w:val="18"/>
          <w:szCs w:val="18"/>
          <w:color w:val="auto"/>
        </w:rPr>
        <w:t>The Company uses a measurement date of December 31 for its pension plans. The funded status of the pension plans as of December 31, 2009 and 2008 was as follows:</w:t>
      </w:r>
    </w:p>
    <w:p>
      <w:pPr>
        <w:spacing w:after="0" w:line="158" w:lineRule="exact"/>
        <w:rPr>
          <w:sz w:val="20"/>
          <w:szCs w:val="20"/>
          <w:color w:val="auto"/>
        </w:rPr>
      </w:pPr>
    </w:p>
    <w:tbl>
      <w:tblPr>
        <w:tblLayout w:type="fixed"/>
        <w:tblInd w:w="360" w:type="dxa"/>
        <w:tblCellMar>
          <w:top w:w="0" w:type="dxa"/>
          <w:left w:w="0" w:type="dxa"/>
          <w:bottom w:w="0" w:type="dxa"/>
          <w:right w:w="0" w:type="dxa"/>
        </w:tblCellMar>
      </w:tblPr>
      <w:tr>
        <w:trPr>
          <w:trHeight w:val="230"/>
        </w:trPr>
        <w:tc>
          <w:tcPr>
            <w:tcW w:w="89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Change in Benefit Obligation</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94"/>
              </w:rPr>
              <w:t>2009</w:t>
            </w:r>
          </w:p>
        </w:tc>
        <w:tc>
          <w:tcPr>
            <w:tcW w:w="480" w:type="dxa"/>
            <w:vAlign w:val="bottom"/>
          </w:tcPr>
          <w:p>
            <w:pPr>
              <w:spacing w:after="0"/>
              <w:rPr>
                <w:sz w:val="20"/>
                <w:szCs w:val="20"/>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2008</w:t>
            </w:r>
          </w:p>
        </w:tc>
        <w:tc>
          <w:tcPr>
            <w:tcW w:w="40" w:type="dxa"/>
            <w:vAlign w:val="bottom"/>
          </w:tcPr>
          <w:p>
            <w:pPr>
              <w:spacing w:after="0"/>
              <w:rPr>
                <w:sz w:val="20"/>
                <w:szCs w:val="20"/>
                <w:color w:val="auto"/>
              </w:rPr>
            </w:pPr>
          </w:p>
        </w:tc>
      </w:tr>
      <w:tr>
        <w:trPr>
          <w:trHeight w:val="197"/>
        </w:trPr>
        <w:tc>
          <w:tcPr>
            <w:tcW w:w="2220" w:type="dxa"/>
            <w:vAlign w:val="bottom"/>
            <w:tcBorders>
              <w:top w:val="single" w:sz="8" w:color="auto"/>
            </w:tcBorders>
            <w:gridSpan w:val="2"/>
          </w:tcPr>
          <w:p>
            <w:pPr>
              <w:spacing w:after="0" w:line="197" w:lineRule="exact"/>
              <w:rPr>
                <w:sz w:val="20"/>
                <w:szCs w:val="20"/>
                <w:color w:val="auto"/>
              </w:rPr>
            </w:pPr>
            <w:r>
              <w:rPr>
                <w:rFonts w:ascii="Times New Roman" w:cs="Times New Roman" w:eastAsia="Times New Roman" w:hAnsi="Times New Roman"/>
                <w:sz w:val="18"/>
                <w:szCs w:val="18"/>
                <w:color w:val="auto"/>
                <w:w w:val="92"/>
              </w:rPr>
              <w:t>Benefit obligation at end of prior</w:t>
            </w:r>
          </w:p>
        </w:tc>
        <w:tc>
          <w:tcPr>
            <w:tcW w:w="6740" w:type="dxa"/>
            <w:vAlign w:val="bottom"/>
          </w:tcPr>
          <w:p>
            <w:pPr>
              <w:ind w:left="140"/>
              <w:spacing w:after="0" w:line="197" w:lineRule="exact"/>
              <w:rPr>
                <w:sz w:val="20"/>
                <w:szCs w:val="20"/>
                <w:color w:val="auto"/>
              </w:rPr>
            </w:pPr>
            <w:r>
              <w:rPr>
                <w:rFonts w:ascii="Times New Roman" w:cs="Times New Roman" w:eastAsia="Times New Roman" w:hAnsi="Times New Roman"/>
                <w:sz w:val="18"/>
                <w:szCs w:val="18"/>
                <w:color w:val="auto"/>
              </w:rPr>
              <w:t>year</w:t>
            </w:r>
          </w:p>
        </w:tc>
        <w:tc>
          <w:tcPr>
            <w:tcW w:w="20" w:type="dxa"/>
            <w:vAlign w:val="bottom"/>
          </w:tcPr>
          <w:p>
            <w:pPr>
              <w:spacing w:after="0"/>
              <w:rPr>
                <w:sz w:val="17"/>
                <w:szCs w:val="17"/>
                <w:color w:val="auto"/>
              </w:rPr>
            </w:pPr>
          </w:p>
        </w:tc>
        <w:tc>
          <w:tcPr>
            <w:tcW w:w="360" w:type="dxa"/>
            <w:vAlign w:val="bottom"/>
            <w:tcBorders>
              <w:top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w w:val="88"/>
              </w:rPr>
              <w:t>$200</w:t>
            </w:r>
          </w:p>
        </w:tc>
        <w:tc>
          <w:tcPr>
            <w:tcW w:w="4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80" w:type="dxa"/>
            <w:vAlign w:val="bottom"/>
            <w:tcBorders>
              <w:top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w w:val="94"/>
              </w:rPr>
              <w:t>$189</w:t>
            </w:r>
          </w:p>
        </w:tc>
        <w:tc>
          <w:tcPr>
            <w:tcW w:w="40" w:type="dxa"/>
            <w:vAlign w:val="bottom"/>
          </w:tcPr>
          <w:p>
            <w:pPr>
              <w:spacing w:after="0"/>
              <w:rPr>
                <w:sz w:val="17"/>
                <w:szCs w:val="17"/>
                <w:color w:val="auto"/>
              </w:rPr>
            </w:pPr>
          </w:p>
        </w:tc>
      </w:tr>
      <w:tr>
        <w:trPr>
          <w:trHeight w:val="216"/>
        </w:trPr>
        <w:tc>
          <w:tcPr>
            <w:tcW w:w="89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Service cost</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48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40" w:type="dxa"/>
            <w:vAlign w:val="bottom"/>
          </w:tcPr>
          <w:p>
            <w:pPr>
              <w:spacing w:after="0"/>
              <w:rPr>
                <w:sz w:val="18"/>
                <w:szCs w:val="18"/>
                <w:color w:val="auto"/>
              </w:rPr>
            </w:pPr>
          </w:p>
        </w:tc>
      </w:tr>
      <w:tr>
        <w:trPr>
          <w:trHeight w:val="216"/>
        </w:trPr>
        <w:tc>
          <w:tcPr>
            <w:tcW w:w="89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Interest cost</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48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40" w:type="dxa"/>
            <w:vAlign w:val="bottom"/>
          </w:tcPr>
          <w:p>
            <w:pPr>
              <w:spacing w:after="0"/>
              <w:rPr>
                <w:sz w:val="18"/>
                <w:szCs w:val="18"/>
                <w:color w:val="auto"/>
              </w:rPr>
            </w:pPr>
          </w:p>
        </w:tc>
      </w:tr>
      <w:tr>
        <w:trPr>
          <w:trHeight w:val="216"/>
        </w:trPr>
        <w:tc>
          <w:tcPr>
            <w:tcW w:w="89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Plan amendments</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8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0" w:type="dxa"/>
            <w:vAlign w:val="bottom"/>
          </w:tcPr>
          <w:p>
            <w:pPr>
              <w:spacing w:after="0"/>
              <w:rPr>
                <w:sz w:val="18"/>
                <w:szCs w:val="18"/>
                <w:color w:val="auto"/>
              </w:rPr>
            </w:pPr>
          </w:p>
        </w:tc>
      </w:tr>
      <w:tr>
        <w:trPr>
          <w:trHeight w:val="216"/>
        </w:trPr>
        <w:tc>
          <w:tcPr>
            <w:tcW w:w="89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Actuarial (gain)/loss</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48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40" w:type="dxa"/>
            <w:vAlign w:val="bottom"/>
          </w:tcPr>
          <w:p>
            <w:pPr>
              <w:spacing w:after="0"/>
              <w:rPr>
                <w:sz w:val="18"/>
                <w:szCs w:val="18"/>
                <w:color w:val="auto"/>
              </w:rPr>
            </w:pPr>
          </w:p>
        </w:tc>
      </w:tr>
      <w:tr>
        <w:trPr>
          <w:trHeight w:val="228"/>
        </w:trPr>
        <w:tc>
          <w:tcPr>
            <w:tcW w:w="89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benefits paid</w:t>
            </w:r>
          </w:p>
        </w:tc>
        <w:tc>
          <w:tcPr>
            <w:tcW w:w="860" w:type="dxa"/>
            <w:vAlign w:val="bottom"/>
            <w:gridSpan w:val="3"/>
          </w:tcPr>
          <w:p>
            <w:pPr>
              <w:jc w:val="right"/>
              <w:ind w:right="402"/>
              <w:spacing w:after="0"/>
              <w:rPr>
                <w:sz w:val="20"/>
                <w:szCs w:val="20"/>
                <w:color w:val="auto"/>
              </w:rPr>
            </w:pPr>
            <w:r>
              <w:rPr>
                <w:rFonts w:ascii="Times New Roman" w:cs="Times New Roman" w:eastAsia="Times New Roman" w:hAnsi="Times New Roman"/>
                <w:sz w:val="18"/>
                <w:szCs w:val="18"/>
                <w:color w:val="auto"/>
              </w:rPr>
              <w:t>(10)</w:t>
            </w: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24"/>
        </w:trPr>
        <w:tc>
          <w:tcPr>
            <w:tcW w:w="89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Benefit obligation at end of current year</w:t>
            </w:r>
          </w:p>
        </w:tc>
        <w:tc>
          <w:tcPr>
            <w:tcW w:w="2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r>
              <w:rPr>
                <w:rFonts w:ascii="Times New Roman" w:cs="Times New Roman" w:eastAsia="Times New Roman" w:hAnsi="Times New Roman"/>
                <w:sz w:val="18"/>
                <w:szCs w:val="18"/>
                <w:color w:val="auto"/>
                <w:w w:val="88"/>
              </w:rPr>
              <w:t>214</w:t>
            </w:r>
          </w:p>
        </w:tc>
        <w:tc>
          <w:tcPr>
            <w:tcW w:w="4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4"/>
              </w:rPr>
              <w:t>$</w:t>
            </w:r>
            <w:r>
              <w:rPr>
                <w:rFonts w:ascii="Times New Roman" w:cs="Times New Roman" w:eastAsia="Times New Roman" w:hAnsi="Times New Roman"/>
                <w:sz w:val="18"/>
                <w:szCs w:val="18"/>
                <w:color w:val="auto"/>
                <w:w w:val="94"/>
              </w:rPr>
              <w:t>200</w:t>
            </w:r>
          </w:p>
        </w:tc>
        <w:tc>
          <w:tcPr>
            <w:tcW w:w="40" w:type="dxa"/>
            <w:vAlign w:val="bottom"/>
          </w:tcPr>
          <w:p>
            <w:pPr>
              <w:spacing w:after="0"/>
              <w:rPr>
                <w:sz w:val="19"/>
                <w:szCs w:val="19"/>
                <w:color w:val="auto"/>
              </w:rPr>
            </w:pPr>
          </w:p>
        </w:tc>
      </w:tr>
      <w:tr>
        <w:trPr>
          <w:trHeight w:val="184"/>
        </w:trPr>
        <w:tc>
          <w:tcPr>
            <w:tcW w:w="1660" w:type="dxa"/>
            <w:vAlign w:val="bottom"/>
            <w:tcBorders>
              <w:bottom w:val="single" w:sz="8" w:color="auto"/>
            </w:tcBorders>
          </w:tcPr>
          <w:p>
            <w:pPr>
              <w:spacing w:after="0" w:line="184" w:lineRule="exact"/>
              <w:rPr>
                <w:sz w:val="20"/>
                <w:szCs w:val="20"/>
                <w:color w:val="auto"/>
              </w:rPr>
            </w:pPr>
            <w:r>
              <w:rPr>
                <w:rFonts w:ascii="Times New Roman" w:cs="Times New Roman" w:eastAsia="Times New Roman" w:hAnsi="Times New Roman"/>
                <w:sz w:val="18"/>
                <w:szCs w:val="18"/>
                <w:b w:val="1"/>
                <w:bCs w:val="1"/>
                <w:color w:val="auto"/>
                <w:w w:val="96"/>
              </w:rPr>
              <w:t>Change in Plan Assets</w:t>
            </w:r>
          </w:p>
        </w:tc>
        <w:tc>
          <w:tcPr>
            <w:tcW w:w="730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222"/>
        </w:trPr>
        <w:tc>
          <w:tcPr>
            <w:tcW w:w="89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Fair value of assets at end of prior year</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4"/>
              </w:rPr>
              <w:t>$131</w:t>
            </w:r>
          </w:p>
        </w:tc>
        <w:tc>
          <w:tcPr>
            <w:tcW w:w="48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40" w:type="dxa"/>
            <w:vAlign w:val="bottom"/>
          </w:tcPr>
          <w:p>
            <w:pPr>
              <w:spacing w:after="0"/>
              <w:rPr>
                <w:sz w:val="19"/>
                <w:szCs w:val="19"/>
                <w:color w:val="auto"/>
              </w:rPr>
            </w:pPr>
          </w:p>
        </w:tc>
      </w:tr>
      <w:tr>
        <w:trPr>
          <w:trHeight w:val="216"/>
        </w:trPr>
        <w:tc>
          <w:tcPr>
            <w:tcW w:w="89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Actual return on plan assets</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480" w:type="dxa"/>
            <w:vAlign w:val="bottom"/>
          </w:tcPr>
          <w:p>
            <w:pPr>
              <w:spacing w:after="0"/>
              <w:rPr>
                <w:sz w:val="18"/>
                <w:szCs w:val="18"/>
                <w:color w:val="auto"/>
              </w:rPr>
            </w:pP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89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Employer contributions</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48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40" w:type="dxa"/>
            <w:vAlign w:val="bottom"/>
          </w:tcPr>
          <w:p>
            <w:pPr>
              <w:spacing w:after="0"/>
              <w:rPr>
                <w:sz w:val="18"/>
                <w:szCs w:val="18"/>
                <w:color w:val="auto"/>
              </w:rPr>
            </w:pPr>
          </w:p>
        </w:tc>
      </w:tr>
      <w:tr>
        <w:trPr>
          <w:trHeight w:val="228"/>
        </w:trPr>
        <w:tc>
          <w:tcPr>
            <w:tcW w:w="89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benefits paid</w:t>
            </w:r>
          </w:p>
        </w:tc>
        <w:tc>
          <w:tcPr>
            <w:tcW w:w="860" w:type="dxa"/>
            <w:vAlign w:val="bottom"/>
            <w:gridSpan w:val="3"/>
          </w:tcPr>
          <w:p>
            <w:pPr>
              <w:jc w:val="right"/>
              <w:ind w:right="402"/>
              <w:spacing w:after="0"/>
              <w:rPr>
                <w:sz w:val="20"/>
                <w:szCs w:val="20"/>
                <w:color w:val="auto"/>
              </w:rPr>
            </w:pPr>
            <w:r>
              <w:rPr>
                <w:rFonts w:ascii="Times New Roman" w:cs="Times New Roman" w:eastAsia="Times New Roman" w:hAnsi="Times New Roman"/>
                <w:sz w:val="18"/>
                <w:szCs w:val="18"/>
                <w:color w:val="auto"/>
              </w:rPr>
              <w:t>(10)</w:t>
            </w: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24"/>
        </w:trPr>
        <w:tc>
          <w:tcPr>
            <w:tcW w:w="89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Fair value of assets at end of current year</w:t>
            </w:r>
          </w:p>
        </w:tc>
        <w:tc>
          <w:tcPr>
            <w:tcW w:w="20" w:type="dxa"/>
            <w:vAlign w:val="bottom"/>
            <w:tcBorders>
              <w:bottom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r>
              <w:rPr>
                <w:rFonts w:ascii="Times New Roman" w:cs="Times New Roman" w:eastAsia="Times New Roman" w:hAnsi="Times New Roman"/>
                <w:sz w:val="18"/>
                <w:szCs w:val="18"/>
                <w:color w:val="auto"/>
                <w:w w:val="88"/>
              </w:rPr>
              <w:t>156</w:t>
            </w:r>
          </w:p>
        </w:tc>
        <w:tc>
          <w:tcPr>
            <w:tcW w:w="4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4"/>
              </w:rPr>
              <w:t>$</w:t>
            </w:r>
            <w:r>
              <w:rPr>
                <w:rFonts w:ascii="Times New Roman" w:cs="Times New Roman" w:eastAsia="Times New Roman" w:hAnsi="Times New Roman"/>
                <w:sz w:val="18"/>
                <w:szCs w:val="18"/>
                <w:color w:val="auto"/>
                <w:w w:val="94"/>
              </w:rPr>
              <w:t>131</w:t>
            </w:r>
          </w:p>
        </w:tc>
        <w:tc>
          <w:tcPr>
            <w:tcW w:w="40" w:type="dxa"/>
            <w:vAlign w:val="bottom"/>
          </w:tcPr>
          <w:p>
            <w:pPr>
              <w:spacing w:after="0"/>
              <w:rPr>
                <w:sz w:val="19"/>
                <w:szCs w:val="19"/>
                <w:color w:val="auto"/>
              </w:rPr>
            </w:pPr>
          </w:p>
        </w:tc>
      </w:tr>
      <w:tr>
        <w:trPr>
          <w:trHeight w:val="224"/>
        </w:trPr>
        <w:tc>
          <w:tcPr>
            <w:tcW w:w="89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Funded status at end of year (recognized in other non-current liabilities in the Consolidated Balance Sheets)</w:t>
            </w:r>
          </w:p>
        </w:tc>
        <w:tc>
          <w:tcPr>
            <w:tcW w:w="3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0"/>
              </w:rPr>
              <w:t>$ (58</w:t>
            </w:r>
          </w:p>
        </w:tc>
        <w:tc>
          <w:tcPr>
            <w:tcW w:w="480" w:type="dxa"/>
            <w:vAlign w:val="bottom"/>
          </w:tcPr>
          <w:p>
            <w:pPr>
              <w:jc w:val="right"/>
              <w:ind w:right="402"/>
              <w:spacing w:after="0"/>
              <w:rPr>
                <w:sz w:val="20"/>
                <w:szCs w:val="20"/>
                <w:color w:val="auto"/>
              </w:rPr>
            </w:pPr>
            <w:r>
              <w:rPr>
                <w:rFonts w:ascii="Times New Roman" w:cs="Times New Roman" w:eastAsia="Times New Roman" w:hAnsi="Times New Roman"/>
                <w:sz w:val="8"/>
                <w:szCs w:val="8"/>
                <w:color w:val="auto"/>
                <w:w w:val="73"/>
              </w:rPr>
              <w:t>)</w:t>
            </w:r>
          </w:p>
        </w:tc>
        <w:tc>
          <w:tcPr>
            <w:tcW w:w="420" w:type="dxa"/>
            <w:vAlign w:val="bottom"/>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0"/>
              </w:rPr>
              <w:t>$ (69</w:t>
            </w:r>
          </w:p>
        </w:tc>
        <w:tc>
          <w:tcPr>
            <w:tcW w:w="40" w:type="dxa"/>
            <w:vAlign w:val="bottom"/>
          </w:tcPr>
          <w:p>
            <w:pPr>
              <w:jc w:val="right"/>
              <w:spacing w:after="0"/>
              <w:rPr>
                <w:sz w:val="20"/>
                <w:szCs w:val="20"/>
                <w:color w:val="auto"/>
              </w:rPr>
            </w:pPr>
            <w:r>
              <w:rPr>
                <w:rFonts w:ascii="Times New Roman" w:cs="Times New Roman" w:eastAsia="Times New Roman" w:hAnsi="Times New Roman"/>
                <w:sz w:val="8"/>
                <w:szCs w:val="8"/>
                <w:color w:val="auto"/>
                <w:w w:val="73"/>
              </w:rPr>
              <w:t>)</w:t>
            </w:r>
          </w:p>
        </w:tc>
      </w:tr>
      <w:tr>
        <w:trPr>
          <w:trHeight w:val="20"/>
        </w:trPr>
        <w:tc>
          <w:tcPr>
            <w:tcW w:w="16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61" w:lineRule="exact"/>
        <w:rPr>
          <w:sz w:val="20"/>
          <w:szCs w:val="20"/>
          <w:color w:val="auto"/>
        </w:rPr>
      </w:pPr>
    </w:p>
    <w:p>
      <w:pPr>
        <w:ind w:left="360" w:right="420"/>
        <w:spacing w:after="0" w:line="275" w:lineRule="auto"/>
        <w:rPr>
          <w:sz w:val="20"/>
          <w:szCs w:val="20"/>
          <w:color w:val="auto"/>
        </w:rPr>
      </w:pPr>
      <w:r>
        <w:rPr>
          <w:rFonts w:ascii="Times New Roman" w:cs="Times New Roman" w:eastAsia="Times New Roman" w:hAnsi="Times New Roman"/>
          <w:sz w:val="18"/>
          <w:szCs w:val="18"/>
          <w:color w:val="auto"/>
        </w:rPr>
        <w:t>The estimated amount that will be amortized from accumulated other comprehensive income into net periodic benefit cost in 2010 is $7 million, which consists of $6 million for net actuarial loss and $1 million for prior service cost.</w:t>
      </w:r>
    </w:p>
    <w:p>
      <w:pPr>
        <w:spacing w:after="0" w:line="120" w:lineRule="exact"/>
        <w:rPr>
          <w:sz w:val="20"/>
          <w:szCs w:val="20"/>
          <w:color w:val="auto"/>
        </w:rPr>
      </w:pPr>
    </w:p>
    <w:p>
      <w:pPr>
        <w:ind w:left="360" w:right="600"/>
        <w:spacing w:after="0" w:line="275" w:lineRule="auto"/>
        <w:rPr>
          <w:sz w:val="20"/>
          <w:szCs w:val="20"/>
          <w:color w:val="auto"/>
        </w:rPr>
      </w:pPr>
      <w:r>
        <w:rPr>
          <w:rFonts w:ascii="Times New Roman" w:cs="Times New Roman" w:eastAsia="Times New Roman" w:hAnsi="Times New Roman"/>
          <w:sz w:val="18"/>
          <w:szCs w:val="18"/>
          <w:color w:val="auto"/>
        </w:rPr>
        <w:t>The following assumptions were used to determine pension obligations and pension costs for the principal plans in which the Company’s employees participated:</w:t>
      </w:r>
    </w:p>
    <w:p>
      <w:pPr>
        <w:spacing w:after="0" w:line="158" w:lineRule="exact"/>
        <w:rPr>
          <w:sz w:val="20"/>
          <w:szCs w:val="20"/>
          <w:color w:val="auto"/>
        </w:rPr>
      </w:pPr>
    </w:p>
    <w:tbl>
      <w:tblPr>
        <w:tblLayout w:type="fixed"/>
        <w:tblInd w:w="360" w:type="dxa"/>
        <w:tblCellMar>
          <w:top w:w="0" w:type="dxa"/>
          <w:left w:w="0" w:type="dxa"/>
          <w:bottom w:w="0" w:type="dxa"/>
          <w:right w:w="0" w:type="dxa"/>
        </w:tblCellMar>
      </w:tblPr>
      <w:tr>
        <w:trPr>
          <w:trHeight w:val="216"/>
        </w:trPr>
        <w:tc>
          <w:tcPr>
            <w:tcW w:w="51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For the Year Ended</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30"/>
        </w:trPr>
        <w:tc>
          <w:tcPr>
            <w:tcW w:w="512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gridSpan w:val="3"/>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0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r>
      <w:tr>
        <w:trPr>
          <w:trHeight w:val="212"/>
        </w:trPr>
        <w:tc>
          <w:tcPr>
            <w:tcW w:w="51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2009</w:t>
            </w:r>
          </w:p>
        </w:tc>
        <w:tc>
          <w:tcPr>
            <w:tcW w:w="26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2008</w:t>
            </w:r>
          </w:p>
        </w:tc>
        <w:tc>
          <w:tcPr>
            <w:tcW w:w="76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2007</w:t>
            </w:r>
          </w:p>
        </w:tc>
        <w:tc>
          <w:tcPr>
            <w:tcW w:w="140" w:type="dxa"/>
            <w:vAlign w:val="bottom"/>
          </w:tcPr>
          <w:p>
            <w:pPr>
              <w:spacing w:after="0"/>
              <w:rPr>
                <w:sz w:val="18"/>
                <w:szCs w:val="18"/>
                <w:color w:val="auto"/>
              </w:rPr>
            </w:pPr>
          </w:p>
        </w:tc>
      </w:tr>
      <w:tr>
        <w:trPr>
          <w:trHeight w:val="195"/>
        </w:trPr>
        <w:tc>
          <w:tcPr>
            <w:tcW w:w="512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Discount rate:</w:t>
            </w:r>
          </w:p>
        </w:tc>
        <w:tc>
          <w:tcPr>
            <w:tcW w:w="2400" w:type="dxa"/>
            <w:vAlign w:val="bottom"/>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r>
      <w:tr>
        <w:trPr>
          <w:trHeight w:val="216"/>
        </w:trPr>
        <w:tc>
          <w:tcPr>
            <w:tcW w:w="5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periodic benefit cost</w:t>
            </w:r>
          </w:p>
        </w:tc>
        <w:tc>
          <w:tcPr>
            <w:tcW w:w="30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6.25%</w:t>
            </w:r>
          </w:p>
        </w:tc>
        <w:tc>
          <w:tcPr>
            <w:tcW w:w="1820" w:type="dxa"/>
            <w:vAlign w:val="bottom"/>
            <w:gridSpan w:val="3"/>
          </w:tcPr>
          <w:p>
            <w:pPr>
              <w:jc w:val="right"/>
              <w:ind w:right="620"/>
              <w:spacing w:after="0"/>
              <w:rPr>
                <w:sz w:val="20"/>
                <w:szCs w:val="20"/>
                <w:color w:val="auto"/>
              </w:rPr>
            </w:pPr>
            <w:r>
              <w:rPr>
                <w:rFonts w:ascii="Times New Roman" w:cs="Times New Roman" w:eastAsia="Times New Roman" w:hAnsi="Times New Roman"/>
                <w:sz w:val="18"/>
                <w:szCs w:val="18"/>
                <w:color w:val="auto"/>
              </w:rPr>
              <w:t>6.25%</w:t>
            </w: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5.75%</w:t>
            </w:r>
          </w:p>
        </w:tc>
      </w:tr>
      <w:tr>
        <w:trPr>
          <w:trHeight w:val="216"/>
        </w:trPr>
        <w:tc>
          <w:tcPr>
            <w:tcW w:w="5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Benefit obligation</w:t>
            </w:r>
          </w:p>
        </w:tc>
        <w:tc>
          <w:tcPr>
            <w:tcW w:w="30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5.75%</w:t>
            </w:r>
          </w:p>
        </w:tc>
        <w:tc>
          <w:tcPr>
            <w:tcW w:w="1820" w:type="dxa"/>
            <w:vAlign w:val="bottom"/>
            <w:gridSpan w:val="3"/>
          </w:tcPr>
          <w:p>
            <w:pPr>
              <w:jc w:val="right"/>
              <w:ind w:right="620"/>
              <w:spacing w:after="0"/>
              <w:rPr>
                <w:sz w:val="20"/>
                <w:szCs w:val="20"/>
                <w:color w:val="auto"/>
              </w:rPr>
            </w:pPr>
            <w:r>
              <w:rPr>
                <w:rFonts w:ascii="Times New Roman" w:cs="Times New Roman" w:eastAsia="Times New Roman" w:hAnsi="Times New Roman"/>
                <w:sz w:val="18"/>
                <w:szCs w:val="18"/>
                <w:color w:val="auto"/>
              </w:rPr>
              <w:t>6.25%</w:t>
            </w: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6.25%</w:t>
            </w:r>
          </w:p>
        </w:tc>
      </w:tr>
      <w:tr>
        <w:trPr>
          <w:trHeight w:val="228"/>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Long-term rate of return on plan assets</w:t>
            </w:r>
          </w:p>
        </w:tc>
        <w:tc>
          <w:tcPr>
            <w:tcW w:w="30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8.25%</w:t>
            </w:r>
          </w:p>
        </w:tc>
        <w:tc>
          <w:tcPr>
            <w:tcW w:w="1820" w:type="dxa"/>
            <w:vAlign w:val="bottom"/>
            <w:gridSpan w:val="3"/>
          </w:tcPr>
          <w:p>
            <w:pPr>
              <w:jc w:val="right"/>
              <w:ind w:right="620"/>
              <w:spacing w:after="0"/>
              <w:rPr>
                <w:sz w:val="20"/>
                <w:szCs w:val="20"/>
                <w:color w:val="auto"/>
              </w:rPr>
            </w:pPr>
            <w:r>
              <w:rPr>
                <w:rFonts w:ascii="Times New Roman" w:cs="Times New Roman" w:eastAsia="Times New Roman" w:hAnsi="Times New Roman"/>
                <w:sz w:val="18"/>
                <w:szCs w:val="18"/>
                <w:color w:val="auto"/>
              </w:rPr>
              <w:t>8.25%</w:t>
            </w: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8.25%</w:t>
            </w:r>
          </w:p>
        </w:tc>
      </w:tr>
    </w:tbl>
    <w:p>
      <w:pPr>
        <w:spacing w:after="0" w:line="150" w:lineRule="exact"/>
        <w:rPr>
          <w:sz w:val="20"/>
          <w:szCs w:val="20"/>
          <w:color w:val="auto"/>
        </w:rPr>
      </w:pPr>
    </w:p>
    <w:p>
      <w:pPr>
        <w:ind w:left="360" w:right="20"/>
        <w:spacing w:after="0" w:line="262" w:lineRule="auto"/>
        <w:rPr>
          <w:sz w:val="20"/>
          <w:szCs w:val="20"/>
          <w:color w:val="auto"/>
        </w:rPr>
      </w:pPr>
      <w:r>
        <w:rPr>
          <w:rFonts w:ascii="Times New Roman" w:cs="Times New Roman" w:eastAsia="Times New Roman" w:hAnsi="Times New Roman"/>
          <w:sz w:val="18"/>
          <w:szCs w:val="18"/>
          <w:color w:val="auto"/>
        </w:rPr>
        <w:t>To select a discount rate for its defined benefit pension plans, the Company uses a modeling process that involves matching the expected cash outflows of such plan, to a yield curve constructed from a portfolio of AA rated fixed-income debt instruments. The Company uses the average yield of this hypothetical portfolio as a discount rate benchmark.</w:t>
      </w:r>
    </w:p>
    <w:p>
      <w:pPr>
        <w:spacing w:after="0" w:line="11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F-44</w:t>
      </w:r>
    </w:p>
    <w:p>
      <w:pPr>
        <w:sectPr>
          <w:pgSz w:w="11900" w:h="16838" w:orient="portrait"/>
          <w:cols w:equalWidth="0" w:num="1">
            <w:col w:w="11380"/>
          </w:cols>
          <w:pgMar w:left="240" w:top="455" w:right="279" w:bottom="1440" w:gutter="0" w:footer="0" w:header="0"/>
        </w:sectPr>
      </w:pPr>
    </w:p>
    <w:bookmarkStart w:id="105" w:name="page106"/>
    <w:bookmarkEnd w:id="10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360" w:right="180"/>
        <w:spacing w:after="0" w:line="262" w:lineRule="auto"/>
        <w:rPr>
          <w:sz w:val="20"/>
          <w:szCs w:val="20"/>
          <w:color w:val="auto"/>
        </w:rPr>
      </w:pPr>
      <w:r>
        <w:rPr>
          <w:rFonts w:ascii="Times New Roman" w:cs="Times New Roman" w:eastAsia="Times New Roman" w:hAnsi="Times New Roman"/>
          <w:sz w:val="18"/>
          <w:szCs w:val="18"/>
          <w:color w:val="auto"/>
        </w:rPr>
        <w:t>The Company’s expected rate of return on plan assets of 8.25% is a long term rate based on historic plan asset returns over varying long term periods combined with current market conditions and broad asset mix considerations. The expected rate of return is a long term assumption and generally does not change annually.</w:t>
      </w:r>
    </w:p>
    <w:p>
      <w:pPr>
        <w:spacing w:after="0" w:line="132" w:lineRule="exact"/>
        <w:rPr>
          <w:sz w:val="20"/>
          <w:szCs w:val="20"/>
          <w:color w:val="auto"/>
        </w:rPr>
      </w:pPr>
    </w:p>
    <w:p>
      <w:pPr>
        <w:ind w:left="360" w:right="220"/>
        <w:spacing w:after="0" w:line="275" w:lineRule="auto"/>
        <w:rPr>
          <w:sz w:val="20"/>
          <w:szCs w:val="20"/>
          <w:color w:val="auto"/>
        </w:rPr>
      </w:pPr>
      <w:r>
        <w:rPr>
          <w:rFonts w:ascii="Times New Roman" w:cs="Times New Roman" w:eastAsia="Times New Roman" w:hAnsi="Times New Roman"/>
          <w:sz w:val="18"/>
          <w:szCs w:val="18"/>
          <w:color w:val="auto"/>
        </w:rPr>
        <w:t>As of December 31, 2009, substantially all of the Company’s defined benefit pension plans had a projected benefit obligation in excess of the fair value of plan assets. The Company expects to contribute approximately $6 million to these plans in 2010.</w:t>
      </w:r>
    </w:p>
    <w:p>
      <w:pPr>
        <w:spacing w:after="0" w:line="120" w:lineRule="exact"/>
        <w:rPr>
          <w:sz w:val="20"/>
          <w:szCs w:val="20"/>
          <w:color w:val="auto"/>
        </w:rPr>
      </w:pPr>
    </w:p>
    <w:p>
      <w:pPr>
        <w:ind w:left="360" w:right="220"/>
        <w:spacing w:after="0" w:line="258" w:lineRule="auto"/>
        <w:rPr>
          <w:sz w:val="20"/>
          <w:szCs w:val="20"/>
          <w:color w:val="auto"/>
        </w:rPr>
      </w:pPr>
      <w:r>
        <w:rPr>
          <w:rFonts w:ascii="Times New Roman" w:cs="Times New Roman" w:eastAsia="Times New Roman" w:hAnsi="Times New Roman"/>
          <w:sz w:val="18"/>
          <w:szCs w:val="18"/>
          <w:color w:val="auto"/>
        </w:rPr>
        <w:t>The Company’s defined benefit pension plans’ assets are invested primarily in mutual funds and may change in value due to various risks, such as interest rate and credit risk and overall market volatility. Due to the level of risk associated with investment securities, it is reasonably possible that changes in the values of the pension plans’ investment securities will occur in the near term and that such changes would materially affect the amounts reported in the Company’s financial statements.</w:t>
      </w:r>
    </w:p>
    <w:p>
      <w:pPr>
        <w:spacing w:after="0" w:line="136" w:lineRule="exact"/>
        <w:rPr>
          <w:sz w:val="20"/>
          <w:szCs w:val="20"/>
          <w:color w:val="auto"/>
        </w:rPr>
      </w:pPr>
    </w:p>
    <w:p>
      <w:pPr>
        <w:ind w:left="360" w:right="40"/>
        <w:spacing w:after="0" w:line="290" w:lineRule="auto"/>
        <w:rPr>
          <w:sz w:val="20"/>
          <w:szCs w:val="20"/>
          <w:color w:val="auto"/>
        </w:rPr>
      </w:pPr>
      <w:r>
        <w:rPr>
          <w:rFonts w:ascii="Times New Roman" w:cs="Times New Roman" w:eastAsia="Times New Roman" w:hAnsi="Times New Roman"/>
          <w:sz w:val="16"/>
          <w:szCs w:val="16"/>
          <w:color w:val="auto"/>
        </w:rPr>
        <w:t>The defined benefit pension plans’ investment goals and objectives are managed by the Company with consultation from independent investment advisors. The Company seeks to produce returns on pension plan investments, which are based on levels of liquidity and investment risk that the Company believes are prudent and reasonable, given prevailing capital market conditions. The pension plans’ assets are managed in the long-term interests of the participants and the beneficiaries of the Plans. The Company’s overall investment strategy has been to achieve a mix of approximately 65% of investments for long-term growth and 35% for near-term benefit payments with a wide diversification of asset types and fund strategies. The Company believes that diversification of the pension plans’ assets is an important investment strategy to provide reasonable assurance that no single security or class of securities will have a disproportionate impact on the pension plans. As such, the Company allocates assets between traditional equity, fixed income (U.S. and non-U.S. government issued securities, corporate bonds, and short-term cash investments) and alternative investment strategies.</w:t>
      </w:r>
    </w:p>
    <w:p>
      <w:pPr>
        <w:spacing w:after="0" w:line="112" w:lineRule="exact"/>
        <w:rPr>
          <w:sz w:val="20"/>
          <w:szCs w:val="20"/>
          <w:color w:val="auto"/>
        </w:rPr>
      </w:pPr>
    </w:p>
    <w:p>
      <w:pPr>
        <w:ind w:left="360"/>
        <w:spacing w:after="0" w:line="256" w:lineRule="auto"/>
        <w:rPr>
          <w:sz w:val="20"/>
          <w:szCs w:val="20"/>
          <w:color w:val="auto"/>
        </w:rPr>
      </w:pPr>
      <w:r>
        <w:rPr>
          <w:rFonts w:ascii="Times New Roman" w:cs="Times New Roman" w:eastAsia="Times New Roman" w:hAnsi="Times New Roman"/>
          <w:sz w:val="18"/>
          <w:szCs w:val="18"/>
          <w:color w:val="auto"/>
        </w:rPr>
        <w:t>The equity component’s purpose is to provide a total return that will help preserve the purchasing power of the assets. The pension plans hold various mutual funds that invest in equity securities and are diversified among funds that invest in large cap, small cap, growth, value and international stocks as well as funds that are intended to “track” an index, such as the S&amp;P 500. The equity investments in the portfolios will represent a greater assumption of market volatility and risk as well as provide higher anticipated total return over the long-term. The equity component is expected to approximate 45%-65% of the pension plans’ assets.</w:t>
      </w:r>
    </w:p>
    <w:p>
      <w:pPr>
        <w:spacing w:after="0" w:line="139" w:lineRule="exact"/>
        <w:rPr>
          <w:sz w:val="20"/>
          <w:szCs w:val="20"/>
          <w:color w:val="auto"/>
        </w:rPr>
      </w:pPr>
    </w:p>
    <w:p>
      <w:pPr>
        <w:jc w:val="both"/>
        <w:ind w:left="360" w:right="440"/>
        <w:spacing w:after="0" w:line="262" w:lineRule="auto"/>
        <w:rPr>
          <w:sz w:val="20"/>
          <w:szCs w:val="20"/>
          <w:color w:val="auto"/>
        </w:rPr>
      </w:pPr>
      <w:r>
        <w:rPr>
          <w:rFonts w:ascii="Times New Roman" w:cs="Times New Roman" w:eastAsia="Times New Roman" w:hAnsi="Times New Roman"/>
          <w:sz w:val="18"/>
          <w:szCs w:val="18"/>
          <w:color w:val="auto"/>
        </w:rPr>
        <w:t>The purpose of the fixed income component is to provide a deflation hedge, to reduce the overall volatility of the pension plans assets in relation to the liability and to produce current income. The pension plans hold mutual funds that invest in securities issued by governments, government agencies and corporations. The fixed income component is expected to approximate 30%-40% of the pension plans’ assets.</w:t>
      </w:r>
    </w:p>
    <w:p>
      <w:pPr>
        <w:spacing w:after="0" w:line="132" w:lineRule="exact"/>
        <w:rPr>
          <w:sz w:val="20"/>
          <w:szCs w:val="20"/>
          <w:color w:val="auto"/>
        </w:rPr>
      </w:pPr>
    </w:p>
    <w:p>
      <w:pPr>
        <w:ind w:left="360" w:right="360"/>
        <w:spacing w:after="0" w:line="258" w:lineRule="auto"/>
        <w:rPr>
          <w:sz w:val="20"/>
          <w:szCs w:val="20"/>
          <w:color w:val="auto"/>
        </w:rPr>
      </w:pPr>
      <w:r>
        <w:rPr>
          <w:rFonts w:ascii="Times New Roman" w:cs="Times New Roman" w:eastAsia="Times New Roman" w:hAnsi="Times New Roman"/>
          <w:sz w:val="18"/>
          <w:szCs w:val="18"/>
          <w:color w:val="auto"/>
        </w:rPr>
        <w:t>The purpose of the alternative asset component is to provide diversification and current income to the portfolio and to adjust the pension plans’ asset composition opportunistically when market conditions are favorable for equity, fixed income, cash and/or other assets. Investments in real estate mutual funds have been a component of the portfolios to provide downside risk protection as historically they have performed well in poor capital markets. The alternative asset component is expected to approximate 5%-15% of the pension plans’ assets.</w:t>
      </w:r>
    </w:p>
    <w:p>
      <w:pPr>
        <w:spacing w:after="0" w:line="136" w:lineRule="exact"/>
        <w:rPr>
          <w:sz w:val="20"/>
          <w:szCs w:val="20"/>
          <w:color w:val="auto"/>
        </w:rPr>
      </w:pPr>
    </w:p>
    <w:p>
      <w:pPr>
        <w:ind w:left="360"/>
        <w:spacing w:after="0" w:line="256" w:lineRule="auto"/>
        <w:rPr>
          <w:sz w:val="20"/>
          <w:szCs w:val="20"/>
          <w:color w:val="auto"/>
        </w:rPr>
      </w:pPr>
      <w:r>
        <w:rPr>
          <w:rFonts w:ascii="Times New Roman" w:cs="Times New Roman" w:eastAsia="Times New Roman" w:hAnsi="Times New Roman"/>
          <w:sz w:val="18"/>
          <w:szCs w:val="18"/>
          <w:color w:val="auto"/>
        </w:rPr>
        <w:t>The following table classifies the Company’s defined benefit pension plan assets into (i) Level 1, which refers to securities valued using quoted prices from active markets for identical assets, including the common stock of publicly traded companies, mutual funds with quoted market prices and common-collective trusts with quoted market prices which operate similar to mutual funds, (ii) Level 2, which refers to securities for which significant other observable market inputs are readily available, including common-collective trusts for which quoted market prices are not readily available, and (iii) Level 3, which refers to securities valued based</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F-45</w:t>
      </w:r>
    </w:p>
    <w:p>
      <w:pPr>
        <w:sectPr>
          <w:pgSz w:w="11900" w:h="16838" w:orient="portrait"/>
          <w:cols w:equalWidth="0" w:num="1">
            <w:col w:w="11400"/>
          </w:cols>
          <w:pgMar w:left="240" w:top="455" w:right="259" w:bottom="1440" w:gutter="0" w:footer="0" w:header="0"/>
        </w:sectPr>
      </w:pPr>
    </w:p>
    <w:bookmarkStart w:id="106" w:name="page107"/>
    <w:bookmarkEnd w:id="10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360" w:right="360"/>
        <w:spacing w:after="0" w:line="275" w:lineRule="auto"/>
        <w:rPr>
          <w:sz w:val="20"/>
          <w:szCs w:val="20"/>
          <w:color w:val="auto"/>
        </w:rPr>
      </w:pPr>
      <w:r>
        <w:rPr>
          <w:rFonts w:ascii="Times New Roman" w:cs="Times New Roman" w:eastAsia="Times New Roman" w:hAnsi="Times New Roman"/>
          <w:sz w:val="18"/>
          <w:szCs w:val="18"/>
          <w:color w:val="auto"/>
        </w:rPr>
        <w:t>on significant unobservable inputs. See Note 2—Summary of Significant Accounting Policies for the Plan’s valuation methodology used to measure fair value. The following table presents the defined benefit pension plans’ assets measured at fair value, as of December 31, 2009:</w:t>
      </w:r>
    </w:p>
    <w:p>
      <w:pPr>
        <w:spacing w:after="0" w:line="158" w:lineRule="exact"/>
        <w:rPr>
          <w:sz w:val="20"/>
          <w:szCs w:val="20"/>
          <w:color w:val="auto"/>
        </w:rPr>
      </w:pPr>
    </w:p>
    <w:tbl>
      <w:tblPr>
        <w:tblLayout w:type="fixed"/>
        <w:tblInd w:w="360" w:type="dxa"/>
        <w:tblCellMar>
          <w:top w:w="0" w:type="dxa"/>
          <w:left w:w="0" w:type="dxa"/>
          <w:bottom w:w="0" w:type="dxa"/>
          <w:right w:w="0" w:type="dxa"/>
        </w:tblCellMar>
      </w:tblPr>
      <w:tr>
        <w:trPr>
          <w:trHeight w:val="230"/>
        </w:trPr>
        <w:tc>
          <w:tcPr>
            <w:tcW w:w="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7"/>
              </w:rPr>
              <w:t>Asset Class</w:t>
            </w:r>
          </w:p>
        </w:tc>
        <w:tc>
          <w:tcPr>
            <w:tcW w:w="9300" w:type="dxa"/>
            <w:vAlign w:val="bottom"/>
          </w:tcPr>
          <w:p>
            <w:pPr>
              <w:spacing w:after="0"/>
              <w:rPr>
                <w:sz w:val="20"/>
                <w:szCs w:val="20"/>
                <w:color w:val="auto"/>
              </w:rPr>
            </w:pPr>
          </w:p>
        </w:tc>
        <w:tc>
          <w:tcPr>
            <w:tcW w:w="5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w w:val="97"/>
              </w:rPr>
              <w:t>Level 2</w:t>
            </w:r>
          </w:p>
        </w:tc>
        <w:tc>
          <w:tcPr>
            <w:tcW w:w="0" w:type="dxa"/>
            <w:vAlign w:val="bottom"/>
          </w:tcPr>
          <w:p>
            <w:pPr>
              <w:spacing w:after="0"/>
              <w:rPr>
                <w:sz w:val="1"/>
                <w:szCs w:val="1"/>
                <w:color w:val="auto"/>
              </w:rPr>
            </w:pPr>
          </w:p>
        </w:tc>
      </w:tr>
      <w:tr>
        <w:trPr>
          <w:trHeight w:val="20"/>
        </w:trPr>
        <w:tc>
          <w:tcPr>
            <w:tcW w:w="860" w:type="dxa"/>
            <w:vAlign w:val="bottom"/>
            <w:shd w:val="clear" w:color="auto" w:fill="000000"/>
          </w:tcPr>
          <w:p>
            <w:pPr>
              <w:spacing w:after="0" w:line="20" w:lineRule="exact"/>
              <w:rPr>
                <w:sz w:val="1"/>
                <w:szCs w:val="1"/>
                <w:color w:val="auto"/>
              </w:rPr>
            </w:pPr>
          </w:p>
        </w:tc>
        <w:tc>
          <w:tcPr>
            <w:tcW w:w="93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0160" w:type="dxa"/>
            <w:vAlign w:val="bottom"/>
            <w:gridSpan w:val="2"/>
          </w:tcPr>
          <w:p>
            <w:pPr>
              <w:spacing w:after="0" w:line="197" w:lineRule="exact"/>
              <w:rPr>
                <w:sz w:val="20"/>
                <w:szCs w:val="20"/>
                <w:color w:val="auto"/>
              </w:rPr>
            </w:pPr>
            <w:r>
              <w:rPr>
                <w:rFonts w:ascii="Times New Roman" w:cs="Times New Roman" w:eastAsia="Times New Roman" w:hAnsi="Times New Roman"/>
                <w:sz w:val="18"/>
                <w:szCs w:val="18"/>
                <w:color w:val="auto"/>
              </w:rPr>
              <w:t>Cash equivalents</w:t>
            </w:r>
          </w:p>
        </w:tc>
        <w:tc>
          <w:tcPr>
            <w:tcW w:w="20" w:type="dxa"/>
            <w:vAlign w:val="bottom"/>
            <w:vMerge w:val="continue"/>
          </w:tcPr>
          <w:p>
            <w:pPr>
              <w:spacing w:after="0"/>
              <w:rPr>
                <w:sz w:val="17"/>
                <w:szCs w:val="17"/>
                <w:color w:val="auto"/>
              </w:rPr>
            </w:pPr>
          </w:p>
        </w:tc>
        <w:tc>
          <w:tcPr>
            <w:tcW w:w="180" w:type="dxa"/>
            <w:vAlign w:val="bottom"/>
          </w:tcPr>
          <w:p>
            <w:pPr>
              <w:spacing w:after="0" w:line="197" w:lineRule="exact"/>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spacing w:after="0" w:line="197"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10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Short term investments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10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Domestic stock</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16"/>
        </w:trPr>
        <w:tc>
          <w:tcPr>
            <w:tcW w:w="10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International stock</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16"/>
        </w:trPr>
        <w:tc>
          <w:tcPr>
            <w:tcW w:w="10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Real estate investment trusts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10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U.S. Government securities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6"/>
        </w:trPr>
        <w:tc>
          <w:tcPr>
            <w:tcW w:w="10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Non-U.S. government securities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10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Corporate bonds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28"/>
        </w:trPr>
        <w:tc>
          <w:tcPr>
            <w:tcW w:w="10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5"/>
        </w:trPr>
        <w:tc>
          <w:tcPr>
            <w:tcW w:w="10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9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left="360" w:right="40"/>
        <w:spacing w:after="0" w:line="275" w:lineRule="auto"/>
        <w:rPr>
          <w:sz w:val="20"/>
          <w:szCs w:val="20"/>
          <w:color w:val="auto"/>
        </w:rPr>
      </w:pPr>
      <w:r>
        <w:rPr>
          <w:rFonts w:ascii="Times New Roman" w:cs="Times New Roman" w:eastAsia="Times New Roman" w:hAnsi="Times New Roman"/>
          <w:sz w:val="18"/>
          <w:szCs w:val="18"/>
          <w:color w:val="auto"/>
        </w:rPr>
        <w:t>The Company estimates that future benefit payments from plan assets will be $11 million, $11 million, $11 million, $12 million, $13 million and $73 million for 2010, 2011, 2012, 2013, 2014 and 2015 to 2019, respectively.</w:t>
      </w:r>
    </w:p>
    <w:p>
      <w:pPr>
        <w:spacing w:after="0" w:line="158" w:lineRule="exact"/>
        <w:rPr>
          <w:sz w:val="20"/>
          <w:szCs w:val="20"/>
          <w:color w:val="auto"/>
        </w:rPr>
      </w:pPr>
    </w:p>
    <w:p>
      <w:pPr>
        <w:ind w:left="360" w:right="9420" w:hanging="352"/>
        <w:spacing w:after="0" w:line="493" w:lineRule="auto"/>
        <w:tabs>
          <w:tab w:leader="none" w:pos="355" w:val="left"/>
        </w:tabs>
        <w:numPr>
          <w:ilvl w:val="0"/>
          <w:numId w:val="7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Financial Instruments Risk Management</w:t>
      </w:r>
    </w:p>
    <w:p>
      <w:pPr>
        <w:ind w:left="360" w:right="20"/>
        <w:spacing w:after="0" w:line="253"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8"/>
          <w:szCs w:val="18"/>
          <w:i w:val="1"/>
          <w:iCs w:val="1"/>
          <w:color w:val="auto"/>
        </w:rPr>
        <w:t>Foreign Currency Risk</w:t>
      </w:r>
      <w:r>
        <w:rPr>
          <w:rFonts w:ascii="Times New Roman" w:cs="Times New Roman" w:eastAsia="Times New Roman" w:hAnsi="Times New Roman"/>
          <w:sz w:val="18"/>
          <w:szCs w:val="18"/>
          <w:color w:val="auto"/>
        </w:rPr>
        <w:t>. The Company uses foreign exchange forward contracts to manage its exposure to changes in foreign currency exchange rates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associated with its foreign currency denominated receivables and forecasted royalties, forecasted earnings of foreign subsidiaries and forecasted foreign currency denominated acquisitions. The Company primarily hedges its foreign currency exposure to the Canadian dollar, Australian dollar and New Zealand dollar. The majority of forward contracts do not qualify for hedge accounting treatment. The fluctuations in the value of these forward contracts do, however, largely offset the impact of changes in the value of the underlying risk they economically hedge. Forward contracts used to hedge forecasted third party receipts and disbursements up to 12 months are designated and do qualify as cash flow hedges. The amount of gains or losses reclassified from other comprehensive income to earnings resulting from ineffectiveness or from excluding a component of the forward contracts’ gain or loss from the effectiveness calculation for cash flow hedges during 2009, 2008 and 2007 was not material, nor is the amount of gains or losses the Company expects to reclassify from other comprehensive income to earnings over the next 12 months.</w:t>
      </w:r>
    </w:p>
    <w:p>
      <w:pPr>
        <w:spacing w:after="0" w:line="143" w:lineRule="exact"/>
        <w:rPr>
          <w:rFonts w:ascii="Times New Roman" w:cs="Times New Roman" w:eastAsia="Times New Roman" w:hAnsi="Times New Roman"/>
          <w:sz w:val="16"/>
          <w:szCs w:val="16"/>
          <w:b w:val="1"/>
          <w:bCs w:val="1"/>
          <w:color w:val="auto"/>
        </w:rPr>
      </w:pPr>
    </w:p>
    <w:p>
      <w:pPr>
        <w:ind w:left="360"/>
        <w:spacing w:after="0" w:line="255"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8"/>
          <w:szCs w:val="18"/>
          <w:i w:val="1"/>
          <w:iCs w:val="1"/>
          <w:color w:val="auto"/>
        </w:rPr>
        <w:t>Interest Rate Risk</w:t>
      </w:r>
      <w:r>
        <w:rPr>
          <w:rFonts w:ascii="Times New Roman" w:cs="Times New Roman" w:eastAsia="Times New Roman" w:hAnsi="Times New Roman"/>
          <w:sz w:val="18"/>
          <w:szCs w:val="18"/>
          <w:color w:val="auto"/>
        </w:rPr>
        <w:t>. The Company uses various hedging strategies including interest rate swaps and interest rate caps to create an appropriate mix of fixed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floating rate assets and liabilities. During 2009, the Company recorded a net unrealized gain on all cash flow hedges of $43 million, net of tax, to other comprehensive income. The after-tax amount of gains or losses reclassified from accumulated other comprehensive income (loss) to earnings resulting from ineffectiveness for 2009, 2008 and 2007 was not material to the Company’s results of operations. The Company estimates that approximately $124 million of losses deferred in accumulated other comprehensive income will be recognized in earnings in 2010, which is expected to be offset in earnings by the impact of the underlying hedged items.</w:t>
      </w:r>
    </w:p>
    <w:p>
      <w:pPr>
        <w:spacing w:after="0" w:line="141" w:lineRule="exact"/>
        <w:rPr>
          <w:sz w:val="20"/>
          <w:szCs w:val="20"/>
          <w:color w:val="auto"/>
        </w:rPr>
      </w:pPr>
    </w:p>
    <w:p>
      <w:pPr>
        <w:ind w:left="360" w:right="60"/>
        <w:spacing w:after="0" w:line="262" w:lineRule="auto"/>
        <w:rPr>
          <w:sz w:val="20"/>
          <w:szCs w:val="20"/>
          <w:color w:val="auto"/>
        </w:rPr>
      </w:pPr>
      <w:r>
        <w:rPr>
          <w:rFonts w:ascii="Times New Roman" w:cs="Times New Roman" w:eastAsia="Times New Roman" w:hAnsi="Times New Roman"/>
          <w:sz w:val="18"/>
          <w:szCs w:val="18"/>
          <w:color w:val="auto"/>
        </w:rPr>
        <w:t>The Company used interest rate swaps, designated as cash flow hedges, to manage the risk related to its floating rate corporate debt. In connection with such cash flow hedges, the Company recorded net unrealized losses of $4 million, $1 million and $13 million, net of tax, during 2009, 2008 and 2007, respectively, to other comprehensive income.</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F-46</w:t>
      </w:r>
    </w:p>
    <w:p>
      <w:pPr>
        <w:sectPr>
          <w:pgSz w:w="11900" w:h="16838" w:orient="portrait"/>
          <w:cols w:equalWidth="0" w:num="1">
            <w:col w:w="11420"/>
          </w:cols>
          <w:pgMar w:left="240" w:top="455" w:right="239" w:bottom="1440" w:gutter="0" w:footer="0" w:header="0"/>
        </w:sectPr>
      </w:pPr>
    </w:p>
    <w:bookmarkStart w:id="107" w:name="page108"/>
    <w:bookmarkEnd w:id="10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360" w:right="60"/>
        <w:spacing w:after="0" w:line="256" w:lineRule="auto"/>
        <w:rPr>
          <w:sz w:val="20"/>
          <w:szCs w:val="20"/>
          <w:color w:val="auto"/>
        </w:rPr>
      </w:pPr>
      <w:r>
        <w:rPr>
          <w:rFonts w:ascii="Times New Roman" w:cs="Times New Roman" w:eastAsia="Times New Roman" w:hAnsi="Times New Roman"/>
          <w:sz w:val="18"/>
          <w:szCs w:val="18"/>
          <w:color w:val="auto"/>
        </w:rPr>
        <w:t>The Company uses derivatives to manage the risk associated with its floating rate vehicle-backed debt. These derivatives include freestanding derivatives and derivatives designated as cash flow hedges, which have maturities ranging from April 2010 to May 2014. In connection with such cash flow hedges, the Company recorded net unrealized gain (loss) of $47 million, $(85) million and $(80) million, net of tax, during 2009, 2008 and 2007, respectively, to other comprehensive income. The Company recorded losses of $6 million, $17 million and $8 million, respectively, related to freestanding derivatives during 2009, 2008 and 2007, respectively.</w:t>
      </w:r>
    </w:p>
    <w:p>
      <w:pPr>
        <w:spacing w:after="0" w:line="137" w:lineRule="exact"/>
        <w:rPr>
          <w:sz w:val="20"/>
          <w:szCs w:val="20"/>
          <w:color w:val="auto"/>
        </w:rPr>
      </w:pPr>
    </w:p>
    <w:p>
      <w:pPr>
        <w:ind w:left="360" w:right="14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Commodity Risk. </w:t>
      </w:r>
      <w:r>
        <w:rPr>
          <w:rFonts w:ascii="Times New Roman" w:cs="Times New Roman" w:eastAsia="Times New Roman" w:hAnsi="Times New Roman"/>
          <w:sz w:val="18"/>
          <w:szCs w:val="18"/>
          <w:color w:val="auto"/>
        </w:rPr>
        <w:t>The Company is also exposed to changes in commodity prices, primarily unleaded gasoline. In the third and fourth quarters of 2008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first quarter 2007, the Company purchased derivative commodity instruments to manage the risk of changes in unleaded gasoline prices. These instruments were designated as freestanding derivatives. These derivatives resulted in a gain (loss) of $3 million, $(22) million and $10 million in the Company’s consolidated results of operations in 2009, 2008 and 2007, respectively. As of December 31, 2009, the Company had no outstanding gasoline commodity contracts.</w:t>
      </w:r>
    </w:p>
    <w:p>
      <w:pPr>
        <w:spacing w:after="0" w:line="134" w:lineRule="exact"/>
        <w:rPr>
          <w:sz w:val="20"/>
          <w:szCs w:val="20"/>
          <w:color w:val="auto"/>
        </w:rPr>
      </w:pPr>
    </w:p>
    <w:p>
      <w:pPr>
        <w:ind w:left="360" w:right="20"/>
        <w:spacing w:after="0" w:line="257" w:lineRule="auto"/>
        <w:rPr>
          <w:sz w:val="20"/>
          <w:szCs w:val="20"/>
          <w:color w:val="auto"/>
        </w:rPr>
      </w:pPr>
      <w:r>
        <w:rPr>
          <w:rFonts w:ascii="Times New Roman" w:cs="Times New Roman" w:eastAsia="Times New Roman" w:hAnsi="Times New Roman"/>
          <w:sz w:val="18"/>
          <w:szCs w:val="18"/>
          <w:i w:val="1"/>
          <w:iCs w:val="1"/>
          <w:color w:val="auto"/>
        </w:rPr>
        <w:t>Credit Risk and Exposure</w:t>
      </w:r>
      <w:r>
        <w:rPr>
          <w:rFonts w:ascii="Times New Roman" w:cs="Times New Roman" w:eastAsia="Times New Roman" w:hAnsi="Times New Roman"/>
          <w:sz w:val="18"/>
          <w:szCs w:val="18"/>
          <w:color w:val="auto"/>
        </w:rPr>
        <w:t>. The Company is exposed to counterparty credit risks in the event of nonperformance by counterparties to various agreements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sales transactions. The Company manages such risk by evaluating the financial position and creditworthiness of such counterparties and by requiring collateral in certain instances in which financing is provided. The Company mitigates counterparty credit risk associated with its derivative contracts by monitoring the amount for which it is at risk with each counterparty, periodically evaluating counterparty creditworthiness and financial position, and where possible, dispersing its risk among multiple counterparties.</w:t>
      </w:r>
    </w:p>
    <w:p>
      <w:pPr>
        <w:spacing w:after="0" w:line="136" w:lineRule="exact"/>
        <w:rPr>
          <w:sz w:val="20"/>
          <w:szCs w:val="20"/>
          <w:color w:val="auto"/>
        </w:rPr>
      </w:pPr>
    </w:p>
    <w:p>
      <w:pPr>
        <w:ind w:left="360" w:right="60"/>
        <w:spacing w:after="0" w:line="254" w:lineRule="auto"/>
        <w:rPr>
          <w:sz w:val="20"/>
          <w:szCs w:val="20"/>
          <w:color w:val="auto"/>
        </w:rPr>
      </w:pPr>
      <w:r>
        <w:rPr>
          <w:rFonts w:ascii="Times New Roman" w:cs="Times New Roman" w:eastAsia="Times New Roman" w:hAnsi="Times New Roman"/>
          <w:sz w:val="18"/>
          <w:szCs w:val="18"/>
          <w:color w:val="auto"/>
        </w:rPr>
        <w:t>There were no significant concentrations of credit risk with any individual counterparties or groups of counterparties at December 31, 2009 or 2008 other than (i) risks related to the Company’s repurchase and guaranteed depreciation agreements with General Motors Company, Ford Motor Company, Hyundai Motor America, Chrysler Group LLC and Kia Motors America, Inc. with respect to program cars that were returned to the car manufacturers but for which the Company has not yet received payment (see Note 2—Summary of Significant Accounting Policies), (ii) receivables from Realogy and Wyndham related to certain contingent, income tax and other corporate liabilities assumed by Realogy and Wyndham in connection with the Cendant Separation and (iii) risks related to leases which have been assumed by Realogy, Wyndham or Travelport but of which the Company is a guarantor. Concentrations of credit risk associated with trade receivables are considered minimal due to the Company’s diverse customer base. Bad debts have been minimal historically. The Company does not normally require collateral or other security to support credit sales.</w:t>
      </w:r>
    </w:p>
    <w:p>
      <w:pPr>
        <w:spacing w:after="0" w:line="13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color w:val="auto"/>
        </w:rPr>
        <w:t>Fair Value</w:t>
      </w:r>
    </w:p>
    <w:p>
      <w:pPr>
        <w:spacing w:after="0" w:line="16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i w:val="1"/>
          <w:iCs w:val="1"/>
          <w:color w:val="auto"/>
        </w:rPr>
        <w:t>Derivative instruments and hedging activities</w:t>
      </w:r>
    </w:p>
    <w:p>
      <w:pPr>
        <w:spacing w:after="0" w:line="175" w:lineRule="exact"/>
        <w:rPr>
          <w:sz w:val="20"/>
          <w:szCs w:val="20"/>
          <w:color w:val="auto"/>
        </w:rPr>
      </w:pPr>
    </w:p>
    <w:p>
      <w:pPr>
        <w:ind w:left="360"/>
        <w:spacing w:after="0" w:line="256" w:lineRule="auto"/>
        <w:rPr>
          <w:sz w:val="20"/>
          <w:szCs w:val="20"/>
          <w:color w:val="auto"/>
        </w:rPr>
      </w:pPr>
      <w:r>
        <w:rPr>
          <w:rFonts w:ascii="Times New Roman" w:cs="Times New Roman" w:eastAsia="Times New Roman" w:hAnsi="Times New Roman"/>
          <w:sz w:val="18"/>
          <w:szCs w:val="18"/>
          <w:color w:val="auto"/>
        </w:rPr>
        <w:t>As described above, derivative assets and liabilities consist principally of foreign exchange forward contracts, interest rate swaps, and commodity contracts. Certain of the Company’s derivative instruments contain collateral support provisions that require the Company to post cash collateral to the extent that these derivatives are in a liability position. The aggregate fair value of all derivative instruments with credit-risk-related contingent features that are in a liability position and the aggregate fair value of assets needed to settle these derivatives on December 31, 2009 was approximately $8 million, for which the Company has posted cash collateral of $14 million in the normal course of business.</w:t>
      </w:r>
    </w:p>
    <w:p>
      <w:pPr>
        <w:spacing w:after="0" w:line="139" w:lineRule="exact"/>
        <w:rPr>
          <w:sz w:val="20"/>
          <w:szCs w:val="20"/>
          <w:color w:val="auto"/>
        </w:rPr>
      </w:pPr>
    </w:p>
    <w:p>
      <w:pPr>
        <w:ind w:left="360" w:right="180"/>
        <w:spacing w:after="0" w:line="262" w:lineRule="auto"/>
        <w:rPr>
          <w:sz w:val="20"/>
          <w:szCs w:val="20"/>
          <w:color w:val="auto"/>
        </w:rPr>
      </w:pPr>
      <w:r>
        <w:rPr>
          <w:rFonts w:ascii="Times New Roman" w:cs="Times New Roman" w:eastAsia="Times New Roman" w:hAnsi="Times New Roman"/>
          <w:sz w:val="18"/>
          <w:szCs w:val="18"/>
          <w:color w:val="auto"/>
        </w:rPr>
        <w:t>As of December 31, 2009, the Company held derivative instruments with absolute notional values as follows: interest rate caps of $3.9 billion, interest rate swaps of $1.1 billion and foreign exchange forward contracts of $71 million. As of December 31, 2009, the Company had no outstanding gasoline commodity contracts.</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F-47</w:t>
      </w:r>
    </w:p>
    <w:p>
      <w:pPr>
        <w:sectPr>
          <w:pgSz w:w="11900" w:h="16838" w:orient="portrait"/>
          <w:cols w:equalWidth="0" w:num="1">
            <w:col w:w="11400"/>
          </w:cols>
          <w:pgMar w:left="240" w:top="455" w:right="259" w:bottom="1440" w:gutter="0" w:footer="0" w:header="0"/>
        </w:sectPr>
      </w:pPr>
    </w:p>
    <w:bookmarkStart w:id="108" w:name="page109"/>
    <w:bookmarkEnd w:id="10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Fair values of derivative instruments as of December 31, 2009 were as follows:</w:t>
      </w:r>
    </w:p>
    <w:p>
      <w:pPr>
        <w:spacing w:after="0" w:line="223"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b w:val="1"/>
          <w:bCs w:val="1"/>
          <w:color w:val="auto"/>
        </w:rPr>
        <w:t>Derivative Assets</w:t>
      </w:r>
    </w:p>
    <w:p>
      <w:pPr>
        <w:spacing w:after="0" w:line="23" w:lineRule="exact"/>
        <w:rPr>
          <w:sz w:val="20"/>
          <w:szCs w:val="20"/>
          <w:color w:val="auto"/>
        </w:rPr>
      </w:pPr>
    </w:p>
    <w:tbl>
      <w:tblPr>
        <w:tblLayout w:type="fixed"/>
        <w:tblInd w:w="360" w:type="dxa"/>
        <w:tblCellMar>
          <w:top w:w="0" w:type="dxa"/>
          <w:left w:w="0" w:type="dxa"/>
          <w:bottom w:w="0" w:type="dxa"/>
          <w:right w:w="0" w:type="dxa"/>
        </w:tblCellMar>
      </w:tblPr>
      <w:tr>
        <w:trPr>
          <w:trHeight w:val="209"/>
        </w:trPr>
        <w:tc>
          <w:tcPr>
            <w:tcW w:w="4600" w:type="dxa"/>
            <w:vAlign w:val="bottom"/>
          </w:tcPr>
          <w:p>
            <w:pPr>
              <w:spacing w:after="0"/>
              <w:rPr>
                <w:sz w:val="18"/>
                <w:szCs w:val="18"/>
                <w:color w:val="auto"/>
              </w:rPr>
            </w:pPr>
          </w:p>
        </w:tc>
        <w:tc>
          <w:tcPr>
            <w:tcW w:w="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4"/>
              </w:rPr>
              <w:t>Balance</w:t>
            </w:r>
          </w:p>
        </w:tc>
        <w:tc>
          <w:tcPr>
            <w:tcW w:w="44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Sheet</w:t>
            </w: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Fair</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46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 xml:space="preserve">Derivatives designated as hedging instruments </w:t>
            </w:r>
            <w:r>
              <w:rPr>
                <w:rFonts w:ascii="Times New Roman" w:cs="Times New Roman" w:eastAsia="Times New Roman" w:hAnsi="Times New Roman"/>
                <w:sz w:val="11"/>
                <w:szCs w:val="11"/>
                <w:b w:val="1"/>
                <w:bCs w:val="1"/>
                <w:color w:val="auto"/>
              </w:rPr>
              <w:t>(a)</w:t>
            </w: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Category</w:t>
            </w: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Value</w:t>
            </w:r>
          </w:p>
        </w:tc>
        <w:tc>
          <w:tcPr>
            <w:tcW w:w="0" w:type="dxa"/>
            <w:vAlign w:val="bottom"/>
          </w:tcPr>
          <w:p>
            <w:pPr>
              <w:spacing w:after="0"/>
              <w:rPr>
                <w:sz w:val="1"/>
                <w:szCs w:val="1"/>
                <w:color w:val="auto"/>
              </w:rPr>
            </w:pPr>
          </w:p>
        </w:tc>
      </w:tr>
      <w:tr>
        <w:trPr>
          <w:trHeight w:val="196"/>
        </w:trPr>
        <w:tc>
          <w:tcPr>
            <w:tcW w:w="4600" w:type="dxa"/>
            <w:vAlign w:val="bottom"/>
            <w:vMerge w:val="continue"/>
          </w:tcPr>
          <w:p>
            <w:pPr>
              <w:spacing w:after="0"/>
              <w:rPr>
                <w:sz w:val="17"/>
                <w:szCs w:val="17"/>
                <w:color w:val="auto"/>
              </w:rPr>
            </w:pPr>
          </w:p>
        </w:tc>
        <w:tc>
          <w:tcPr>
            <w:tcW w:w="7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53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Interest rate swaps</w:t>
            </w:r>
          </w:p>
        </w:tc>
        <w:tc>
          <w:tcPr>
            <w:tcW w:w="840" w:type="dxa"/>
            <w:vAlign w:val="bottom"/>
            <w:gridSpan w:val="3"/>
          </w:tcPr>
          <w:p>
            <w:pPr>
              <w:jc w:val="right"/>
              <w:ind w:right="243"/>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24"/>
        </w:trPr>
        <w:tc>
          <w:tcPr>
            <w:tcW w:w="53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440" w:type="dxa"/>
            <w:vAlign w:val="bottom"/>
          </w:tcPr>
          <w:p>
            <w:pPr>
              <w:spacing w:after="0"/>
              <w:rPr>
                <w:sz w:val="19"/>
                <w:szCs w:val="19"/>
                <w:color w:val="auto"/>
              </w:rPr>
            </w:pPr>
          </w:p>
        </w:tc>
        <w:tc>
          <w:tcPr>
            <w:tcW w:w="400" w:type="dxa"/>
            <w:vAlign w:val="bottom"/>
            <w:tcBorders>
              <w:top w:val="single" w:sz="8" w:color="auto"/>
            </w:tcBorders>
            <w:gridSpan w:val="2"/>
          </w:tcPr>
          <w:p>
            <w:pPr>
              <w:jc w:val="right"/>
              <w:ind w:right="243"/>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53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 xml:space="preserve">Derivatives not designated as hedging instruments </w:t>
            </w:r>
            <w:r>
              <w:rPr>
                <w:rFonts w:ascii="Times New Roman" w:cs="Times New Roman" w:eastAsia="Times New Roman" w:hAnsi="Times New Roman"/>
                <w:sz w:val="11"/>
                <w:szCs w:val="11"/>
                <w:b w:val="1"/>
                <w:bCs w:val="1"/>
                <w:color w:val="auto"/>
              </w:rPr>
              <w:t>(a)</w:t>
            </w: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340" w:type="dxa"/>
            <w:vAlign w:val="bottom"/>
            <w:gridSpan w:val="2"/>
            <w:vMerge w:val="continue"/>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53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Interest rate contracts</w:t>
            </w: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25"/>
        </w:trPr>
        <w:tc>
          <w:tcPr>
            <w:tcW w:w="53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460" w:type="dxa"/>
            <w:vAlign w:val="bottom"/>
            <w:gridSpan w:val="2"/>
          </w:tcPr>
          <w:p>
            <w:pPr>
              <w:spacing w:after="0"/>
              <w:rPr>
                <w:sz w:val="19"/>
                <w:szCs w:val="19"/>
                <w:color w:val="auto"/>
              </w:rPr>
            </w:pPr>
          </w:p>
        </w:tc>
        <w:tc>
          <w:tcPr>
            <w:tcW w:w="380" w:type="dxa"/>
            <w:vAlign w:val="bottom"/>
          </w:tcPr>
          <w:p>
            <w:pPr>
              <w:jc w:val="right"/>
              <w:ind w:right="243"/>
              <w:spacing w:after="0"/>
              <w:rPr>
                <w:sz w:val="20"/>
                <w:szCs w:val="20"/>
                <w:color w:val="auto"/>
              </w:rPr>
            </w:pPr>
            <w:r>
              <w:rPr>
                <w:rFonts w:ascii="Times New Roman" w:cs="Times New Roman" w:eastAsia="Times New Roman" w:hAnsi="Times New Roman"/>
                <w:sz w:val="11"/>
                <w:szCs w:val="11"/>
                <w:color w:val="auto"/>
                <w:w w:val="71"/>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Derivative Liabilities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31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Balance</w:t>
            </w:r>
          </w:p>
        </w:tc>
        <w:tc>
          <w:tcPr>
            <w:tcW w:w="44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r>
      <w:tr>
        <w:trPr>
          <w:trHeight w:val="216"/>
        </w:trPr>
        <w:tc>
          <w:tcPr>
            <w:tcW w:w="3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Sheet</w:t>
            </w: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Fair</w:t>
            </w:r>
          </w:p>
        </w:tc>
      </w:tr>
      <w:tr>
        <w:trPr>
          <w:trHeight w:val="245"/>
        </w:trPr>
        <w:tc>
          <w:tcPr>
            <w:tcW w:w="3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Category</w:t>
            </w:r>
          </w:p>
        </w:tc>
        <w:tc>
          <w:tcPr>
            <w:tcW w:w="440" w:type="dxa"/>
            <w:vAlign w:val="bottom"/>
          </w:tcPr>
          <w:p>
            <w:pPr>
              <w:spacing w:after="0"/>
              <w:rPr>
                <w:sz w:val="21"/>
                <w:szCs w:val="21"/>
                <w:color w:val="auto"/>
              </w:rPr>
            </w:pPr>
          </w:p>
        </w:tc>
        <w:tc>
          <w:tcPr>
            <w:tcW w:w="44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w w:val="93"/>
              </w:rPr>
              <w:t>Value</w:t>
            </w:r>
          </w:p>
        </w:tc>
      </w:tr>
      <w:tr>
        <w:trPr>
          <w:trHeight w:val="20"/>
        </w:trPr>
        <w:tc>
          <w:tcPr>
            <w:tcW w:w="31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r>
      <w:tr>
        <w:trPr>
          <w:trHeight w:val="426"/>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6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24"/>
        </w:trPr>
        <w:tc>
          <w:tcPr>
            <w:tcW w:w="3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0"/>
        </w:trPr>
        <w:tc>
          <w:tcPr>
            <w:tcW w:w="3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r>
      <w:tr>
        <w:trPr>
          <w:trHeight w:val="426"/>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Liabilities under vehicle programs</w:t>
            </w: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24"/>
        </w:trPr>
        <w:tc>
          <w:tcPr>
            <w:tcW w:w="3140" w:type="dxa"/>
            <w:vAlign w:val="bottom"/>
          </w:tcPr>
          <w:p>
            <w:pPr>
              <w:spacing w:after="0"/>
              <w:rPr>
                <w:sz w:val="19"/>
                <w:szCs w:val="19"/>
                <w:color w:val="auto"/>
              </w:rPr>
            </w:pPr>
          </w:p>
        </w:tc>
        <w:tc>
          <w:tcPr>
            <w:tcW w:w="460" w:type="dxa"/>
            <w:vAlign w:val="bottom"/>
            <w:gridSpan w:val="2"/>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0"/>
        </w:trPr>
        <w:tc>
          <w:tcPr>
            <w:tcW w:w="3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ectPr>
          <w:pgSz w:w="11900" w:h="16838" w:orient="portrait"/>
          <w:cols w:equalWidth="0" w:num="2">
            <w:col w:w="6620" w:space="440"/>
            <w:col w:w="4300"/>
          </w:cols>
          <w:pgMar w:left="240" w:top="455" w:right="299" w:bottom="1440" w:gutter="0" w:footer="0" w:header="0"/>
        </w:sectPr>
      </w:pPr>
    </w:p>
    <w:p>
      <w:pPr>
        <w:jc w:val="both"/>
        <w:ind w:left="800" w:right="100" w:hanging="454"/>
        <w:spacing w:after="0" w:line="237" w:lineRule="auto"/>
        <w:tabs>
          <w:tab w:leader="none" w:pos="800" w:val="left"/>
        </w:tabs>
        <w:numPr>
          <w:ilvl w:val="0"/>
          <w:numId w:val="74"/>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Amounts in this table exclude derivatives issued by Avis Budget Rental Car Funding (AESOP) LLC (“Avis Budget Rental Car Funding”), as it is not consolidated by the Company; however, certain amounts related to the derivatives held by Avis Budget Rental Car Funding are included within other comprehensive income, as discussed in Note 20—Stockholders’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219710</wp:posOffset>
            </wp:positionH>
            <wp:positionV relativeFrom="paragraph">
              <wp:posOffset>-434340</wp:posOffset>
            </wp:positionV>
            <wp:extent cx="72898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2" w:lineRule="exact"/>
        <w:rPr>
          <w:sz w:val="20"/>
          <w:szCs w:val="20"/>
          <w:color w:val="auto"/>
        </w:rPr>
      </w:pPr>
    </w:p>
    <w:p>
      <w:pPr>
        <w:ind w:left="360"/>
        <w:spacing w:after="0" w:line="256" w:lineRule="auto"/>
        <w:rPr>
          <w:sz w:val="20"/>
          <w:szCs w:val="20"/>
          <w:color w:val="auto"/>
        </w:rPr>
      </w:pPr>
      <w:r>
        <w:rPr>
          <w:rFonts w:ascii="Times New Roman" w:cs="Times New Roman" w:eastAsia="Times New Roman" w:hAnsi="Times New Roman"/>
          <w:sz w:val="18"/>
          <w:szCs w:val="18"/>
          <w:color w:val="auto"/>
        </w:rPr>
        <w:t>The effect of derivative instruments on the Consolidated Statement of Operations for the year ended December 31, 2009 was (i) a loss of $5 million recognized as a component of operating expenses related to foreign exchange forward contracts, (ii) a gain of $3 million recognized as a component of operating expenses related to our commodity contracts and (iii) a $6 million loss recognized as a component of interest expense related to interest rate swaps and interest rate caps not designated as hedging instruments. The loss on the interest rate swaps had no impact on net interest expense as it was offset by reduced interest expense on the underlying floating rate debt which it hedges.</w:t>
      </w:r>
    </w:p>
    <w:p>
      <w:pPr>
        <w:spacing w:after="0" w:line="13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color w:val="auto"/>
        </w:rPr>
        <w:t>Debt Instruments</w:t>
      </w:r>
    </w:p>
    <w:p>
      <w:pPr>
        <w:spacing w:after="0" w:line="173" w:lineRule="exact"/>
        <w:rPr>
          <w:sz w:val="20"/>
          <w:szCs w:val="20"/>
          <w:color w:val="auto"/>
        </w:rPr>
      </w:pPr>
    </w:p>
    <w:p>
      <w:pPr>
        <w:ind w:left="360" w:right="60"/>
        <w:spacing w:after="0" w:line="254" w:lineRule="auto"/>
        <w:rPr>
          <w:sz w:val="20"/>
          <w:szCs w:val="20"/>
          <w:color w:val="auto"/>
        </w:rPr>
      </w:pPr>
      <w:r>
        <w:rPr>
          <w:rFonts w:ascii="Times New Roman" w:cs="Times New Roman" w:eastAsia="Times New Roman" w:hAnsi="Times New Roman"/>
          <w:sz w:val="18"/>
          <w:szCs w:val="18"/>
          <w:color w:val="auto"/>
        </w:rPr>
        <w:t>The fair value of the Company’s financial instruments is generally determined by reference to market values resulting from trading on a national securities exchange or in an over-the-counter market. In some cases where quoted market prices are not available, prices are derived by considering the yield of the benchmark security that was issued to initially price the instruments and adjusting this rate by the credit spread that market participants would demand for the instruments as of the measurement date. In situations where long-term borrowings are part of a conduit facility backed by short term floating rate debt, the Company has determined that its carrying value approximates the fair value of this debt. The carrying amounts of cash and cash equivalents, available-for-sale securities, accounts receivable, program cash and accounts payable and accrued liabilities approximate fair value due to the short-term maturities of these assets and liabilities.</w:t>
      </w:r>
    </w:p>
    <w:p>
      <w:pPr>
        <w:spacing w:after="0" w:line="12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F-48</w:t>
      </w:r>
    </w:p>
    <w:p>
      <w:pPr>
        <w:sectPr>
          <w:pgSz w:w="11900" w:h="16838" w:orient="portrait"/>
          <w:cols w:equalWidth="0" w:num="1">
            <w:col w:w="11360"/>
          </w:cols>
          <w:pgMar w:left="240" w:top="455" w:right="299" w:bottom="1440" w:gutter="0" w:footer="0" w:header="0"/>
          <w:type w:val="continuous"/>
        </w:sectPr>
      </w:pPr>
    </w:p>
    <w:bookmarkStart w:id="109" w:name="page110"/>
    <w:bookmarkEnd w:id="10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tbl>
      <w:tblPr>
        <w:tblLayout w:type="fixed"/>
        <w:tblInd w:w="360" w:type="dxa"/>
        <w:tblCellMar>
          <w:top w:w="0" w:type="dxa"/>
          <w:left w:w="0" w:type="dxa"/>
          <w:bottom w:w="0" w:type="dxa"/>
          <w:right w:w="0" w:type="dxa"/>
        </w:tblCellMar>
      </w:tblPr>
      <w:tr>
        <w:trPr>
          <w:trHeight w:val="228"/>
        </w:trPr>
        <w:tc>
          <w:tcPr>
            <w:tcW w:w="7280" w:type="dxa"/>
            <w:vAlign w:val="bottom"/>
            <w:gridSpan w:val="7"/>
          </w:tcPr>
          <w:p>
            <w:pPr>
              <w:spacing w:after="0"/>
              <w:rPr>
                <w:sz w:val="20"/>
                <w:szCs w:val="20"/>
                <w:color w:val="auto"/>
              </w:rPr>
            </w:pPr>
            <w:r>
              <w:rPr>
                <w:rFonts w:ascii="Times New Roman" w:cs="Times New Roman" w:eastAsia="Times New Roman" w:hAnsi="Times New Roman"/>
                <w:sz w:val="18"/>
                <w:szCs w:val="18"/>
                <w:color w:val="auto"/>
                <w:w w:val="97"/>
              </w:rPr>
              <w:t>The carrying amounts and estimated fair values of financial instruments at December 31 are as follows:</w:t>
            </w:r>
          </w:p>
        </w:tc>
        <w:tc>
          <w:tcPr>
            <w:tcW w:w="6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9"/>
        </w:trPr>
        <w:tc>
          <w:tcPr>
            <w:tcW w:w="5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2009</w:t>
            </w:r>
          </w:p>
        </w:tc>
        <w:tc>
          <w:tcPr>
            <w:tcW w:w="1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2008</w:t>
            </w: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5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3"/>
          </w:tcPr>
          <w:p>
            <w:pPr>
              <w:ind w:left="500"/>
              <w:spacing w:after="0" w:line="195" w:lineRule="exact"/>
              <w:rPr>
                <w:sz w:val="20"/>
                <w:szCs w:val="20"/>
                <w:color w:val="auto"/>
              </w:rPr>
            </w:pPr>
            <w:r>
              <w:rPr>
                <w:rFonts w:ascii="Times New Roman" w:cs="Times New Roman" w:eastAsia="Times New Roman" w:hAnsi="Times New Roman"/>
                <w:sz w:val="18"/>
                <w:szCs w:val="18"/>
                <w:b w:val="1"/>
                <w:bCs w:val="1"/>
                <w:color w:val="auto"/>
                <w:w w:val="97"/>
              </w:rPr>
              <w:t>Estimated</w:t>
            </w:r>
          </w:p>
        </w:tc>
        <w:tc>
          <w:tcPr>
            <w:tcW w:w="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3"/>
          </w:tcPr>
          <w:p>
            <w:pPr>
              <w:ind w:left="500"/>
              <w:spacing w:after="0" w:line="195" w:lineRule="exact"/>
              <w:rPr>
                <w:sz w:val="20"/>
                <w:szCs w:val="20"/>
                <w:color w:val="auto"/>
              </w:rPr>
            </w:pPr>
            <w:r>
              <w:rPr>
                <w:rFonts w:ascii="Times New Roman" w:cs="Times New Roman" w:eastAsia="Times New Roman" w:hAnsi="Times New Roman"/>
                <w:sz w:val="18"/>
                <w:szCs w:val="18"/>
                <w:b w:val="1"/>
                <w:bCs w:val="1"/>
                <w:color w:val="auto"/>
                <w:w w:val="97"/>
              </w:rPr>
              <w:t>Estimated</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120" w:type="dxa"/>
            <w:vAlign w:val="bottom"/>
          </w:tcPr>
          <w:p>
            <w:pPr>
              <w:spacing w:after="0"/>
              <w:rPr>
                <w:sz w:val="18"/>
                <w:szCs w:val="18"/>
                <w:color w:val="auto"/>
              </w:rPr>
            </w:pPr>
          </w:p>
        </w:tc>
        <w:tc>
          <w:tcPr>
            <w:tcW w:w="1500" w:type="dxa"/>
            <w:vAlign w:val="bottom"/>
            <w:gridSpan w:val="4"/>
          </w:tcPr>
          <w:p>
            <w:pPr>
              <w:ind w:left="680"/>
              <w:spacing w:after="0"/>
              <w:rPr>
                <w:sz w:val="20"/>
                <w:szCs w:val="20"/>
                <w:color w:val="auto"/>
              </w:rPr>
            </w:pPr>
            <w:r>
              <w:rPr>
                <w:rFonts w:ascii="Times New Roman" w:cs="Times New Roman" w:eastAsia="Times New Roman" w:hAnsi="Times New Roman"/>
                <w:sz w:val="18"/>
                <w:szCs w:val="18"/>
                <w:b w:val="1"/>
                <w:bCs w:val="1"/>
                <w:color w:val="auto"/>
              </w:rPr>
              <w:t>Carrying</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Fair</w:t>
            </w:r>
          </w:p>
        </w:tc>
        <w:tc>
          <w:tcPr>
            <w:tcW w:w="1100" w:type="dxa"/>
            <w:vAlign w:val="bottom"/>
            <w:gridSpan w:val="4"/>
          </w:tcPr>
          <w:p>
            <w:pPr>
              <w:ind w:left="280"/>
              <w:spacing w:after="0"/>
              <w:rPr>
                <w:sz w:val="20"/>
                <w:szCs w:val="20"/>
                <w:color w:val="auto"/>
              </w:rPr>
            </w:pPr>
            <w:r>
              <w:rPr>
                <w:rFonts w:ascii="Times New Roman" w:cs="Times New Roman" w:eastAsia="Times New Roman" w:hAnsi="Times New Roman"/>
                <w:sz w:val="18"/>
                <w:szCs w:val="18"/>
                <w:b w:val="1"/>
                <w:bCs w:val="1"/>
                <w:color w:val="auto"/>
              </w:rPr>
              <w:t>Carrying</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Fair</w:t>
            </w:r>
          </w:p>
        </w:tc>
        <w:tc>
          <w:tcPr>
            <w:tcW w:w="0" w:type="dxa"/>
            <w:vAlign w:val="bottom"/>
          </w:tcPr>
          <w:p>
            <w:pPr>
              <w:spacing w:after="0"/>
              <w:rPr>
                <w:sz w:val="1"/>
                <w:szCs w:val="1"/>
                <w:color w:val="auto"/>
              </w:rPr>
            </w:pPr>
          </w:p>
        </w:tc>
      </w:tr>
      <w:tr>
        <w:trPr>
          <w:trHeight w:val="231"/>
        </w:trPr>
        <w:tc>
          <w:tcPr>
            <w:tcW w:w="51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Corporate debt</w:t>
            </w:r>
          </w:p>
        </w:tc>
        <w:tc>
          <w:tcPr>
            <w:tcW w:w="680" w:type="dxa"/>
            <w:vAlign w:val="bottom"/>
          </w:tcPr>
          <w:p>
            <w:pPr>
              <w:spacing w:after="0"/>
              <w:rPr>
                <w:sz w:val="20"/>
                <w:szCs w:val="20"/>
                <w:color w:val="auto"/>
              </w:rPr>
            </w:pPr>
          </w:p>
        </w:tc>
        <w:tc>
          <w:tcPr>
            <w:tcW w:w="8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w w:val="93"/>
              </w:rPr>
              <w:t>Value</w:t>
            </w:r>
          </w:p>
        </w:tc>
        <w:tc>
          <w:tcPr>
            <w:tcW w:w="280" w:type="dxa"/>
            <w:vAlign w:val="bottom"/>
          </w:tcPr>
          <w:p>
            <w:pPr>
              <w:spacing w:after="0"/>
              <w:rPr>
                <w:sz w:val="20"/>
                <w:szCs w:val="20"/>
                <w:color w:val="auto"/>
              </w:rPr>
            </w:pPr>
          </w:p>
        </w:tc>
        <w:tc>
          <w:tcPr>
            <w:tcW w:w="8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0" w:type="dxa"/>
            <w:vAlign w:val="bottom"/>
          </w:tcPr>
          <w:p>
            <w:pPr>
              <w:spacing w:after="0"/>
              <w:rPr>
                <w:sz w:val="1"/>
                <w:szCs w:val="1"/>
                <w:color w:val="auto"/>
              </w:rPr>
            </w:pPr>
          </w:p>
        </w:tc>
      </w:tr>
      <w:tr>
        <w:trPr>
          <w:trHeight w:val="196"/>
        </w:trPr>
        <w:tc>
          <w:tcPr>
            <w:tcW w:w="5120" w:type="dxa"/>
            <w:vAlign w:val="bottom"/>
            <w:vMerge w:val="continue"/>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88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Pr>
          <w:p>
            <w:pPr>
              <w:spacing w:after="0"/>
              <w:rPr>
                <w:sz w:val="18"/>
                <w:szCs w:val="18"/>
                <w:color w:val="auto"/>
              </w:rPr>
            </w:pPr>
          </w:p>
        </w:tc>
        <w:tc>
          <w:tcPr>
            <w:tcW w:w="66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340" w:type="dxa"/>
            <w:vAlign w:val="bottom"/>
          </w:tcPr>
          <w:p>
            <w:pPr>
              <w:spacing w:after="0"/>
              <w:rPr>
                <w:sz w:val="18"/>
                <w:szCs w:val="18"/>
                <w:color w:val="auto"/>
              </w:rPr>
            </w:pPr>
          </w:p>
        </w:tc>
        <w:tc>
          <w:tcPr>
            <w:tcW w:w="4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18"/>
                <w:szCs w:val="18"/>
                <w:color w:val="auto"/>
              </w:rPr>
            </w:pPr>
          </w:p>
        </w:tc>
        <w:tc>
          <w:tcPr>
            <w:tcW w:w="62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Long-term debt</w:t>
            </w: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1,774</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1,675</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1,779</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Convertible debt</w:t>
            </w: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 xml:space="preserve">Interest rate swaps and commodity instruments </w:t>
            </w:r>
            <w:r>
              <w:rPr>
                <w:rFonts w:ascii="Times New Roman" w:cs="Times New Roman" w:eastAsia="Times New Roman" w:hAnsi="Times New Roman"/>
                <w:sz w:val="11"/>
                <w:szCs w:val="11"/>
                <w:color w:val="auto"/>
              </w:rPr>
              <w:t>(a)</w:t>
            </w: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(39)</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(39)</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(51)</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18"/>
        </w:trPr>
        <w:tc>
          <w:tcPr>
            <w:tcW w:w="5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Debt under vehicle programs</w:t>
            </w: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Vehicle-backed debt due to Avis Budget Rental Car Funding</w:t>
            </w:r>
          </w:p>
        </w:tc>
        <w:tc>
          <w:tcPr>
            <w:tcW w:w="88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3,660</w:t>
            </w:r>
          </w:p>
        </w:tc>
        <w:tc>
          <w:tcPr>
            <w:tcW w:w="120" w:type="dxa"/>
            <w:vAlign w:val="bottom"/>
          </w:tcPr>
          <w:p>
            <w:pPr>
              <w:spacing w:after="0"/>
              <w:rPr>
                <w:sz w:val="18"/>
                <w:szCs w:val="18"/>
                <w:color w:val="auto"/>
              </w:rPr>
            </w:pPr>
          </w:p>
        </w:tc>
        <w:tc>
          <w:tcPr>
            <w:tcW w:w="66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3,634</w:t>
            </w:r>
          </w:p>
        </w:tc>
        <w:tc>
          <w:tcPr>
            <w:tcW w:w="340" w:type="dxa"/>
            <w:vAlign w:val="bottom"/>
          </w:tcPr>
          <w:p>
            <w:pPr>
              <w:spacing w:after="0"/>
              <w:rPr>
                <w:sz w:val="18"/>
                <w:szCs w:val="18"/>
                <w:color w:val="auto"/>
              </w:rPr>
            </w:pPr>
          </w:p>
        </w:tc>
        <w:tc>
          <w:tcPr>
            <w:tcW w:w="4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5,142</w:t>
            </w:r>
          </w:p>
        </w:tc>
        <w:tc>
          <w:tcPr>
            <w:tcW w:w="120" w:type="dxa"/>
            <w:vAlign w:val="bottom"/>
          </w:tcPr>
          <w:p>
            <w:pPr>
              <w:spacing w:after="0"/>
              <w:rPr>
                <w:sz w:val="18"/>
                <w:szCs w:val="18"/>
                <w:color w:val="auto"/>
              </w:rPr>
            </w:pPr>
          </w:p>
        </w:tc>
        <w:tc>
          <w:tcPr>
            <w:tcW w:w="62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Vehicle-backed debt</w:t>
            </w: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707</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888</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5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 xml:space="preserve">Interest rate swaps </w:t>
            </w:r>
            <w:r>
              <w:rPr>
                <w:rFonts w:ascii="Times New Roman" w:cs="Times New Roman" w:eastAsia="Times New Roman" w:hAnsi="Times New Roman"/>
                <w:sz w:val="11"/>
                <w:szCs w:val="11"/>
                <w:color w:val="auto"/>
              </w:rPr>
              <w:t>(a)</w:t>
            </w: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w:t>
            </w: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(9)</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w:t>
            </w: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bl>
    <w:p>
      <w:pPr>
        <w:spacing w:after="0" w:line="92" w:lineRule="exact"/>
        <w:rPr>
          <w:sz w:val="20"/>
          <w:szCs w:val="20"/>
          <w:color w:val="auto"/>
        </w:rPr>
      </w:pPr>
    </w:p>
    <w:tbl>
      <w:tblPr>
        <w:tblLayout w:type="fixed"/>
        <w:tblInd w:w="340" w:type="dxa"/>
        <w:tblCellMar>
          <w:top w:w="0" w:type="dxa"/>
          <w:left w:w="0" w:type="dxa"/>
          <w:bottom w:w="0" w:type="dxa"/>
          <w:right w:w="0" w:type="dxa"/>
        </w:tblCellMar>
      </w:tblPr>
      <w:tr>
        <w:trPr>
          <w:trHeight w:val="146"/>
        </w:trPr>
        <w:tc>
          <w:tcPr>
            <w:tcW w:w="300" w:type="dxa"/>
            <w:vAlign w:val="bottom"/>
          </w:tcPr>
          <w:p>
            <w:pPr>
              <w:spacing w:after="0"/>
              <w:rPr>
                <w:sz w:val="20"/>
                <w:szCs w:val="20"/>
                <w:color w:val="auto"/>
              </w:rPr>
            </w:pPr>
            <w:r>
              <w:rPr>
                <w:rFonts w:ascii="Times New Roman" w:cs="Times New Roman" w:eastAsia="Times New Roman" w:hAnsi="Times New Roman"/>
                <w:sz w:val="11"/>
                <w:szCs w:val="11"/>
                <w:color w:val="auto"/>
              </w:rPr>
              <w:t>(a)</w:t>
            </w:r>
          </w:p>
        </w:tc>
        <w:tc>
          <w:tcPr>
            <w:tcW w:w="250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w w:val="96"/>
              </w:rPr>
              <w:t>Derivatives in (liability) position.</w:t>
            </w:r>
          </w:p>
        </w:tc>
        <w:tc>
          <w:tcPr>
            <w:tcW w:w="0" w:type="dxa"/>
            <w:vAlign w:val="bottom"/>
          </w:tcPr>
          <w:p>
            <w:pPr>
              <w:spacing w:after="0"/>
              <w:rPr>
                <w:sz w:val="1"/>
                <w:szCs w:val="1"/>
                <w:color w:val="auto"/>
              </w:rPr>
            </w:pPr>
          </w:p>
        </w:tc>
      </w:tr>
      <w:tr>
        <w:trPr>
          <w:trHeight w:val="126"/>
        </w:trPr>
        <w:tc>
          <w:tcPr>
            <w:tcW w:w="300" w:type="dxa"/>
            <w:vAlign w:val="bottom"/>
          </w:tcPr>
          <w:p>
            <w:pPr>
              <w:spacing w:after="0"/>
              <w:rPr>
                <w:sz w:val="10"/>
                <w:szCs w:val="10"/>
                <w:color w:val="auto"/>
              </w:rPr>
            </w:pPr>
          </w:p>
        </w:tc>
        <w:tc>
          <w:tcPr>
            <w:tcW w:w="25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219710</wp:posOffset>
            </wp:positionH>
            <wp:positionV relativeFrom="paragraph">
              <wp:posOffset>-161290</wp:posOffset>
            </wp:positionV>
            <wp:extent cx="72898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0" w:lineRule="exact"/>
        <w:rPr>
          <w:sz w:val="20"/>
          <w:szCs w:val="20"/>
          <w:color w:val="auto"/>
        </w:rPr>
      </w:pPr>
    </w:p>
    <w:p>
      <w:pPr>
        <w:ind w:left="360" w:right="20"/>
        <w:spacing w:after="0" w:line="275" w:lineRule="auto"/>
        <w:rPr>
          <w:sz w:val="20"/>
          <w:szCs w:val="20"/>
          <w:color w:val="auto"/>
        </w:rPr>
      </w:pPr>
      <w:r>
        <w:rPr>
          <w:rFonts w:ascii="Times New Roman" w:cs="Times New Roman" w:eastAsia="Times New Roman" w:hAnsi="Times New Roman"/>
          <w:sz w:val="18"/>
          <w:szCs w:val="18"/>
          <w:color w:val="auto"/>
        </w:rPr>
        <w:t>The Company used significant observable inputs (Level 2 inputs), other than quoted unadjusted prices from active markets (Level 1 inputs), to determine the fair value of its derivative assets and liabilities.</w:t>
      </w:r>
    </w:p>
    <w:p>
      <w:pPr>
        <w:spacing w:after="0" w:line="118" w:lineRule="exact"/>
        <w:rPr>
          <w:sz w:val="20"/>
          <w:szCs w:val="20"/>
          <w:color w:val="auto"/>
        </w:rPr>
      </w:pPr>
    </w:p>
    <w:p>
      <w:pPr>
        <w:ind w:left="360"/>
        <w:spacing w:after="0" w:line="255" w:lineRule="auto"/>
        <w:rPr>
          <w:sz w:val="20"/>
          <w:szCs w:val="20"/>
          <w:color w:val="auto"/>
        </w:rPr>
      </w:pPr>
      <w:r>
        <w:rPr>
          <w:rFonts w:ascii="Times New Roman" w:cs="Times New Roman" w:eastAsia="Times New Roman" w:hAnsi="Times New Roman"/>
          <w:sz w:val="18"/>
          <w:szCs w:val="18"/>
          <w:i w:val="1"/>
          <w:iCs w:val="1"/>
          <w:color w:val="auto"/>
        </w:rPr>
        <w:t>Valuation Techniques</w:t>
      </w:r>
      <w:r>
        <w:rPr>
          <w:rFonts w:ascii="Times New Roman" w:cs="Times New Roman" w:eastAsia="Times New Roman" w:hAnsi="Times New Roman"/>
          <w:sz w:val="18"/>
          <w:szCs w:val="18"/>
          <w:color w:val="auto"/>
        </w:rPr>
        <w:t>. Derivatives entered into by the Company are typically executed over-the-counter and are valued using internal valuation techniques,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no quoted market prices exist for such instruments. The valuation technique and inputs depend on the type of derivative and the nature of the underlying exposure. The principal techniques used to value these instruments are discounted cash flows and Black-Scholes option valuation models. These models take into account a variety of factors including, where applicable, maturity, commodity prices, interest rate yield curves of the Company and counterparties, credit curves, counterparty creditworthiness and currency exchange rates. These factors are applied on a consistent basis and are based upon observable inputs where available.</w:t>
      </w:r>
    </w:p>
    <w:p>
      <w:pPr>
        <w:spacing w:after="0" w:line="14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following table presents information about the Company’s assets and liabilities measured at fair value on a recurring basis:</w:t>
      </w:r>
    </w:p>
    <w:p>
      <w:pPr>
        <w:spacing w:after="0" w:line="171" w:lineRule="exact"/>
        <w:rPr>
          <w:sz w:val="20"/>
          <w:szCs w:val="20"/>
          <w:color w:val="auto"/>
        </w:rPr>
      </w:pPr>
    </w:p>
    <w:tbl>
      <w:tblPr>
        <w:tblLayout w:type="fixed"/>
        <w:tblInd w:w="360" w:type="dxa"/>
        <w:tblCellMar>
          <w:top w:w="0" w:type="dxa"/>
          <w:left w:w="0" w:type="dxa"/>
          <w:bottom w:w="0" w:type="dxa"/>
          <w:right w:w="0" w:type="dxa"/>
        </w:tblCellMar>
      </w:tblPr>
      <w:tr>
        <w:trPr>
          <w:trHeight w:val="228"/>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Items for Which Measurement Is Based on Significant Other Observable Inputs (Level 2):</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4"/>
        </w:trPr>
        <w:tc>
          <w:tcPr>
            <w:tcW w:w="7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jc w:val="right"/>
              <w:ind w:right="252"/>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jc w:val="center"/>
              <w:ind w:right="132"/>
              <w:spacing w:after="0"/>
              <w:rPr>
                <w:sz w:val="20"/>
                <w:szCs w:val="20"/>
                <w:color w:val="auto"/>
              </w:rPr>
            </w:pPr>
            <w:r>
              <w:rPr>
                <w:rFonts w:ascii="Times New Roman" w:cs="Times New Roman" w:eastAsia="Times New Roman" w:hAnsi="Times New Roman"/>
                <w:sz w:val="18"/>
                <w:szCs w:val="18"/>
                <w:b w:val="1"/>
                <w:bCs w:val="1"/>
                <w:color w:val="auto"/>
              </w:rPr>
              <w:t>As of</w:t>
            </w:r>
          </w:p>
        </w:tc>
        <w:tc>
          <w:tcPr>
            <w:tcW w:w="0" w:type="dxa"/>
            <w:vAlign w:val="bottom"/>
          </w:tcPr>
          <w:p>
            <w:pPr>
              <w:spacing w:after="0"/>
              <w:rPr>
                <w:sz w:val="1"/>
                <w:szCs w:val="1"/>
                <w:color w:val="auto"/>
              </w:rPr>
            </w:pPr>
          </w:p>
        </w:tc>
      </w:tr>
      <w:tr>
        <w:trPr>
          <w:trHeight w:val="216"/>
        </w:trPr>
        <w:tc>
          <w:tcPr>
            <w:tcW w:w="7580" w:type="dxa"/>
            <w:vAlign w:val="bottom"/>
          </w:tcPr>
          <w:p>
            <w:pPr>
              <w:spacing w:after="0"/>
              <w:rPr>
                <w:sz w:val="18"/>
                <w:szCs w:val="18"/>
                <w:color w:val="auto"/>
              </w:rPr>
            </w:pPr>
          </w:p>
        </w:tc>
        <w:tc>
          <w:tcPr>
            <w:tcW w:w="10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w w:val="97"/>
              </w:rPr>
              <w:t>December 31,</w:t>
            </w:r>
          </w:p>
        </w:tc>
        <w:tc>
          <w:tcPr>
            <w:tcW w:w="2100" w:type="dxa"/>
            <w:vAlign w:val="bottom"/>
            <w:gridSpan w:val="3"/>
          </w:tcPr>
          <w:p>
            <w:pPr>
              <w:jc w:val="center"/>
              <w:ind w:left="992"/>
              <w:spacing w:after="0"/>
              <w:rPr>
                <w:sz w:val="20"/>
                <w:szCs w:val="20"/>
                <w:color w:val="auto"/>
              </w:rPr>
            </w:pPr>
            <w:r>
              <w:rPr>
                <w:rFonts w:ascii="Times New Roman" w:cs="Times New Roman" w:eastAsia="Times New Roman" w:hAnsi="Times New Roman"/>
                <w:sz w:val="18"/>
                <w:szCs w:val="18"/>
                <w:b w:val="1"/>
                <w:bCs w:val="1"/>
                <w:color w:val="auto"/>
                <w:w w:val="97"/>
              </w:rPr>
              <w:t>December 31,</w:t>
            </w:r>
          </w:p>
        </w:tc>
        <w:tc>
          <w:tcPr>
            <w:tcW w:w="0" w:type="dxa"/>
            <w:vAlign w:val="bottom"/>
          </w:tcPr>
          <w:p>
            <w:pPr>
              <w:spacing w:after="0"/>
              <w:rPr>
                <w:sz w:val="1"/>
                <w:szCs w:val="1"/>
                <w:color w:val="auto"/>
              </w:rPr>
            </w:pPr>
          </w:p>
        </w:tc>
      </w:tr>
      <w:tr>
        <w:trPr>
          <w:trHeight w:val="230"/>
        </w:trPr>
        <w:tc>
          <w:tcPr>
            <w:tcW w:w="7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8"/>
                <w:szCs w:val="18"/>
                <w:b w:val="1"/>
                <w:bCs w:val="1"/>
                <w:color w:val="auto"/>
              </w:rPr>
              <w:t>2009</w:t>
            </w:r>
          </w:p>
        </w:tc>
        <w:tc>
          <w:tcPr>
            <w:tcW w:w="10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center"/>
              <w:ind w:right="132"/>
              <w:spacing w:after="0"/>
              <w:rPr>
                <w:sz w:val="20"/>
                <w:szCs w:val="20"/>
                <w:color w:val="auto"/>
              </w:rPr>
            </w:pPr>
            <w:r>
              <w:rPr>
                <w:rFonts w:ascii="Times New Roman" w:cs="Times New Roman" w:eastAsia="Times New Roman" w:hAnsi="Times New Roman"/>
                <w:sz w:val="18"/>
                <w:szCs w:val="18"/>
                <w:b w:val="1"/>
                <w:bCs w:val="1"/>
                <w:color w:val="auto"/>
                <w:w w:val="99"/>
              </w:rPr>
              <w:t>2008</w:t>
            </w:r>
          </w:p>
        </w:tc>
        <w:tc>
          <w:tcPr>
            <w:tcW w:w="0" w:type="dxa"/>
            <w:vAlign w:val="bottom"/>
          </w:tcPr>
          <w:p>
            <w:pPr>
              <w:spacing w:after="0"/>
              <w:rPr>
                <w:sz w:val="1"/>
                <w:szCs w:val="1"/>
                <w:color w:val="auto"/>
              </w:rPr>
            </w:pPr>
          </w:p>
        </w:tc>
      </w:tr>
      <w:tr>
        <w:trPr>
          <w:trHeight w:val="197"/>
        </w:trPr>
        <w:tc>
          <w:tcPr>
            <w:tcW w:w="7580" w:type="dxa"/>
            <w:vAlign w:val="bottom"/>
          </w:tcPr>
          <w:p>
            <w:pPr>
              <w:spacing w:after="0" w:line="197" w:lineRule="exact"/>
              <w:rPr>
                <w:sz w:val="20"/>
                <w:szCs w:val="20"/>
                <w:color w:val="auto"/>
              </w:rPr>
            </w:pPr>
            <w:r>
              <w:rPr>
                <w:rFonts w:ascii="Times New Roman" w:cs="Times New Roman" w:eastAsia="Times New Roman" w:hAnsi="Times New Roman"/>
                <w:sz w:val="18"/>
                <w:szCs w:val="18"/>
                <w:color w:val="auto"/>
              </w:rPr>
              <w:t>Assets:</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Interest rate swaps and other derivatives</w:t>
            </w:r>
          </w:p>
        </w:tc>
        <w:tc>
          <w:tcPr>
            <w:tcW w:w="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38"/>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4"/>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spacing w:after="0"/>
              <w:rPr>
                <w:sz w:val="19"/>
                <w:szCs w:val="19"/>
                <w:color w:val="auto"/>
              </w:rPr>
            </w:pPr>
          </w:p>
        </w:tc>
        <w:tc>
          <w:tcPr>
            <w:tcW w:w="200" w:type="dxa"/>
            <w:vAlign w:val="bottom"/>
            <w:tcBorders>
              <w:top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75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Liabilities:</w:t>
            </w:r>
          </w:p>
        </w:tc>
        <w:tc>
          <w:tcPr>
            <w:tcW w:w="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58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Interest rate swaps and other derivatives</w:t>
            </w:r>
          </w:p>
        </w:tc>
        <w:tc>
          <w:tcPr>
            <w:tcW w:w="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280" w:type="dxa"/>
            <w:vAlign w:val="bottom"/>
            <w:gridSpan w:val="2"/>
          </w:tcPr>
          <w:p>
            <w:pPr>
              <w:jc w:val="right"/>
              <w:ind w:right="38"/>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28"/>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Interest rate swaps and other derivatives under vehicle programs</w:t>
            </w:r>
          </w:p>
        </w:tc>
        <w:tc>
          <w:tcPr>
            <w:tcW w:w="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25"/>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80" w:type="dxa"/>
            <w:vAlign w:val="bottom"/>
          </w:tcPr>
          <w:p>
            <w:pPr>
              <w:spacing w:after="0"/>
              <w:rPr>
                <w:sz w:val="19"/>
                <w:szCs w:val="19"/>
                <w:color w:val="auto"/>
              </w:rPr>
            </w:pPr>
          </w:p>
        </w:tc>
        <w:tc>
          <w:tcPr>
            <w:tcW w:w="20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0"/>
        </w:trPr>
        <w:tc>
          <w:tcPr>
            <w:tcW w:w="7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i w:val="1"/>
          <w:iCs w:val="1"/>
          <w:color w:val="auto"/>
        </w:rPr>
        <w:t>Other investments</w:t>
      </w:r>
    </w:p>
    <w:p>
      <w:pPr>
        <w:spacing w:after="0" w:line="175" w:lineRule="exact"/>
        <w:rPr>
          <w:sz w:val="20"/>
          <w:szCs w:val="20"/>
          <w:color w:val="auto"/>
        </w:rPr>
      </w:pPr>
    </w:p>
    <w:p>
      <w:pPr>
        <w:ind w:left="360" w:right="40"/>
        <w:spacing w:after="0" w:line="275" w:lineRule="auto"/>
        <w:rPr>
          <w:sz w:val="20"/>
          <w:szCs w:val="20"/>
          <w:color w:val="auto"/>
        </w:rPr>
      </w:pPr>
      <w:r>
        <w:rPr>
          <w:rFonts w:ascii="Times New Roman" w:cs="Times New Roman" w:eastAsia="Times New Roman" w:hAnsi="Times New Roman"/>
          <w:sz w:val="18"/>
          <w:szCs w:val="18"/>
          <w:color w:val="auto"/>
        </w:rPr>
        <w:t>The Company has an investment in Carey (see Note 14—Equity Investment) and the determination of the fair value of the Company’s investment was based on significant unobservable inputs (Level 3) including cash</w:t>
      </w:r>
    </w:p>
    <w:p>
      <w:pPr>
        <w:spacing w:after="0" w:line="1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F-49</w:t>
      </w:r>
    </w:p>
    <w:p>
      <w:pPr>
        <w:sectPr>
          <w:pgSz w:w="11900" w:h="16838" w:orient="portrait"/>
          <w:cols w:equalWidth="0" w:num="1">
            <w:col w:w="11400"/>
          </w:cols>
          <w:pgMar w:left="240" w:top="455" w:right="259" w:bottom="1440" w:gutter="0" w:footer="0" w:header="0"/>
        </w:sectPr>
      </w:pPr>
    </w:p>
    <w:bookmarkStart w:id="110" w:name="page111"/>
    <w:bookmarkEnd w:id="11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360" w:right="440"/>
        <w:spacing w:after="0" w:line="256" w:lineRule="auto"/>
        <w:rPr>
          <w:sz w:val="20"/>
          <w:szCs w:val="20"/>
          <w:color w:val="auto"/>
        </w:rPr>
      </w:pPr>
      <w:r>
        <w:rPr>
          <w:rFonts w:ascii="Times New Roman" w:cs="Times New Roman" w:eastAsia="Times New Roman" w:hAnsi="Times New Roman"/>
          <w:sz w:val="18"/>
          <w:szCs w:val="18"/>
          <w:color w:val="auto"/>
        </w:rPr>
        <w:t>flow estimates discounted at an appropriate interest rate. The discount rate used to calculate the estimated fair value of the Company’s investment was increased as of November 30, 2009 to reflect the nature of Carey’s projected cash flows, risks associated with Carey’s non-compliance with financial covenants in its debt agreements, the impact of the downturn in global travel demand on their industry, and the increased uncertainty of the Company’s ability to recover its investment. The Company’s investment in Carey has been measured at fair value as a result of a decline in its fair value which was deemed to be other-than-temporary.</w:t>
      </w:r>
    </w:p>
    <w:p>
      <w:pPr>
        <w:spacing w:after="0" w:line="13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fair value of the Company’s investment in Carey as November 30, 2009 and December 31, 2008:</w:t>
      </w:r>
    </w:p>
    <w:p>
      <w:pPr>
        <w:spacing w:after="0" w:line="210" w:lineRule="exact"/>
        <w:rPr>
          <w:sz w:val="20"/>
          <w:szCs w:val="20"/>
          <w:color w:val="auto"/>
        </w:rPr>
      </w:pPr>
    </w:p>
    <w:tbl>
      <w:tblPr>
        <w:tblLayout w:type="fixed"/>
        <w:tblInd w:w="360" w:type="dxa"/>
        <w:tblCellMar>
          <w:top w:w="0" w:type="dxa"/>
          <w:left w:w="0" w:type="dxa"/>
          <w:bottom w:w="0" w:type="dxa"/>
          <w:right w:w="0" w:type="dxa"/>
        </w:tblCellMar>
      </w:tblPr>
      <w:tr>
        <w:trPr>
          <w:trHeight w:val="216"/>
        </w:trPr>
        <w:tc>
          <w:tcPr>
            <w:tcW w:w="40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40" w:type="dxa"/>
            <w:vAlign w:val="bottom"/>
            <w:gridSpan w:val="3"/>
          </w:tcPr>
          <w:p>
            <w:pPr>
              <w:jc w:val="center"/>
              <w:ind w:right="134"/>
              <w:spacing w:after="0"/>
              <w:rPr>
                <w:sz w:val="20"/>
                <w:szCs w:val="20"/>
                <w:color w:val="auto"/>
              </w:rPr>
            </w:pPr>
            <w:r>
              <w:rPr>
                <w:rFonts w:ascii="Times New Roman" w:cs="Times New Roman" w:eastAsia="Times New Roman" w:hAnsi="Times New Roman"/>
                <w:sz w:val="18"/>
                <w:szCs w:val="18"/>
                <w:b w:val="1"/>
                <w:bCs w:val="1"/>
                <w:color w:val="auto"/>
                <w:w w:val="97"/>
              </w:rPr>
              <w:t>November 30,</w:t>
            </w: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20" w:type="dxa"/>
            <w:vAlign w:val="bottom"/>
            <w:gridSpan w:val="3"/>
          </w:tcPr>
          <w:p>
            <w:pPr>
              <w:jc w:val="center"/>
              <w:ind w:right="54"/>
              <w:spacing w:after="0"/>
              <w:rPr>
                <w:sz w:val="20"/>
                <w:szCs w:val="20"/>
                <w:color w:val="auto"/>
              </w:rPr>
            </w:pPr>
            <w:r>
              <w:rPr>
                <w:rFonts w:ascii="Times New Roman" w:cs="Times New Roman" w:eastAsia="Times New Roman" w:hAnsi="Times New Roman"/>
                <w:sz w:val="18"/>
                <w:szCs w:val="18"/>
                <w:b w:val="1"/>
                <w:bCs w:val="1"/>
                <w:color w:val="auto"/>
                <w:w w:val="97"/>
              </w:rPr>
              <w:t>December 31,</w:t>
            </w:r>
          </w:p>
        </w:tc>
        <w:tc>
          <w:tcPr>
            <w:tcW w:w="180" w:type="dxa"/>
            <w:vAlign w:val="bottom"/>
          </w:tcPr>
          <w:p>
            <w:pPr>
              <w:spacing w:after="0"/>
              <w:rPr>
                <w:sz w:val="18"/>
                <w:szCs w:val="18"/>
                <w:color w:val="auto"/>
              </w:rPr>
            </w:pPr>
          </w:p>
        </w:tc>
      </w:tr>
      <w:tr>
        <w:trPr>
          <w:trHeight w:val="231"/>
        </w:trPr>
        <w:tc>
          <w:tcPr>
            <w:tcW w:w="40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2009</w:t>
            </w:r>
          </w:p>
        </w:tc>
        <w:tc>
          <w:tcPr>
            <w:tcW w:w="6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2008</w:t>
            </w:r>
          </w:p>
        </w:tc>
        <w:tc>
          <w:tcPr>
            <w:tcW w:w="5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r>
      <w:tr>
        <w:trPr>
          <w:trHeight w:val="194"/>
        </w:trPr>
        <w:tc>
          <w:tcPr>
            <w:tcW w:w="40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500" w:type="dxa"/>
            <w:vAlign w:val="bottom"/>
            <w:gridSpan w:val="3"/>
          </w:tcPr>
          <w:p>
            <w:pPr>
              <w:jc w:val="center"/>
              <w:ind w:left="612"/>
              <w:spacing w:after="0" w:line="195" w:lineRule="exact"/>
              <w:rPr>
                <w:sz w:val="20"/>
                <w:szCs w:val="20"/>
                <w:color w:val="auto"/>
              </w:rPr>
            </w:pPr>
            <w:r>
              <w:rPr>
                <w:rFonts w:ascii="Times New Roman" w:cs="Times New Roman" w:eastAsia="Times New Roman" w:hAnsi="Times New Roman"/>
                <w:sz w:val="18"/>
                <w:szCs w:val="18"/>
                <w:b w:val="1"/>
                <w:bCs w:val="1"/>
                <w:color w:val="auto"/>
                <w:w w:val="97"/>
              </w:rPr>
              <w:t>Estimated</w:t>
            </w:r>
          </w:p>
        </w:tc>
        <w:tc>
          <w:tcPr>
            <w:tcW w:w="7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500" w:type="dxa"/>
            <w:vAlign w:val="bottom"/>
            <w:gridSpan w:val="3"/>
          </w:tcPr>
          <w:p>
            <w:pPr>
              <w:jc w:val="center"/>
              <w:ind w:left="652"/>
              <w:spacing w:after="0" w:line="195" w:lineRule="exact"/>
              <w:rPr>
                <w:sz w:val="20"/>
                <w:szCs w:val="20"/>
                <w:color w:val="auto"/>
              </w:rPr>
            </w:pPr>
            <w:r>
              <w:rPr>
                <w:rFonts w:ascii="Times New Roman" w:cs="Times New Roman" w:eastAsia="Times New Roman" w:hAnsi="Times New Roman"/>
                <w:sz w:val="18"/>
                <w:szCs w:val="18"/>
                <w:b w:val="1"/>
                <w:bCs w:val="1"/>
                <w:color w:val="auto"/>
                <w:w w:val="97"/>
              </w:rPr>
              <w:t>Estimated</w:t>
            </w:r>
          </w:p>
        </w:tc>
      </w:tr>
      <w:tr>
        <w:trPr>
          <w:trHeight w:val="216"/>
        </w:trPr>
        <w:tc>
          <w:tcPr>
            <w:tcW w:w="4020" w:type="dxa"/>
            <w:vAlign w:val="bottom"/>
          </w:tcPr>
          <w:p>
            <w:pPr>
              <w:spacing w:after="0"/>
              <w:rPr>
                <w:sz w:val="18"/>
                <w:szCs w:val="18"/>
                <w:color w:val="auto"/>
              </w:rPr>
            </w:pPr>
          </w:p>
        </w:tc>
        <w:tc>
          <w:tcPr>
            <w:tcW w:w="22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Carrying</w:t>
            </w:r>
          </w:p>
        </w:tc>
        <w:tc>
          <w:tcPr>
            <w:tcW w:w="720" w:type="dxa"/>
            <w:vAlign w:val="bottom"/>
          </w:tcPr>
          <w:p>
            <w:pPr>
              <w:spacing w:after="0"/>
              <w:rPr>
                <w:sz w:val="18"/>
                <w:szCs w:val="18"/>
                <w:color w:val="auto"/>
              </w:rPr>
            </w:pPr>
          </w:p>
        </w:tc>
        <w:tc>
          <w:tcPr>
            <w:tcW w:w="640" w:type="dxa"/>
            <w:vAlign w:val="bottom"/>
          </w:tcPr>
          <w:p>
            <w:pPr>
              <w:jc w:val="center"/>
              <w:ind w:left="34"/>
              <w:spacing w:after="0"/>
              <w:rPr>
                <w:sz w:val="20"/>
                <w:szCs w:val="20"/>
                <w:color w:val="auto"/>
              </w:rPr>
            </w:pPr>
            <w:r>
              <w:rPr>
                <w:rFonts w:ascii="Times New Roman" w:cs="Times New Roman" w:eastAsia="Times New Roman" w:hAnsi="Times New Roman"/>
                <w:sz w:val="18"/>
                <w:szCs w:val="18"/>
                <w:b w:val="1"/>
                <w:bCs w:val="1"/>
                <w:color w:val="auto"/>
                <w:w w:val="96"/>
              </w:rPr>
              <w:t>Fair</w:t>
            </w:r>
          </w:p>
        </w:tc>
        <w:tc>
          <w:tcPr>
            <w:tcW w:w="140" w:type="dxa"/>
            <w:vAlign w:val="bottom"/>
          </w:tcPr>
          <w:p>
            <w:pPr>
              <w:spacing w:after="0"/>
              <w:rPr>
                <w:sz w:val="18"/>
                <w:szCs w:val="18"/>
                <w:color w:val="auto"/>
              </w:rPr>
            </w:pPr>
          </w:p>
        </w:tc>
        <w:tc>
          <w:tcPr>
            <w:tcW w:w="1420" w:type="dxa"/>
            <w:vAlign w:val="bottom"/>
            <w:gridSpan w:val="3"/>
          </w:tcPr>
          <w:p>
            <w:pPr>
              <w:ind w:left="720"/>
              <w:spacing w:after="0"/>
              <w:rPr>
                <w:sz w:val="20"/>
                <w:szCs w:val="20"/>
                <w:color w:val="auto"/>
              </w:rPr>
            </w:pPr>
            <w:r>
              <w:rPr>
                <w:rFonts w:ascii="Times New Roman" w:cs="Times New Roman" w:eastAsia="Times New Roman" w:hAnsi="Times New Roman"/>
                <w:sz w:val="18"/>
                <w:szCs w:val="18"/>
                <w:b w:val="1"/>
                <w:bCs w:val="1"/>
                <w:color w:val="auto"/>
                <w:w w:val="95"/>
              </w:rPr>
              <w:t>Carrying</w:t>
            </w:r>
          </w:p>
        </w:tc>
        <w:tc>
          <w:tcPr>
            <w:tcW w:w="740" w:type="dxa"/>
            <w:vAlign w:val="bottom"/>
          </w:tcPr>
          <w:p>
            <w:pPr>
              <w:spacing w:after="0"/>
              <w:rPr>
                <w:sz w:val="18"/>
                <w:szCs w:val="18"/>
                <w:color w:val="auto"/>
              </w:rPr>
            </w:pPr>
          </w:p>
        </w:tc>
        <w:tc>
          <w:tcPr>
            <w:tcW w:w="580" w:type="dxa"/>
            <w:vAlign w:val="bottom"/>
          </w:tcPr>
          <w:p>
            <w:pPr>
              <w:jc w:val="center"/>
              <w:ind w:left="74"/>
              <w:spacing w:after="0"/>
              <w:rPr>
                <w:sz w:val="20"/>
                <w:szCs w:val="20"/>
                <w:color w:val="auto"/>
              </w:rPr>
            </w:pPr>
            <w:r>
              <w:rPr>
                <w:rFonts w:ascii="Times New Roman" w:cs="Times New Roman" w:eastAsia="Times New Roman" w:hAnsi="Times New Roman"/>
                <w:sz w:val="18"/>
                <w:szCs w:val="18"/>
                <w:b w:val="1"/>
                <w:bCs w:val="1"/>
                <w:color w:val="auto"/>
              </w:rPr>
              <w:t>Fair</w:t>
            </w:r>
          </w:p>
        </w:tc>
        <w:tc>
          <w:tcPr>
            <w:tcW w:w="180" w:type="dxa"/>
            <w:vAlign w:val="bottom"/>
          </w:tcPr>
          <w:p>
            <w:pPr>
              <w:spacing w:after="0"/>
              <w:rPr>
                <w:sz w:val="18"/>
                <w:szCs w:val="18"/>
                <w:color w:val="auto"/>
              </w:rPr>
            </w:pPr>
          </w:p>
        </w:tc>
      </w:tr>
      <w:tr>
        <w:trPr>
          <w:trHeight w:val="230"/>
        </w:trPr>
        <w:tc>
          <w:tcPr>
            <w:tcW w:w="40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7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720" w:type="dxa"/>
            <w:vAlign w:val="bottom"/>
          </w:tcPr>
          <w:p>
            <w:pPr>
              <w:spacing w:after="0"/>
              <w:rPr>
                <w:sz w:val="20"/>
                <w:szCs w:val="20"/>
                <w:color w:val="auto"/>
              </w:rPr>
            </w:pPr>
          </w:p>
        </w:tc>
        <w:tc>
          <w:tcPr>
            <w:tcW w:w="640" w:type="dxa"/>
            <w:vAlign w:val="bottom"/>
            <w:tcBorders>
              <w:bottom w:val="single" w:sz="8" w:color="auto"/>
            </w:tcBorders>
          </w:tcPr>
          <w:p>
            <w:pPr>
              <w:jc w:val="center"/>
              <w:ind w:left="34"/>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140" w:type="dxa"/>
            <w:vAlign w:val="bottom"/>
            <w:tcBorders>
              <w:bottom w:val="single" w:sz="8" w:color="auto"/>
            </w:tcBorders>
          </w:tcPr>
          <w:p>
            <w:pPr>
              <w:spacing w:after="0"/>
              <w:rPr>
                <w:sz w:val="20"/>
                <w:szCs w:val="20"/>
                <w:color w:val="auto"/>
              </w:rPr>
            </w:pPr>
          </w:p>
        </w:tc>
        <w:tc>
          <w:tcPr>
            <w:tcW w:w="720" w:type="dxa"/>
            <w:vAlign w:val="bottom"/>
          </w:tcPr>
          <w:p>
            <w:pPr>
              <w:spacing w:after="0"/>
              <w:rPr>
                <w:sz w:val="20"/>
                <w:szCs w:val="20"/>
                <w:color w:val="auto"/>
              </w:rPr>
            </w:pPr>
          </w:p>
        </w:tc>
        <w:tc>
          <w:tcPr>
            <w:tcW w:w="70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740" w:type="dxa"/>
            <w:vAlign w:val="bottom"/>
          </w:tcPr>
          <w:p>
            <w:pPr>
              <w:spacing w:after="0"/>
              <w:rPr>
                <w:sz w:val="20"/>
                <w:szCs w:val="20"/>
                <w:color w:val="auto"/>
              </w:rPr>
            </w:pPr>
          </w:p>
        </w:tc>
        <w:tc>
          <w:tcPr>
            <w:tcW w:w="580" w:type="dxa"/>
            <w:vAlign w:val="bottom"/>
            <w:tcBorders>
              <w:bottom w:val="single" w:sz="8" w:color="auto"/>
            </w:tcBorders>
          </w:tcPr>
          <w:p>
            <w:pPr>
              <w:jc w:val="center"/>
              <w:ind w:left="74"/>
              <w:spacing w:after="0"/>
              <w:rPr>
                <w:sz w:val="20"/>
                <w:szCs w:val="20"/>
                <w:color w:val="auto"/>
              </w:rPr>
            </w:pPr>
            <w:r>
              <w:rPr>
                <w:rFonts w:ascii="Times New Roman" w:cs="Times New Roman" w:eastAsia="Times New Roman" w:hAnsi="Times New Roman"/>
                <w:sz w:val="18"/>
                <w:szCs w:val="18"/>
                <w:b w:val="1"/>
                <w:bCs w:val="1"/>
                <w:color w:val="auto"/>
                <w:w w:val="93"/>
              </w:rPr>
              <w:t>Value</w:t>
            </w:r>
          </w:p>
        </w:tc>
        <w:tc>
          <w:tcPr>
            <w:tcW w:w="180" w:type="dxa"/>
            <w:vAlign w:val="bottom"/>
            <w:tcBorders>
              <w:bottom w:val="single" w:sz="8" w:color="auto"/>
            </w:tcBorders>
          </w:tcPr>
          <w:p>
            <w:pPr>
              <w:spacing w:after="0"/>
              <w:rPr>
                <w:sz w:val="20"/>
                <w:szCs w:val="20"/>
                <w:color w:val="auto"/>
              </w:rPr>
            </w:pPr>
          </w:p>
        </w:tc>
      </w:tr>
      <w:tr>
        <w:trPr>
          <w:trHeight w:val="224"/>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Investment in Carey Holdings, Inc.</w:t>
            </w:r>
          </w:p>
        </w:tc>
        <w:tc>
          <w:tcPr>
            <w:tcW w:w="1580" w:type="dxa"/>
            <w:vAlign w:val="bottom"/>
          </w:tcPr>
          <w:p>
            <w:pPr>
              <w:spacing w:after="0"/>
              <w:rPr>
                <w:sz w:val="19"/>
                <w:szCs w:val="19"/>
                <w:color w:val="auto"/>
              </w:rPr>
            </w:pPr>
          </w:p>
        </w:tc>
        <w:tc>
          <w:tcPr>
            <w:tcW w:w="320" w:type="dxa"/>
            <w:vAlign w:val="bottom"/>
          </w:tcPr>
          <w:p>
            <w:pPr>
              <w:jc w:val="right"/>
              <w:ind w:right="155"/>
              <w:spacing w:after="0"/>
              <w:rPr>
                <w:sz w:val="20"/>
                <w:szCs w:val="20"/>
                <w:color w:val="auto"/>
              </w:rPr>
            </w:pPr>
            <w:r>
              <w:rPr>
                <w:rFonts w:ascii="Times New Roman" w:cs="Times New Roman" w:eastAsia="Times New Roman" w:hAnsi="Times New Roman"/>
                <w:sz w:val="16"/>
                <w:szCs w:val="16"/>
                <w:color w:val="auto"/>
                <w:w w:val="74"/>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spacing w:after="0"/>
              <w:rPr>
                <w:sz w:val="19"/>
                <w:szCs w:val="19"/>
                <w:color w:val="auto"/>
              </w:rPr>
            </w:pPr>
          </w:p>
        </w:tc>
        <w:tc>
          <w:tcPr>
            <w:tcW w:w="640" w:type="dxa"/>
            <w:vAlign w:val="bottom"/>
          </w:tcPr>
          <w:p>
            <w:pPr>
              <w:jc w:val="right"/>
              <w:ind w:right="474"/>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spacing w:after="0"/>
              <w:rPr>
                <w:sz w:val="19"/>
                <w:szCs w:val="19"/>
                <w:color w:val="auto"/>
              </w:rPr>
            </w:pPr>
          </w:p>
        </w:tc>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740" w:type="dxa"/>
            <w:vAlign w:val="bottom"/>
          </w:tcPr>
          <w:p>
            <w:pPr>
              <w:spacing w:after="0"/>
              <w:rPr>
                <w:sz w:val="19"/>
                <w:szCs w:val="19"/>
                <w:color w:val="auto"/>
              </w:rPr>
            </w:pPr>
          </w:p>
        </w:tc>
        <w:tc>
          <w:tcPr>
            <w:tcW w:w="580" w:type="dxa"/>
            <w:vAlign w:val="bottom"/>
          </w:tcPr>
          <w:p>
            <w:pPr>
              <w:jc w:val="right"/>
              <w:ind w:right="414"/>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43</w:t>
            </w:r>
          </w:p>
        </w:tc>
      </w:tr>
    </w:tbl>
    <w:p>
      <w:pPr>
        <w:spacing w:after="0" w:line="174" w:lineRule="exact"/>
        <w:rPr>
          <w:sz w:val="20"/>
          <w:szCs w:val="20"/>
          <w:color w:val="auto"/>
        </w:rPr>
      </w:pPr>
    </w:p>
    <w:p>
      <w:pPr>
        <w:ind w:left="340" w:hanging="332"/>
        <w:spacing w:after="0"/>
        <w:tabs>
          <w:tab w:leader="none" w:pos="340" w:val="left"/>
        </w:tabs>
        <w:numPr>
          <w:ilvl w:val="0"/>
          <w:numId w:val="7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Segment Information</w:t>
      </w:r>
    </w:p>
    <w:p>
      <w:pPr>
        <w:spacing w:after="0" w:line="173" w:lineRule="exact"/>
        <w:rPr>
          <w:rFonts w:ascii="Times New Roman" w:cs="Times New Roman" w:eastAsia="Times New Roman" w:hAnsi="Times New Roman"/>
          <w:sz w:val="18"/>
          <w:szCs w:val="18"/>
          <w:b w:val="1"/>
          <w:bCs w:val="1"/>
          <w:color w:val="auto"/>
        </w:rPr>
      </w:pPr>
    </w:p>
    <w:p>
      <w:pPr>
        <w:ind w:left="36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reportable segments presented below represent the Company’s operating segments for which separate financial information is available and is utilized on a regular basis by its chief operating decision maker to assess performance and to allocate resources. In identifying its reportable segments, the Company also considers the nature of services provided by its operating segments. Management evaluates the operating results of each of its reportable segments based upon revenue and “EBITDA,” which is defined as income from continuing operations before non-vehicle related depreciation and amortization, any impairment charge, non-vehicle related interest and income taxes. The Company’s presentation of EBITDA may not be comparable to similarly-titled measures used by other companies.</w:t>
      </w:r>
    </w:p>
    <w:p>
      <w:pPr>
        <w:spacing w:after="0" w:line="137" w:lineRule="exact"/>
        <w:rPr>
          <w:rFonts w:ascii="Times New Roman" w:cs="Times New Roman" w:eastAsia="Times New Roman" w:hAnsi="Times New Roman"/>
          <w:sz w:val="18"/>
          <w:szCs w:val="18"/>
          <w:b w:val="1"/>
          <w:bCs w:val="1"/>
          <w:color w:val="auto"/>
        </w:rPr>
      </w:pPr>
    </w:p>
    <w:p>
      <w:pPr>
        <w:ind w:left="3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Year Ended December 31, 2009</w:t>
      </w:r>
    </w:p>
    <w:p>
      <w:pPr>
        <w:spacing w:after="0" w:line="212" w:lineRule="exact"/>
        <w:rPr>
          <w:sz w:val="20"/>
          <w:szCs w:val="20"/>
          <w:color w:val="auto"/>
        </w:rPr>
      </w:pPr>
    </w:p>
    <w:tbl>
      <w:tblPr>
        <w:tblLayout w:type="fixed"/>
        <w:tblInd w:w="360" w:type="dxa"/>
        <w:tblCellMar>
          <w:top w:w="0" w:type="dxa"/>
          <w:left w:w="0" w:type="dxa"/>
          <w:bottom w:w="0" w:type="dxa"/>
          <w:right w:w="0" w:type="dxa"/>
        </w:tblCellMar>
      </w:tblPr>
      <w:tr>
        <w:trPr>
          <w:trHeight w:val="216"/>
        </w:trPr>
        <w:tc>
          <w:tcPr>
            <w:tcW w:w="46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Domestic</w:t>
            </w:r>
          </w:p>
        </w:tc>
        <w:tc>
          <w:tcPr>
            <w:tcW w:w="1560" w:type="dxa"/>
            <w:vAlign w:val="bottom"/>
            <w:gridSpan w:val="3"/>
          </w:tcPr>
          <w:p>
            <w:pPr>
              <w:ind w:left="560"/>
              <w:spacing w:after="0"/>
              <w:rPr>
                <w:sz w:val="20"/>
                <w:szCs w:val="20"/>
                <w:color w:val="auto"/>
              </w:rPr>
            </w:pPr>
            <w:r>
              <w:rPr>
                <w:rFonts w:ascii="Times New Roman" w:cs="Times New Roman" w:eastAsia="Times New Roman" w:hAnsi="Times New Roman"/>
                <w:sz w:val="18"/>
                <w:szCs w:val="18"/>
                <w:b w:val="1"/>
                <w:bCs w:val="1"/>
                <w:color w:val="auto"/>
                <w:w w:val="96"/>
              </w:rPr>
              <w:t>International</w:t>
            </w:r>
          </w:p>
        </w:tc>
        <w:tc>
          <w:tcPr>
            <w:tcW w:w="5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5"/>
              </w:rPr>
              <w:t>Truck</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w w:val="94"/>
              </w:rPr>
              <w:t>Corporate</w:t>
            </w: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230"/>
        </w:trPr>
        <w:tc>
          <w:tcPr>
            <w:tcW w:w="4600" w:type="dxa"/>
            <w:vAlign w:val="bottom"/>
          </w:tcPr>
          <w:p>
            <w:pPr>
              <w:spacing w:after="0"/>
              <w:rPr>
                <w:sz w:val="20"/>
                <w:szCs w:val="20"/>
                <w:color w:val="auto"/>
              </w:rPr>
            </w:pPr>
          </w:p>
        </w:tc>
        <w:tc>
          <w:tcPr>
            <w:tcW w:w="8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w w:val="95"/>
              </w:rPr>
              <w:t>Car Rental</w:t>
            </w:r>
          </w:p>
        </w:tc>
        <w:tc>
          <w:tcPr>
            <w:tcW w:w="560" w:type="dxa"/>
            <w:vAlign w:val="bottom"/>
          </w:tcPr>
          <w:p>
            <w:pPr>
              <w:spacing w:after="0"/>
              <w:rPr>
                <w:sz w:val="20"/>
                <w:szCs w:val="20"/>
                <w:color w:val="auto"/>
              </w:rPr>
            </w:pPr>
          </w:p>
        </w:tc>
        <w:tc>
          <w:tcPr>
            <w:tcW w:w="1000" w:type="dxa"/>
            <w:vAlign w:val="bottom"/>
            <w:gridSpan w:val="2"/>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Car Rental</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Rental</w:t>
            </w:r>
          </w:p>
        </w:tc>
        <w:tc>
          <w:tcPr>
            <w:tcW w:w="1880" w:type="dxa"/>
            <w:vAlign w:val="bottom"/>
            <w:gridSpan w:val="4"/>
          </w:tcPr>
          <w:p>
            <w:pPr>
              <w:ind w:left="560"/>
              <w:spacing w:after="0"/>
              <w:rPr>
                <w:sz w:val="20"/>
                <w:szCs w:val="20"/>
                <w:color w:val="auto"/>
              </w:rPr>
            </w:pPr>
            <w:r>
              <w:rPr>
                <w:rFonts w:ascii="Times New Roman" w:cs="Times New Roman" w:eastAsia="Times New Roman" w:hAnsi="Times New Roman"/>
                <w:sz w:val="18"/>
                <w:szCs w:val="18"/>
                <w:b w:val="1"/>
                <w:bCs w:val="1"/>
                <w:color w:val="auto"/>
              </w:rPr>
              <w:t xml:space="preserve">and Other </w:t>
            </w:r>
            <w:r>
              <w:rPr>
                <w:rFonts w:ascii="Times New Roman" w:cs="Times New Roman" w:eastAsia="Times New Roman" w:hAnsi="Times New Roman"/>
                <w:sz w:val="11"/>
                <w:szCs w:val="11"/>
                <w:b w:val="1"/>
                <w:bCs w:val="1"/>
                <w:color w:val="auto"/>
              </w:rPr>
              <w:t>(a)</w:t>
            </w:r>
          </w:p>
        </w:tc>
        <w:tc>
          <w:tcPr>
            <w:tcW w:w="30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197"/>
        </w:trPr>
        <w:tc>
          <w:tcPr>
            <w:tcW w:w="4600" w:type="dxa"/>
            <w:vAlign w:val="bottom"/>
          </w:tcPr>
          <w:p>
            <w:pPr>
              <w:spacing w:after="0" w:line="197" w:lineRule="exact"/>
              <w:rPr>
                <w:sz w:val="20"/>
                <w:szCs w:val="20"/>
                <w:color w:val="auto"/>
              </w:rPr>
            </w:pPr>
            <w:r>
              <w:rPr>
                <w:rFonts w:ascii="Times New Roman" w:cs="Times New Roman" w:eastAsia="Times New Roman" w:hAnsi="Times New Roman"/>
                <w:sz w:val="18"/>
                <w:szCs w:val="18"/>
                <w:color w:val="auto"/>
              </w:rPr>
              <w:t>Net revenues</w:t>
            </w:r>
          </w:p>
        </w:tc>
        <w:tc>
          <w:tcPr>
            <w:tcW w:w="260" w:type="dxa"/>
            <w:vAlign w:val="bottom"/>
            <w:tcBorders>
              <w:top w:val="single" w:sz="8" w:color="auto"/>
            </w:tcBorders>
          </w:tcPr>
          <w:p>
            <w:pPr>
              <w:spacing w:after="0" w:line="197" w:lineRule="exact"/>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rPr>
              <w:t>3,967</w:t>
            </w:r>
          </w:p>
        </w:tc>
        <w:tc>
          <w:tcPr>
            <w:tcW w:w="560" w:type="dxa"/>
            <w:vAlign w:val="bottom"/>
          </w:tcPr>
          <w:p>
            <w:pPr>
              <w:spacing w:after="0"/>
              <w:rPr>
                <w:sz w:val="17"/>
                <w:szCs w:val="17"/>
                <w:color w:val="auto"/>
              </w:rPr>
            </w:pPr>
          </w:p>
        </w:tc>
        <w:tc>
          <w:tcPr>
            <w:tcW w:w="400" w:type="dxa"/>
            <w:vAlign w:val="bottom"/>
            <w:tcBorders>
              <w:top w:val="single" w:sz="8" w:color="auto"/>
            </w:tcBorders>
          </w:tcPr>
          <w:p>
            <w:pPr>
              <w:spacing w:after="0" w:line="197" w:lineRule="exact"/>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rPr>
              <w:t>808</w:t>
            </w:r>
          </w:p>
        </w:tc>
        <w:tc>
          <w:tcPr>
            <w:tcW w:w="540" w:type="dxa"/>
            <w:vAlign w:val="bottom"/>
          </w:tcPr>
          <w:p>
            <w:pPr>
              <w:spacing w:after="0"/>
              <w:rPr>
                <w:sz w:val="17"/>
                <w:szCs w:val="17"/>
                <w:color w:val="auto"/>
              </w:rPr>
            </w:pPr>
          </w:p>
        </w:tc>
        <w:tc>
          <w:tcPr>
            <w:tcW w:w="500" w:type="dxa"/>
            <w:vAlign w:val="bottom"/>
            <w:tcBorders>
              <w:top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rPr>
              <w:t>$  354</w:t>
            </w:r>
          </w:p>
        </w:tc>
        <w:tc>
          <w:tcPr>
            <w:tcW w:w="560" w:type="dxa"/>
            <w:vAlign w:val="bottom"/>
          </w:tcPr>
          <w:p>
            <w:pPr>
              <w:spacing w:after="0"/>
              <w:rPr>
                <w:sz w:val="17"/>
                <w:szCs w:val="17"/>
                <w:color w:val="auto"/>
              </w:rPr>
            </w:pPr>
          </w:p>
        </w:tc>
        <w:tc>
          <w:tcPr>
            <w:tcW w:w="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top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rPr>
              <w:t>2</w:t>
            </w: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00" w:type="dxa"/>
            <w:vAlign w:val="bottom"/>
            <w:tcBorders>
              <w:top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w w:val="96"/>
              </w:rPr>
              <w:t>$5,131</w:t>
            </w:r>
          </w:p>
        </w:tc>
      </w:tr>
      <w:tr>
        <w:trPr>
          <w:trHeight w:val="216"/>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Vehicle depreciation and lease charges, net</w:t>
            </w:r>
          </w:p>
        </w:tc>
        <w:tc>
          <w:tcPr>
            <w:tcW w:w="2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1,172</w:t>
            </w: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1,425</w:t>
            </w:r>
          </w:p>
        </w:tc>
      </w:tr>
      <w:tr>
        <w:trPr>
          <w:trHeight w:val="216"/>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Vehicle interest, net</w:t>
            </w:r>
          </w:p>
        </w:tc>
        <w:tc>
          <w:tcPr>
            <w:tcW w:w="2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294</w:t>
            </w:r>
          </w:p>
        </w:tc>
      </w:tr>
      <w:tr>
        <w:trPr>
          <w:trHeight w:val="216"/>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EBITDA</w:t>
            </w:r>
          </w:p>
        </w:tc>
        <w:tc>
          <w:tcPr>
            <w:tcW w:w="2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(42)</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205</w:t>
            </w:r>
          </w:p>
        </w:tc>
      </w:tr>
      <w:tr>
        <w:trPr>
          <w:trHeight w:val="216"/>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Non-vehicle depreciation and amortization</w:t>
            </w:r>
          </w:p>
        </w:tc>
        <w:tc>
          <w:tcPr>
            <w:tcW w:w="2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96</w:t>
            </w:r>
          </w:p>
        </w:tc>
      </w:tr>
      <w:tr>
        <w:trPr>
          <w:trHeight w:val="216"/>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Segment assets exclusive of assets under vehicle</w:t>
            </w: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216"/>
        </w:trPr>
        <w:tc>
          <w:tcPr>
            <w:tcW w:w="4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programs</w:t>
            </w:r>
          </w:p>
        </w:tc>
        <w:tc>
          <w:tcPr>
            <w:tcW w:w="2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1,821</w:t>
            </w: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1,152</w:t>
            </w:r>
          </w:p>
        </w:tc>
        <w:tc>
          <w:tcPr>
            <w:tcW w:w="36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3,571</w:t>
            </w:r>
          </w:p>
        </w:tc>
      </w:tr>
      <w:tr>
        <w:trPr>
          <w:trHeight w:val="216"/>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Assets under vehicle programs</w:t>
            </w:r>
          </w:p>
        </w:tc>
        <w:tc>
          <w:tcPr>
            <w:tcW w:w="2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5,110</w:t>
            </w: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980</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6,522</w:t>
            </w:r>
          </w:p>
        </w:tc>
      </w:tr>
      <w:tr>
        <w:trPr>
          <w:trHeight w:val="228"/>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Capital expenditures (excluding vehicles)</w:t>
            </w:r>
          </w:p>
        </w:tc>
        <w:tc>
          <w:tcPr>
            <w:tcW w:w="2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5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w:t>
            </w:r>
          </w:p>
        </w:tc>
      </w:tr>
    </w:tbl>
    <w:p>
      <w:pPr>
        <w:spacing w:after="0" w:line="136" w:lineRule="exact"/>
        <w:rPr>
          <w:sz w:val="20"/>
          <w:szCs w:val="20"/>
          <w:color w:val="auto"/>
        </w:rPr>
      </w:pPr>
    </w:p>
    <w:p>
      <w:pPr>
        <w:ind w:left="800" w:hanging="454"/>
        <w:spacing w:after="0" w:line="231" w:lineRule="auto"/>
        <w:tabs>
          <w:tab w:leader="none" w:pos="800" w:val="left"/>
        </w:tabs>
        <w:numPr>
          <w:ilvl w:val="0"/>
          <w:numId w:val="7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Includes the results of operations of the Company’s investments, unallocated corporate overhead, the elimination of transactions between segments and an $18 million charge recorded in 2009 for an adverse litigation judgment against the Company for a breach-of-contract claim filed in 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219710</wp:posOffset>
            </wp:positionH>
            <wp:positionV relativeFrom="paragraph">
              <wp:posOffset>-297180</wp:posOffset>
            </wp:positionV>
            <wp:extent cx="72898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F-50</w:t>
      </w:r>
    </w:p>
    <w:p>
      <w:pPr>
        <w:sectPr>
          <w:pgSz w:w="11900" w:h="16838" w:orient="portrait"/>
          <w:cols w:equalWidth="0" w:num="1">
            <w:col w:w="11420"/>
          </w:cols>
          <w:pgMar w:left="240" w:top="455" w:right="239" w:bottom="1440" w:gutter="0" w:footer="0" w:header="0"/>
        </w:sectPr>
      </w:pPr>
    </w:p>
    <w:bookmarkStart w:id="111" w:name="page112"/>
    <w:bookmarkEnd w:id="11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tbl>
      <w:tblPr>
        <w:tblLayout w:type="fixed"/>
        <w:tblInd w:w="360" w:type="dxa"/>
        <w:tblCellMar>
          <w:top w:w="0" w:type="dxa"/>
          <w:left w:w="0" w:type="dxa"/>
          <w:bottom w:w="0" w:type="dxa"/>
          <w:right w:w="0" w:type="dxa"/>
        </w:tblCellMar>
      </w:tblPr>
      <w:tr>
        <w:trPr>
          <w:trHeight w:val="230"/>
        </w:trPr>
        <w:tc>
          <w:tcPr>
            <w:tcW w:w="4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Year Ended December 31, 2008</w:t>
            </w:r>
          </w:p>
        </w:tc>
        <w:tc>
          <w:tcPr>
            <w:tcW w:w="2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00" w:type="dxa"/>
            <w:vAlign w:val="bottom"/>
          </w:tcPr>
          <w:p>
            <w:pPr>
              <w:spacing w:after="0"/>
              <w:rPr>
                <w:sz w:val="20"/>
                <w:szCs w:val="20"/>
                <w:color w:val="auto"/>
              </w:rPr>
            </w:pPr>
          </w:p>
        </w:tc>
      </w:tr>
      <w:tr>
        <w:trPr>
          <w:trHeight w:val="404"/>
        </w:trPr>
        <w:tc>
          <w:tcPr>
            <w:tcW w:w="4260" w:type="dxa"/>
            <w:vAlign w:val="bottom"/>
          </w:tcPr>
          <w:p>
            <w:pPr>
              <w:spacing w:after="0"/>
              <w:rPr>
                <w:sz w:val="24"/>
                <w:szCs w:val="24"/>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Domestic</w:t>
            </w:r>
          </w:p>
        </w:tc>
        <w:tc>
          <w:tcPr>
            <w:tcW w:w="1620" w:type="dxa"/>
            <w:vAlign w:val="bottom"/>
            <w:gridSpan w:val="3"/>
          </w:tcPr>
          <w:p>
            <w:pPr>
              <w:ind w:left="600"/>
              <w:spacing w:after="0"/>
              <w:rPr>
                <w:sz w:val="20"/>
                <w:szCs w:val="20"/>
                <w:color w:val="auto"/>
              </w:rPr>
            </w:pPr>
            <w:r>
              <w:rPr>
                <w:rFonts w:ascii="Times New Roman" w:cs="Times New Roman" w:eastAsia="Times New Roman" w:hAnsi="Times New Roman"/>
                <w:sz w:val="18"/>
                <w:szCs w:val="18"/>
                <w:b w:val="1"/>
                <w:bCs w:val="1"/>
                <w:color w:val="auto"/>
                <w:w w:val="97"/>
              </w:rPr>
              <w:t>International</w:t>
            </w:r>
          </w:p>
        </w:tc>
        <w:tc>
          <w:tcPr>
            <w:tcW w:w="620" w:type="dxa"/>
            <w:vAlign w:val="bottom"/>
          </w:tcPr>
          <w:p>
            <w:pPr>
              <w:spacing w:after="0"/>
              <w:rPr>
                <w:sz w:val="24"/>
                <w:szCs w:val="24"/>
                <w:color w:val="auto"/>
              </w:rPr>
            </w:pPr>
          </w:p>
        </w:tc>
        <w:tc>
          <w:tcPr>
            <w:tcW w:w="8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w w:val="91"/>
              </w:rPr>
              <w:t>Truck</w:t>
            </w: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w w:val="97"/>
              </w:rPr>
              <w:t>Corporate</w:t>
            </w: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230"/>
        </w:trPr>
        <w:tc>
          <w:tcPr>
            <w:tcW w:w="4260" w:type="dxa"/>
            <w:vAlign w:val="bottom"/>
          </w:tcPr>
          <w:p>
            <w:pPr>
              <w:spacing w:after="0"/>
              <w:rPr>
                <w:sz w:val="20"/>
                <w:szCs w:val="20"/>
                <w:color w:val="auto"/>
              </w:rPr>
            </w:pPr>
          </w:p>
        </w:tc>
        <w:tc>
          <w:tcPr>
            <w:tcW w:w="8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w w:val="95"/>
              </w:rPr>
              <w:t>Car Rental</w:t>
            </w:r>
          </w:p>
        </w:tc>
        <w:tc>
          <w:tcPr>
            <w:tcW w:w="620" w:type="dxa"/>
            <w:vAlign w:val="bottom"/>
          </w:tcPr>
          <w:p>
            <w:pPr>
              <w:spacing w:after="0"/>
              <w:rPr>
                <w:sz w:val="20"/>
                <w:szCs w:val="20"/>
                <w:color w:val="auto"/>
              </w:rPr>
            </w:pPr>
          </w:p>
        </w:tc>
        <w:tc>
          <w:tcPr>
            <w:tcW w:w="1000" w:type="dxa"/>
            <w:vAlign w:val="bottom"/>
            <w:gridSpan w:val="2"/>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Car Rental</w:t>
            </w:r>
          </w:p>
        </w:tc>
        <w:tc>
          <w:tcPr>
            <w:tcW w:w="150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Rental</w:t>
            </w:r>
          </w:p>
        </w:tc>
        <w:tc>
          <w:tcPr>
            <w:tcW w:w="1660" w:type="dxa"/>
            <w:vAlign w:val="bottom"/>
            <w:gridSpan w:val="4"/>
          </w:tcPr>
          <w:p>
            <w:pPr>
              <w:ind w:left="320"/>
              <w:spacing w:after="0"/>
              <w:rPr>
                <w:sz w:val="20"/>
                <w:szCs w:val="20"/>
                <w:color w:val="auto"/>
              </w:rPr>
            </w:pPr>
            <w:r>
              <w:rPr>
                <w:rFonts w:ascii="Times New Roman" w:cs="Times New Roman" w:eastAsia="Times New Roman" w:hAnsi="Times New Roman"/>
                <w:sz w:val="18"/>
                <w:szCs w:val="18"/>
                <w:b w:val="1"/>
                <w:bCs w:val="1"/>
                <w:color w:val="auto"/>
              </w:rPr>
              <w:t xml:space="preserve">and Other </w:t>
            </w:r>
            <w:r>
              <w:rPr>
                <w:rFonts w:ascii="Times New Roman" w:cs="Times New Roman" w:eastAsia="Times New Roman" w:hAnsi="Times New Roman"/>
                <w:sz w:val="11"/>
                <w:szCs w:val="11"/>
                <w:b w:val="1"/>
                <w:bCs w:val="1"/>
                <w:color w:val="auto"/>
              </w:rPr>
              <w:t>(a)</w:t>
            </w:r>
          </w:p>
        </w:tc>
        <w:tc>
          <w:tcPr>
            <w:tcW w:w="34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197"/>
        </w:trPr>
        <w:tc>
          <w:tcPr>
            <w:tcW w:w="4260" w:type="dxa"/>
            <w:vAlign w:val="bottom"/>
          </w:tcPr>
          <w:p>
            <w:pPr>
              <w:spacing w:after="0" w:line="197" w:lineRule="exact"/>
              <w:rPr>
                <w:sz w:val="20"/>
                <w:szCs w:val="20"/>
                <w:color w:val="auto"/>
              </w:rPr>
            </w:pPr>
            <w:r>
              <w:rPr>
                <w:rFonts w:ascii="Times New Roman" w:cs="Times New Roman" w:eastAsia="Times New Roman" w:hAnsi="Times New Roman"/>
                <w:sz w:val="18"/>
                <w:szCs w:val="18"/>
                <w:color w:val="auto"/>
              </w:rPr>
              <w:t>Net revenues</w:t>
            </w:r>
          </w:p>
        </w:tc>
        <w:tc>
          <w:tcPr>
            <w:tcW w:w="260" w:type="dxa"/>
            <w:vAlign w:val="bottom"/>
            <w:tcBorders>
              <w:top w:val="single" w:sz="8" w:color="auto"/>
            </w:tcBorders>
          </w:tcPr>
          <w:p>
            <w:pPr>
              <w:spacing w:after="0" w:line="197" w:lineRule="exact"/>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rPr>
              <w:t>4,695</w:t>
            </w:r>
          </w:p>
        </w:tc>
        <w:tc>
          <w:tcPr>
            <w:tcW w:w="620" w:type="dxa"/>
            <w:vAlign w:val="bottom"/>
          </w:tcPr>
          <w:p>
            <w:pPr>
              <w:spacing w:after="0"/>
              <w:rPr>
                <w:sz w:val="17"/>
                <w:szCs w:val="17"/>
                <w:color w:val="auto"/>
              </w:rPr>
            </w:pPr>
          </w:p>
        </w:tc>
        <w:tc>
          <w:tcPr>
            <w:tcW w:w="400" w:type="dxa"/>
            <w:vAlign w:val="bottom"/>
            <w:tcBorders>
              <w:top w:val="single" w:sz="8" w:color="auto"/>
            </w:tcBorders>
          </w:tcPr>
          <w:p>
            <w:pPr>
              <w:spacing w:after="0" w:line="197" w:lineRule="exact"/>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rPr>
              <w:t>904</w:t>
            </w:r>
          </w:p>
        </w:tc>
        <w:tc>
          <w:tcPr>
            <w:tcW w:w="620" w:type="dxa"/>
            <w:vAlign w:val="bottom"/>
          </w:tcPr>
          <w:p>
            <w:pPr>
              <w:spacing w:after="0"/>
              <w:rPr>
                <w:sz w:val="17"/>
                <w:szCs w:val="17"/>
                <w:color w:val="auto"/>
              </w:rPr>
            </w:pPr>
          </w:p>
        </w:tc>
        <w:tc>
          <w:tcPr>
            <w:tcW w:w="500" w:type="dxa"/>
            <w:vAlign w:val="bottom"/>
            <w:tcBorders>
              <w:top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rPr>
              <w:t>$  382</w:t>
            </w: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top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rPr>
              <w:t>3</w:t>
            </w:r>
          </w:p>
        </w:tc>
        <w:tc>
          <w:tcPr>
            <w:tcW w:w="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00" w:type="dxa"/>
            <w:vAlign w:val="bottom"/>
            <w:tcBorders>
              <w:top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w w:val="96"/>
              </w:rPr>
              <w:t>$5,984</w:t>
            </w:r>
          </w:p>
        </w:tc>
      </w:tr>
      <w:tr>
        <w:trPr>
          <w:trHeight w:val="216"/>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Vehicle depreciation and lease charges, net</w:t>
            </w:r>
          </w:p>
        </w:tc>
        <w:tc>
          <w:tcPr>
            <w:tcW w:w="2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1,403</w:t>
            </w:r>
          </w:p>
        </w:tc>
        <w:tc>
          <w:tcPr>
            <w:tcW w:w="6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1,697</w:t>
            </w:r>
          </w:p>
        </w:tc>
      </w:tr>
      <w:tr>
        <w:trPr>
          <w:trHeight w:val="216"/>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Vehicle interest, net</w:t>
            </w:r>
          </w:p>
        </w:tc>
        <w:tc>
          <w:tcPr>
            <w:tcW w:w="2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6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321</w:t>
            </w:r>
          </w:p>
        </w:tc>
      </w:tr>
      <w:tr>
        <w:trPr>
          <w:trHeight w:val="216"/>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EBITDA</w:t>
            </w:r>
          </w:p>
        </w:tc>
        <w:tc>
          <w:tcPr>
            <w:tcW w:w="2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6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50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(4)</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(13)</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136</w:t>
            </w:r>
          </w:p>
        </w:tc>
      </w:tr>
      <w:tr>
        <w:trPr>
          <w:trHeight w:val="216"/>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Non-vehicle depreciation and amortization</w:t>
            </w:r>
          </w:p>
        </w:tc>
        <w:tc>
          <w:tcPr>
            <w:tcW w:w="2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6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216"/>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Segment assets exclusive of assets under vehicle</w:t>
            </w: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216"/>
        </w:trPr>
        <w:tc>
          <w:tcPr>
            <w:tcW w:w="4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programs</w:t>
            </w:r>
          </w:p>
        </w:tc>
        <w:tc>
          <w:tcPr>
            <w:tcW w:w="2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1,928</w:t>
            </w:r>
          </w:p>
        </w:tc>
        <w:tc>
          <w:tcPr>
            <w:tcW w:w="6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973</w:t>
            </w:r>
          </w:p>
        </w:tc>
        <w:tc>
          <w:tcPr>
            <w:tcW w:w="38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3,492</w:t>
            </w:r>
          </w:p>
        </w:tc>
      </w:tr>
      <w:tr>
        <w:trPr>
          <w:trHeight w:val="216"/>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Assets under vehicle programs</w:t>
            </w:r>
          </w:p>
        </w:tc>
        <w:tc>
          <w:tcPr>
            <w:tcW w:w="2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6,538</w:t>
            </w:r>
          </w:p>
        </w:tc>
        <w:tc>
          <w:tcPr>
            <w:tcW w:w="6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508</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7,826</w:t>
            </w:r>
          </w:p>
        </w:tc>
      </w:tr>
      <w:tr>
        <w:trPr>
          <w:trHeight w:val="228"/>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Capital expenditures (excluding vehicles)</w:t>
            </w:r>
          </w:p>
        </w:tc>
        <w:tc>
          <w:tcPr>
            <w:tcW w:w="2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6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83</w:t>
            </w:r>
          </w:p>
        </w:tc>
      </w:tr>
    </w:tbl>
    <w:p>
      <w:pPr>
        <w:spacing w:after="0" w:line="123" w:lineRule="exact"/>
        <w:rPr>
          <w:sz w:val="20"/>
          <w:szCs w:val="20"/>
          <w:color w:val="auto"/>
        </w:rPr>
      </w:pPr>
    </w:p>
    <w:p>
      <w:pPr>
        <w:ind w:left="800" w:hanging="454"/>
        <w:spacing w:after="0"/>
        <w:tabs>
          <w:tab w:leader="none" w:pos="800" w:val="left"/>
        </w:tabs>
        <w:numPr>
          <w:ilvl w:val="0"/>
          <w:numId w:val="77"/>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7"/>
          <w:szCs w:val="17"/>
          <w:color w:val="auto"/>
        </w:rPr>
        <w:t>Includes the results of operations of the Company’s investments, unallocated corporate overhead and the elimination of transactions between segments.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219710</wp:posOffset>
            </wp:positionH>
            <wp:positionV relativeFrom="paragraph">
              <wp:posOffset>-161290</wp:posOffset>
            </wp:positionV>
            <wp:extent cx="72898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0" w:lineRule="exact"/>
        <w:rPr>
          <w:sz w:val="20"/>
          <w:szCs w:val="20"/>
          <w:color w:val="auto"/>
        </w:rPr>
      </w:pPr>
    </w:p>
    <w:p>
      <w:pPr>
        <w:ind w:left="360" w:right="460"/>
        <w:spacing w:after="0" w:line="275" w:lineRule="auto"/>
        <w:rPr>
          <w:sz w:val="20"/>
          <w:szCs w:val="20"/>
          <w:color w:val="auto"/>
        </w:rPr>
      </w:pPr>
      <w:r>
        <w:rPr>
          <w:rFonts w:ascii="Times New Roman" w:cs="Times New Roman" w:eastAsia="Times New Roman" w:hAnsi="Times New Roman"/>
          <w:sz w:val="18"/>
          <w:szCs w:val="18"/>
          <w:color w:val="auto"/>
        </w:rPr>
        <w:t>In 2008, a $1,262 million charge was recorded for the impairment of goodwill, intangible assets and investments (see Note 2—Summary of Significant Accounting Policies).</w:t>
      </w:r>
    </w:p>
    <w:p>
      <w:pPr>
        <w:spacing w:after="0" w:line="118" w:lineRule="exact"/>
        <w:rPr>
          <w:sz w:val="20"/>
          <w:szCs w:val="20"/>
          <w:color w:val="auto"/>
        </w:rPr>
      </w:pPr>
    </w:p>
    <w:tbl>
      <w:tblPr>
        <w:tblLayout w:type="fixed"/>
        <w:tblInd w:w="360" w:type="dxa"/>
        <w:tblCellMar>
          <w:top w:w="0" w:type="dxa"/>
          <w:left w:w="0" w:type="dxa"/>
          <w:bottom w:w="0" w:type="dxa"/>
          <w:right w:w="0" w:type="dxa"/>
        </w:tblCellMar>
      </w:tblPr>
      <w:tr>
        <w:trPr>
          <w:trHeight w:val="230"/>
        </w:trPr>
        <w:tc>
          <w:tcPr>
            <w:tcW w:w="4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Year Ended December 31, 2007</w:t>
            </w:r>
          </w:p>
        </w:tc>
        <w:tc>
          <w:tcPr>
            <w:tcW w:w="2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00" w:type="dxa"/>
            <w:vAlign w:val="bottom"/>
          </w:tcPr>
          <w:p>
            <w:pPr>
              <w:spacing w:after="0"/>
              <w:rPr>
                <w:sz w:val="20"/>
                <w:szCs w:val="20"/>
                <w:color w:val="auto"/>
              </w:rPr>
            </w:pPr>
          </w:p>
        </w:tc>
      </w:tr>
      <w:tr>
        <w:trPr>
          <w:trHeight w:val="404"/>
        </w:trPr>
        <w:tc>
          <w:tcPr>
            <w:tcW w:w="4660" w:type="dxa"/>
            <w:vAlign w:val="bottom"/>
          </w:tcPr>
          <w:p>
            <w:pPr>
              <w:spacing w:after="0"/>
              <w:rPr>
                <w:sz w:val="24"/>
                <w:szCs w:val="24"/>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Domestic</w:t>
            </w:r>
          </w:p>
        </w:tc>
        <w:tc>
          <w:tcPr>
            <w:tcW w:w="1560" w:type="dxa"/>
            <w:vAlign w:val="bottom"/>
            <w:gridSpan w:val="3"/>
          </w:tcPr>
          <w:p>
            <w:pPr>
              <w:ind w:left="560"/>
              <w:spacing w:after="0"/>
              <w:rPr>
                <w:sz w:val="20"/>
                <w:szCs w:val="20"/>
                <w:color w:val="auto"/>
              </w:rPr>
            </w:pPr>
            <w:r>
              <w:rPr>
                <w:rFonts w:ascii="Times New Roman" w:cs="Times New Roman" w:eastAsia="Times New Roman" w:hAnsi="Times New Roman"/>
                <w:sz w:val="18"/>
                <w:szCs w:val="18"/>
                <w:b w:val="1"/>
                <w:bCs w:val="1"/>
                <w:color w:val="auto"/>
                <w:w w:val="96"/>
              </w:rPr>
              <w:t>International</w:t>
            </w:r>
          </w:p>
        </w:tc>
        <w:tc>
          <w:tcPr>
            <w:tcW w:w="56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5"/>
              </w:rPr>
              <w:t>Truck</w:t>
            </w: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w w:val="94"/>
              </w:rPr>
              <w:t>Corporate</w:t>
            </w:r>
          </w:p>
        </w:tc>
        <w:tc>
          <w:tcPr>
            <w:tcW w:w="56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230"/>
        </w:trPr>
        <w:tc>
          <w:tcPr>
            <w:tcW w:w="4660" w:type="dxa"/>
            <w:vAlign w:val="bottom"/>
          </w:tcPr>
          <w:p>
            <w:pPr>
              <w:spacing w:after="0"/>
              <w:rPr>
                <w:sz w:val="20"/>
                <w:szCs w:val="20"/>
                <w:color w:val="auto"/>
              </w:rPr>
            </w:pPr>
          </w:p>
        </w:tc>
        <w:tc>
          <w:tcPr>
            <w:tcW w:w="8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w w:val="95"/>
              </w:rPr>
              <w:t>Car Rental</w:t>
            </w:r>
          </w:p>
        </w:tc>
        <w:tc>
          <w:tcPr>
            <w:tcW w:w="56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Car Rental</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Rental</w:t>
            </w:r>
          </w:p>
        </w:tc>
        <w:tc>
          <w:tcPr>
            <w:tcW w:w="1540" w:type="dxa"/>
            <w:vAlign w:val="bottom"/>
            <w:gridSpan w:val="3"/>
          </w:tcPr>
          <w:p>
            <w:pPr>
              <w:ind w:left="580"/>
              <w:spacing w:after="0"/>
              <w:rPr>
                <w:sz w:val="20"/>
                <w:szCs w:val="20"/>
                <w:color w:val="auto"/>
              </w:rPr>
            </w:pPr>
            <w:r>
              <w:rPr>
                <w:rFonts w:ascii="Times New Roman" w:cs="Times New Roman" w:eastAsia="Times New Roman" w:hAnsi="Times New Roman"/>
                <w:sz w:val="18"/>
                <w:szCs w:val="18"/>
                <w:b w:val="1"/>
                <w:bCs w:val="1"/>
                <w:color w:val="auto"/>
                <w:w w:val="97"/>
              </w:rPr>
              <w:t xml:space="preserve">and Other </w:t>
            </w:r>
            <w:r>
              <w:rPr>
                <w:rFonts w:ascii="Times New Roman" w:cs="Times New Roman" w:eastAsia="Times New Roman" w:hAnsi="Times New Roman"/>
                <w:sz w:val="11"/>
                <w:szCs w:val="11"/>
                <w:b w:val="1"/>
                <w:bCs w:val="1"/>
                <w:color w:val="auto"/>
                <w:w w:val="97"/>
              </w:rPr>
              <w:t>(a)</w:t>
            </w:r>
          </w:p>
        </w:tc>
        <w:tc>
          <w:tcPr>
            <w:tcW w:w="56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197"/>
        </w:trPr>
        <w:tc>
          <w:tcPr>
            <w:tcW w:w="4660" w:type="dxa"/>
            <w:vAlign w:val="bottom"/>
          </w:tcPr>
          <w:p>
            <w:pPr>
              <w:spacing w:after="0" w:line="197" w:lineRule="exact"/>
              <w:rPr>
                <w:sz w:val="20"/>
                <w:szCs w:val="20"/>
                <w:color w:val="auto"/>
              </w:rPr>
            </w:pPr>
            <w:r>
              <w:rPr>
                <w:rFonts w:ascii="Times New Roman" w:cs="Times New Roman" w:eastAsia="Times New Roman" w:hAnsi="Times New Roman"/>
                <w:sz w:val="18"/>
                <w:szCs w:val="18"/>
                <w:color w:val="auto"/>
              </w:rPr>
              <w:t>Net revenues</w:t>
            </w:r>
          </w:p>
        </w:tc>
        <w:tc>
          <w:tcPr>
            <w:tcW w:w="260" w:type="dxa"/>
            <w:vAlign w:val="bottom"/>
            <w:tcBorders>
              <w:top w:val="single" w:sz="8" w:color="auto"/>
            </w:tcBorders>
          </w:tcPr>
          <w:p>
            <w:pPr>
              <w:spacing w:after="0" w:line="197" w:lineRule="exact"/>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rPr>
              <w:t>4,679</w:t>
            </w:r>
          </w:p>
        </w:tc>
        <w:tc>
          <w:tcPr>
            <w:tcW w:w="560" w:type="dxa"/>
            <w:vAlign w:val="bottom"/>
          </w:tcPr>
          <w:p>
            <w:pPr>
              <w:spacing w:after="0"/>
              <w:rPr>
                <w:sz w:val="17"/>
                <w:szCs w:val="17"/>
                <w:color w:val="auto"/>
              </w:rPr>
            </w:pPr>
          </w:p>
        </w:tc>
        <w:tc>
          <w:tcPr>
            <w:tcW w:w="340" w:type="dxa"/>
            <w:vAlign w:val="bottom"/>
            <w:tcBorders>
              <w:top w:val="single" w:sz="8" w:color="auto"/>
            </w:tcBorders>
          </w:tcPr>
          <w:p>
            <w:pPr>
              <w:spacing w:after="0" w:line="197" w:lineRule="exact"/>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rPr>
              <w:t>873</w:t>
            </w:r>
          </w:p>
        </w:tc>
        <w:tc>
          <w:tcPr>
            <w:tcW w:w="560" w:type="dxa"/>
            <w:vAlign w:val="bottom"/>
          </w:tcPr>
          <w:p>
            <w:pPr>
              <w:spacing w:after="0"/>
              <w:rPr>
                <w:sz w:val="17"/>
                <w:szCs w:val="17"/>
                <w:color w:val="auto"/>
              </w:rPr>
            </w:pPr>
          </w:p>
        </w:tc>
        <w:tc>
          <w:tcPr>
            <w:tcW w:w="500" w:type="dxa"/>
            <w:vAlign w:val="bottom"/>
            <w:tcBorders>
              <w:top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rPr>
              <w:t>$  416</w:t>
            </w:r>
          </w:p>
        </w:tc>
        <w:tc>
          <w:tcPr>
            <w:tcW w:w="580" w:type="dxa"/>
            <w:vAlign w:val="bottom"/>
          </w:tcPr>
          <w:p>
            <w:pPr>
              <w:spacing w:after="0"/>
              <w:rPr>
                <w:sz w:val="17"/>
                <w:szCs w:val="17"/>
                <w:color w:val="auto"/>
              </w:rPr>
            </w:pPr>
          </w:p>
        </w:tc>
        <w:tc>
          <w:tcPr>
            <w:tcW w:w="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top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rPr>
              <w:t>18</w:t>
            </w:r>
          </w:p>
        </w:tc>
        <w:tc>
          <w:tcPr>
            <w:tcW w:w="560" w:type="dxa"/>
            <w:vAlign w:val="bottom"/>
          </w:tcPr>
          <w:p>
            <w:pPr>
              <w:spacing w:after="0"/>
              <w:rPr>
                <w:sz w:val="17"/>
                <w:szCs w:val="17"/>
                <w:color w:val="auto"/>
              </w:rPr>
            </w:pPr>
          </w:p>
        </w:tc>
        <w:tc>
          <w:tcPr>
            <w:tcW w:w="500" w:type="dxa"/>
            <w:vAlign w:val="bottom"/>
            <w:tcBorders>
              <w:top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w w:val="96"/>
              </w:rPr>
              <w:t>$5,986</w:t>
            </w: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Vehicle depreciation and lease charges, net</w:t>
            </w:r>
          </w:p>
        </w:tc>
        <w:tc>
          <w:tcPr>
            <w:tcW w:w="2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1,270</w:t>
            </w: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1,571</w:t>
            </w: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Vehicle interest, net</w:t>
            </w:r>
          </w:p>
        </w:tc>
        <w:tc>
          <w:tcPr>
            <w:tcW w:w="2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315</w:t>
            </w: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EBITDA</w:t>
            </w:r>
          </w:p>
        </w:tc>
        <w:tc>
          <w:tcPr>
            <w:tcW w:w="2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414</w:t>
            </w: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Non-vehicle depreciation and amortization</w:t>
            </w:r>
          </w:p>
        </w:tc>
        <w:tc>
          <w:tcPr>
            <w:tcW w:w="2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Segment assets exclusive of assets under vehicle</w:t>
            </w: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216"/>
        </w:trPr>
        <w:tc>
          <w:tcPr>
            <w:tcW w:w="4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programs</w:t>
            </w:r>
          </w:p>
        </w:tc>
        <w:tc>
          <w:tcPr>
            <w:tcW w:w="2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2,528</w:t>
            </w: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1,056</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4,493</w:t>
            </w: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Assets under vehicle programs</w:t>
            </w:r>
          </w:p>
        </w:tc>
        <w:tc>
          <w:tcPr>
            <w:tcW w:w="2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6,421</w:t>
            </w: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1,043</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517</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7,981</w:t>
            </w:r>
          </w:p>
        </w:tc>
      </w:tr>
      <w:tr>
        <w:trPr>
          <w:trHeight w:val="228"/>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Capital expenditures (excluding vehicles)</w:t>
            </w:r>
          </w:p>
        </w:tc>
        <w:tc>
          <w:tcPr>
            <w:tcW w:w="2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94</w:t>
            </w:r>
          </w:p>
        </w:tc>
      </w:tr>
    </w:tbl>
    <w:p>
      <w:pPr>
        <w:spacing w:after="0" w:line="15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In 2007, a $1,195 million charge was recorded for the impairment of goodwill (see Note 2—Summary of Significant Accounting Policies).</w:t>
      </w:r>
    </w:p>
    <w:p>
      <w:pPr>
        <w:spacing w:after="0" w:line="5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1"/>
          <w:szCs w:val="11"/>
          <w:color w:val="auto"/>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219710</wp:posOffset>
            </wp:positionH>
            <wp:positionV relativeFrom="paragraph">
              <wp:posOffset>-28575</wp:posOffset>
            </wp:positionV>
            <wp:extent cx="72898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ind w:left="800"/>
        <w:spacing w:after="0"/>
        <w:rPr>
          <w:sz w:val="20"/>
          <w:szCs w:val="20"/>
          <w:color w:val="auto"/>
        </w:rPr>
      </w:pPr>
      <w:r>
        <w:rPr>
          <w:rFonts w:ascii="Times New Roman" w:cs="Times New Roman" w:eastAsia="Times New Roman" w:hAnsi="Times New Roman"/>
          <w:sz w:val="16"/>
          <w:szCs w:val="16"/>
          <w:color w:val="auto"/>
        </w:rPr>
        <w:t>Includes the results of operations of the Company’s investments, unallocated corporate overhead and the elimination of transactions between segments.</w:t>
      </w:r>
    </w:p>
    <w:p>
      <w:pPr>
        <w:spacing w:after="0" w:line="17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Provided below is a reconciliation of EBITDA to loss before income taxes.</w:t>
      </w:r>
    </w:p>
    <w:p>
      <w:pPr>
        <w:spacing w:after="0" w:line="210" w:lineRule="exact"/>
        <w:rPr>
          <w:sz w:val="20"/>
          <w:szCs w:val="20"/>
          <w:color w:val="auto"/>
        </w:rPr>
      </w:pPr>
    </w:p>
    <w:tbl>
      <w:tblPr>
        <w:tblLayout w:type="fixed"/>
        <w:tblInd w:w="360" w:type="dxa"/>
        <w:tblCellMar>
          <w:top w:w="0" w:type="dxa"/>
          <w:left w:w="0" w:type="dxa"/>
          <w:bottom w:w="0" w:type="dxa"/>
          <w:right w:w="0" w:type="dxa"/>
        </w:tblCellMar>
      </w:tblPr>
      <w:tr>
        <w:trPr>
          <w:trHeight w:val="230"/>
        </w:trPr>
        <w:tc>
          <w:tcPr>
            <w:tcW w:w="468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gridSpan w:val="4"/>
          </w:tcPr>
          <w:p>
            <w:pPr>
              <w:jc w:val="right"/>
              <w:ind w:right="202"/>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0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r>
      <w:tr>
        <w:trPr>
          <w:trHeight w:val="212"/>
        </w:trPr>
        <w:tc>
          <w:tcPr>
            <w:tcW w:w="468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4"/>
              </w:rPr>
              <w:t>2009</w:t>
            </w: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w w:val="99"/>
              </w:rPr>
              <w:t>2008</w:t>
            </w:r>
          </w:p>
        </w:tc>
        <w:tc>
          <w:tcPr>
            <w:tcW w:w="9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w w:val="94"/>
              </w:rPr>
              <w:t>2007</w:t>
            </w:r>
          </w:p>
        </w:tc>
        <w:tc>
          <w:tcPr>
            <w:tcW w:w="40" w:type="dxa"/>
            <w:vAlign w:val="bottom"/>
          </w:tcPr>
          <w:p>
            <w:pPr>
              <w:spacing w:after="0"/>
              <w:rPr>
                <w:sz w:val="18"/>
                <w:szCs w:val="18"/>
                <w:color w:val="auto"/>
              </w:rPr>
            </w:pPr>
          </w:p>
        </w:tc>
      </w:tr>
      <w:tr>
        <w:trPr>
          <w:trHeight w:val="195"/>
        </w:trPr>
        <w:tc>
          <w:tcPr>
            <w:tcW w:w="468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EBITDA</w:t>
            </w:r>
          </w:p>
        </w:tc>
        <w:tc>
          <w:tcPr>
            <w:tcW w:w="2340" w:type="dxa"/>
            <w:vAlign w:val="bottom"/>
          </w:tcPr>
          <w:p>
            <w:pPr>
              <w:spacing w:after="0"/>
              <w:rPr>
                <w:sz w:val="16"/>
                <w:szCs w:val="16"/>
                <w:color w:val="auto"/>
              </w:rPr>
            </w:pPr>
          </w:p>
        </w:tc>
        <w:tc>
          <w:tcPr>
            <w:tcW w:w="40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w w:val="88"/>
              </w:rPr>
              <w:t>$ 205</w:t>
            </w:r>
          </w:p>
        </w:tc>
        <w:tc>
          <w:tcPr>
            <w:tcW w:w="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136</w:t>
            </w:r>
          </w:p>
        </w:tc>
        <w:tc>
          <w:tcPr>
            <w:tcW w:w="98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414</w:t>
            </w:r>
          </w:p>
        </w:tc>
        <w:tc>
          <w:tcPr>
            <w:tcW w:w="40" w:type="dxa"/>
            <w:vAlign w:val="bottom"/>
          </w:tcPr>
          <w:p>
            <w:pPr>
              <w:spacing w:after="0"/>
              <w:rPr>
                <w:sz w:val="16"/>
                <w:szCs w:val="16"/>
                <w:color w:val="auto"/>
              </w:rPr>
            </w:pPr>
          </w:p>
        </w:tc>
      </w:tr>
      <w:tr>
        <w:trPr>
          <w:trHeight w:val="216"/>
        </w:trPr>
        <w:tc>
          <w:tcPr>
            <w:tcW w:w="4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Less: Non-vehicle related depreciation and amortization</w:t>
            </w:r>
          </w:p>
        </w:tc>
        <w:tc>
          <w:tcPr>
            <w:tcW w:w="2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40" w:type="dxa"/>
            <w:vAlign w:val="bottom"/>
          </w:tcPr>
          <w:p>
            <w:pPr>
              <w:spacing w:after="0"/>
              <w:rPr>
                <w:sz w:val="18"/>
                <w:szCs w:val="18"/>
                <w:color w:val="auto"/>
              </w:rPr>
            </w:pPr>
          </w:p>
        </w:tc>
      </w:tr>
      <w:tr>
        <w:trPr>
          <w:trHeight w:val="216"/>
        </w:trPr>
        <w:tc>
          <w:tcPr>
            <w:tcW w:w="46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Interest expense related to corporate debt, net</w:t>
            </w:r>
          </w:p>
        </w:tc>
        <w:tc>
          <w:tcPr>
            <w:tcW w:w="2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40" w:type="dxa"/>
            <w:vAlign w:val="bottom"/>
          </w:tcPr>
          <w:p>
            <w:pPr>
              <w:spacing w:after="0"/>
              <w:rPr>
                <w:sz w:val="18"/>
                <w:szCs w:val="18"/>
                <w:color w:val="auto"/>
              </w:rPr>
            </w:pPr>
          </w:p>
        </w:tc>
      </w:tr>
      <w:tr>
        <w:trPr>
          <w:trHeight w:val="228"/>
        </w:trPr>
        <w:tc>
          <w:tcPr>
            <w:tcW w:w="46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Impairment</w:t>
            </w:r>
          </w:p>
        </w:tc>
        <w:tc>
          <w:tcPr>
            <w:tcW w:w="2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1,262</w:t>
            </w: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1,195</w:t>
            </w:r>
          </w:p>
        </w:tc>
        <w:tc>
          <w:tcPr>
            <w:tcW w:w="40" w:type="dxa"/>
            <w:vAlign w:val="bottom"/>
          </w:tcPr>
          <w:p>
            <w:pPr>
              <w:spacing w:after="0"/>
              <w:rPr>
                <w:sz w:val="19"/>
                <w:szCs w:val="19"/>
                <w:color w:val="auto"/>
              </w:rPr>
            </w:pPr>
          </w:p>
        </w:tc>
      </w:tr>
      <w:tr>
        <w:trPr>
          <w:trHeight w:val="225"/>
        </w:trPr>
        <w:tc>
          <w:tcPr>
            <w:tcW w:w="4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 before income taxes</w:t>
            </w:r>
          </w:p>
        </w:tc>
        <w:tc>
          <w:tcPr>
            <w:tcW w:w="234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 (77</w:t>
            </w:r>
          </w:p>
        </w:tc>
        <w:tc>
          <w:tcPr>
            <w:tcW w:w="240" w:type="dxa"/>
            <w:vAlign w:val="bottom"/>
          </w:tcPr>
          <w:p>
            <w:pPr>
              <w:jc w:val="right"/>
              <w:ind w:right="162"/>
              <w:spacing w:after="0"/>
              <w:rPr>
                <w:sz w:val="20"/>
                <w:szCs w:val="20"/>
                <w:color w:val="auto"/>
              </w:rPr>
            </w:pPr>
            <w:r>
              <w:rPr>
                <w:rFonts w:ascii="Times New Roman" w:cs="Times New Roman" w:eastAsia="Times New Roman" w:hAnsi="Times New Roman"/>
                <w:sz w:val="8"/>
                <w:szCs w:val="8"/>
                <w:color w:val="auto"/>
                <w:w w:val="73"/>
              </w:rPr>
              <w:t>)</w:t>
            </w:r>
          </w:p>
        </w:tc>
        <w:tc>
          <w:tcPr>
            <w:tcW w:w="7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(1,343</w:t>
            </w:r>
          </w:p>
        </w:tc>
        <w:tc>
          <w:tcPr>
            <w:tcW w:w="980" w:type="dxa"/>
            <w:vAlign w:val="bottom"/>
          </w:tcPr>
          <w:p>
            <w:pPr>
              <w:jc w:val="right"/>
              <w:ind w:right="902"/>
              <w:spacing w:after="0"/>
              <w:rPr>
                <w:sz w:val="20"/>
                <w:szCs w:val="20"/>
                <w:color w:val="auto"/>
              </w:rPr>
            </w:pPr>
            <w:r>
              <w:rPr>
                <w:rFonts w:ascii="Times New Roman" w:cs="Times New Roman" w:eastAsia="Times New Roman" w:hAnsi="Times New Roman"/>
                <w:sz w:val="8"/>
                <w:szCs w:val="8"/>
                <w:color w:val="auto"/>
                <w:w w:val="73"/>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(992</w:t>
            </w:r>
          </w:p>
        </w:tc>
        <w:tc>
          <w:tcPr>
            <w:tcW w:w="40" w:type="dxa"/>
            <w:vAlign w:val="bottom"/>
          </w:tcPr>
          <w:p>
            <w:pPr>
              <w:jc w:val="right"/>
              <w:spacing w:after="0"/>
              <w:rPr>
                <w:sz w:val="20"/>
                <w:szCs w:val="20"/>
                <w:color w:val="auto"/>
              </w:rPr>
            </w:pPr>
            <w:r>
              <w:rPr>
                <w:rFonts w:ascii="Times New Roman" w:cs="Times New Roman" w:eastAsia="Times New Roman" w:hAnsi="Times New Roman"/>
                <w:sz w:val="8"/>
                <w:szCs w:val="8"/>
                <w:color w:val="auto"/>
                <w:w w:val="73"/>
              </w:rPr>
              <w:t>)</w:t>
            </w:r>
          </w:p>
        </w:tc>
      </w:tr>
      <w:tr>
        <w:trPr>
          <w:trHeight w:val="20"/>
        </w:trPr>
        <w:tc>
          <w:tcPr>
            <w:tcW w:w="468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57"/>
        </w:trPr>
        <w:tc>
          <w:tcPr>
            <w:tcW w:w="4680" w:type="dxa"/>
            <w:vAlign w:val="bottom"/>
          </w:tcPr>
          <w:p>
            <w:pPr>
              <w:spacing w:after="0"/>
              <w:rPr>
                <w:sz w:val="24"/>
                <w:szCs w:val="24"/>
                <w:color w:val="auto"/>
              </w:rPr>
            </w:pPr>
          </w:p>
        </w:tc>
        <w:tc>
          <w:tcPr>
            <w:tcW w:w="2980" w:type="dxa"/>
            <w:vAlign w:val="bottom"/>
            <w:gridSpan w:val="3"/>
          </w:tcPr>
          <w:p>
            <w:pPr>
              <w:jc w:val="right"/>
              <w:ind w:right="2102"/>
              <w:spacing w:after="0"/>
              <w:rPr>
                <w:sz w:val="20"/>
                <w:szCs w:val="20"/>
                <w:color w:val="auto"/>
              </w:rPr>
            </w:pPr>
            <w:r>
              <w:rPr>
                <w:rFonts w:ascii="Times New Roman" w:cs="Times New Roman" w:eastAsia="Times New Roman" w:hAnsi="Times New Roman"/>
                <w:sz w:val="18"/>
                <w:szCs w:val="18"/>
                <w:color w:val="auto"/>
              </w:rPr>
              <w:t>F-51</w:t>
            </w: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1420"/>
          </w:cols>
          <w:pgMar w:left="240" w:top="455" w:right="239" w:bottom="1440" w:gutter="0" w:footer="0" w:header="0"/>
        </w:sectPr>
      </w:pPr>
    </w:p>
    <w:bookmarkStart w:id="112" w:name="page113"/>
    <w:bookmarkEnd w:id="11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geographic segment information provided below is classified based on the geographic location of the Company’s subsidiaries.</w:t>
      </w:r>
    </w:p>
    <w:p>
      <w:pPr>
        <w:spacing w:after="0" w:line="210" w:lineRule="exact"/>
        <w:rPr>
          <w:sz w:val="20"/>
          <w:szCs w:val="20"/>
          <w:color w:val="auto"/>
        </w:rPr>
      </w:pPr>
    </w:p>
    <w:tbl>
      <w:tblPr>
        <w:tblLayout w:type="fixed"/>
        <w:tblInd w:w="360" w:type="dxa"/>
        <w:tblCellMar>
          <w:top w:w="0" w:type="dxa"/>
          <w:left w:w="0" w:type="dxa"/>
          <w:bottom w:w="0" w:type="dxa"/>
          <w:right w:w="0" w:type="dxa"/>
        </w:tblCellMar>
      </w:tblPr>
      <w:tr>
        <w:trPr>
          <w:trHeight w:val="216"/>
        </w:trPr>
        <w:tc>
          <w:tcPr>
            <w:tcW w:w="5640" w:type="dxa"/>
            <w:vAlign w:val="bottom"/>
          </w:tcPr>
          <w:p>
            <w:pPr>
              <w:spacing w:after="0"/>
              <w:rPr>
                <w:sz w:val="18"/>
                <w:szCs w:val="18"/>
                <w:color w:val="auto"/>
              </w:rPr>
            </w:pPr>
          </w:p>
        </w:tc>
        <w:tc>
          <w:tcPr>
            <w:tcW w:w="20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United</w:t>
            </w:r>
          </w:p>
        </w:tc>
        <w:tc>
          <w:tcPr>
            <w:tcW w:w="900" w:type="dxa"/>
            <w:vAlign w:val="bottom"/>
          </w:tcPr>
          <w:p>
            <w:pPr>
              <w:spacing w:after="0"/>
              <w:rPr>
                <w:sz w:val="18"/>
                <w:szCs w:val="18"/>
                <w:color w:val="auto"/>
              </w:rPr>
            </w:pPr>
          </w:p>
        </w:tc>
        <w:tc>
          <w:tcPr>
            <w:tcW w:w="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w w:val="97"/>
              </w:rPr>
              <w:t>All Other</w:t>
            </w:r>
          </w:p>
        </w:tc>
        <w:tc>
          <w:tcPr>
            <w:tcW w:w="9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56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2009</w:t>
            </w:r>
          </w:p>
        </w:tc>
        <w:tc>
          <w:tcPr>
            <w:tcW w:w="15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States</w:t>
            </w:r>
          </w:p>
        </w:tc>
        <w:tc>
          <w:tcPr>
            <w:tcW w:w="1640" w:type="dxa"/>
            <w:vAlign w:val="bottom"/>
            <w:gridSpan w:val="3"/>
          </w:tcPr>
          <w:p>
            <w:pPr>
              <w:ind w:left="880"/>
              <w:spacing w:after="0"/>
              <w:rPr>
                <w:sz w:val="20"/>
                <w:szCs w:val="20"/>
                <w:color w:val="auto"/>
              </w:rPr>
            </w:pPr>
            <w:r>
              <w:rPr>
                <w:rFonts w:ascii="Times New Roman" w:cs="Times New Roman" w:eastAsia="Times New Roman" w:hAnsi="Times New Roman"/>
                <w:sz w:val="18"/>
                <w:szCs w:val="18"/>
                <w:b w:val="1"/>
                <w:bCs w:val="1"/>
                <w:color w:val="auto"/>
                <w:w w:val="97"/>
              </w:rPr>
              <w:t>Countries</w:t>
            </w:r>
          </w:p>
        </w:tc>
        <w:tc>
          <w:tcPr>
            <w:tcW w:w="90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196"/>
        </w:trPr>
        <w:tc>
          <w:tcPr>
            <w:tcW w:w="5640" w:type="dxa"/>
            <w:vAlign w:val="bottom"/>
            <w:vMerge w:val="continue"/>
          </w:tcPr>
          <w:p>
            <w:pPr>
              <w:spacing w:after="0"/>
              <w:rPr>
                <w:sz w:val="17"/>
                <w:szCs w:val="17"/>
                <w:color w:val="auto"/>
              </w:rPr>
            </w:pPr>
          </w:p>
        </w:tc>
        <w:tc>
          <w:tcPr>
            <w:tcW w:w="1520" w:type="dxa"/>
            <w:vAlign w:val="bottom"/>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900" w:type="dxa"/>
            <w:vAlign w:val="bottom"/>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Net revenues</w:t>
            </w:r>
          </w:p>
        </w:tc>
        <w:tc>
          <w:tcPr>
            <w:tcW w:w="2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$ 4,323</w:t>
            </w:r>
          </w:p>
        </w:tc>
        <w:tc>
          <w:tcPr>
            <w:tcW w:w="110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808</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$5,131</w:t>
            </w:r>
          </w:p>
        </w:tc>
        <w:tc>
          <w:tcPr>
            <w:tcW w:w="0" w:type="dxa"/>
            <w:vAlign w:val="bottom"/>
          </w:tcPr>
          <w:p>
            <w:pPr>
              <w:spacing w:after="0"/>
              <w:rPr>
                <w:sz w:val="1"/>
                <w:szCs w:val="1"/>
                <w:color w:val="auto"/>
              </w:rPr>
            </w:pPr>
          </w:p>
        </w:tc>
      </w:tr>
      <w:tr>
        <w:trPr>
          <w:trHeight w:val="216"/>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Segment assets exclusive of assets under vehicle programs</w:t>
            </w:r>
          </w:p>
        </w:tc>
        <w:tc>
          <w:tcPr>
            <w:tcW w:w="2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3,068</w:t>
            </w: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3,571</w:t>
            </w:r>
          </w:p>
        </w:tc>
        <w:tc>
          <w:tcPr>
            <w:tcW w:w="0" w:type="dxa"/>
            <w:vAlign w:val="bottom"/>
          </w:tcPr>
          <w:p>
            <w:pPr>
              <w:spacing w:after="0"/>
              <w:rPr>
                <w:sz w:val="1"/>
                <w:szCs w:val="1"/>
                <w:color w:val="auto"/>
              </w:rPr>
            </w:pPr>
          </w:p>
        </w:tc>
      </w:tr>
      <w:tr>
        <w:trPr>
          <w:trHeight w:val="216"/>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Assets under vehicle programs</w:t>
            </w:r>
          </w:p>
        </w:tc>
        <w:tc>
          <w:tcPr>
            <w:tcW w:w="2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5,542</w:t>
            </w: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980</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6,522</w:t>
            </w:r>
          </w:p>
        </w:tc>
        <w:tc>
          <w:tcPr>
            <w:tcW w:w="0" w:type="dxa"/>
            <w:vAlign w:val="bottom"/>
          </w:tcPr>
          <w:p>
            <w:pPr>
              <w:spacing w:after="0"/>
              <w:rPr>
                <w:sz w:val="1"/>
                <w:szCs w:val="1"/>
                <w:color w:val="auto"/>
              </w:rPr>
            </w:pPr>
          </w:p>
        </w:tc>
      </w:tr>
      <w:tr>
        <w:trPr>
          <w:trHeight w:val="228"/>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0" w:type="dxa"/>
            <w:vAlign w:val="bottom"/>
          </w:tcPr>
          <w:p>
            <w:pPr>
              <w:spacing w:after="0"/>
              <w:rPr>
                <w:sz w:val="1"/>
                <w:szCs w:val="1"/>
                <w:color w:val="auto"/>
              </w:rPr>
            </w:pPr>
          </w:p>
        </w:tc>
      </w:tr>
      <w:tr>
        <w:trPr>
          <w:trHeight w:val="312"/>
        </w:trPr>
        <w:tc>
          <w:tcPr>
            <w:tcW w:w="5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2008</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Net revenues</w:t>
            </w:r>
          </w:p>
        </w:tc>
        <w:tc>
          <w:tcPr>
            <w:tcW w:w="2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$ 5,080</w:t>
            </w:r>
          </w:p>
        </w:tc>
        <w:tc>
          <w:tcPr>
            <w:tcW w:w="110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904</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$5,984</w:t>
            </w:r>
          </w:p>
        </w:tc>
        <w:tc>
          <w:tcPr>
            <w:tcW w:w="0" w:type="dxa"/>
            <w:vAlign w:val="bottom"/>
          </w:tcPr>
          <w:p>
            <w:pPr>
              <w:spacing w:after="0"/>
              <w:rPr>
                <w:sz w:val="1"/>
                <w:szCs w:val="1"/>
                <w:color w:val="auto"/>
              </w:rPr>
            </w:pPr>
          </w:p>
        </w:tc>
      </w:tr>
      <w:tr>
        <w:trPr>
          <w:trHeight w:val="216"/>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Segment assets exclusive of assets under vehicle programs</w:t>
            </w:r>
          </w:p>
        </w:tc>
        <w:tc>
          <w:tcPr>
            <w:tcW w:w="2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3,007</w:t>
            </w: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3,492</w:t>
            </w:r>
          </w:p>
        </w:tc>
        <w:tc>
          <w:tcPr>
            <w:tcW w:w="0" w:type="dxa"/>
            <w:vAlign w:val="bottom"/>
          </w:tcPr>
          <w:p>
            <w:pPr>
              <w:spacing w:after="0"/>
              <w:rPr>
                <w:sz w:val="1"/>
                <w:szCs w:val="1"/>
                <w:color w:val="auto"/>
              </w:rPr>
            </w:pPr>
          </w:p>
        </w:tc>
      </w:tr>
      <w:tr>
        <w:trPr>
          <w:trHeight w:val="216"/>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Assets under vehicle programs</w:t>
            </w:r>
          </w:p>
        </w:tc>
        <w:tc>
          <w:tcPr>
            <w:tcW w:w="2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7,046</w:t>
            </w: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7,826</w:t>
            </w:r>
          </w:p>
        </w:tc>
        <w:tc>
          <w:tcPr>
            <w:tcW w:w="0" w:type="dxa"/>
            <w:vAlign w:val="bottom"/>
          </w:tcPr>
          <w:p>
            <w:pPr>
              <w:spacing w:after="0"/>
              <w:rPr>
                <w:sz w:val="1"/>
                <w:szCs w:val="1"/>
                <w:color w:val="auto"/>
              </w:rPr>
            </w:pPr>
          </w:p>
        </w:tc>
      </w:tr>
      <w:tr>
        <w:trPr>
          <w:trHeight w:val="228"/>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445</w:t>
            </w: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485</w:t>
            </w:r>
          </w:p>
        </w:tc>
        <w:tc>
          <w:tcPr>
            <w:tcW w:w="0" w:type="dxa"/>
            <w:vAlign w:val="bottom"/>
          </w:tcPr>
          <w:p>
            <w:pPr>
              <w:spacing w:after="0"/>
              <w:rPr>
                <w:sz w:val="1"/>
                <w:szCs w:val="1"/>
                <w:color w:val="auto"/>
              </w:rPr>
            </w:pPr>
          </w:p>
        </w:tc>
      </w:tr>
      <w:tr>
        <w:trPr>
          <w:trHeight w:val="312"/>
        </w:trPr>
        <w:tc>
          <w:tcPr>
            <w:tcW w:w="5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2007</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Net revenues</w:t>
            </w:r>
          </w:p>
        </w:tc>
        <w:tc>
          <w:tcPr>
            <w:tcW w:w="2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$ 5,113</w:t>
            </w:r>
          </w:p>
        </w:tc>
        <w:tc>
          <w:tcPr>
            <w:tcW w:w="110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873</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$5,986</w:t>
            </w:r>
          </w:p>
        </w:tc>
        <w:tc>
          <w:tcPr>
            <w:tcW w:w="0" w:type="dxa"/>
            <w:vAlign w:val="bottom"/>
          </w:tcPr>
          <w:p>
            <w:pPr>
              <w:spacing w:after="0"/>
              <w:rPr>
                <w:sz w:val="1"/>
                <w:szCs w:val="1"/>
                <w:color w:val="auto"/>
              </w:rPr>
            </w:pPr>
          </w:p>
        </w:tc>
      </w:tr>
      <w:tr>
        <w:trPr>
          <w:trHeight w:val="216"/>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Segment assets exclusive of assets under vehicle programs</w:t>
            </w:r>
          </w:p>
        </w:tc>
        <w:tc>
          <w:tcPr>
            <w:tcW w:w="2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3,776</w:t>
            </w: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4,493</w:t>
            </w:r>
          </w:p>
        </w:tc>
        <w:tc>
          <w:tcPr>
            <w:tcW w:w="0" w:type="dxa"/>
            <w:vAlign w:val="bottom"/>
          </w:tcPr>
          <w:p>
            <w:pPr>
              <w:spacing w:after="0"/>
              <w:rPr>
                <w:sz w:val="1"/>
                <w:szCs w:val="1"/>
                <w:color w:val="auto"/>
              </w:rPr>
            </w:pPr>
          </w:p>
        </w:tc>
      </w:tr>
      <w:tr>
        <w:trPr>
          <w:trHeight w:val="216"/>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Assets under vehicle programs</w:t>
            </w:r>
          </w:p>
        </w:tc>
        <w:tc>
          <w:tcPr>
            <w:tcW w:w="2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6,938</w:t>
            </w: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1,043</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7,981</w:t>
            </w:r>
          </w:p>
        </w:tc>
        <w:tc>
          <w:tcPr>
            <w:tcW w:w="0" w:type="dxa"/>
            <w:vAlign w:val="bottom"/>
          </w:tcPr>
          <w:p>
            <w:pPr>
              <w:spacing w:after="0"/>
              <w:rPr>
                <w:sz w:val="1"/>
                <w:szCs w:val="1"/>
                <w:color w:val="auto"/>
              </w:rPr>
            </w:pPr>
          </w:p>
        </w:tc>
      </w:tr>
      <w:tr>
        <w:trPr>
          <w:trHeight w:val="228"/>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340" w:hanging="332"/>
        <w:spacing w:after="0"/>
        <w:tabs>
          <w:tab w:leader="none" w:pos="340" w:val="left"/>
        </w:tabs>
        <w:numPr>
          <w:ilvl w:val="0"/>
          <w:numId w:val="7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Guarantor and Non-Guarantor Consolidating Financial Statements</w:t>
      </w:r>
    </w:p>
    <w:p>
      <w:pPr>
        <w:spacing w:after="0" w:line="173" w:lineRule="exact"/>
        <w:rPr>
          <w:rFonts w:ascii="Times New Roman" w:cs="Times New Roman" w:eastAsia="Times New Roman" w:hAnsi="Times New Roman"/>
          <w:sz w:val="18"/>
          <w:szCs w:val="18"/>
          <w:b w:val="1"/>
          <w:bCs w:val="1"/>
          <w:color w:val="auto"/>
        </w:rPr>
      </w:pPr>
    </w:p>
    <w:p>
      <w:pPr>
        <w:ind w:left="360"/>
        <w:spacing w:after="0" w:line="25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consolidating financial information presents Consolidating Condensed Statements of Operations for the years ended December 31, 2009, 2008 and 2007, Consolidating Condensed Balance Sheets as of December 31, 2009 and December 31, 2008 and Consolidating Condensed Statements of Cash Flows for the years ended December 31, 2009, 2008 and 2007 for: (i) Avis Budget Group, Inc. (the “Parent”); (ii) Avis Budget Car Rental and Avis Budget Finance, Inc. (the “Subsidiary Issuers”); (iii) the guarantor subsidiaries; (iv) the non-guarantor subsidiaries; (v) elimination entries necessary to consolidate the Parent with the Subsidiary Issuers, the guarantor and non-guarantor subsidiaries; and (vi) the Company on a consolidated basis. The Subsidiary Issuers and the guarantor and non-guarantor subsidiaries are 100% owned by the Parent, either directly or indirectly. All guarantees are full and unconditional and joint and several. This financial information is being presented in relation to the Company’s Guarantee of the Notes issued by Avis Budget Car Rental. See Note 17—Long-term Debt and Borrowing Arrangements for additional description of these Notes. The Notes have separate investors than the equity investors of the Company and the Notes are guaranteed by the Parent and certain subsidiaries.</w:t>
      </w:r>
    </w:p>
    <w:p>
      <w:pPr>
        <w:spacing w:after="0" w:line="143" w:lineRule="exact"/>
        <w:rPr>
          <w:rFonts w:ascii="Times New Roman" w:cs="Times New Roman" w:eastAsia="Times New Roman" w:hAnsi="Times New Roman"/>
          <w:sz w:val="18"/>
          <w:szCs w:val="18"/>
          <w:b w:val="1"/>
          <w:bCs w:val="1"/>
          <w:color w:val="auto"/>
        </w:rPr>
      </w:pPr>
    </w:p>
    <w:p>
      <w:pPr>
        <w:ind w:left="360" w:right="2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Investments in subsidiaries are accounted for using the equity method of accounting for purposes of the consolidating presentation. The principal elimination entries relate to investments in subsidiaries and intercompany balances and transactions. For purposes of the accompanying Consolidating Condensed Statements of Operations, certain expenses incurred by the Subsidiary Issuers are allocated to the guarantor and non-guarantor subsidiaries. The results of operations of discontinued operations are included in the non-guarantor subsidiaries column. Income from discontinued operations, net of tax within the Parent column includes the equity in earnings from discontinued operations and gain (loss) on disposal of discontinued operations.</w:t>
      </w:r>
    </w:p>
    <w:p>
      <w:pPr>
        <w:spacing w:after="0" w:line="139" w:lineRule="exact"/>
        <w:rPr>
          <w:sz w:val="20"/>
          <w:szCs w:val="20"/>
          <w:color w:val="auto"/>
        </w:rPr>
      </w:pPr>
    </w:p>
    <w:p>
      <w:pPr>
        <w:ind w:left="360"/>
        <w:spacing w:after="0" w:line="258" w:lineRule="auto"/>
        <w:rPr>
          <w:sz w:val="20"/>
          <w:szCs w:val="20"/>
          <w:color w:val="auto"/>
        </w:rPr>
      </w:pPr>
      <w:r>
        <w:rPr>
          <w:rFonts w:ascii="Times New Roman" w:cs="Times New Roman" w:eastAsia="Times New Roman" w:hAnsi="Times New Roman"/>
          <w:sz w:val="18"/>
          <w:szCs w:val="18"/>
          <w:color w:val="auto"/>
        </w:rPr>
        <w:t>In September 2007, Avis Budget Car Rental transferred certain assets and liabilities to Wizard Services, Inc. (“Wizard Services”), a newly created subsidiary. Wizard Services executed a Supplemental Indenture in January 2009 to become a subsidiary guarantor under the Indenture governing the Notes. Accordingly, financial information for Wizard Services for the year ended, and as of December 31, 2009, is presented in the “Guarantor Subsidiaries” column. Previously, such information was included in the “Subsidiary Issuers”</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F-52</w:t>
      </w:r>
    </w:p>
    <w:p>
      <w:pPr>
        <w:sectPr>
          <w:pgSz w:w="11900" w:h="16838" w:orient="portrait"/>
          <w:cols w:equalWidth="0" w:num="1">
            <w:col w:w="11400"/>
          </w:cols>
          <w:pgMar w:left="240" w:top="455" w:right="259" w:bottom="1440" w:gutter="0" w:footer="0" w:header="0"/>
        </w:sectPr>
      </w:pPr>
    </w:p>
    <w:bookmarkStart w:id="113" w:name="page114"/>
    <w:bookmarkEnd w:id="11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360"/>
        <w:spacing w:after="0" w:line="275" w:lineRule="auto"/>
        <w:rPr>
          <w:sz w:val="20"/>
          <w:szCs w:val="20"/>
          <w:color w:val="auto"/>
        </w:rPr>
      </w:pPr>
      <w:r>
        <w:rPr>
          <w:rFonts w:ascii="Times New Roman" w:cs="Times New Roman" w:eastAsia="Times New Roman" w:hAnsi="Times New Roman"/>
          <w:sz w:val="18"/>
          <w:szCs w:val="18"/>
          <w:color w:val="auto"/>
        </w:rPr>
        <w:t>column. Financial information for the years ended December 31, 2008 and 2007 and as of December 31, 2008 for Wizard Services has been recast to reflect Wizard Services as a Guarantor for comparability purposes.</w:t>
      </w:r>
    </w:p>
    <w:p>
      <w:pPr>
        <w:spacing w:after="0" w:line="11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color w:val="auto"/>
        </w:rPr>
        <w:t>Consolidating Condensed Statements of Operations</w:t>
      </w:r>
    </w:p>
    <w:p>
      <w:pPr>
        <w:spacing w:after="0" w:line="173" w:lineRule="exact"/>
        <w:rPr>
          <w:sz w:val="20"/>
          <w:szCs w:val="20"/>
          <w:color w:val="auto"/>
        </w:rPr>
      </w:pPr>
    </w:p>
    <w:tbl>
      <w:tblPr>
        <w:tblLayout w:type="fixed"/>
        <w:tblInd w:w="360" w:type="dxa"/>
        <w:tblCellMar>
          <w:top w:w="0" w:type="dxa"/>
          <w:left w:w="0" w:type="dxa"/>
          <w:bottom w:w="0" w:type="dxa"/>
          <w:right w:w="0" w:type="dxa"/>
        </w:tblCellMar>
      </w:tblPr>
      <w:tr>
        <w:trPr>
          <w:trHeight w:val="228"/>
        </w:trPr>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For the Year Ended December 31, 2009</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4"/>
        </w:trPr>
        <w:tc>
          <w:tcPr>
            <w:tcW w:w="2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Subsidiary</w:t>
            </w:r>
          </w:p>
        </w:tc>
        <w:tc>
          <w:tcPr>
            <w:tcW w:w="380" w:type="dxa"/>
            <w:vAlign w:val="bottom"/>
          </w:tcPr>
          <w:p>
            <w:pPr>
              <w:spacing w:after="0"/>
              <w:rPr>
                <w:sz w:val="24"/>
                <w:szCs w:val="24"/>
                <w:color w:val="auto"/>
              </w:rPr>
            </w:pPr>
          </w:p>
        </w:tc>
        <w:tc>
          <w:tcPr>
            <w:tcW w:w="120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Guarantor</w:t>
            </w:r>
          </w:p>
        </w:tc>
        <w:tc>
          <w:tcPr>
            <w:tcW w:w="1700" w:type="dxa"/>
            <w:vAlign w:val="bottom"/>
            <w:gridSpan w:val="4"/>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Non-Guarantor</w:t>
            </w: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1"/>
        </w:trPr>
        <w:tc>
          <w:tcPr>
            <w:tcW w:w="29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960" w:type="dxa"/>
            <w:vAlign w:val="bottom"/>
            <w:gridSpan w:val="5"/>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Parent</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w w:val="99"/>
              </w:rPr>
              <w:t>Issuers</w:t>
            </w:r>
          </w:p>
        </w:tc>
        <w:tc>
          <w:tcPr>
            <w:tcW w:w="1580" w:type="dxa"/>
            <w:vAlign w:val="bottom"/>
            <w:gridSpan w:val="4"/>
          </w:tcPr>
          <w:p>
            <w:pPr>
              <w:ind w:left="380"/>
              <w:spacing w:after="0"/>
              <w:rPr>
                <w:sz w:val="20"/>
                <w:szCs w:val="20"/>
                <w:color w:val="auto"/>
              </w:rPr>
            </w:pPr>
            <w:r>
              <w:rPr>
                <w:rFonts w:ascii="Times New Roman" w:cs="Times New Roman" w:eastAsia="Times New Roman" w:hAnsi="Times New Roman"/>
                <w:sz w:val="18"/>
                <w:szCs w:val="18"/>
                <w:b w:val="1"/>
                <w:bCs w:val="1"/>
                <w:color w:val="auto"/>
              </w:rPr>
              <w:t>Subsidiaries</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w w:val="97"/>
              </w:rPr>
              <w:t>Subsidiaries</w:t>
            </w:r>
          </w:p>
        </w:tc>
        <w:tc>
          <w:tcPr>
            <w:tcW w:w="1500" w:type="dxa"/>
            <w:vAlign w:val="bottom"/>
            <w:gridSpan w:val="4"/>
          </w:tcPr>
          <w:p>
            <w:pPr>
              <w:ind w:left="240"/>
              <w:spacing w:after="0"/>
              <w:rPr>
                <w:sz w:val="20"/>
                <w:szCs w:val="20"/>
                <w:color w:val="auto"/>
              </w:rPr>
            </w:pPr>
            <w:r>
              <w:rPr>
                <w:rFonts w:ascii="Times New Roman" w:cs="Times New Roman" w:eastAsia="Times New Roman" w:hAnsi="Times New Roman"/>
                <w:sz w:val="18"/>
                <w:szCs w:val="18"/>
                <w:b w:val="1"/>
                <w:bCs w:val="1"/>
                <w:color w:val="auto"/>
              </w:rPr>
              <w:t>Eliminations</w:t>
            </w:r>
          </w:p>
        </w:tc>
        <w:tc>
          <w:tcPr>
            <w:tcW w:w="240" w:type="dxa"/>
            <w:vAlign w:val="bottom"/>
          </w:tcPr>
          <w:p>
            <w:pPr>
              <w:spacing w:after="0"/>
              <w:rPr>
                <w:sz w:val="20"/>
                <w:szCs w:val="20"/>
                <w:color w:val="auto"/>
              </w:rPr>
            </w:pPr>
          </w:p>
        </w:tc>
        <w:tc>
          <w:tcPr>
            <w:tcW w:w="540" w:type="dxa"/>
            <w:vAlign w:val="bottom"/>
            <w:gridSpan w:val="3"/>
          </w:tcPr>
          <w:p>
            <w:pPr>
              <w:jc w:val="right"/>
              <w:ind w:right="82"/>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0" w:type="dxa"/>
            <w:vAlign w:val="bottom"/>
          </w:tcPr>
          <w:p>
            <w:pPr>
              <w:spacing w:after="0"/>
              <w:rPr>
                <w:sz w:val="1"/>
                <w:szCs w:val="1"/>
                <w:color w:val="auto"/>
              </w:rPr>
            </w:pPr>
          </w:p>
        </w:tc>
      </w:tr>
      <w:tr>
        <w:trPr>
          <w:trHeight w:val="196"/>
        </w:trPr>
        <w:tc>
          <w:tcPr>
            <w:tcW w:w="296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9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Vehicle rental</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68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3,354</w:t>
            </w:r>
          </w:p>
        </w:tc>
        <w:tc>
          <w:tcPr>
            <w:tcW w:w="28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w:t>
            </w:r>
          </w:p>
        </w:tc>
        <w:tc>
          <w:tcPr>
            <w:tcW w:w="280" w:type="dxa"/>
            <w:vAlign w:val="bottom"/>
          </w:tcPr>
          <w:p>
            <w:pPr>
              <w:spacing w:after="0"/>
              <w:rPr>
                <w:sz w:val="18"/>
                <w:szCs w:val="18"/>
                <w:color w:val="auto"/>
              </w:rPr>
            </w:pPr>
          </w:p>
        </w:tc>
        <w:tc>
          <w:tcPr>
            <w:tcW w:w="5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3,906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9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890</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1,786</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(1,453)</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1,225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Net revenues</w:t>
            </w:r>
          </w:p>
        </w:tc>
        <w:tc>
          <w:tcPr>
            <w:tcW w:w="1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Borders>
              <w:top w:val="single" w:sz="8" w:color="auto"/>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4,244</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2,338</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(1,453)</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5,131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Operating</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2,136</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2,636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Vehicle depreciation and lease</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charges, net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1,241</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1,201</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(1,017)</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1,425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Vehicle interest, net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(66)</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Non-vehicle related depreciation</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and amortization</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expense related to</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corporate debt, net: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Interest expense</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Intercompany interest expense</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(income)</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(153)</w:t>
            </w: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Restructuring charges</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9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Impairment</w:t>
            </w:r>
          </w:p>
        </w:tc>
        <w:tc>
          <w:tcPr>
            <w:tcW w:w="1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Total expenses</w:t>
            </w:r>
          </w:p>
        </w:tc>
        <w:tc>
          <w:tcPr>
            <w:tcW w:w="1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4,378</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1,825</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(1,083)</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5,208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Income (loss) before income taxes</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6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and equity in earnings of</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96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subsidiaries</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(58)</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(28)</w:t>
            </w: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(134)</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(370)</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16"/>
        </w:trPr>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(23)</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w:t>
            </w: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16"/>
        </w:trPr>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Equity in earnings (loss) of</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9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subsidiaries</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(12)</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(115)</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18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483</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(485)</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40" w:type="dxa"/>
            <w:vAlign w:val="bottom"/>
          </w:tcPr>
          <w:p>
            <w:pPr>
              <w:jc w:val="right"/>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F-53</w:t>
            </w: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455" w:right="339" w:bottom="1440" w:gutter="0" w:footer="0" w:header="0"/>
        </w:sectPr>
      </w:pPr>
    </w:p>
    <w:bookmarkStart w:id="114" w:name="page115"/>
    <w:bookmarkEnd w:id="11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tbl>
      <w:tblPr>
        <w:tblLayout w:type="fixed"/>
        <w:tblInd w:w="360" w:type="dxa"/>
        <w:tblCellMar>
          <w:top w:w="0" w:type="dxa"/>
          <w:left w:w="0" w:type="dxa"/>
          <w:bottom w:w="0" w:type="dxa"/>
          <w:right w:w="0" w:type="dxa"/>
        </w:tblCellMar>
      </w:tblPr>
      <w:tr>
        <w:trPr>
          <w:trHeight w:val="228"/>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For the Year Ended December 31, 2008</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4"/>
        </w:trPr>
        <w:tc>
          <w:tcPr>
            <w:tcW w:w="3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gridSpan w:val="4"/>
          </w:tcPr>
          <w:p>
            <w:pPr>
              <w:ind w:left="200"/>
              <w:spacing w:after="0"/>
              <w:rPr>
                <w:sz w:val="20"/>
                <w:szCs w:val="20"/>
                <w:color w:val="auto"/>
              </w:rPr>
            </w:pPr>
            <w:r>
              <w:rPr>
                <w:rFonts w:ascii="Times New Roman" w:cs="Times New Roman" w:eastAsia="Times New Roman" w:hAnsi="Times New Roman"/>
                <w:sz w:val="18"/>
                <w:szCs w:val="18"/>
                <w:b w:val="1"/>
                <w:bCs w:val="1"/>
                <w:color w:val="auto"/>
              </w:rPr>
              <w:t>Subsidiary</w:t>
            </w:r>
          </w:p>
        </w:tc>
        <w:tc>
          <w:tcPr>
            <w:tcW w:w="80" w:type="dxa"/>
            <w:vAlign w:val="bottom"/>
          </w:tcPr>
          <w:p>
            <w:pPr>
              <w:spacing w:after="0"/>
              <w:rPr>
                <w:sz w:val="24"/>
                <w:szCs w:val="24"/>
                <w:color w:val="auto"/>
              </w:rPr>
            </w:pPr>
          </w:p>
        </w:tc>
        <w:tc>
          <w:tcPr>
            <w:tcW w:w="116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Guarantor</w:t>
            </w:r>
          </w:p>
        </w:tc>
        <w:tc>
          <w:tcPr>
            <w:tcW w:w="1640" w:type="dxa"/>
            <w:vAlign w:val="bottom"/>
            <w:gridSpan w:val="4"/>
          </w:tcPr>
          <w:p>
            <w:pPr>
              <w:ind w:left="200"/>
              <w:spacing w:after="0"/>
              <w:rPr>
                <w:sz w:val="20"/>
                <w:szCs w:val="20"/>
                <w:color w:val="auto"/>
              </w:rPr>
            </w:pPr>
            <w:r>
              <w:rPr>
                <w:rFonts w:ascii="Times New Roman" w:cs="Times New Roman" w:eastAsia="Times New Roman" w:hAnsi="Times New Roman"/>
                <w:sz w:val="18"/>
                <w:szCs w:val="18"/>
                <w:b w:val="1"/>
                <w:bCs w:val="1"/>
                <w:color w:val="auto"/>
              </w:rPr>
              <w:t>Non-Guarantor</w:t>
            </w: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1"/>
        </w:trPr>
        <w:tc>
          <w:tcPr>
            <w:tcW w:w="31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20" w:type="dxa"/>
            <w:vAlign w:val="bottom"/>
          </w:tcPr>
          <w:p>
            <w:pPr>
              <w:spacing w:after="0"/>
              <w:rPr>
                <w:sz w:val="20"/>
                <w:szCs w:val="20"/>
                <w:color w:val="auto"/>
              </w:rPr>
            </w:pPr>
          </w:p>
        </w:tc>
        <w:tc>
          <w:tcPr>
            <w:tcW w:w="800" w:type="dxa"/>
            <w:vAlign w:val="bottom"/>
            <w:gridSpan w:val="4"/>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w w:val="96"/>
              </w:rPr>
              <w:t>Parent</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gridSpan w:val="2"/>
          </w:tcPr>
          <w:p>
            <w:pPr>
              <w:jc w:val="right"/>
              <w:ind w:right="482"/>
              <w:spacing w:after="0"/>
              <w:rPr>
                <w:sz w:val="20"/>
                <w:szCs w:val="20"/>
                <w:color w:val="auto"/>
              </w:rPr>
            </w:pPr>
            <w:r>
              <w:rPr>
                <w:rFonts w:ascii="Times New Roman" w:cs="Times New Roman" w:eastAsia="Times New Roman" w:hAnsi="Times New Roman"/>
                <w:sz w:val="18"/>
                <w:szCs w:val="18"/>
                <w:b w:val="1"/>
                <w:bCs w:val="1"/>
                <w:color w:val="auto"/>
                <w:w w:val="96"/>
              </w:rPr>
              <w:t>Issuers</w:t>
            </w:r>
          </w:p>
        </w:tc>
        <w:tc>
          <w:tcPr>
            <w:tcW w:w="1240" w:type="dxa"/>
            <w:vAlign w:val="bottom"/>
            <w:gridSpan w:val="4"/>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Subsidiaries</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w w:val="97"/>
              </w:rPr>
              <w:t>Subsidiaries</w:t>
            </w:r>
          </w:p>
        </w:tc>
        <w:tc>
          <w:tcPr>
            <w:tcW w:w="1400" w:type="dxa"/>
            <w:vAlign w:val="bottom"/>
            <w:gridSpan w:val="4"/>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Eliminations</w:t>
            </w:r>
          </w:p>
        </w:tc>
        <w:tc>
          <w:tcPr>
            <w:tcW w:w="200" w:type="dxa"/>
            <w:vAlign w:val="bottom"/>
          </w:tcPr>
          <w:p>
            <w:pPr>
              <w:spacing w:after="0"/>
              <w:rPr>
                <w:sz w:val="20"/>
                <w:szCs w:val="20"/>
                <w:color w:val="auto"/>
              </w:rPr>
            </w:pPr>
          </w:p>
        </w:tc>
        <w:tc>
          <w:tcPr>
            <w:tcW w:w="600" w:type="dxa"/>
            <w:vAlign w:val="bottom"/>
            <w:gridSpan w:val="2"/>
          </w:tcPr>
          <w:p>
            <w:pPr>
              <w:jc w:val="right"/>
              <w:ind w:right="102"/>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196"/>
        </w:trPr>
        <w:tc>
          <w:tcPr>
            <w:tcW w:w="318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Vehicle rental</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340" w:type="dxa"/>
            <w:vAlign w:val="bottom"/>
            <w:gridSpan w:val="2"/>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3,941</w:t>
            </w:r>
          </w:p>
        </w:tc>
        <w:tc>
          <w:tcPr>
            <w:tcW w:w="240" w:type="dxa"/>
            <w:vAlign w:val="bottom"/>
          </w:tcPr>
          <w:p>
            <w:pPr>
              <w:spacing w:after="0"/>
              <w:rPr>
                <w:sz w:val="18"/>
                <w:szCs w:val="18"/>
                <w:color w:val="auto"/>
              </w:rPr>
            </w:pPr>
          </w:p>
        </w:tc>
        <w:tc>
          <w:tcPr>
            <w:tcW w:w="3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623</w:t>
            </w:r>
          </w:p>
        </w:tc>
        <w:tc>
          <w:tcPr>
            <w:tcW w:w="240" w:type="dxa"/>
            <w:vAlign w:val="bottom"/>
          </w:tcPr>
          <w:p>
            <w:pPr>
              <w:spacing w:after="0"/>
              <w:rPr>
                <w:sz w:val="18"/>
                <w:szCs w:val="18"/>
                <w:color w:val="auto"/>
              </w:rPr>
            </w:pPr>
          </w:p>
        </w:tc>
        <w:tc>
          <w:tcPr>
            <w:tcW w:w="480" w:type="dxa"/>
            <w:vAlign w:val="bottom"/>
            <w:gridSpan w:val="2"/>
          </w:tcPr>
          <w:p>
            <w:pPr>
              <w:jc w:val="right"/>
              <w:ind w:right="118"/>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$ 4,564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3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1,044</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2,038</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(1,665)</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1,420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Net revenues</w:t>
            </w:r>
          </w:p>
        </w:tc>
        <w:tc>
          <w:tcPr>
            <w:tcW w:w="22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Borders>
              <w:top w:val="single" w:sz="8" w:color="auto"/>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4,985</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2,661</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(1,665)</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5,984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Operating</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2,629</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3,147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Vehicle depreciation and lease charges,</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net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1,486</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1,276</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(1,065)</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1,697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655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Vehicle interest, net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(181)</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Non-vehicle related depreciation and</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amortization</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expense related to corporate</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debt, net: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Interest expense</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Intercompany interest expense</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(income)</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282"/>
              <w:spacing w:after="0"/>
              <w:rPr>
                <w:sz w:val="20"/>
                <w:szCs w:val="20"/>
                <w:color w:val="auto"/>
              </w:rPr>
            </w:pPr>
            <w:r>
              <w:rPr>
                <w:rFonts w:ascii="Times New Roman" w:cs="Times New Roman" w:eastAsia="Times New Roman" w:hAnsi="Times New Roman"/>
                <w:sz w:val="18"/>
                <w:szCs w:val="18"/>
                <w:color w:val="auto"/>
              </w:rPr>
              <w:t>(133)</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Restructuring charges</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Impairment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1,214</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1,262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3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Separation costs</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Total expenses</w:t>
            </w:r>
          </w:p>
        </w:tc>
        <w:tc>
          <w:tcPr>
            <w:tcW w:w="22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0" w:type="dxa"/>
            <w:vAlign w:val="bottom"/>
            <w:tcBorders>
              <w:top w:val="single" w:sz="8" w:color="auto"/>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6,425</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2,089</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(1,246)</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7,327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3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Income (loss) before income taxes and</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318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equity in earnings of subsidiaries</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(30)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282"/>
              <w:spacing w:after="0"/>
              <w:rPr>
                <w:sz w:val="20"/>
                <w:szCs w:val="20"/>
                <w:color w:val="auto"/>
              </w:rPr>
            </w:pPr>
            <w:r>
              <w:rPr>
                <w:rFonts w:ascii="Times New Roman" w:cs="Times New Roman" w:eastAsia="Times New Roman" w:hAnsi="Times New Roman"/>
                <w:sz w:val="18"/>
                <w:szCs w:val="18"/>
                <w:color w:val="auto"/>
              </w:rPr>
              <w:t>(26)</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(1,440)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(419)</w:t>
            </w: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(1,343)</w:t>
            </w: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(14)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(272)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0" w:type="dxa"/>
            <w:vAlign w:val="bottom"/>
          </w:tcPr>
          <w:p>
            <w:pPr>
              <w:spacing w:after="0"/>
              <w:rPr>
                <w:sz w:val="1"/>
                <w:szCs w:val="1"/>
                <w:color w:val="auto"/>
              </w:rPr>
            </w:pPr>
          </w:p>
        </w:tc>
      </w:tr>
      <w:tr>
        <w:trPr>
          <w:trHeight w:val="228"/>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Equity in earnings (loss) of subsidiaries</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w w:val="95"/>
              </w:rPr>
              <w:t>(1,108)</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jc w:val="right"/>
              <w:ind w:right="282"/>
              <w:spacing w:after="0"/>
              <w:rPr>
                <w:sz w:val="20"/>
                <w:szCs w:val="20"/>
                <w:color w:val="auto"/>
              </w:rPr>
            </w:pPr>
            <w:r>
              <w:rPr>
                <w:rFonts w:ascii="Times New Roman" w:cs="Times New Roman" w:eastAsia="Times New Roman" w:hAnsi="Times New Roman"/>
                <w:sz w:val="18"/>
                <w:szCs w:val="18"/>
                <w:color w:val="auto"/>
              </w:rPr>
              <w:t>(1,080)</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2,100</w:t>
            </w:r>
          </w:p>
        </w:tc>
        <w:tc>
          <w:tcPr>
            <w:tcW w:w="24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220" w:type="dxa"/>
            <w:vAlign w:val="bottom"/>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u w:val="single" w:color="auto"/>
                <w:color w:val="auto"/>
                <w:w w:val="74"/>
              </w:rPr>
              <w:t>$</w:t>
            </w: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4"/>
              </w:rPr>
              <w:t>(1,124</w:t>
            </w:r>
          </w:p>
        </w:tc>
        <w:tc>
          <w:tcPr>
            <w:tcW w:w="2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Pr>
          <w:p>
            <w:pPr>
              <w:spacing w:after="0"/>
              <w:rPr>
                <w:sz w:val="19"/>
                <w:szCs w:val="19"/>
                <w:color w:val="auto"/>
              </w:rPr>
            </w:pPr>
          </w:p>
        </w:tc>
        <w:tc>
          <w:tcPr>
            <w:tcW w:w="1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(1,108</w:t>
            </w:r>
          </w:p>
        </w:tc>
        <w:tc>
          <w:tcPr>
            <w:tcW w:w="360" w:type="dxa"/>
            <w:vAlign w:val="bottom"/>
          </w:tcPr>
          <w:p>
            <w:pPr>
              <w:jc w:val="right"/>
              <w:ind w:right="282"/>
              <w:spacing w:after="0"/>
              <w:rPr>
                <w:sz w:val="20"/>
                <w:szCs w:val="20"/>
                <w:color w:val="auto"/>
              </w:rPr>
            </w:pPr>
            <w:r>
              <w:rPr>
                <w:rFonts w:ascii="Times New Roman" w:cs="Times New Roman" w:eastAsia="Times New Roman" w:hAnsi="Times New Roman"/>
                <w:sz w:val="8"/>
                <w:szCs w:val="8"/>
                <w:color w:val="auto"/>
                <w:w w:val="73"/>
              </w:rPr>
              <w:t>)</w:t>
            </w:r>
          </w:p>
        </w:tc>
        <w:tc>
          <w:tcPr>
            <w:tcW w:w="80" w:type="dxa"/>
            <w:vAlign w:val="bottom"/>
          </w:tcPr>
          <w:p>
            <w:pPr>
              <w:spacing w:after="0"/>
              <w:rPr>
                <w:sz w:val="19"/>
                <w:szCs w:val="19"/>
                <w:color w:val="auto"/>
              </w:rPr>
            </w:pPr>
          </w:p>
        </w:tc>
        <w:tc>
          <w:tcPr>
            <w:tcW w:w="260" w:type="dxa"/>
            <w:vAlign w:val="bottom"/>
            <w:tcBorders>
              <w:top w:val="single" w:sz="8" w:color="auto"/>
            </w:tcBorders>
          </w:tcPr>
          <w:p>
            <w:pPr>
              <w:jc w:val="right"/>
              <w:ind w:right="95"/>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(1,080)</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507</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Borders>
              <w:top w:val="single" w:sz="8" w:color="auto"/>
            </w:tcBorders>
          </w:tcPr>
          <w:p>
            <w:pPr>
              <w:jc w:val="right"/>
              <w:ind w:right="118"/>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1,681</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3"/>
              </w:rPr>
              <w:t>$</w:t>
            </w:r>
            <w:r>
              <w:rPr>
                <w:rFonts w:ascii="Times New Roman" w:cs="Times New Roman" w:eastAsia="Times New Roman" w:hAnsi="Times New Roman"/>
                <w:sz w:val="18"/>
                <w:szCs w:val="18"/>
                <w:color w:val="auto"/>
                <w:w w:val="93"/>
              </w:rPr>
              <w:t>(1,124</w:t>
            </w:r>
          </w:p>
        </w:tc>
        <w:tc>
          <w:tcPr>
            <w:tcW w:w="40" w:type="dxa"/>
            <w:vAlign w:val="bottom"/>
          </w:tcPr>
          <w:p>
            <w:pPr>
              <w:jc w:val="right"/>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20"/>
        </w:trPr>
        <w:tc>
          <w:tcPr>
            <w:tcW w:w="3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3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gridSpan w:val="2"/>
          </w:tcPr>
          <w:p>
            <w:pPr>
              <w:jc w:val="right"/>
              <w:ind w:right="22"/>
              <w:spacing w:after="0"/>
              <w:rPr>
                <w:sz w:val="20"/>
                <w:szCs w:val="20"/>
                <w:color w:val="auto"/>
              </w:rPr>
            </w:pPr>
            <w:r>
              <w:rPr>
                <w:rFonts w:ascii="Times New Roman" w:cs="Times New Roman" w:eastAsia="Times New Roman" w:hAnsi="Times New Roman"/>
                <w:sz w:val="18"/>
                <w:szCs w:val="18"/>
                <w:color w:val="auto"/>
              </w:rPr>
              <w:t>F-54</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240" w:top="455" w:right="639" w:bottom="1440" w:gutter="0" w:footer="0" w:header="0"/>
        </w:sectPr>
      </w:pPr>
    </w:p>
    <w:bookmarkStart w:id="115" w:name="page116"/>
    <w:bookmarkEnd w:id="11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tbl>
      <w:tblPr>
        <w:tblLayout w:type="fixed"/>
        <w:tblInd w:w="360" w:type="dxa"/>
        <w:tblCellMar>
          <w:top w:w="0" w:type="dxa"/>
          <w:left w:w="0" w:type="dxa"/>
          <w:bottom w:w="0" w:type="dxa"/>
          <w:right w:w="0" w:type="dxa"/>
        </w:tblCellMar>
      </w:tblPr>
      <w:tr>
        <w:trPr>
          <w:trHeight w:val="228"/>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For the Year Ended December 31, 2007</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4"/>
        </w:trPr>
        <w:tc>
          <w:tcPr>
            <w:tcW w:w="3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Subsidiary</w:t>
            </w:r>
          </w:p>
        </w:tc>
        <w:tc>
          <w:tcPr>
            <w:tcW w:w="420" w:type="dxa"/>
            <w:vAlign w:val="bottom"/>
          </w:tcPr>
          <w:p>
            <w:pPr>
              <w:spacing w:after="0"/>
              <w:rPr>
                <w:sz w:val="24"/>
                <w:szCs w:val="24"/>
                <w:color w:val="auto"/>
              </w:rPr>
            </w:pPr>
          </w:p>
        </w:tc>
        <w:tc>
          <w:tcPr>
            <w:tcW w:w="118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w w:val="98"/>
              </w:rPr>
              <w:t>Guarantor</w:t>
            </w:r>
          </w:p>
        </w:tc>
        <w:tc>
          <w:tcPr>
            <w:tcW w:w="1660" w:type="dxa"/>
            <w:vAlign w:val="bottom"/>
            <w:gridSpan w:val="4"/>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Non-Guarantor</w:t>
            </w: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1"/>
        </w:trPr>
        <w:tc>
          <w:tcPr>
            <w:tcW w:w="30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020" w:type="dxa"/>
            <w:vAlign w:val="bottom"/>
            <w:gridSpan w:val="4"/>
          </w:tcPr>
          <w:p>
            <w:pPr>
              <w:jc w:val="right"/>
              <w:ind w:right="198"/>
              <w:spacing w:after="0"/>
              <w:rPr>
                <w:sz w:val="20"/>
                <w:szCs w:val="20"/>
                <w:color w:val="auto"/>
              </w:rPr>
            </w:pPr>
            <w:r>
              <w:rPr>
                <w:rFonts w:ascii="Times New Roman" w:cs="Times New Roman" w:eastAsia="Times New Roman" w:hAnsi="Times New Roman"/>
                <w:sz w:val="18"/>
                <w:szCs w:val="18"/>
                <w:b w:val="1"/>
                <w:bCs w:val="1"/>
                <w:color w:val="auto"/>
              </w:rPr>
              <w:t>Parent</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w w:val="99"/>
              </w:rPr>
              <w:t>Issuers</w:t>
            </w:r>
          </w:p>
        </w:tc>
        <w:tc>
          <w:tcPr>
            <w:tcW w:w="1600" w:type="dxa"/>
            <w:vAlign w:val="bottom"/>
            <w:gridSpan w:val="4"/>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Subsidiaries</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w w:val="97"/>
              </w:rPr>
              <w:t>Subsidiaries</w:t>
            </w:r>
          </w:p>
        </w:tc>
        <w:tc>
          <w:tcPr>
            <w:tcW w:w="1460" w:type="dxa"/>
            <w:vAlign w:val="bottom"/>
            <w:gridSpan w:val="4"/>
          </w:tcPr>
          <w:p>
            <w:pPr>
              <w:ind w:left="220"/>
              <w:spacing w:after="0"/>
              <w:rPr>
                <w:sz w:val="20"/>
                <w:szCs w:val="20"/>
                <w:color w:val="auto"/>
              </w:rPr>
            </w:pPr>
            <w:r>
              <w:rPr>
                <w:rFonts w:ascii="Times New Roman" w:cs="Times New Roman" w:eastAsia="Times New Roman" w:hAnsi="Times New Roman"/>
                <w:sz w:val="18"/>
                <w:szCs w:val="18"/>
                <w:b w:val="1"/>
                <w:bCs w:val="1"/>
                <w:color w:val="auto"/>
              </w:rPr>
              <w:t>Eliminations</w:t>
            </w:r>
          </w:p>
        </w:tc>
        <w:tc>
          <w:tcPr>
            <w:tcW w:w="220" w:type="dxa"/>
            <w:vAlign w:val="bottom"/>
          </w:tcPr>
          <w:p>
            <w:pPr>
              <w:spacing w:after="0"/>
              <w:rPr>
                <w:sz w:val="20"/>
                <w:szCs w:val="20"/>
                <w:color w:val="auto"/>
              </w:rPr>
            </w:pPr>
          </w:p>
        </w:tc>
        <w:tc>
          <w:tcPr>
            <w:tcW w:w="540" w:type="dxa"/>
            <w:vAlign w:val="bottom"/>
            <w:gridSpan w:val="3"/>
          </w:tcPr>
          <w:p>
            <w:pPr>
              <w:jc w:val="right"/>
              <w:ind w:right="82"/>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0" w:type="dxa"/>
            <w:vAlign w:val="bottom"/>
          </w:tcPr>
          <w:p>
            <w:pPr>
              <w:spacing w:after="0"/>
              <w:rPr>
                <w:sz w:val="1"/>
                <w:szCs w:val="1"/>
                <w:color w:val="auto"/>
              </w:rPr>
            </w:pPr>
          </w:p>
        </w:tc>
      </w:tr>
      <w:tr>
        <w:trPr>
          <w:trHeight w:val="196"/>
        </w:trPr>
        <w:tc>
          <w:tcPr>
            <w:tcW w:w="306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Vehicle rental</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680" w:type="dxa"/>
            <w:vAlign w:val="bottom"/>
            <w:gridSpan w:val="2"/>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4,047</w:t>
            </w:r>
          </w:p>
        </w:tc>
        <w:tc>
          <w:tcPr>
            <w:tcW w:w="28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w:t>
            </w:r>
          </w:p>
        </w:tc>
        <w:tc>
          <w:tcPr>
            <w:tcW w:w="260" w:type="dxa"/>
            <w:vAlign w:val="bottom"/>
          </w:tcPr>
          <w:p>
            <w:pPr>
              <w:spacing w:after="0"/>
              <w:rPr>
                <w:sz w:val="18"/>
                <w:szCs w:val="18"/>
                <w:color w:val="auto"/>
              </w:rPr>
            </w:pPr>
          </w:p>
        </w:tc>
        <w:tc>
          <w:tcPr>
            <w:tcW w:w="5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4,667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3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967</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2,178</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(1,833)</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1,319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Net revenues</w:t>
            </w:r>
          </w:p>
        </w:tc>
        <w:tc>
          <w:tcPr>
            <w:tcW w:w="24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5,014</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2,798</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(1,833)</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5,986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Operating</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2,555</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3,033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Vehicle depreciation and lease</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charges, net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1,353</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1,535</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(1,317)</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1,571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Vehicle interest, net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(300)</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Non-vehicle related depreciation and</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amortization</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expense related to corporate</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debt, net: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38"/>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Intercompany interest expense</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(income)</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(132)</w:t>
            </w: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Impairment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1,180</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1,195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3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Separation costs</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gridSpan w:val="2"/>
          </w:tcPr>
          <w:p>
            <w:pPr>
              <w:jc w:val="right"/>
              <w:ind w:right="138"/>
              <w:spacing w:after="0"/>
              <w:rPr>
                <w:sz w:val="20"/>
                <w:szCs w:val="20"/>
                <w:color w:val="auto"/>
              </w:rPr>
            </w:pPr>
            <w:r>
              <w:rPr>
                <w:rFonts w:ascii="Times New Roman" w:cs="Times New Roman" w:eastAsia="Times New Roman" w:hAnsi="Times New Roman"/>
                <w:sz w:val="18"/>
                <w:szCs w:val="18"/>
                <w:color w:val="auto"/>
              </w:rPr>
              <w:t>(10)</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24"/>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Total expenses</w:t>
            </w:r>
          </w:p>
        </w:tc>
        <w:tc>
          <w:tcPr>
            <w:tcW w:w="24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6,149</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2,434</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(1,617)</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6,978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3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Income (loss) before income taxes and</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306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equity in earnings of subsidiaries</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w:t>
            </w: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(1,135)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(216)</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(992)</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38"/>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(91)</w:t>
            </w: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28"/>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Equity in earnings (loss) of subsidiaries</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gridSpan w:val="2"/>
          </w:tcPr>
          <w:p>
            <w:pPr>
              <w:jc w:val="right"/>
              <w:ind w:right="138"/>
              <w:spacing w:after="0"/>
              <w:rPr>
                <w:sz w:val="20"/>
                <w:szCs w:val="20"/>
                <w:color w:val="auto"/>
              </w:rPr>
            </w:pPr>
            <w:r>
              <w:rPr>
                <w:rFonts w:ascii="Times New Roman" w:cs="Times New Roman" w:eastAsia="Times New Roman" w:hAnsi="Times New Roman"/>
                <w:sz w:val="18"/>
                <w:szCs w:val="18"/>
                <w:color w:val="auto"/>
              </w:rPr>
              <w:t>(954)</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(1,035)</w:t>
            </w: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1,895</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3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Income (loss) from continuing</w:t>
            </w:r>
          </w:p>
        </w:tc>
        <w:tc>
          <w:tcPr>
            <w:tcW w:w="2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306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operations</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38"/>
              <w:spacing w:after="0"/>
              <w:rPr>
                <w:sz w:val="20"/>
                <w:szCs w:val="20"/>
                <w:color w:val="auto"/>
              </w:rPr>
            </w:pPr>
            <w:r>
              <w:rPr>
                <w:rFonts w:ascii="Times New Roman" w:cs="Times New Roman" w:eastAsia="Times New Roman" w:hAnsi="Times New Roman"/>
                <w:sz w:val="18"/>
                <w:szCs w:val="18"/>
                <w:color w:val="auto"/>
              </w:rPr>
              <w:t>(947)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(953)</w:t>
            </w: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(1,035)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1,679</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(947)</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Income (loss) from Discontinued</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3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operations, net of tax</w:t>
            </w:r>
          </w:p>
        </w:tc>
        <w:tc>
          <w:tcPr>
            <w:tcW w:w="2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24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(916</w:t>
            </w:r>
          </w:p>
        </w:tc>
        <w:tc>
          <w:tcPr>
            <w:tcW w:w="280" w:type="dxa"/>
            <w:vAlign w:val="bottom"/>
          </w:tcPr>
          <w:p>
            <w:pPr>
              <w:jc w:val="right"/>
              <w:ind w:right="138"/>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(953)</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6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(1,035)</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1,679</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(916</w:t>
            </w:r>
          </w:p>
        </w:tc>
        <w:tc>
          <w:tcPr>
            <w:tcW w:w="40" w:type="dxa"/>
            <w:vAlign w:val="bottom"/>
          </w:tcPr>
          <w:p>
            <w:pPr>
              <w:jc w:val="right"/>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20"/>
        </w:trPr>
        <w:tc>
          <w:tcPr>
            <w:tcW w:w="30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3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gridSpan w:val="2"/>
          </w:tcPr>
          <w:p>
            <w:pPr>
              <w:jc w:val="right"/>
              <w:ind w:right="255"/>
              <w:spacing w:after="0"/>
              <w:rPr>
                <w:sz w:val="20"/>
                <w:szCs w:val="20"/>
                <w:color w:val="auto"/>
              </w:rPr>
            </w:pPr>
            <w:r>
              <w:rPr>
                <w:rFonts w:ascii="Times New Roman" w:cs="Times New Roman" w:eastAsia="Times New Roman" w:hAnsi="Times New Roman"/>
                <w:sz w:val="18"/>
                <w:szCs w:val="18"/>
                <w:color w:val="auto"/>
                <w:w w:val="93"/>
              </w:rPr>
              <w:t>F-55</w:t>
            </w: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240" w:top="455" w:right="639" w:bottom="1440" w:gutter="0" w:footer="0" w:header="0"/>
        </w:sectPr>
      </w:pPr>
    </w:p>
    <w:bookmarkStart w:id="116" w:name="page117"/>
    <w:bookmarkEnd w:id="11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tbl>
      <w:tblPr>
        <w:tblLayout w:type="fixed"/>
        <w:tblInd w:w="360" w:type="dxa"/>
        <w:tblCellMar>
          <w:top w:w="0" w:type="dxa"/>
          <w:left w:w="0" w:type="dxa"/>
          <w:bottom w:w="0" w:type="dxa"/>
          <w:right w:w="0" w:type="dxa"/>
        </w:tblCellMar>
      </w:tblPr>
      <w:tr>
        <w:trPr>
          <w:trHeight w:val="230"/>
        </w:trPr>
        <w:tc>
          <w:tcPr>
            <w:tcW w:w="3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Consolidating Condensed Balance Sheets</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As of December 31, 2009</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4"/>
        </w:trPr>
        <w:tc>
          <w:tcPr>
            <w:tcW w:w="3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Non-</w:t>
            </w: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gridSpan w:val="3"/>
          </w:tcPr>
          <w:p>
            <w:pPr>
              <w:ind w:left="320"/>
              <w:spacing w:after="0"/>
              <w:rPr>
                <w:sz w:val="20"/>
                <w:szCs w:val="20"/>
                <w:color w:val="auto"/>
              </w:rPr>
            </w:pPr>
            <w:r>
              <w:rPr>
                <w:rFonts w:ascii="Times New Roman" w:cs="Times New Roman" w:eastAsia="Times New Roman" w:hAnsi="Times New Roman"/>
                <w:sz w:val="18"/>
                <w:szCs w:val="18"/>
                <w:b w:val="1"/>
                <w:bCs w:val="1"/>
                <w:color w:val="auto"/>
                <w:w w:val="96"/>
              </w:rPr>
              <w:t>Subsidiary</w:t>
            </w:r>
          </w:p>
        </w:tc>
        <w:tc>
          <w:tcPr>
            <w:tcW w:w="320" w:type="dxa"/>
            <w:vAlign w:val="bottom"/>
          </w:tcPr>
          <w:p>
            <w:pPr>
              <w:spacing w:after="0"/>
              <w:rPr>
                <w:sz w:val="18"/>
                <w:szCs w:val="18"/>
                <w:color w:val="auto"/>
              </w:rPr>
            </w:pPr>
          </w:p>
        </w:tc>
        <w:tc>
          <w:tcPr>
            <w:tcW w:w="116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Guarantor</w:t>
            </w:r>
          </w:p>
        </w:tc>
        <w:tc>
          <w:tcPr>
            <w:tcW w:w="18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Guarantor</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39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740" w:type="dxa"/>
            <w:vAlign w:val="bottom"/>
            <w:gridSpan w:val="3"/>
          </w:tcPr>
          <w:p>
            <w:pPr>
              <w:ind w:left="220"/>
              <w:spacing w:after="0"/>
              <w:rPr>
                <w:sz w:val="20"/>
                <w:szCs w:val="20"/>
                <w:color w:val="auto"/>
              </w:rPr>
            </w:pPr>
            <w:r>
              <w:rPr>
                <w:rFonts w:ascii="Times New Roman" w:cs="Times New Roman" w:eastAsia="Times New Roman" w:hAnsi="Times New Roman"/>
                <w:sz w:val="18"/>
                <w:szCs w:val="18"/>
                <w:b w:val="1"/>
                <w:bCs w:val="1"/>
                <w:color w:val="auto"/>
                <w:w w:val="96"/>
              </w:rPr>
              <w:t>Parent</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w w:val="96"/>
              </w:rPr>
              <w:t>Issuers</w:t>
            </w:r>
          </w:p>
        </w:tc>
        <w:tc>
          <w:tcPr>
            <w:tcW w:w="1480" w:type="dxa"/>
            <w:vAlign w:val="bottom"/>
            <w:gridSpan w:val="4"/>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Subsidiaries</w:t>
            </w:r>
          </w:p>
        </w:tc>
        <w:tc>
          <w:tcPr>
            <w:tcW w:w="1100" w:type="dxa"/>
            <w:vAlign w:val="bottom"/>
            <w:gridSpan w:val="3"/>
          </w:tcPr>
          <w:p>
            <w:pPr>
              <w:ind w:left="180"/>
              <w:spacing w:after="0"/>
              <w:rPr>
                <w:sz w:val="20"/>
                <w:szCs w:val="20"/>
                <w:color w:val="auto"/>
              </w:rPr>
            </w:pPr>
            <w:r>
              <w:rPr>
                <w:rFonts w:ascii="Times New Roman" w:cs="Times New Roman" w:eastAsia="Times New Roman" w:hAnsi="Times New Roman"/>
                <w:sz w:val="18"/>
                <w:szCs w:val="18"/>
                <w:b w:val="1"/>
                <w:bCs w:val="1"/>
                <w:color w:val="auto"/>
                <w:w w:val="95"/>
              </w:rPr>
              <w:t>Subsidiaries</w:t>
            </w:r>
          </w:p>
        </w:tc>
        <w:tc>
          <w:tcPr>
            <w:tcW w:w="1520" w:type="dxa"/>
            <w:vAlign w:val="bottom"/>
            <w:gridSpan w:val="4"/>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Eliminations</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w w:val="92"/>
              </w:rPr>
              <w:t>Total</w:t>
            </w:r>
          </w:p>
        </w:tc>
        <w:tc>
          <w:tcPr>
            <w:tcW w:w="0" w:type="dxa"/>
            <w:vAlign w:val="bottom"/>
          </w:tcPr>
          <w:p>
            <w:pPr>
              <w:spacing w:after="0"/>
              <w:rPr>
                <w:sz w:val="1"/>
                <w:szCs w:val="1"/>
                <w:color w:val="auto"/>
              </w:rPr>
            </w:pPr>
          </w:p>
        </w:tc>
      </w:tr>
      <w:tr>
        <w:trPr>
          <w:trHeight w:val="196"/>
        </w:trPr>
        <w:tc>
          <w:tcPr>
            <w:tcW w:w="396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4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620" w:type="dxa"/>
            <w:vAlign w:val="bottom"/>
            <w:gridSpan w:val="2"/>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40" w:type="dxa"/>
            <w:vAlign w:val="bottom"/>
          </w:tcPr>
          <w:p>
            <w:pPr>
              <w:spacing w:after="0"/>
              <w:rPr>
                <w:sz w:val="18"/>
                <w:szCs w:val="18"/>
                <w:color w:val="auto"/>
              </w:rPr>
            </w:pPr>
          </w:p>
        </w:tc>
        <w:tc>
          <w:tcPr>
            <w:tcW w:w="3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620" w:type="dxa"/>
            <w:vAlign w:val="bottom"/>
            <w:gridSpan w:val="2"/>
          </w:tcPr>
          <w:p>
            <w:pPr>
              <w:jc w:val="right"/>
              <w:ind w:right="118"/>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w:t>
            </w:r>
          </w:p>
        </w:tc>
        <w:tc>
          <w:tcPr>
            <w:tcW w:w="0" w:type="dxa"/>
            <w:vAlign w:val="bottom"/>
          </w:tcPr>
          <w:p>
            <w:pPr>
              <w:spacing w:after="0"/>
              <w:rPr>
                <w:sz w:val="1"/>
                <w:szCs w:val="1"/>
                <w:color w:val="auto"/>
              </w:rPr>
            </w:pPr>
          </w:p>
        </w:tc>
      </w:tr>
      <w:tr>
        <w:trPr>
          <w:trHeight w:val="216"/>
        </w:trPr>
        <w:tc>
          <w:tcPr>
            <w:tcW w:w="39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Receivables, net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0" w:type="dxa"/>
            <w:vAlign w:val="bottom"/>
          </w:tcPr>
          <w:p>
            <w:pPr>
              <w:spacing w:after="0"/>
              <w:rPr>
                <w:sz w:val="1"/>
                <w:szCs w:val="1"/>
                <w:color w:val="auto"/>
              </w:rPr>
            </w:pPr>
          </w:p>
        </w:tc>
      </w:tr>
      <w:tr>
        <w:trPr>
          <w:trHeight w:val="216"/>
        </w:trPr>
        <w:tc>
          <w:tcPr>
            <w:tcW w:w="39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Deferred income taxes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(16)</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228"/>
        </w:trPr>
        <w:tc>
          <w:tcPr>
            <w:tcW w:w="39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current assets</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674</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(30)</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851</w:t>
            </w:r>
          </w:p>
        </w:tc>
        <w:tc>
          <w:tcPr>
            <w:tcW w:w="0" w:type="dxa"/>
            <w:vAlign w:val="bottom"/>
          </w:tcPr>
          <w:p>
            <w:pPr>
              <w:spacing w:after="0"/>
              <w:rPr>
                <w:sz w:val="1"/>
                <w:szCs w:val="1"/>
                <w:color w:val="auto"/>
              </w:rPr>
            </w:pPr>
          </w:p>
        </w:tc>
      </w:tr>
      <w:tr>
        <w:trPr>
          <w:trHeight w:val="211"/>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924</w:t>
            </w:r>
          </w:p>
        </w:tc>
        <w:tc>
          <w:tcPr>
            <w:tcW w:w="3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3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34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1,730</w:t>
            </w:r>
          </w:p>
        </w:tc>
        <w:tc>
          <w:tcPr>
            <w:tcW w:w="0" w:type="dxa"/>
            <w:vAlign w:val="bottom"/>
          </w:tcPr>
          <w:p>
            <w:pPr>
              <w:spacing w:after="0"/>
              <w:rPr>
                <w:sz w:val="1"/>
                <w:szCs w:val="1"/>
                <w:color w:val="auto"/>
              </w:rPr>
            </w:pPr>
          </w:p>
        </w:tc>
      </w:tr>
      <w:tr>
        <w:trPr>
          <w:trHeight w:val="216"/>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0" w:type="dxa"/>
            <w:vAlign w:val="bottom"/>
          </w:tcPr>
          <w:p>
            <w:pPr>
              <w:spacing w:after="0"/>
              <w:rPr>
                <w:sz w:val="1"/>
                <w:szCs w:val="1"/>
                <w:color w:val="auto"/>
              </w:rPr>
            </w:pPr>
          </w:p>
        </w:tc>
      </w:tr>
      <w:tr>
        <w:trPr>
          <w:trHeight w:val="216"/>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w:t>
            </w:r>
          </w:p>
        </w:tc>
        <w:tc>
          <w:tcPr>
            <w:tcW w:w="0" w:type="dxa"/>
            <w:vAlign w:val="bottom"/>
          </w:tcPr>
          <w:p>
            <w:pPr>
              <w:spacing w:after="0"/>
              <w:rPr>
                <w:sz w:val="1"/>
                <w:szCs w:val="1"/>
                <w:color w:val="auto"/>
              </w:rPr>
            </w:pPr>
          </w:p>
        </w:tc>
      </w:tr>
      <w:tr>
        <w:trPr>
          <w:trHeight w:val="216"/>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16"/>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Other intangibles, net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w:t>
            </w:r>
          </w:p>
        </w:tc>
        <w:tc>
          <w:tcPr>
            <w:tcW w:w="0" w:type="dxa"/>
            <w:vAlign w:val="bottom"/>
          </w:tcPr>
          <w:p>
            <w:pPr>
              <w:spacing w:after="0"/>
              <w:rPr>
                <w:sz w:val="1"/>
                <w:szCs w:val="1"/>
                <w:color w:val="auto"/>
              </w:rPr>
            </w:pPr>
          </w:p>
        </w:tc>
      </w:tr>
      <w:tr>
        <w:trPr>
          <w:trHeight w:val="216"/>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(45)</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0" w:type="dxa"/>
            <w:vAlign w:val="bottom"/>
          </w:tcPr>
          <w:p>
            <w:pPr>
              <w:spacing w:after="0"/>
              <w:rPr>
                <w:sz w:val="1"/>
                <w:szCs w:val="1"/>
                <w:color w:val="auto"/>
              </w:rPr>
            </w:pPr>
          </w:p>
        </w:tc>
      </w:tr>
      <w:tr>
        <w:trPr>
          <w:trHeight w:val="216"/>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Intercompany receivables (payables)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(938)</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8"/>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Investment in subsidiaries</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932</w:t>
            </w: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2,203</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(3,272)</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1"/>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Total assets exclusive of assets under vehicle</w:t>
            </w: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39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programs</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1,303</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2,188</w:t>
            </w: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2,659</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784</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(3,363)</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3,571</w:t>
            </w:r>
          </w:p>
        </w:tc>
        <w:tc>
          <w:tcPr>
            <w:tcW w:w="0" w:type="dxa"/>
            <w:vAlign w:val="bottom"/>
          </w:tcPr>
          <w:p>
            <w:pPr>
              <w:spacing w:after="0"/>
              <w:rPr>
                <w:sz w:val="1"/>
                <w:szCs w:val="1"/>
                <w:color w:val="auto"/>
              </w:rPr>
            </w:pPr>
          </w:p>
        </w:tc>
      </w:tr>
      <w:tr>
        <w:trPr>
          <w:trHeight w:val="211"/>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Assets under vehicle programs:</w:t>
            </w: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Program cash</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0" w:type="dxa"/>
            <w:vAlign w:val="bottom"/>
          </w:tcPr>
          <w:p>
            <w:pPr>
              <w:spacing w:after="0"/>
              <w:rPr>
                <w:sz w:val="1"/>
                <w:szCs w:val="1"/>
                <w:color w:val="auto"/>
              </w:rPr>
            </w:pPr>
          </w:p>
        </w:tc>
      </w:tr>
      <w:tr>
        <w:trPr>
          <w:trHeight w:val="216"/>
        </w:trPr>
        <w:tc>
          <w:tcPr>
            <w:tcW w:w="39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Vehicles, net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5,816</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5,967</w:t>
            </w:r>
          </w:p>
        </w:tc>
        <w:tc>
          <w:tcPr>
            <w:tcW w:w="0" w:type="dxa"/>
            <w:vAlign w:val="bottom"/>
          </w:tcPr>
          <w:p>
            <w:pPr>
              <w:spacing w:after="0"/>
              <w:rPr>
                <w:sz w:val="1"/>
                <w:szCs w:val="1"/>
                <w:color w:val="auto"/>
              </w:rPr>
            </w:pPr>
          </w:p>
        </w:tc>
      </w:tr>
      <w:tr>
        <w:trPr>
          <w:trHeight w:val="216"/>
        </w:trPr>
        <w:tc>
          <w:tcPr>
            <w:tcW w:w="39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Receivables from vehicle manufacturers and other</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0" w:type="dxa"/>
            <w:vAlign w:val="bottom"/>
          </w:tcPr>
          <w:p>
            <w:pPr>
              <w:spacing w:after="0"/>
              <w:rPr>
                <w:sz w:val="1"/>
                <w:szCs w:val="1"/>
                <w:color w:val="auto"/>
              </w:rPr>
            </w:pPr>
          </w:p>
        </w:tc>
      </w:tr>
      <w:tr>
        <w:trPr>
          <w:trHeight w:val="216"/>
        </w:trPr>
        <w:tc>
          <w:tcPr>
            <w:tcW w:w="39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Investment in Avis Budget Rental Car Funding</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9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(AESOP) LLC-related party</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3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0" w:type="dxa"/>
            <w:vAlign w:val="bottom"/>
          </w:tcPr>
          <w:p>
            <w:pPr>
              <w:spacing w:after="0"/>
              <w:rPr>
                <w:sz w:val="1"/>
                <w:szCs w:val="1"/>
                <w:color w:val="auto"/>
              </w:rPr>
            </w:pPr>
          </w:p>
        </w:tc>
      </w:tr>
      <w:tr>
        <w:trPr>
          <w:trHeight w:val="223"/>
        </w:trPr>
        <w:tc>
          <w:tcPr>
            <w:tcW w:w="3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3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6,371</w:t>
            </w:r>
          </w:p>
        </w:tc>
        <w:tc>
          <w:tcPr>
            <w:tcW w:w="3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6,522</w:t>
            </w:r>
          </w:p>
        </w:tc>
        <w:tc>
          <w:tcPr>
            <w:tcW w:w="0" w:type="dxa"/>
            <w:vAlign w:val="bottom"/>
          </w:tcPr>
          <w:p>
            <w:pPr>
              <w:spacing w:after="0"/>
              <w:rPr>
                <w:sz w:val="1"/>
                <w:szCs w:val="1"/>
                <w:color w:val="auto"/>
              </w:rPr>
            </w:pPr>
          </w:p>
        </w:tc>
      </w:tr>
      <w:tr>
        <w:trPr>
          <w:trHeight w:val="223"/>
        </w:trPr>
        <w:tc>
          <w:tcPr>
            <w:tcW w:w="3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1,303</w:t>
            </w:r>
          </w:p>
        </w:tc>
        <w:tc>
          <w:tcPr>
            <w:tcW w:w="320" w:type="dxa"/>
            <w:vAlign w:val="bottom"/>
          </w:tcPr>
          <w:p>
            <w:pPr>
              <w:spacing w:after="0"/>
              <w:rPr>
                <w:sz w:val="19"/>
                <w:szCs w:val="19"/>
                <w:color w:val="auto"/>
              </w:rPr>
            </w:pP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2,198</w:t>
            </w:r>
          </w:p>
        </w:tc>
        <w:tc>
          <w:tcPr>
            <w:tcW w:w="320" w:type="dxa"/>
            <w:vAlign w:val="bottom"/>
          </w:tcPr>
          <w:p>
            <w:pPr>
              <w:spacing w:after="0"/>
              <w:rPr>
                <w:sz w:val="19"/>
                <w:szCs w:val="19"/>
                <w:color w:val="auto"/>
              </w:rPr>
            </w:pPr>
          </w:p>
        </w:tc>
        <w:tc>
          <w:tcPr>
            <w:tcW w:w="30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2,800</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7,155</w:t>
            </w:r>
          </w:p>
        </w:tc>
        <w:tc>
          <w:tcPr>
            <w:tcW w:w="340" w:type="dxa"/>
            <w:vAlign w:val="bottom"/>
          </w:tcPr>
          <w:p>
            <w:pPr>
              <w:spacing w:after="0"/>
              <w:rPr>
                <w:sz w:val="19"/>
                <w:szCs w:val="19"/>
                <w:color w:val="auto"/>
              </w:rPr>
            </w:pPr>
          </w:p>
        </w:tc>
        <w:tc>
          <w:tcPr>
            <w:tcW w:w="28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(3,363)</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u w:val="single" w:color="auto"/>
                <w:color w:val="auto"/>
                <w:w w:val="74"/>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10,093</w:t>
            </w:r>
          </w:p>
        </w:tc>
        <w:tc>
          <w:tcPr>
            <w:tcW w:w="0" w:type="dxa"/>
            <w:vAlign w:val="bottom"/>
          </w:tcPr>
          <w:p>
            <w:pPr>
              <w:spacing w:after="0"/>
              <w:rPr>
                <w:sz w:val="1"/>
                <w:szCs w:val="1"/>
                <w:color w:val="auto"/>
              </w:rPr>
            </w:pPr>
          </w:p>
        </w:tc>
      </w:tr>
      <w:tr>
        <w:trPr>
          <w:trHeight w:val="20"/>
        </w:trPr>
        <w:tc>
          <w:tcPr>
            <w:tcW w:w="39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96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Accounts payable and other current liabilities</w:t>
            </w:r>
          </w:p>
        </w:tc>
        <w:tc>
          <w:tcPr>
            <w:tcW w:w="3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w:t>
            </w:r>
          </w:p>
        </w:tc>
        <w:tc>
          <w:tcPr>
            <w:tcW w:w="4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620" w:type="dxa"/>
            <w:vAlign w:val="bottom"/>
            <w:gridSpan w:val="2"/>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w:t>
            </w:r>
          </w:p>
        </w:tc>
        <w:tc>
          <w:tcPr>
            <w:tcW w:w="240" w:type="dxa"/>
            <w:vAlign w:val="bottom"/>
          </w:tcPr>
          <w:p>
            <w:pPr>
              <w:spacing w:after="0"/>
              <w:rPr>
                <w:sz w:val="18"/>
                <w:szCs w:val="18"/>
                <w:color w:val="auto"/>
              </w:rPr>
            </w:pPr>
          </w:p>
        </w:tc>
        <w:tc>
          <w:tcPr>
            <w:tcW w:w="3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620" w:type="dxa"/>
            <w:vAlign w:val="bottom"/>
            <w:gridSpan w:val="2"/>
          </w:tcPr>
          <w:p>
            <w:pPr>
              <w:jc w:val="right"/>
              <w:ind w:right="118"/>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(44)</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1,272</w:t>
            </w:r>
          </w:p>
        </w:tc>
        <w:tc>
          <w:tcPr>
            <w:tcW w:w="0" w:type="dxa"/>
            <w:vAlign w:val="bottom"/>
          </w:tcPr>
          <w:p>
            <w:pPr>
              <w:spacing w:after="0"/>
              <w:rPr>
                <w:sz w:val="1"/>
                <w:szCs w:val="1"/>
                <w:color w:val="auto"/>
              </w:rPr>
            </w:pPr>
          </w:p>
        </w:tc>
      </w:tr>
      <w:tr>
        <w:trPr>
          <w:trHeight w:val="228"/>
        </w:trPr>
        <w:tc>
          <w:tcPr>
            <w:tcW w:w="39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3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1"/>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1,284</w:t>
            </w:r>
          </w:p>
        </w:tc>
        <w:tc>
          <w:tcPr>
            <w:tcW w:w="0" w:type="dxa"/>
            <w:vAlign w:val="bottom"/>
          </w:tcPr>
          <w:p>
            <w:pPr>
              <w:spacing w:after="0"/>
              <w:rPr>
                <w:sz w:val="1"/>
                <w:szCs w:val="1"/>
                <w:color w:val="auto"/>
              </w:rPr>
            </w:pPr>
          </w:p>
        </w:tc>
      </w:tr>
      <w:tr>
        <w:trPr>
          <w:trHeight w:val="216"/>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1,770</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2,119</w:t>
            </w:r>
          </w:p>
        </w:tc>
        <w:tc>
          <w:tcPr>
            <w:tcW w:w="0" w:type="dxa"/>
            <w:vAlign w:val="bottom"/>
          </w:tcPr>
          <w:p>
            <w:pPr>
              <w:spacing w:after="0"/>
              <w:rPr>
                <w:sz w:val="1"/>
                <w:szCs w:val="1"/>
                <w:color w:val="auto"/>
              </w:rPr>
            </w:pPr>
          </w:p>
        </w:tc>
      </w:tr>
      <w:tr>
        <w:trPr>
          <w:trHeight w:val="228"/>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(42)</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w:t>
            </w:r>
          </w:p>
        </w:tc>
        <w:tc>
          <w:tcPr>
            <w:tcW w:w="0" w:type="dxa"/>
            <w:vAlign w:val="bottom"/>
          </w:tcPr>
          <w:p>
            <w:pPr>
              <w:spacing w:after="0"/>
              <w:rPr>
                <w:sz w:val="1"/>
                <w:szCs w:val="1"/>
                <w:color w:val="auto"/>
              </w:rPr>
            </w:pPr>
          </w:p>
        </w:tc>
      </w:tr>
      <w:tr>
        <w:trPr>
          <w:trHeight w:val="211"/>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 exclusive of liabilities under vehicle</w:t>
            </w: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39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programs</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1,081</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2,071</w:t>
            </w: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744</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(86)</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4,033</w:t>
            </w:r>
          </w:p>
        </w:tc>
        <w:tc>
          <w:tcPr>
            <w:tcW w:w="0" w:type="dxa"/>
            <w:vAlign w:val="bottom"/>
          </w:tcPr>
          <w:p>
            <w:pPr>
              <w:spacing w:after="0"/>
              <w:rPr>
                <w:sz w:val="1"/>
                <w:szCs w:val="1"/>
                <w:color w:val="auto"/>
              </w:rPr>
            </w:pPr>
          </w:p>
        </w:tc>
      </w:tr>
      <w:tr>
        <w:trPr>
          <w:trHeight w:val="211"/>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Liabilities under vehicle programs:</w:t>
            </w: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Debt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714</w:t>
            </w:r>
          </w:p>
        </w:tc>
        <w:tc>
          <w:tcPr>
            <w:tcW w:w="0" w:type="dxa"/>
            <w:vAlign w:val="bottom"/>
          </w:tcPr>
          <w:p>
            <w:pPr>
              <w:spacing w:after="0"/>
              <w:rPr>
                <w:sz w:val="1"/>
                <w:szCs w:val="1"/>
                <w:color w:val="auto"/>
              </w:rPr>
            </w:pPr>
          </w:p>
        </w:tc>
      </w:tr>
      <w:tr>
        <w:trPr>
          <w:trHeight w:val="216"/>
        </w:trPr>
        <w:tc>
          <w:tcPr>
            <w:tcW w:w="39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Due to Avis Budget Rental Car Funding (AESOP)</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LLC-related party</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3,660</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3,660</w:t>
            </w:r>
          </w:p>
        </w:tc>
        <w:tc>
          <w:tcPr>
            <w:tcW w:w="0" w:type="dxa"/>
            <w:vAlign w:val="bottom"/>
          </w:tcPr>
          <w:p>
            <w:pPr>
              <w:spacing w:after="0"/>
              <w:rPr>
                <w:sz w:val="1"/>
                <w:szCs w:val="1"/>
                <w:color w:val="auto"/>
              </w:rPr>
            </w:pPr>
          </w:p>
        </w:tc>
      </w:tr>
      <w:tr>
        <w:trPr>
          <w:trHeight w:val="216"/>
        </w:trPr>
        <w:tc>
          <w:tcPr>
            <w:tcW w:w="39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Deferred income taxes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1,093</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1,267</w:t>
            </w:r>
          </w:p>
        </w:tc>
        <w:tc>
          <w:tcPr>
            <w:tcW w:w="0" w:type="dxa"/>
            <w:vAlign w:val="bottom"/>
          </w:tcPr>
          <w:p>
            <w:pPr>
              <w:spacing w:after="0"/>
              <w:rPr>
                <w:sz w:val="1"/>
                <w:szCs w:val="1"/>
                <w:color w:val="auto"/>
              </w:rPr>
            </w:pPr>
          </w:p>
        </w:tc>
      </w:tr>
      <w:tr>
        <w:trPr>
          <w:trHeight w:val="229"/>
        </w:trPr>
        <w:tc>
          <w:tcPr>
            <w:tcW w:w="39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3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0" w:type="dxa"/>
            <w:vAlign w:val="bottom"/>
          </w:tcPr>
          <w:p>
            <w:pPr>
              <w:spacing w:after="0"/>
              <w:rPr>
                <w:sz w:val="1"/>
                <w:szCs w:val="1"/>
                <w:color w:val="auto"/>
              </w:rPr>
            </w:pPr>
          </w:p>
        </w:tc>
      </w:tr>
      <w:tr>
        <w:trPr>
          <w:trHeight w:val="223"/>
        </w:trPr>
        <w:tc>
          <w:tcPr>
            <w:tcW w:w="3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3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1,124</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4,704</w:t>
            </w:r>
          </w:p>
        </w:tc>
        <w:tc>
          <w:tcPr>
            <w:tcW w:w="3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5,838</w:t>
            </w:r>
          </w:p>
        </w:tc>
        <w:tc>
          <w:tcPr>
            <w:tcW w:w="0" w:type="dxa"/>
            <w:vAlign w:val="bottom"/>
          </w:tcPr>
          <w:p>
            <w:pPr>
              <w:spacing w:after="0"/>
              <w:rPr>
                <w:sz w:val="1"/>
                <w:szCs w:val="1"/>
                <w:color w:val="auto"/>
              </w:rPr>
            </w:pPr>
          </w:p>
        </w:tc>
      </w:tr>
      <w:tr>
        <w:trPr>
          <w:trHeight w:val="223"/>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3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3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932</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2,228</w:t>
            </w:r>
          </w:p>
        </w:tc>
        <w:tc>
          <w:tcPr>
            <w:tcW w:w="3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(3,277)</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0" w:type="dxa"/>
            <w:vAlign w:val="bottom"/>
          </w:tcPr>
          <w:p>
            <w:pPr>
              <w:spacing w:after="0"/>
              <w:rPr>
                <w:sz w:val="1"/>
                <w:szCs w:val="1"/>
                <w:color w:val="auto"/>
              </w:rPr>
            </w:pPr>
          </w:p>
        </w:tc>
      </w:tr>
      <w:tr>
        <w:trPr>
          <w:trHeight w:val="224"/>
        </w:trPr>
        <w:tc>
          <w:tcPr>
            <w:tcW w:w="3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1,303</w:t>
            </w:r>
          </w:p>
        </w:tc>
        <w:tc>
          <w:tcPr>
            <w:tcW w:w="320" w:type="dxa"/>
            <w:vAlign w:val="bottom"/>
          </w:tcPr>
          <w:p>
            <w:pPr>
              <w:spacing w:after="0"/>
              <w:rPr>
                <w:sz w:val="19"/>
                <w:szCs w:val="19"/>
                <w:color w:val="auto"/>
              </w:rPr>
            </w:pP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2,198</w:t>
            </w:r>
          </w:p>
        </w:tc>
        <w:tc>
          <w:tcPr>
            <w:tcW w:w="320" w:type="dxa"/>
            <w:vAlign w:val="bottom"/>
          </w:tcPr>
          <w:p>
            <w:pPr>
              <w:spacing w:after="0"/>
              <w:rPr>
                <w:sz w:val="19"/>
                <w:szCs w:val="19"/>
                <w:color w:val="auto"/>
              </w:rPr>
            </w:pPr>
          </w:p>
        </w:tc>
        <w:tc>
          <w:tcPr>
            <w:tcW w:w="30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2,800</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7,155</w:t>
            </w:r>
          </w:p>
        </w:tc>
        <w:tc>
          <w:tcPr>
            <w:tcW w:w="340" w:type="dxa"/>
            <w:vAlign w:val="bottom"/>
          </w:tcPr>
          <w:p>
            <w:pPr>
              <w:spacing w:after="0"/>
              <w:rPr>
                <w:sz w:val="19"/>
                <w:szCs w:val="19"/>
                <w:color w:val="auto"/>
              </w:rPr>
            </w:pPr>
          </w:p>
        </w:tc>
        <w:tc>
          <w:tcPr>
            <w:tcW w:w="28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(3,363)</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u w:val="single" w:color="auto"/>
                <w:color w:val="auto"/>
                <w:w w:val="74"/>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10,093</w:t>
            </w: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3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F-56</w:t>
            </w: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240" w:top="455" w:right="579" w:bottom="1440" w:gutter="0" w:footer="0" w:header="0"/>
        </w:sectPr>
      </w:pPr>
    </w:p>
    <w:bookmarkStart w:id="117" w:name="page118"/>
    <w:bookmarkEnd w:id="11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tbl>
      <w:tblPr>
        <w:tblLayout w:type="fixed"/>
        <w:tblInd w:w="360" w:type="dxa"/>
        <w:tblCellMar>
          <w:top w:w="0" w:type="dxa"/>
          <w:left w:w="0" w:type="dxa"/>
          <w:bottom w:w="0" w:type="dxa"/>
          <w:right w:w="0" w:type="dxa"/>
        </w:tblCellMar>
      </w:tblPr>
      <w:tr>
        <w:trPr>
          <w:trHeight w:val="228"/>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As of December 31, 2008</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4"/>
        </w:trPr>
        <w:tc>
          <w:tcPr>
            <w:tcW w:w="3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6"/>
              </w:rPr>
              <w:t>Subsidiary</w:t>
            </w:r>
          </w:p>
        </w:tc>
        <w:tc>
          <w:tcPr>
            <w:tcW w:w="140" w:type="dxa"/>
            <w:vAlign w:val="bottom"/>
          </w:tcPr>
          <w:p>
            <w:pPr>
              <w:spacing w:after="0"/>
              <w:rPr>
                <w:sz w:val="24"/>
                <w:szCs w:val="24"/>
                <w:color w:val="auto"/>
              </w:rPr>
            </w:pPr>
          </w:p>
        </w:tc>
        <w:tc>
          <w:tcPr>
            <w:tcW w:w="118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Guarantor</w:t>
            </w:r>
          </w:p>
        </w:tc>
        <w:tc>
          <w:tcPr>
            <w:tcW w:w="1400" w:type="dxa"/>
            <w:vAlign w:val="bottom"/>
            <w:gridSpan w:val="3"/>
          </w:tcPr>
          <w:p>
            <w:pPr>
              <w:ind w:left="200"/>
              <w:spacing w:after="0"/>
              <w:rPr>
                <w:sz w:val="20"/>
                <w:szCs w:val="20"/>
                <w:color w:val="auto"/>
              </w:rPr>
            </w:pPr>
            <w:r>
              <w:rPr>
                <w:rFonts w:ascii="Times New Roman" w:cs="Times New Roman" w:eastAsia="Times New Roman" w:hAnsi="Times New Roman"/>
                <w:sz w:val="18"/>
                <w:szCs w:val="18"/>
                <w:b w:val="1"/>
                <w:bCs w:val="1"/>
                <w:color w:val="auto"/>
                <w:w w:val="97"/>
              </w:rPr>
              <w:t>Non-Guarantor</w:t>
            </w: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1"/>
        </w:trPr>
        <w:tc>
          <w:tcPr>
            <w:tcW w:w="33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960" w:type="dxa"/>
            <w:vAlign w:val="bottom"/>
            <w:gridSpan w:val="4"/>
          </w:tcPr>
          <w:p>
            <w:pPr>
              <w:ind w:left="200"/>
              <w:spacing w:after="0"/>
              <w:rPr>
                <w:sz w:val="20"/>
                <w:szCs w:val="20"/>
                <w:color w:val="auto"/>
              </w:rPr>
            </w:pPr>
            <w:r>
              <w:rPr>
                <w:rFonts w:ascii="Times New Roman" w:cs="Times New Roman" w:eastAsia="Times New Roman" w:hAnsi="Times New Roman"/>
                <w:sz w:val="18"/>
                <w:szCs w:val="18"/>
                <w:b w:val="1"/>
                <w:bCs w:val="1"/>
                <w:color w:val="auto"/>
              </w:rPr>
              <w:t>Parent</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6"/>
              </w:rPr>
              <w:t>Issuers</w:t>
            </w:r>
          </w:p>
        </w:tc>
        <w:tc>
          <w:tcPr>
            <w:tcW w:w="1320" w:type="dxa"/>
            <w:vAlign w:val="bottom"/>
            <w:gridSpan w:val="4"/>
          </w:tcPr>
          <w:p>
            <w:pPr>
              <w:ind w:left="140"/>
              <w:spacing w:after="0"/>
              <w:rPr>
                <w:sz w:val="20"/>
                <w:szCs w:val="20"/>
                <w:color w:val="auto"/>
              </w:rPr>
            </w:pPr>
            <w:r>
              <w:rPr>
                <w:rFonts w:ascii="Times New Roman" w:cs="Times New Roman" w:eastAsia="Times New Roman" w:hAnsi="Times New Roman"/>
                <w:sz w:val="18"/>
                <w:szCs w:val="18"/>
                <w:b w:val="1"/>
                <w:bCs w:val="1"/>
                <w:color w:val="auto"/>
              </w:rPr>
              <w:t>Subsidiaries</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w w:val="99"/>
              </w:rPr>
              <w:t>Subsidiaries</w:t>
            </w:r>
          </w:p>
        </w:tc>
        <w:tc>
          <w:tcPr>
            <w:tcW w:w="1560" w:type="dxa"/>
            <w:vAlign w:val="bottom"/>
            <w:gridSpan w:val="4"/>
          </w:tcPr>
          <w:p>
            <w:pPr>
              <w:ind w:left="340"/>
              <w:spacing w:after="0"/>
              <w:rPr>
                <w:sz w:val="20"/>
                <w:szCs w:val="20"/>
                <w:color w:val="auto"/>
              </w:rPr>
            </w:pPr>
            <w:r>
              <w:rPr>
                <w:rFonts w:ascii="Times New Roman" w:cs="Times New Roman" w:eastAsia="Times New Roman" w:hAnsi="Times New Roman"/>
                <w:sz w:val="18"/>
                <w:szCs w:val="18"/>
                <w:b w:val="1"/>
                <w:bCs w:val="1"/>
                <w:color w:val="auto"/>
              </w:rPr>
              <w:t>Eliminations</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w w:val="92"/>
              </w:rPr>
              <w:t>Total</w:t>
            </w:r>
          </w:p>
        </w:tc>
        <w:tc>
          <w:tcPr>
            <w:tcW w:w="0" w:type="dxa"/>
            <w:vAlign w:val="bottom"/>
          </w:tcPr>
          <w:p>
            <w:pPr>
              <w:spacing w:after="0"/>
              <w:rPr>
                <w:sz w:val="1"/>
                <w:szCs w:val="1"/>
                <w:color w:val="auto"/>
              </w:rPr>
            </w:pPr>
          </w:p>
        </w:tc>
      </w:tr>
      <w:tr>
        <w:trPr>
          <w:trHeight w:val="196"/>
        </w:trPr>
        <w:tc>
          <w:tcPr>
            <w:tcW w:w="336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4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320" w:type="dxa"/>
            <w:vAlign w:val="bottom"/>
          </w:tcPr>
          <w:p>
            <w:pPr>
              <w:spacing w:after="0"/>
              <w:rPr>
                <w:sz w:val="18"/>
                <w:szCs w:val="18"/>
                <w:color w:val="auto"/>
              </w:rPr>
            </w:pPr>
          </w:p>
        </w:tc>
        <w:tc>
          <w:tcPr>
            <w:tcW w:w="4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60" w:type="dxa"/>
            <w:vAlign w:val="bottom"/>
          </w:tcPr>
          <w:p>
            <w:pPr>
              <w:spacing w:after="0"/>
              <w:rPr>
                <w:sz w:val="18"/>
                <w:szCs w:val="18"/>
                <w:color w:val="auto"/>
              </w:rPr>
            </w:pPr>
          </w:p>
        </w:tc>
        <w:tc>
          <w:tcPr>
            <w:tcW w:w="3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6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0" w:type="dxa"/>
            <w:vAlign w:val="bottom"/>
          </w:tcPr>
          <w:p>
            <w:pPr>
              <w:spacing w:after="0"/>
              <w:rPr>
                <w:sz w:val="1"/>
                <w:szCs w:val="1"/>
                <w:color w:val="auto"/>
              </w:rPr>
            </w:pPr>
          </w:p>
        </w:tc>
      </w:tr>
      <w:tr>
        <w:trPr>
          <w:trHeight w:val="216"/>
        </w:trPr>
        <w:tc>
          <w:tcPr>
            <w:tcW w:w="3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Receivables, net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0" w:type="dxa"/>
            <w:vAlign w:val="bottom"/>
          </w:tcPr>
          <w:p>
            <w:pPr>
              <w:spacing w:after="0"/>
              <w:rPr>
                <w:sz w:val="1"/>
                <w:szCs w:val="1"/>
                <w:color w:val="auto"/>
              </w:rPr>
            </w:pPr>
          </w:p>
        </w:tc>
      </w:tr>
      <w:tr>
        <w:trPr>
          <w:trHeight w:val="216"/>
        </w:trPr>
        <w:tc>
          <w:tcPr>
            <w:tcW w:w="3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Deferred income taxes</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(24)</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28"/>
        </w:trPr>
        <w:tc>
          <w:tcPr>
            <w:tcW w:w="3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current assets</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0" w:type="dxa"/>
            <w:vAlign w:val="bottom"/>
          </w:tcPr>
          <w:p>
            <w:pPr>
              <w:spacing w:after="0"/>
              <w:rPr>
                <w:sz w:val="1"/>
                <w:szCs w:val="1"/>
                <w:color w:val="auto"/>
              </w:rPr>
            </w:pPr>
          </w:p>
        </w:tc>
      </w:tr>
      <w:tr>
        <w:trPr>
          <w:trHeight w:val="224"/>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2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34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1,073</w:t>
            </w:r>
          </w:p>
        </w:tc>
        <w:tc>
          <w:tcPr>
            <w:tcW w:w="0" w:type="dxa"/>
            <w:vAlign w:val="bottom"/>
          </w:tcPr>
          <w:p>
            <w:pPr>
              <w:spacing w:after="0"/>
              <w:rPr>
                <w:sz w:val="1"/>
                <w:szCs w:val="1"/>
                <w:color w:val="auto"/>
              </w:rPr>
            </w:pPr>
          </w:p>
        </w:tc>
      </w:tr>
      <w:tr>
        <w:trPr>
          <w:trHeight w:val="311"/>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w:t>
            </w:r>
          </w:p>
        </w:tc>
        <w:tc>
          <w:tcPr>
            <w:tcW w:w="0" w:type="dxa"/>
            <w:vAlign w:val="bottom"/>
          </w:tcPr>
          <w:p>
            <w:pPr>
              <w:spacing w:after="0"/>
              <w:rPr>
                <w:sz w:val="1"/>
                <w:szCs w:val="1"/>
                <w:color w:val="auto"/>
              </w:rPr>
            </w:pPr>
          </w:p>
        </w:tc>
      </w:tr>
      <w:tr>
        <w:trPr>
          <w:trHeight w:val="216"/>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w:t>
            </w:r>
          </w:p>
        </w:tc>
        <w:tc>
          <w:tcPr>
            <w:tcW w:w="0" w:type="dxa"/>
            <w:vAlign w:val="bottom"/>
          </w:tcPr>
          <w:p>
            <w:pPr>
              <w:spacing w:after="0"/>
              <w:rPr>
                <w:sz w:val="1"/>
                <w:szCs w:val="1"/>
                <w:color w:val="auto"/>
              </w:rPr>
            </w:pPr>
          </w:p>
        </w:tc>
      </w:tr>
      <w:tr>
        <w:trPr>
          <w:trHeight w:val="216"/>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16"/>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Other intangibles, net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0" w:type="dxa"/>
            <w:vAlign w:val="bottom"/>
          </w:tcPr>
          <w:p>
            <w:pPr>
              <w:spacing w:after="0"/>
              <w:rPr>
                <w:sz w:val="1"/>
                <w:szCs w:val="1"/>
                <w:color w:val="auto"/>
              </w:rPr>
            </w:pPr>
          </w:p>
        </w:tc>
      </w:tr>
      <w:tr>
        <w:trPr>
          <w:trHeight w:val="216"/>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765</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889</w:t>
            </w:r>
          </w:p>
        </w:tc>
        <w:tc>
          <w:tcPr>
            <w:tcW w:w="0" w:type="dxa"/>
            <w:vAlign w:val="bottom"/>
          </w:tcPr>
          <w:p>
            <w:pPr>
              <w:spacing w:after="0"/>
              <w:rPr>
                <w:sz w:val="1"/>
                <w:szCs w:val="1"/>
                <w:color w:val="auto"/>
              </w:rPr>
            </w:pPr>
          </w:p>
        </w:tc>
      </w:tr>
      <w:tr>
        <w:trPr>
          <w:trHeight w:val="216"/>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Intercompany receivables (payables)</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794</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(1,075)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8"/>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Investment in subsidiaries</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(19)</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752</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1,961</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(2,694)</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1"/>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Total assets exclusive of assets under vehicle</w:t>
            </w:r>
          </w:p>
        </w:tc>
        <w:tc>
          <w:tcPr>
            <w:tcW w:w="2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3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programs</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930</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2,154</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2,385</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745</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(2,722)</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3,492</w:t>
            </w:r>
          </w:p>
        </w:tc>
        <w:tc>
          <w:tcPr>
            <w:tcW w:w="0" w:type="dxa"/>
            <w:vAlign w:val="bottom"/>
          </w:tcPr>
          <w:p>
            <w:pPr>
              <w:spacing w:after="0"/>
              <w:rPr>
                <w:sz w:val="1"/>
                <w:szCs w:val="1"/>
                <w:color w:val="auto"/>
              </w:rPr>
            </w:pPr>
          </w:p>
        </w:tc>
      </w:tr>
      <w:tr>
        <w:trPr>
          <w:trHeight w:val="211"/>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Assets under vehicle programs:</w:t>
            </w:r>
          </w:p>
        </w:tc>
        <w:tc>
          <w:tcPr>
            <w:tcW w:w="2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Program cash</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6"/>
        </w:trPr>
        <w:tc>
          <w:tcPr>
            <w:tcW w:w="3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Vehicles, net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6,990</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7,164</w:t>
            </w:r>
          </w:p>
        </w:tc>
        <w:tc>
          <w:tcPr>
            <w:tcW w:w="0" w:type="dxa"/>
            <w:vAlign w:val="bottom"/>
          </w:tcPr>
          <w:p>
            <w:pPr>
              <w:spacing w:after="0"/>
              <w:rPr>
                <w:sz w:val="1"/>
                <w:szCs w:val="1"/>
                <w:color w:val="auto"/>
              </w:rPr>
            </w:pPr>
          </w:p>
        </w:tc>
      </w:tr>
      <w:tr>
        <w:trPr>
          <w:trHeight w:val="216"/>
        </w:trPr>
        <w:tc>
          <w:tcPr>
            <w:tcW w:w="3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Receivables from vehicle manufacturers</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and other</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w:t>
            </w:r>
          </w:p>
        </w:tc>
        <w:tc>
          <w:tcPr>
            <w:tcW w:w="0" w:type="dxa"/>
            <w:vAlign w:val="bottom"/>
          </w:tcPr>
          <w:p>
            <w:pPr>
              <w:spacing w:after="0"/>
              <w:rPr>
                <w:sz w:val="1"/>
                <w:szCs w:val="1"/>
                <w:color w:val="auto"/>
              </w:rPr>
            </w:pPr>
          </w:p>
        </w:tc>
      </w:tr>
      <w:tr>
        <w:trPr>
          <w:trHeight w:val="216"/>
        </w:trPr>
        <w:tc>
          <w:tcPr>
            <w:tcW w:w="3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Investment in Avis Budget Rental Car</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3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Funding (AESOP) LLC-related party</w:t>
            </w:r>
          </w:p>
        </w:tc>
        <w:tc>
          <w:tcPr>
            <w:tcW w:w="2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3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0" w:type="dxa"/>
            <w:vAlign w:val="bottom"/>
          </w:tcPr>
          <w:p>
            <w:pPr>
              <w:spacing w:after="0"/>
              <w:rPr>
                <w:sz w:val="1"/>
                <w:szCs w:val="1"/>
                <w:color w:val="auto"/>
              </w:rPr>
            </w:pPr>
          </w:p>
        </w:tc>
      </w:tr>
      <w:tr>
        <w:trPr>
          <w:trHeight w:val="223"/>
        </w:trPr>
        <w:tc>
          <w:tcPr>
            <w:tcW w:w="3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7,652</w:t>
            </w:r>
          </w:p>
        </w:tc>
        <w:tc>
          <w:tcPr>
            <w:tcW w:w="3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7,826</w:t>
            </w:r>
          </w:p>
        </w:tc>
        <w:tc>
          <w:tcPr>
            <w:tcW w:w="0" w:type="dxa"/>
            <w:vAlign w:val="bottom"/>
          </w:tcPr>
          <w:p>
            <w:pPr>
              <w:spacing w:after="0"/>
              <w:rPr>
                <w:sz w:val="1"/>
                <w:szCs w:val="1"/>
                <w:color w:val="auto"/>
              </w:rPr>
            </w:pPr>
          </w:p>
        </w:tc>
      </w:tr>
      <w:tr>
        <w:trPr>
          <w:trHeight w:val="223"/>
        </w:trPr>
        <w:tc>
          <w:tcPr>
            <w:tcW w:w="3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00" w:type="dxa"/>
            <w:vAlign w:val="bottom"/>
          </w:tcPr>
          <w:p>
            <w:pPr>
              <w:spacing w:after="0"/>
              <w:rPr>
                <w:sz w:val="19"/>
                <w:szCs w:val="19"/>
                <w:color w:val="auto"/>
              </w:rPr>
            </w:pPr>
          </w:p>
        </w:tc>
        <w:tc>
          <w:tcPr>
            <w:tcW w:w="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930</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2,154</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2,559</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8,397</w:t>
            </w:r>
          </w:p>
        </w:tc>
        <w:tc>
          <w:tcPr>
            <w:tcW w:w="340" w:type="dxa"/>
            <w:vAlign w:val="bottom"/>
          </w:tcPr>
          <w:p>
            <w:pPr>
              <w:spacing w:after="0"/>
              <w:rPr>
                <w:sz w:val="19"/>
                <w:szCs w:val="19"/>
                <w:color w:val="auto"/>
              </w:rPr>
            </w:pPr>
          </w:p>
        </w:tc>
        <w:tc>
          <w:tcPr>
            <w:tcW w:w="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(2,722)</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u w:val="single" w:color="auto"/>
                <w:color w:val="auto"/>
                <w:w w:val="74"/>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11,318</w:t>
            </w:r>
          </w:p>
        </w:tc>
        <w:tc>
          <w:tcPr>
            <w:tcW w:w="0" w:type="dxa"/>
            <w:vAlign w:val="bottom"/>
          </w:tcPr>
          <w:p>
            <w:pPr>
              <w:spacing w:after="0"/>
              <w:rPr>
                <w:sz w:val="1"/>
                <w:szCs w:val="1"/>
                <w:color w:val="auto"/>
              </w:rPr>
            </w:pPr>
          </w:p>
        </w:tc>
      </w:tr>
      <w:tr>
        <w:trPr>
          <w:trHeight w:val="20"/>
        </w:trPr>
        <w:tc>
          <w:tcPr>
            <w:tcW w:w="33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36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Accounts payable and other current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liabilities</w:t>
            </w:r>
          </w:p>
        </w:tc>
        <w:tc>
          <w:tcPr>
            <w:tcW w:w="3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24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320" w:type="dxa"/>
            <w:vAlign w:val="bottom"/>
          </w:tcPr>
          <w:p>
            <w:pPr>
              <w:spacing w:after="0"/>
              <w:rPr>
                <w:sz w:val="18"/>
                <w:szCs w:val="18"/>
                <w:color w:val="auto"/>
              </w:rPr>
            </w:pPr>
          </w:p>
        </w:tc>
        <w:tc>
          <w:tcPr>
            <w:tcW w:w="4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260" w:type="dxa"/>
            <w:vAlign w:val="bottom"/>
          </w:tcPr>
          <w:p>
            <w:pPr>
              <w:spacing w:after="0"/>
              <w:rPr>
                <w:sz w:val="18"/>
                <w:szCs w:val="18"/>
                <w:color w:val="auto"/>
              </w:rPr>
            </w:pPr>
          </w:p>
        </w:tc>
        <w:tc>
          <w:tcPr>
            <w:tcW w:w="3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6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(28)</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901</w:t>
            </w:r>
          </w:p>
        </w:tc>
        <w:tc>
          <w:tcPr>
            <w:tcW w:w="0" w:type="dxa"/>
            <w:vAlign w:val="bottom"/>
          </w:tcPr>
          <w:p>
            <w:pPr>
              <w:spacing w:after="0"/>
              <w:rPr>
                <w:sz w:val="1"/>
                <w:szCs w:val="1"/>
                <w:color w:val="auto"/>
              </w:rPr>
            </w:pPr>
          </w:p>
        </w:tc>
      </w:tr>
      <w:tr>
        <w:trPr>
          <w:trHeight w:val="228"/>
        </w:trPr>
        <w:tc>
          <w:tcPr>
            <w:tcW w:w="3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2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24"/>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911</w:t>
            </w:r>
          </w:p>
        </w:tc>
        <w:tc>
          <w:tcPr>
            <w:tcW w:w="0" w:type="dxa"/>
            <w:vAlign w:val="bottom"/>
          </w:tcPr>
          <w:p>
            <w:pPr>
              <w:spacing w:after="0"/>
              <w:rPr>
                <w:sz w:val="1"/>
                <w:szCs w:val="1"/>
                <w:color w:val="auto"/>
              </w:rPr>
            </w:pPr>
          </w:p>
        </w:tc>
      </w:tr>
      <w:tr>
        <w:trPr>
          <w:trHeight w:val="311"/>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1,779</w:t>
            </w: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1,779</w:t>
            </w:r>
          </w:p>
        </w:tc>
        <w:tc>
          <w:tcPr>
            <w:tcW w:w="0" w:type="dxa"/>
            <w:vAlign w:val="bottom"/>
          </w:tcPr>
          <w:p>
            <w:pPr>
              <w:spacing w:after="0"/>
              <w:rPr>
                <w:sz w:val="1"/>
                <w:szCs w:val="1"/>
                <w:color w:val="auto"/>
              </w:rPr>
            </w:pPr>
          </w:p>
        </w:tc>
      </w:tr>
      <w:tr>
        <w:trPr>
          <w:trHeight w:val="228"/>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632</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3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1,121</w:t>
            </w:r>
          </w:p>
        </w:tc>
        <w:tc>
          <w:tcPr>
            <w:tcW w:w="0" w:type="dxa"/>
            <w:vAlign w:val="bottom"/>
          </w:tcPr>
          <w:p>
            <w:pPr>
              <w:spacing w:after="0"/>
              <w:rPr>
                <w:sz w:val="1"/>
                <w:szCs w:val="1"/>
                <w:color w:val="auto"/>
              </w:rPr>
            </w:pPr>
          </w:p>
        </w:tc>
      </w:tr>
      <w:tr>
        <w:trPr>
          <w:trHeight w:val="211"/>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 exclusive of liabilities under</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3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vehicle programs</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837</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2,148</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(28)</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3,811</w:t>
            </w:r>
          </w:p>
        </w:tc>
        <w:tc>
          <w:tcPr>
            <w:tcW w:w="0" w:type="dxa"/>
            <w:vAlign w:val="bottom"/>
          </w:tcPr>
          <w:p>
            <w:pPr>
              <w:spacing w:after="0"/>
              <w:rPr>
                <w:sz w:val="1"/>
                <w:szCs w:val="1"/>
                <w:color w:val="auto"/>
              </w:rPr>
            </w:pPr>
          </w:p>
        </w:tc>
      </w:tr>
      <w:tr>
        <w:trPr>
          <w:trHeight w:val="211"/>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Liabilities under vehicle programs:</w:t>
            </w:r>
          </w:p>
        </w:tc>
        <w:tc>
          <w:tcPr>
            <w:tcW w:w="2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Debt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716</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892</w:t>
            </w:r>
          </w:p>
        </w:tc>
        <w:tc>
          <w:tcPr>
            <w:tcW w:w="0" w:type="dxa"/>
            <w:vAlign w:val="bottom"/>
          </w:tcPr>
          <w:p>
            <w:pPr>
              <w:spacing w:after="0"/>
              <w:rPr>
                <w:sz w:val="1"/>
                <w:szCs w:val="1"/>
                <w:color w:val="auto"/>
              </w:rPr>
            </w:pPr>
          </w:p>
        </w:tc>
      </w:tr>
      <w:tr>
        <w:trPr>
          <w:trHeight w:val="216"/>
        </w:trPr>
        <w:tc>
          <w:tcPr>
            <w:tcW w:w="3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Due to Avis Budget Rental Car Funding</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(AESOP) LLC-related party</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5,142</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5,142</w:t>
            </w:r>
          </w:p>
        </w:tc>
        <w:tc>
          <w:tcPr>
            <w:tcW w:w="0" w:type="dxa"/>
            <w:vAlign w:val="bottom"/>
          </w:tcPr>
          <w:p>
            <w:pPr>
              <w:spacing w:after="0"/>
              <w:rPr>
                <w:sz w:val="1"/>
                <w:szCs w:val="1"/>
                <w:color w:val="auto"/>
              </w:rPr>
            </w:pPr>
          </w:p>
        </w:tc>
      </w:tr>
      <w:tr>
        <w:trPr>
          <w:trHeight w:val="216"/>
        </w:trPr>
        <w:tc>
          <w:tcPr>
            <w:tcW w:w="3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Deferred income taxes</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1,020</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1,188</w:t>
            </w:r>
          </w:p>
        </w:tc>
        <w:tc>
          <w:tcPr>
            <w:tcW w:w="0" w:type="dxa"/>
            <w:vAlign w:val="bottom"/>
          </w:tcPr>
          <w:p>
            <w:pPr>
              <w:spacing w:after="0"/>
              <w:rPr>
                <w:sz w:val="1"/>
                <w:szCs w:val="1"/>
                <w:color w:val="auto"/>
              </w:rPr>
            </w:pPr>
          </w:p>
        </w:tc>
      </w:tr>
      <w:tr>
        <w:trPr>
          <w:trHeight w:val="229"/>
        </w:trPr>
        <w:tc>
          <w:tcPr>
            <w:tcW w:w="3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3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0" w:type="dxa"/>
            <w:vAlign w:val="bottom"/>
          </w:tcPr>
          <w:p>
            <w:pPr>
              <w:spacing w:after="0"/>
              <w:rPr>
                <w:sz w:val="1"/>
                <w:szCs w:val="1"/>
                <w:color w:val="auto"/>
              </w:rPr>
            </w:pPr>
          </w:p>
        </w:tc>
      </w:tr>
      <w:tr>
        <w:trPr>
          <w:trHeight w:val="223"/>
        </w:trPr>
        <w:tc>
          <w:tcPr>
            <w:tcW w:w="3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1,146</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6,218</w:t>
            </w:r>
          </w:p>
        </w:tc>
        <w:tc>
          <w:tcPr>
            <w:tcW w:w="3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7,414</w:t>
            </w:r>
          </w:p>
        </w:tc>
        <w:tc>
          <w:tcPr>
            <w:tcW w:w="0" w:type="dxa"/>
            <w:vAlign w:val="bottom"/>
          </w:tcPr>
          <w:p>
            <w:pPr>
              <w:spacing w:after="0"/>
              <w:rPr>
                <w:sz w:val="1"/>
                <w:szCs w:val="1"/>
                <w:color w:val="auto"/>
              </w:rPr>
            </w:pPr>
          </w:p>
        </w:tc>
      </w:tr>
      <w:tr>
        <w:trPr>
          <w:trHeight w:val="223"/>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752</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1,986</w:t>
            </w:r>
          </w:p>
        </w:tc>
        <w:tc>
          <w:tcPr>
            <w:tcW w:w="3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(2,694)</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224"/>
        </w:trPr>
        <w:tc>
          <w:tcPr>
            <w:tcW w:w="3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200" w:type="dxa"/>
            <w:vAlign w:val="bottom"/>
          </w:tcPr>
          <w:p>
            <w:pPr>
              <w:spacing w:after="0"/>
              <w:rPr>
                <w:sz w:val="19"/>
                <w:szCs w:val="19"/>
                <w:color w:val="auto"/>
              </w:rPr>
            </w:pPr>
          </w:p>
        </w:tc>
        <w:tc>
          <w:tcPr>
            <w:tcW w:w="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930</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2,154</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2,559</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8,397</w:t>
            </w:r>
          </w:p>
        </w:tc>
        <w:tc>
          <w:tcPr>
            <w:tcW w:w="340" w:type="dxa"/>
            <w:vAlign w:val="bottom"/>
          </w:tcPr>
          <w:p>
            <w:pPr>
              <w:spacing w:after="0"/>
              <w:rPr>
                <w:sz w:val="19"/>
                <w:szCs w:val="19"/>
                <w:color w:val="auto"/>
              </w:rPr>
            </w:pPr>
          </w:p>
        </w:tc>
        <w:tc>
          <w:tcPr>
            <w:tcW w:w="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(2,722)</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u w:val="single" w:color="auto"/>
                <w:color w:val="auto"/>
                <w:w w:val="74"/>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11,318</w:t>
            </w: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3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F-57</w:t>
            </w: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240" w:top="455" w:right="579" w:bottom="1440" w:gutter="0" w:footer="0" w:header="0"/>
        </w:sectPr>
      </w:pPr>
    </w:p>
    <w:bookmarkStart w:id="118" w:name="page119"/>
    <w:bookmarkEnd w:id="11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color w:val="auto"/>
        </w:rPr>
        <w:t>Consolidating Condensed Statements of Cash Flows</w:t>
      </w:r>
    </w:p>
    <w:p>
      <w:pPr>
        <w:spacing w:after="0" w:line="173" w:lineRule="exact"/>
        <w:rPr>
          <w:sz w:val="20"/>
          <w:szCs w:val="20"/>
          <w:color w:val="auto"/>
        </w:rPr>
      </w:pPr>
    </w:p>
    <w:tbl>
      <w:tblPr>
        <w:tblLayout w:type="fixed"/>
        <w:tblInd w:w="360" w:type="dxa"/>
        <w:tblCellMar>
          <w:top w:w="0" w:type="dxa"/>
          <w:left w:w="0" w:type="dxa"/>
          <w:bottom w:w="0" w:type="dxa"/>
          <w:right w:w="0" w:type="dxa"/>
        </w:tblCellMar>
      </w:tblPr>
      <w:tr>
        <w:trPr>
          <w:trHeight w:val="228"/>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For the Year Ended December 31, 2009</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404"/>
        </w:trPr>
        <w:tc>
          <w:tcPr>
            <w:tcW w:w="3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gridSpan w:val="4"/>
          </w:tcPr>
          <w:p>
            <w:pPr>
              <w:ind w:left="180"/>
              <w:spacing w:after="0"/>
              <w:rPr>
                <w:sz w:val="20"/>
                <w:szCs w:val="20"/>
                <w:color w:val="auto"/>
              </w:rPr>
            </w:pPr>
            <w:r>
              <w:rPr>
                <w:rFonts w:ascii="Times New Roman" w:cs="Times New Roman" w:eastAsia="Times New Roman" w:hAnsi="Times New Roman"/>
                <w:sz w:val="18"/>
                <w:szCs w:val="18"/>
                <w:b w:val="1"/>
                <w:bCs w:val="1"/>
                <w:color w:val="auto"/>
              </w:rPr>
              <w:t>Subsidiary</w:t>
            </w:r>
          </w:p>
        </w:tc>
        <w:tc>
          <w:tcPr>
            <w:tcW w:w="120" w:type="dxa"/>
            <w:vAlign w:val="bottom"/>
          </w:tcPr>
          <w:p>
            <w:pPr>
              <w:spacing w:after="0"/>
              <w:rPr>
                <w:sz w:val="24"/>
                <w:szCs w:val="24"/>
                <w:color w:val="auto"/>
              </w:rPr>
            </w:pPr>
          </w:p>
        </w:tc>
        <w:tc>
          <w:tcPr>
            <w:tcW w:w="114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Guarantor</w:t>
            </w:r>
          </w:p>
        </w:tc>
        <w:tc>
          <w:tcPr>
            <w:tcW w:w="1620" w:type="dxa"/>
            <w:vAlign w:val="bottom"/>
            <w:gridSpan w:val="4"/>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Non-Guarantor</w:t>
            </w: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30"/>
        </w:trPr>
        <w:tc>
          <w:tcPr>
            <w:tcW w:w="3340" w:type="dxa"/>
            <w:vAlign w:val="bottom"/>
          </w:tcPr>
          <w:p>
            <w:pPr>
              <w:spacing w:after="0"/>
              <w:rPr>
                <w:sz w:val="20"/>
                <w:szCs w:val="20"/>
                <w:color w:val="auto"/>
              </w:rPr>
            </w:pPr>
          </w:p>
        </w:tc>
        <w:tc>
          <w:tcPr>
            <w:tcW w:w="98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Parent</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w w:val="99"/>
              </w:rPr>
              <w:t>Issuers</w:t>
            </w:r>
          </w:p>
        </w:tc>
        <w:tc>
          <w:tcPr>
            <w:tcW w:w="126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Subsidiaries</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w w:val="97"/>
              </w:rPr>
              <w:t>Subsidiaries</w:t>
            </w:r>
          </w:p>
        </w:tc>
        <w:tc>
          <w:tcPr>
            <w:tcW w:w="1380" w:type="dxa"/>
            <w:vAlign w:val="bottom"/>
            <w:gridSpan w:val="4"/>
          </w:tcPr>
          <w:p>
            <w:pPr>
              <w:ind w:left="180"/>
              <w:spacing w:after="0"/>
              <w:rPr>
                <w:sz w:val="20"/>
                <w:szCs w:val="20"/>
                <w:color w:val="auto"/>
              </w:rPr>
            </w:pPr>
            <w:r>
              <w:rPr>
                <w:rFonts w:ascii="Times New Roman" w:cs="Times New Roman" w:eastAsia="Times New Roman" w:hAnsi="Times New Roman"/>
                <w:sz w:val="18"/>
                <w:szCs w:val="18"/>
                <w:b w:val="1"/>
                <w:bCs w:val="1"/>
                <w:color w:val="auto"/>
              </w:rPr>
              <w:t>Eliminations</w:t>
            </w:r>
          </w:p>
        </w:tc>
        <w:tc>
          <w:tcPr>
            <w:tcW w:w="180" w:type="dxa"/>
            <w:vAlign w:val="bottom"/>
          </w:tcPr>
          <w:p>
            <w:pPr>
              <w:spacing w:after="0"/>
              <w:rPr>
                <w:sz w:val="20"/>
                <w:szCs w:val="20"/>
                <w:color w:val="auto"/>
              </w:rPr>
            </w:pPr>
          </w:p>
        </w:tc>
        <w:tc>
          <w:tcPr>
            <w:tcW w:w="6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197"/>
        </w:trPr>
        <w:tc>
          <w:tcPr>
            <w:tcW w:w="3340" w:type="dxa"/>
            <w:vAlign w:val="bottom"/>
          </w:tcPr>
          <w:p>
            <w:pPr>
              <w:spacing w:after="0" w:line="197" w:lineRule="exact"/>
              <w:rPr>
                <w:sz w:val="20"/>
                <w:szCs w:val="20"/>
                <w:color w:val="auto"/>
              </w:rPr>
            </w:pPr>
            <w:r>
              <w:rPr>
                <w:rFonts w:ascii="Times New Roman" w:cs="Times New Roman" w:eastAsia="Times New Roman" w:hAnsi="Times New Roman"/>
                <w:sz w:val="18"/>
                <w:szCs w:val="18"/>
                <w:color w:val="auto"/>
              </w:rPr>
              <w:t>Net cash provided by (used in) operating</w:t>
            </w:r>
          </w:p>
        </w:tc>
        <w:tc>
          <w:tcPr>
            <w:tcW w:w="26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r>
      <w:tr>
        <w:trPr>
          <w:trHeight w:val="228"/>
        </w:trPr>
        <w:tc>
          <w:tcPr>
            <w:tcW w:w="3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activities</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(70)</w:t>
            </w:r>
          </w:p>
        </w:tc>
        <w:tc>
          <w:tcPr>
            <w:tcW w:w="3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300" w:type="dxa"/>
            <w:vAlign w:val="bottom"/>
          </w:tcPr>
          <w:p>
            <w:pPr>
              <w:spacing w:after="0"/>
              <w:rPr>
                <w:sz w:val="19"/>
                <w:szCs w:val="19"/>
                <w:color w:val="auto"/>
              </w:rPr>
            </w:pPr>
          </w:p>
        </w:tc>
        <w:tc>
          <w:tcPr>
            <w:tcW w:w="500" w:type="dxa"/>
            <w:vAlign w:val="bottom"/>
            <w:gridSpan w:val="2"/>
          </w:tcPr>
          <w:p>
            <w:pPr>
              <w:jc w:val="right"/>
              <w:ind w:right="215"/>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220" w:type="dxa"/>
            <w:vAlign w:val="bottom"/>
          </w:tcPr>
          <w:p>
            <w:pPr>
              <w:spacing w:after="0"/>
              <w:rPr>
                <w:sz w:val="19"/>
                <w:szCs w:val="19"/>
                <w:color w:val="auto"/>
              </w:rPr>
            </w:pP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1,448</w:t>
            </w:r>
          </w:p>
        </w:tc>
        <w:tc>
          <w:tcPr>
            <w:tcW w:w="240" w:type="dxa"/>
            <w:vAlign w:val="bottom"/>
          </w:tcPr>
          <w:p>
            <w:pPr>
              <w:spacing w:after="0"/>
              <w:rPr>
                <w:sz w:val="19"/>
                <w:szCs w:val="19"/>
                <w:color w:val="auto"/>
              </w:rPr>
            </w:pPr>
          </w:p>
        </w:tc>
        <w:tc>
          <w:tcPr>
            <w:tcW w:w="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1,491</w:t>
            </w:r>
          </w:p>
        </w:tc>
        <w:tc>
          <w:tcPr>
            <w:tcW w:w="40" w:type="dxa"/>
            <w:vAlign w:val="bottom"/>
          </w:tcPr>
          <w:p>
            <w:pPr>
              <w:spacing w:after="0"/>
              <w:rPr>
                <w:sz w:val="19"/>
                <w:szCs w:val="19"/>
                <w:color w:val="auto"/>
              </w:rPr>
            </w:pPr>
          </w:p>
        </w:tc>
      </w:tr>
      <w:tr>
        <w:trPr>
          <w:trHeight w:val="211"/>
        </w:trPr>
        <w:tc>
          <w:tcPr>
            <w:tcW w:w="3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2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additions</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16"/>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Proceeds received on asset sales</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40" w:type="dxa"/>
            <w:vAlign w:val="bottom"/>
          </w:tcPr>
          <w:p>
            <w:pPr>
              <w:spacing w:after="0"/>
              <w:rPr>
                <w:sz w:val="18"/>
                <w:szCs w:val="18"/>
                <w:color w:val="auto"/>
              </w:rPr>
            </w:pPr>
          </w:p>
        </w:tc>
      </w:tr>
      <w:tr>
        <w:trPr>
          <w:trHeight w:val="216"/>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Payments received from Realogy and</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3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Wyndham, net</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40" w:type="dxa"/>
            <w:vAlign w:val="bottom"/>
          </w:tcPr>
          <w:p>
            <w:pPr>
              <w:spacing w:after="0"/>
              <w:rPr>
                <w:sz w:val="18"/>
                <w:szCs w:val="18"/>
                <w:color w:val="auto"/>
              </w:rPr>
            </w:pPr>
          </w:p>
        </w:tc>
      </w:tr>
      <w:tr>
        <w:trPr>
          <w:trHeight w:val="228"/>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Other, net</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09"/>
        </w:trPr>
        <w:tc>
          <w:tcPr>
            <w:tcW w:w="3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cash provided by (used in) investing</w:t>
            </w:r>
          </w:p>
        </w:tc>
        <w:tc>
          <w:tcPr>
            <w:tcW w:w="2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r>
      <w:tr>
        <w:trPr>
          <w:trHeight w:val="230"/>
        </w:trPr>
        <w:tc>
          <w:tcPr>
            <w:tcW w:w="334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activities exclusive of vehicle programs</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(27)</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1"/>
        </w:trPr>
        <w:tc>
          <w:tcPr>
            <w:tcW w:w="33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Vehicle programs:</w:t>
            </w:r>
          </w:p>
        </w:tc>
        <w:tc>
          <w:tcPr>
            <w:tcW w:w="2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3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Decrease in program cash</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(145)</w:t>
            </w: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(145)</w:t>
            </w:r>
          </w:p>
        </w:tc>
      </w:tr>
      <w:tr>
        <w:trPr>
          <w:trHeight w:val="216"/>
        </w:trPr>
        <w:tc>
          <w:tcPr>
            <w:tcW w:w="3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Investment in vehicles</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(6,739)</w:t>
            </w: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5"/>
              </w:rPr>
              <w:t>(6,775)</w:t>
            </w:r>
          </w:p>
        </w:tc>
      </w:tr>
      <w:tr>
        <w:trPr>
          <w:trHeight w:val="216"/>
        </w:trPr>
        <w:tc>
          <w:tcPr>
            <w:tcW w:w="3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Proceeds received on disposition of</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33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vehicles</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7,063</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7,144</w:t>
            </w:r>
          </w:p>
        </w:tc>
        <w:tc>
          <w:tcPr>
            <w:tcW w:w="40" w:type="dxa"/>
            <w:vAlign w:val="bottom"/>
          </w:tcPr>
          <w:p>
            <w:pPr>
              <w:spacing w:after="0"/>
              <w:rPr>
                <w:sz w:val="18"/>
                <w:szCs w:val="18"/>
                <w:color w:val="auto"/>
              </w:rPr>
            </w:pPr>
          </w:p>
        </w:tc>
      </w:tr>
      <w:tr>
        <w:trPr>
          <w:trHeight w:val="243"/>
        </w:trPr>
        <w:tc>
          <w:tcPr>
            <w:tcW w:w="3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net</w:t>
            </w: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(33)</w:t>
            </w:r>
          </w:p>
        </w:tc>
        <w:tc>
          <w:tcPr>
            <w:tcW w:w="1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23"/>
        </w:trPr>
        <w:tc>
          <w:tcPr>
            <w:tcW w:w="3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40" w:type="dxa"/>
            <w:vAlign w:val="bottom"/>
          </w:tcPr>
          <w:p>
            <w:pPr>
              <w:spacing w:after="0"/>
              <w:rPr>
                <w:sz w:val="19"/>
                <w:szCs w:val="19"/>
                <w:color w:val="auto"/>
              </w:rPr>
            </w:pPr>
          </w:p>
        </w:tc>
      </w:tr>
      <w:tr>
        <w:trPr>
          <w:trHeight w:val="208"/>
        </w:trPr>
        <w:tc>
          <w:tcPr>
            <w:tcW w:w="3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cash provided by (used in) investing</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0"/>
        </w:trPr>
        <w:tc>
          <w:tcPr>
            <w:tcW w:w="334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activities</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(20)</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40" w:type="dxa"/>
            <w:vAlign w:val="bottom"/>
          </w:tcPr>
          <w:p>
            <w:pPr>
              <w:spacing w:after="0"/>
              <w:rPr>
                <w:sz w:val="20"/>
                <w:szCs w:val="20"/>
                <w:color w:val="auto"/>
              </w:rPr>
            </w:pPr>
          </w:p>
        </w:tc>
      </w:tr>
      <w:tr>
        <w:trPr>
          <w:trHeight w:val="211"/>
        </w:trPr>
        <w:tc>
          <w:tcPr>
            <w:tcW w:w="3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2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Proceeds form borrowings</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w:t>
            </w:r>
          </w:p>
        </w:tc>
        <w:tc>
          <w:tcPr>
            <w:tcW w:w="40" w:type="dxa"/>
            <w:vAlign w:val="bottom"/>
          </w:tcPr>
          <w:p>
            <w:pPr>
              <w:spacing w:after="0"/>
              <w:rPr>
                <w:sz w:val="18"/>
                <w:szCs w:val="18"/>
                <w:color w:val="auto"/>
              </w:rPr>
            </w:pPr>
          </w:p>
        </w:tc>
      </w:tr>
      <w:tr>
        <w:trPr>
          <w:trHeight w:val="216"/>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Principal payments on borrowings</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(109)</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(111)</w:t>
            </w:r>
          </w:p>
        </w:tc>
      </w:tr>
      <w:tr>
        <w:trPr>
          <w:trHeight w:val="216"/>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warrant issuance</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40" w:type="dxa"/>
            <w:vAlign w:val="bottom"/>
          </w:tcPr>
          <w:p>
            <w:pPr>
              <w:spacing w:after="0"/>
              <w:rPr>
                <w:sz w:val="18"/>
                <w:szCs w:val="18"/>
                <w:color w:val="auto"/>
              </w:rPr>
            </w:pPr>
          </w:p>
        </w:tc>
      </w:tr>
      <w:tr>
        <w:trPr>
          <w:trHeight w:val="216"/>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Purchases call options</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216"/>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Net intercompany transactions</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(54)</w:t>
            </w: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r>
      <w:tr>
        <w:trPr>
          <w:trHeight w:val="228"/>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Other, net</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09"/>
        </w:trPr>
        <w:tc>
          <w:tcPr>
            <w:tcW w:w="3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cash provided by (used in) financing</w:t>
            </w:r>
          </w:p>
        </w:tc>
        <w:tc>
          <w:tcPr>
            <w:tcW w:w="2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r>
      <w:tr>
        <w:trPr>
          <w:trHeight w:val="230"/>
        </w:trPr>
        <w:tc>
          <w:tcPr>
            <w:tcW w:w="334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activities exclusive of vehicle programs</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(54)</w:t>
            </w:r>
          </w:p>
        </w:tc>
        <w:tc>
          <w:tcPr>
            <w:tcW w:w="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40" w:type="dxa"/>
            <w:vAlign w:val="bottom"/>
          </w:tcPr>
          <w:p>
            <w:pPr>
              <w:spacing w:after="0"/>
              <w:rPr>
                <w:sz w:val="20"/>
                <w:szCs w:val="20"/>
                <w:color w:val="auto"/>
              </w:rPr>
            </w:pPr>
          </w:p>
        </w:tc>
      </w:tr>
      <w:tr>
        <w:trPr>
          <w:trHeight w:val="211"/>
        </w:trPr>
        <w:tc>
          <w:tcPr>
            <w:tcW w:w="33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Vehicle programs:</w:t>
            </w:r>
          </w:p>
        </w:tc>
        <w:tc>
          <w:tcPr>
            <w:tcW w:w="2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3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Proceeds from borrowings</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7,527</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7,527</w:t>
            </w:r>
          </w:p>
        </w:tc>
        <w:tc>
          <w:tcPr>
            <w:tcW w:w="40" w:type="dxa"/>
            <w:vAlign w:val="bottom"/>
          </w:tcPr>
          <w:p>
            <w:pPr>
              <w:spacing w:after="0"/>
              <w:rPr>
                <w:sz w:val="18"/>
                <w:szCs w:val="18"/>
                <w:color w:val="auto"/>
              </w:rPr>
            </w:pPr>
          </w:p>
        </w:tc>
      </w:tr>
      <w:tr>
        <w:trPr>
          <w:trHeight w:val="216"/>
        </w:trPr>
        <w:tc>
          <w:tcPr>
            <w:tcW w:w="3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Principal payments on borrowings</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(9,009)</w:t>
            </w: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5"/>
              </w:rPr>
              <w:t>(9,147)</w:t>
            </w:r>
          </w:p>
        </w:tc>
      </w:tr>
      <w:tr>
        <w:trPr>
          <w:trHeight w:val="216"/>
        </w:trPr>
        <w:tc>
          <w:tcPr>
            <w:tcW w:w="3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change in short-term borrowings</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(107)</w:t>
            </w: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(107)</w:t>
            </w:r>
          </w:p>
        </w:tc>
      </w:tr>
      <w:tr>
        <w:trPr>
          <w:trHeight w:val="229"/>
        </w:trPr>
        <w:tc>
          <w:tcPr>
            <w:tcW w:w="3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net</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23"/>
        </w:trPr>
        <w:tc>
          <w:tcPr>
            <w:tcW w:w="3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(1,589)</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7"/>
              </w:rPr>
              <w:t>(1,753)</w:t>
            </w:r>
          </w:p>
        </w:tc>
        <w:tc>
          <w:tcPr>
            <w:tcW w:w="40" w:type="dxa"/>
            <w:vAlign w:val="bottom"/>
          </w:tcPr>
          <w:p>
            <w:pPr>
              <w:spacing w:after="0"/>
              <w:rPr>
                <w:sz w:val="19"/>
                <w:szCs w:val="19"/>
                <w:color w:val="auto"/>
              </w:rPr>
            </w:pPr>
          </w:p>
        </w:tc>
      </w:tr>
      <w:tr>
        <w:trPr>
          <w:trHeight w:val="208"/>
        </w:trPr>
        <w:tc>
          <w:tcPr>
            <w:tcW w:w="3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cash provided by (used in) financing</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0"/>
        </w:trPr>
        <w:tc>
          <w:tcPr>
            <w:tcW w:w="334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activities</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(80)</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(45)</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(1,643)</w:t>
            </w:r>
          </w:p>
        </w:tc>
        <w:tc>
          <w:tcPr>
            <w:tcW w:w="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5"/>
              </w:rPr>
              <w:t>(1,465)</w:t>
            </w:r>
          </w:p>
        </w:tc>
      </w:tr>
      <w:tr>
        <w:trPr>
          <w:trHeight w:val="211"/>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Effect of changes in exchange rates on cash</w:t>
            </w:r>
          </w:p>
        </w:tc>
        <w:tc>
          <w:tcPr>
            <w:tcW w:w="2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r>
      <w:tr>
        <w:trPr>
          <w:trHeight w:val="228"/>
        </w:trPr>
        <w:tc>
          <w:tcPr>
            <w:tcW w:w="3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and cash equivalents</w:t>
            </w:r>
          </w:p>
        </w:tc>
        <w:tc>
          <w:tcPr>
            <w:tcW w:w="2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40" w:type="dxa"/>
            <w:vAlign w:val="bottom"/>
          </w:tcPr>
          <w:p>
            <w:pPr>
              <w:spacing w:after="0"/>
              <w:rPr>
                <w:sz w:val="19"/>
                <w:szCs w:val="19"/>
                <w:color w:val="auto"/>
              </w:rPr>
            </w:pPr>
          </w:p>
        </w:tc>
      </w:tr>
      <w:tr>
        <w:trPr>
          <w:trHeight w:val="211"/>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Net increase (decrease) in cash and cash</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3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equivalents</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(18)</w:t>
            </w: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40" w:type="dxa"/>
            <w:vAlign w:val="bottom"/>
          </w:tcPr>
          <w:p>
            <w:pPr>
              <w:spacing w:after="0"/>
              <w:rPr>
                <w:sz w:val="18"/>
                <w:szCs w:val="18"/>
                <w:color w:val="auto"/>
              </w:rPr>
            </w:pPr>
          </w:p>
        </w:tc>
      </w:tr>
      <w:tr>
        <w:trPr>
          <w:trHeight w:val="216"/>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beginning of</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28"/>
        </w:trPr>
        <w:tc>
          <w:tcPr>
            <w:tcW w:w="3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period</w:t>
            </w:r>
          </w:p>
        </w:tc>
        <w:tc>
          <w:tcPr>
            <w:tcW w:w="2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40" w:type="dxa"/>
            <w:vAlign w:val="bottom"/>
          </w:tcPr>
          <w:p>
            <w:pPr>
              <w:spacing w:after="0"/>
              <w:rPr>
                <w:sz w:val="19"/>
                <w:szCs w:val="19"/>
                <w:color w:val="auto"/>
              </w:rPr>
            </w:pPr>
          </w:p>
        </w:tc>
      </w:tr>
      <w:tr>
        <w:trPr>
          <w:trHeight w:val="225"/>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end of period</w:t>
            </w:r>
          </w:p>
        </w:tc>
        <w:tc>
          <w:tcPr>
            <w:tcW w:w="26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482</w:t>
            </w:r>
          </w:p>
        </w:tc>
        <w:tc>
          <w:tcPr>
            <w:tcW w:w="40" w:type="dxa"/>
            <w:vAlign w:val="bottom"/>
          </w:tcPr>
          <w:p>
            <w:pPr>
              <w:spacing w:after="0"/>
              <w:rPr>
                <w:sz w:val="19"/>
                <w:szCs w:val="19"/>
                <w:color w:val="auto"/>
              </w:rPr>
            </w:pPr>
          </w:p>
        </w:tc>
      </w:tr>
      <w:tr>
        <w:trPr>
          <w:trHeight w:val="20"/>
        </w:trPr>
        <w:tc>
          <w:tcPr>
            <w:tcW w:w="3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57"/>
        </w:trPr>
        <w:tc>
          <w:tcPr>
            <w:tcW w:w="3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F-58</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1020"/>
          </w:cols>
          <w:pgMar w:left="240" w:top="455" w:right="639" w:bottom="1440" w:gutter="0" w:footer="0" w:header="0"/>
        </w:sectPr>
      </w:pPr>
    </w:p>
    <w:bookmarkStart w:id="119" w:name="page120"/>
    <w:bookmarkEnd w:id="11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tbl>
      <w:tblPr>
        <w:tblLayout w:type="fixed"/>
        <w:tblInd w:w="360" w:type="dxa"/>
        <w:tblCellMar>
          <w:top w:w="0" w:type="dxa"/>
          <w:left w:w="0" w:type="dxa"/>
          <w:bottom w:w="0" w:type="dxa"/>
          <w:right w:w="0" w:type="dxa"/>
        </w:tblCellMar>
      </w:tblPr>
      <w:tr>
        <w:trPr>
          <w:trHeight w:val="228"/>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For the Year Ended December 31, 2008</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4"/>
        </w:trPr>
        <w:tc>
          <w:tcPr>
            <w:tcW w:w="3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Subsidiary</w:t>
            </w:r>
          </w:p>
        </w:tc>
        <w:tc>
          <w:tcPr>
            <w:tcW w:w="400" w:type="dxa"/>
            <w:vAlign w:val="bottom"/>
          </w:tcPr>
          <w:p>
            <w:pPr>
              <w:spacing w:after="0"/>
              <w:rPr>
                <w:sz w:val="24"/>
                <w:szCs w:val="24"/>
                <w:color w:val="auto"/>
              </w:rPr>
            </w:pPr>
          </w:p>
        </w:tc>
        <w:tc>
          <w:tcPr>
            <w:tcW w:w="118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Guarantor</w:t>
            </w:r>
          </w:p>
        </w:tc>
        <w:tc>
          <w:tcPr>
            <w:tcW w:w="1660" w:type="dxa"/>
            <w:vAlign w:val="bottom"/>
            <w:gridSpan w:val="4"/>
          </w:tcPr>
          <w:p>
            <w:pPr>
              <w:ind w:left="200"/>
              <w:spacing w:after="0"/>
              <w:rPr>
                <w:sz w:val="20"/>
                <w:szCs w:val="20"/>
                <w:color w:val="auto"/>
              </w:rPr>
            </w:pPr>
            <w:r>
              <w:rPr>
                <w:rFonts w:ascii="Times New Roman" w:cs="Times New Roman" w:eastAsia="Times New Roman" w:hAnsi="Times New Roman"/>
                <w:sz w:val="18"/>
                <w:szCs w:val="18"/>
                <w:b w:val="1"/>
                <w:bCs w:val="1"/>
                <w:color w:val="auto"/>
              </w:rPr>
              <w:t>Non-Guarantor</w:t>
            </w: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100" w:type="dxa"/>
            <w:vAlign w:val="bottom"/>
          </w:tcPr>
          <w:p>
            <w:pPr>
              <w:spacing w:after="0"/>
              <w:rPr>
                <w:sz w:val="20"/>
                <w:szCs w:val="20"/>
                <w:color w:val="auto"/>
              </w:rPr>
            </w:pPr>
          </w:p>
        </w:tc>
        <w:tc>
          <w:tcPr>
            <w:tcW w:w="980" w:type="dxa"/>
            <w:vAlign w:val="bottom"/>
            <w:gridSpan w:val="4"/>
          </w:tcPr>
          <w:p>
            <w:pPr>
              <w:ind w:left="200"/>
              <w:spacing w:after="0"/>
              <w:rPr>
                <w:sz w:val="20"/>
                <w:szCs w:val="20"/>
                <w:color w:val="auto"/>
              </w:rPr>
            </w:pPr>
            <w:r>
              <w:rPr>
                <w:rFonts w:ascii="Times New Roman" w:cs="Times New Roman" w:eastAsia="Times New Roman" w:hAnsi="Times New Roman"/>
                <w:sz w:val="18"/>
                <w:szCs w:val="18"/>
                <w:b w:val="1"/>
                <w:bCs w:val="1"/>
                <w:color w:val="auto"/>
              </w:rPr>
              <w:t>Parent</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w w:val="99"/>
              </w:rPr>
              <w:t>Issuers</w:t>
            </w:r>
          </w:p>
        </w:tc>
        <w:tc>
          <w:tcPr>
            <w:tcW w:w="1580" w:type="dxa"/>
            <w:vAlign w:val="bottom"/>
            <w:gridSpan w:val="4"/>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Subsidiaries</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w w:val="97"/>
              </w:rPr>
              <w:t>Subsidiaries</w:t>
            </w:r>
          </w:p>
        </w:tc>
        <w:tc>
          <w:tcPr>
            <w:tcW w:w="1420" w:type="dxa"/>
            <w:vAlign w:val="bottom"/>
            <w:gridSpan w:val="4"/>
          </w:tcPr>
          <w:p>
            <w:pPr>
              <w:ind w:left="200"/>
              <w:spacing w:after="0"/>
              <w:rPr>
                <w:sz w:val="20"/>
                <w:szCs w:val="20"/>
                <w:color w:val="auto"/>
              </w:rPr>
            </w:pPr>
            <w:r>
              <w:rPr>
                <w:rFonts w:ascii="Times New Roman" w:cs="Times New Roman" w:eastAsia="Times New Roman" w:hAnsi="Times New Roman"/>
                <w:sz w:val="18"/>
                <w:szCs w:val="18"/>
                <w:b w:val="1"/>
                <w:bCs w:val="1"/>
                <w:color w:val="auto"/>
              </w:rPr>
              <w:t>Eliminations</w:t>
            </w:r>
          </w:p>
        </w:tc>
        <w:tc>
          <w:tcPr>
            <w:tcW w:w="220" w:type="dxa"/>
            <w:vAlign w:val="bottom"/>
          </w:tcPr>
          <w:p>
            <w:pPr>
              <w:spacing w:after="0"/>
              <w:rPr>
                <w:sz w:val="20"/>
                <w:szCs w:val="20"/>
                <w:color w:val="auto"/>
              </w:rPr>
            </w:pPr>
          </w:p>
        </w:tc>
        <w:tc>
          <w:tcPr>
            <w:tcW w:w="6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197"/>
        </w:trPr>
        <w:tc>
          <w:tcPr>
            <w:tcW w:w="3100" w:type="dxa"/>
            <w:vAlign w:val="bottom"/>
          </w:tcPr>
          <w:p>
            <w:pPr>
              <w:spacing w:after="0" w:line="197" w:lineRule="exact"/>
              <w:rPr>
                <w:sz w:val="20"/>
                <w:szCs w:val="20"/>
                <w:color w:val="auto"/>
              </w:rPr>
            </w:pPr>
            <w:r>
              <w:rPr>
                <w:rFonts w:ascii="Times New Roman" w:cs="Times New Roman" w:eastAsia="Times New Roman" w:hAnsi="Times New Roman"/>
                <w:sz w:val="18"/>
                <w:szCs w:val="18"/>
                <w:color w:val="auto"/>
              </w:rPr>
              <w:t>Net cash provided by (used in) operating</w:t>
            </w:r>
          </w:p>
        </w:tc>
        <w:tc>
          <w:tcPr>
            <w:tcW w:w="2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3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activities</w:t>
            </w:r>
          </w:p>
        </w:tc>
        <w:tc>
          <w:tcPr>
            <w:tcW w:w="3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80" w:type="dxa"/>
            <w:vAlign w:val="bottom"/>
          </w:tcPr>
          <w:p>
            <w:pPr>
              <w:spacing w:after="0"/>
              <w:rPr>
                <w:sz w:val="19"/>
                <w:szCs w:val="19"/>
                <w:color w:val="auto"/>
              </w:rPr>
            </w:pPr>
          </w:p>
        </w:tc>
        <w:tc>
          <w:tcPr>
            <w:tcW w:w="740" w:type="dxa"/>
            <w:vAlign w:val="bottom"/>
            <w:gridSpan w:val="2"/>
          </w:tcPr>
          <w:p>
            <w:pPr>
              <w:jc w:val="right"/>
              <w:ind w:right="175"/>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260" w:type="dxa"/>
            <w:vAlign w:val="bottom"/>
          </w:tcPr>
          <w:p>
            <w:pPr>
              <w:spacing w:after="0"/>
              <w:rPr>
                <w:sz w:val="19"/>
                <w:szCs w:val="19"/>
                <w:color w:val="auto"/>
              </w:rPr>
            </w:pPr>
          </w:p>
        </w:tc>
        <w:tc>
          <w:tcPr>
            <w:tcW w:w="3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1,512</w:t>
            </w:r>
          </w:p>
        </w:tc>
        <w:tc>
          <w:tcPr>
            <w:tcW w:w="260" w:type="dxa"/>
            <w:vAlign w:val="bottom"/>
          </w:tcPr>
          <w:p>
            <w:pPr>
              <w:spacing w:after="0"/>
              <w:rPr>
                <w:sz w:val="19"/>
                <w:szCs w:val="19"/>
                <w:color w:val="auto"/>
              </w:rPr>
            </w:pPr>
          </w:p>
        </w:tc>
        <w:tc>
          <w:tcPr>
            <w:tcW w:w="6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(34)</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3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2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additions</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(53)</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216"/>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Net assets acquired, net of cash acquired,</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and acquisition-related payments</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(72)</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216"/>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Proceeds received on asset sales</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Payments received from Realogy and</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Wyndham, net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8"/>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Other, net</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w:t>
            </w: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09"/>
        </w:trPr>
        <w:tc>
          <w:tcPr>
            <w:tcW w:w="3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cash provided by (used in)</w:t>
            </w:r>
          </w:p>
        </w:tc>
        <w:tc>
          <w:tcPr>
            <w:tcW w:w="2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0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investing activities exclusive of</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10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vehicle programs</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w:t>
            </w:r>
          </w:p>
        </w:tc>
        <w:tc>
          <w:tcPr>
            <w:tcW w:w="4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(131)</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w:t>
            </w: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0" w:type="dxa"/>
            <w:vAlign w:val="bottom"/>
          </w:tcPr>
          <w:p>
            <w:pPr>
              <w:spacing w:after="0"/>
              <w:rPr>
                <w:sz w:val="1"/>
                <w:szCs w:val="1"/>
                <w:color w:val="auto"/>
              </w:rPr>
            </w:pPr>
          </w:p>
        </w:tc>
      </w:tr>
      <w:tr>
        <w:trPr>
          <w:trHeight w:val="211"/>
        </w:trPr>
        <w:tc>
          <w:tcPr>
            <w:tcW w:w="31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Vehicle programs:</w:t>
            </w:r>
          </w:p>
        </w:tc>
        <w:tc>
          <w:tcPr>
            <w:tcW w:w="2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Decrease in program cash</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6"/>
        </w:trPr>
        <w:tc>
          <w:tcPr>
            <w:tcW w:w="3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Investment in vehicles</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(129)</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(8,470)</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5"/>
              </w:rPr>
              <w:t>(8,608)</w:t>
            </w:r>
          </w:p>
        </w:tc>
        <w:tc>
          <w:tcPr>
            <w:tcW w:w="0" w:type="dxa"/>
            <w:vAlign w:val="bottom"/>
          </w:tcPr>
          <w:p>
            <w:pPr>
              <w:spacing w:after="0"/>
              <w:rPr>
                <w:sz w:val="1"/>
                <w:szCs w:val="1"/>
                <w:color w:val="auto"/>
              </w:rPr>
            </w:pPr>
          </w:p>
        </w:tc>
      </w:tr>
      <w:tr>
        <w:trPr>
          <w:trHeight w:val="216"/>
        </w:trPr>
        <w:tc>
          <w:tcPr>
            <w:tcW w:w="3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Proceeds received on disposition of</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vehicles</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6,602</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6,722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net</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w:t>
            </w:r>
          </w:p>
        </w:tc>
        <w:tc>
          <w:tcPr>
            <w:tcW w:w="2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vMerge w:val="continue"/>
          </w:tcPr>
          <w:p>
            <w:pPr>
              <w:spacing w:after="0"/>
              <w:rPr>
                <w:sz w:val="19"/>
                <w:szCs w:val="19"/>
                <w:color w:val="auto"/>
              </w:rPr>
            </w:pP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(1,899)</w:t>
            </w:r>
          </w:p>
        </w:tc>
        <w:tc>
          <w:tcPr>
            <w:tcW w:w="26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7"/>
              </w:rPr>
              <w:t>(1,925)</w:t>
            </w:r>
          </w:p>
        </w:tc>
        <w:tc>
          <w:tcPr>
            <w:tcW w:w="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3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cash provided by (used in)</w:t>
            </w:r>
          </w:p>
        </w:tc>
        <w:tc>
          <w:tcPr>
            <w:tcW w:w="2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10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w:t>
            </w:r>
          </w:p>
        </w:tc>
        <w:tc>
          <w:tcPr>
            <w:tcW w:w="4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(137)</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(1,922)</w:t>
            </w: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5"/>
              </w:rPr>
              <w:t>(2,096)</w:t>
            </w:r>
          </w:p>
        </w:tc>
        <w:tc>
          <w:tcPr>
            <w:tcW w:w="0" w:type="dxa"/>
            <w:vAlign w:val="bottom"/>
          </w:tcPr>
          <w:p>
            <w:pPr>
              <w:spacing w:after="0"/>
              <w:rPr>
                <w:sz w:val="1"/>
                <w:szCs w:val="1"/>
                <w:color w:val="auto"/>
              </w:rPr>
            </w:pPr>
          </w:p>
        </w:tc>
      </w:tr>
      <w:tr>
        <w:trPr>
          <w:trHeight w:val="211"/>
        </w:trPr>
        <w:tc>
          <w:tcPr>
            <w:tcW w:w="3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2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Principal payments on borrowings</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16"/>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Net intercompany transactions</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(94)</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Other, net</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w:t>
            </w: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09"/>
        </w:trPr>
        <w:tc>
          <w:tcPr>
            <w:tcW w:w="3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cash provided by (used in)</w:t>
            </w:r>
          </w:p>
        </w:tc>
        <w:tc>
          <w:tcPr>
            <w:tcW w:w="2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0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financing activities exclusive of</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10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vehicle programs</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(57)</w:t>
            </w:r>
          </w:p>
        </w:tc>
        <w:tc>
          <w:tcPr>
            <w:tcW w:w="4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(94)</w:t>
            </w: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11"/>
        </w:trPr>
        <w:tc>
          <w:tcPr>
            <w:tcW w:w="31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Vehicle programs:</w:t>
            </w:r>
          </w:p>
        </w:tc>
        <w:tc>
          <w:tcPr>
            <w:tcW w:w="2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Proceeds from borrowings</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8,446</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8,476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Principal payments on borrowings</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(78)</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(7,952)</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5"/>
              </w:rPr>
              <w:t>(8,060)</w:t>
            </w:r>
          </w:p>
        </w:tc>
        <w:tc>
          <w:tcPr>
            <w:tcW w:w="0" w:type="dxa"/>
            <w:vAlign w:val="bottom"/>
          </w:tcPr>
          <w:p>
            <w:pPr>
              <w:spacing w:after="0"/>
              <w:rPr>
                <w:sz w:val="1"/>
                <w:szCs w:val="1"/>
                <w:color w:val="auto"/>
              </w:rPr>
            </w:pPr>
          </w:p>
        </w:tc>
      </w:tr>
      <w:tr>
        <w:trPr>
          <w:trHeight w:val="216"/>
        </w:trPr>
        <w:tc>
          <w:tcPr>
            <w:tcW w:w="3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change in short-term borrowings</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net</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(32)</w:t>
            </w: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23"/>
        </w:trPr>
        <w:tc>
          <w:tcPr>
            <w:tcW w:w="3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646</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3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cash provided by (used in)</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10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(89)</w:t>
            </w:r>
          </w:p>
        </w:tc>
        <w:tc>
          <w:tcPr>
            <w:tcW w:w="4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Effect of changes in exchange rates on</w:t>
            </w:r>
          </w:p>
        </w:tc>
        <w:tc>
          <w:tcPr>
            <w:tcW w:w="2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3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w:t>
            </w: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11"/>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Net increase (decrease) in cash and cash</w:t>
            </w:r>
          </w:p>
        </w:tc>
        <w:tc>
          <w:tcPr>
            <w:tcW w:w="2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equivalents</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(48)</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beginning of</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3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period</w:t>
            </w:r>
          </w:p>
        </w:tc>
        <w:tc>
          <w:tcPr>
            <w:tcW w:w="2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end of period</w:t>
            </w:r>
          </w:p>
        </w:tc>
        <w:tc>
          <w:tcPr>
            <w:tcW w:w="200" w:type="dxa"/>
            <w:vAlign w:val="bottom"/>
          </w:tcPr>
          <w:p>
            <w:pPr>
              <w:spacing w:after="0"/>
              <w:rPr>
                <w:sz w:val="19"/>
                <w:szCs w:val="19"/>
                <w:color w:val="auto"/>
              </w:rPr>
            </w:pP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4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3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gridSpan w:val="2"/>
          </w:tcPr>
          <w:p>
            <w:pPr>
              <w:jc w:val="right"/>
              <w:ind w:right="315"/>
              <w:spacing w:after="0"/>
              <w:rPr>
                <w:sz w:val="20"/>
                <w:szCs w:val="20"/>
                <w:color w:val="auto"/>
              </w:rPr>
            </w:pPr>
            <w:r>
              <w:rPr>
                <w:rFonts w:ascii="Times New Roman" w:cs="Times New Roman" w:eastAsia="Times New Roman" w:hAnsi="Times New Roman"/>
                <w:sz w:val="18"/>
                <w:szCs w:val="18"/>
                <w:color w:val="auto"/>
                <w:w w:val="93"/>
              </w:rPr>
              <w:t>F-59</w:t>
            </w: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240" w:top="455" w:right="639" w:bottom="1440" w:gutter="0" w:footer="0" w:header="0"/>
        </w:sectPr>
      </w:pPr>
    </w:p>
    <w:bookmarkStart w:id="120" w:name="page121"/>
    <w:bookmarkEnd w:id="12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tbl>
      <w:tblPr>
        <w:tblLayout w:type="fixed"/>
        <w:tblInd w:w="360" w:type="dxa"/>
        <w:tblCellMar>
          <w:top w:w="0" w:type="dxa"/>
          <w:left w:w="0" w:type="dxa"/>
          <w:bottom w:w="0" w:type="dxa"/>
          <w:right w:w="0" w:type="dxa"/>
        </w:tblCellMar>
      </w:tblPr>
      <w:tr>
        <w:trPr>
          <w:trHeight w:val="228"/>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For the Year Ended December 31, 2007</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404"/>
        </w:trPr>
        <w:tc>
          <w:tcPr>
            <w:tcW w:w="3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Non-</w:t>
            </w: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16"/>
        </w:trPr>
        <w:tc>
          <w:tcPr>
            <w:tcW w:w="3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gridSpan w:val="4"/>
          </w:tcPr>
          <w:p>
            <w:pPr>
              <w:ind w:left="220"/>
              <w:spacing w:after="0"/>
              <w:rPr>
                <w:sz w:val="20"/>
                <w:szCs w:val="20"/>
                <w:color w:val="auto"/>
              </w:rPr>
            </w:pPr>
            <w:r>
              <w:rPr>
                <w:rFonts w:ascii="Times New Roman" w:cs="Times New Roman" w:eastAsia="Times New Roman" w:hAnsi="Times New Roman"/>
                <w:sz w:val="18"/>
                <w:szCs w:val="18"/>
                <w:b w:val="1"/>
                <w:bCs w:val="1"/>
                <w:color w:val="auto"/>
              </w:rPr>
              <w:t>Subsidiary</w:t>
            </w:r>
          </w:p>
        </w:tc>
        <w:tc>
          <w:tcPr>
            <w:tcW w:w="100" w:type="dxa"/>
            <w:vAlign w:val="bottom"/>
          </w:tcPr>
          <w:p>
            <w:pPr>
              <w:spacing w:after="0"/>
              <w:rPr>
                <w:sz w:val="18"/>
                <w:szCs w:val="18"/>
                <w:color w:val="auto"/>
              </w:rPr>
            </w:pPr>
          </w:p>
        </w:tc>
        <w:tc>
          <w:tcPr>
            <w:tcW w:w="118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Guarantor</w:t>
            </w:r>
          </w:p>
        </w:tc>
        <w:tc>
          <w:tcPr>
            <w:tcW w:w="220" w:type="dxa"/>
            <w:vAlign w:val="bottom"/>
          </w:tcPr>
          <w:p>
            <w:pPr>
              <w:spacing w:after="0"/>
              <w:rPr>
                <w:sz w:val="18"/>
                <w:szCs w:val="18"/>
                <w:color w:val="auto"/>
              </w:rPr>
            </w:pPr>
          </w:p>
        </w:tc>
        <w:tc>
          <w:tcPr>
            <w:tcW w:w="118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Guarantor</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0"/>
        </w:trPr>
        <w:tc>
          <w:tcPr>
            <w:tcW w:w="3200" w:type="dxa"/>
            <w:vAlign w:val="bottom"/>
          </w:tcPr>
          <w:p>
            <w:pPr>
              <w:spacing w:after="0"/>
              <w:rPr>
                <w:sz w:val="20"/>
                <w:szCs w:val="20"/>
                <w:color w:val="auto"/>
              </w:rPr>
            </w:pPr>
          </w:p>
        </w:tc>
        <w:tc>
          <w:tcPr>
            <w:tcW w:w="980" w:type="dxa"/>
            <w:vAlign w:val="bottom"/>
            <w:gridSpan w:val="4"/>
          </w:tcPr>
          <w:p>
            <w:pPr>
              <w:ind w:left="200"/>
              <w:spacing w:after="0"/>
              <w:rPr>
                <w:sz w:val="20"/>
                <w:szCs w:val="20"/>
                <w:color w:val="auto"/>
              </w:rPr>
            </w:pPr>
            <w:r>
              <w:rPr>
                <w:rFonts w:ascii="Times New Roman" w:cs="Times New Roman" w:eastAsia="Times New Roman" w:hAnsi="Times New Roman"/>
                <w:sz w:val="18"/>
                <w:szCs w:val="18"/>
                <w:b w:val="1"/>
                <w:bCs w:val="1"/>
                <w:color w:val="auto"/>
              </w:rPr>
              <w:t>Parent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w w:val="96"/>
              </w:rPr>
              <w:t>Issuers</w:t>
            </w:r>
          </w:p>
        </w:tc>
        <w:tc>
          <w:tcPr>
            <w:tcW w:w="1280" w:type="dxa"/>
            <w:vAlign w:val="bottom"/>
            <w:gridSpan w:val="4"/>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Subsidiaries</w:t>
            </w:r>
          </w:p>
        </w:tc>
        <w:tc>
          <w:tcPr>
            <w:tcW w:w="1400" w:type="dxa"/>
            <w:vAlign w:val="bottom"/>
            <w:gridSpan w:val="4"/>
          </w:tcPr>
          <w:p>
            <w:pPr>
              <w:ind w:left="220"/>
              <w:spacing w:after="0"/>
              <w:rPr>
                <w:sz w:val="20"/>
                <w:szCs w:val="20"/>
                <w:color w:val="auto"/>
              </w:rPr>
            </w:pPr>
            <w:r>
              <w:rPr>
                <w:rFonts w:ascii="Times New Roman" w:cs="Times New Roman" w:eastAsia="Times New Roman" w:hAnsi="Times New Roman"/>
                <w:sz w:val="18"/>
                <w:szCs w:val="18"/>
                <w:b w:val="1"/>
                <w:bCs w:val="1"/>
                <w:color w:val="auto"/>
              </w:rPr>
              <w:t>Subsidiaries</w:t>
            </w:r>
          </w:p>
        </w:tc>
        <w:tc>
          <w:tcPr>
            <w:tcW w:w="1460" w:type="dxa"/>
            <w:vAlign w:val="bottom"/>
            <w:gridSpan w:val="4"/>
          </w:tcPr>
          <w:p>
            <w:pPr>
              <w:ind w:left="220"/>
              <w:spacing w:after="0"/>
              <w:rPr>
                <w:sz w:val="20"/>
                <w:szCs w:val="20"/>
                <w:color w:val="auto"/>
              </w:rPr>
            </w:pPr>
            <w:r>
              <w:rPr>
                <w:rFonts w:ascii="Times New Roman" w:cs="Times New Roman" w:eastAsia="Times New Roman" w:hAnsi="Times New Roman"/>
                <w:sz w:val="18"/>
                <w:szCs w:val="18"/>
                <w:b w:val="1"/>
                <w:bCs w:val="1"/>
                <w:color w:val="auto"/>
              </w:rPr>
              <w:t>Eliminations</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w w:val="97"/>
              </w:rPr>
              <w:t>Total</w:t>
            </w:r>
          </w:p>
        </w:tc>
      </w:tr>
      <w:tr>
        <w:trPr>
          <w:trHeight w:val="197"/>
        </w:trPr>
        <w:tc>
          <w:tcPr>
            <w:tcW w:w="3200" w:type="dxa"/>
            <w:vAlign w:val="bottom"/>
          </w:tcPr>
          <w:p>
            <w:pPr>
              <w:spacing w:after="0" w:line="197" w:lineRule="exact"/>
              <w:rPr>
                <w:sz w:val="20"/>
                <w:szCs w:val="20"/>
                <w:color w:val="auto"/>
              </w:rPr>
            </w:pPr>
            <w:r>
              <w:rPr>
                <w:rFonts w:ascii="Times New Roman" w:cs="Times New Roman" w:eastAsia="Times New Roman" w:hAnsi="Times New Roman"/>
                <w:sz w:val="18"/>
                <w:szCs w:val="18"/>
                <w:color w:val="auto"/>
              </w:rPr>
              <w:t>Net cash provided by (used in) operating</w:t>
            </w:r>
          </w:p>
        </w:tc>
        <w:tc>
          <w:tcPr>
            <w:tcW w:w="2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r>
      <w:tr>
        <w:trPr>
          <w:trHeight w:val="228"/>
        </w:trPr>
        <w:tc>
          <w:tcPr>
            <w:tcW w:w="32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activities</w:t>
            </w:r>
          </w:p>
        </w:tc>
        <w:tc>
          <w:tcPr>
            <w:tcW w:w="3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60" w:type="dxa"/>
            <w:vAlign w:val="bottom"/>
          </w:tcPr>
          <w:p>
            <w:pPr>
              <w:spacing w:after="0"/>
              <w:rPr>
                <w:sz w:val="19"/>
                <w:szCs w:val="19"/>
                <w:color w:val="auto"/>
              </w:rPr>
            </w:pPr>
          </w:p>
        </w:tc>
        <w:tc>
          <w:tcPr>
            <w:tcW w:w="3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(21)</w:t>
            </w:r>
          </w:p>
        </w:tc>
        <w:tc>
          <w:tcPr>
            <w:tcW w:w="440" w:type="dxa"/>
            <w:vAlign w:val="bottom"/>
            <w:gridSpan w:val="2"/>
          </w:tcPr>
          <w:p>
            <w:pPr>
              <w:jc w:val="right"/>
              <w:ind w:right="175"/>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w:t>
            </w:r>
          </w:p>
        </w:tc>
        <w:tc>
          <w:tcPr>
            <w:tcW w:w="4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1,973</w:t>
            </w:r>
          </w:p>
        </w:tc>
        <w:tc>
          <w:tcPr>
            <w:tcW w:w="260" w:type="dxa"/>
            <w:vAlign w:val="bottom"/>
          </w:tcPr>
          <w:p>
            <w:pPr>
              <w:spacing w:after="0"/>
              <w:rPr>
                <w:sz w:val="19"/>
                <w:szCs w:val="19"/>
                <w:color w:val="auto"/>
              </w:rPr>
            </w:pPr>
          </w:p>
        </w:tc>
        <w:tc>
          <w:tcPr>
            <w:tcW w:w="5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(216)</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1,714</w:t>
            </w:r>
          </w:p>
        </w:tc>
        <w:tc>
          <w:tcPr>
            <w:tcW w:w="40" w:type="dxa"/>
            <w:vAlign w:val="bottom"/>
          </w:tcPr>
          <w:p>
            <w:pPr>
              <w:spacing w:after="0"/>
              <w:rPr>
                <w:sz w:val="19"/>
                <w:szCs w:val="19"/>
                <w:color w:val="auto"/>
              </w:rPr>
            </w:pPr>
          </w:p>
        </w:tc>
      </w:tr>
      <w:tr>
        <w:trPr>
          <w:trHeight w:val="211"/>
        </w:trPr>
        <w:tc>
          <w:tcPr>
            <w:tcW w:w="3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additions</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(53)</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(94)</w:t>
            </w:r>
          </w:p>
        </w:tc>
      </w:tr>
      <w:tr>
        <w:trPr>
          <w:trHeight w:val="216"/>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Net assets acquired, net of cash acquired,</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32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and acquisition-related payments</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Proceeds received on asset sales</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40" w:type="dxa"/>
            <w:vAlign w:val="bottom"/>
          </w:tcPr>
          <w:p>
            <w:pPr>
              <w:spacing w:after="0"/>
              <w:rPr>
                <w:sz w:val="18"/>
                <w:szCs w:val="18"/>
                <w:color w:val="auto"/>
              </w:rPr>
            </w:pPr>
          </w:p>
        </w:tc>
      </w:tr>
      <w:tr>
        <w:trPr>
          <w:trHeight w:val="216"/>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Proceeds received from sale of investment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40" w:type="dxa"/>
            <w:vAlign w:val="bottom"/>
          </w:tcPr>
          <w:p>
            <w:pPr>
              <w:spacing w:after="0"/>
              <w:rPr>
                <w:sz w:val="18"/>
                <w:szCs w:val="18"/>
                <w:color w:val="auto"/>
              </w:rPr>
            </w:pPr>
          </w:p>
        </w:tc>
      </w:tr>
      <w:tr>
        <w:trPr>
          <w:trHeight w:val="216"/>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(paid to) Realogy and</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32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Wyndham, net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(108)</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(108)</w:t>
            </w:r>
          </w:p>
        </w:tc>
      </w:tr>
      <w:tr>
        <w:trPr>
          <w:trHeight w:val="216"/>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disposition of businesses,</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32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of transaction-related payments</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r>
      <w:tr>
        <w:trPr>
          <w:trHeight w:val="216"/>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Purchase of equity investment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28"/>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Other, net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09"/>
        </w:trPr>
        <w:tc>
          <w:tcPr>
            <w:tcW w:w="3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cash provided by (used in) investing</w:t>
            </w: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320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activities exclusive of vehicle</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0"/>
        </w:trPr>
        <w:tc>
          <w:tcPr>
            <w:tcW w:w="320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programs</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(62)</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(68)</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w:t>
            </w: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(161)</w:t>
            </w:r>
          </w:p>
        </w:tc>
      </w:tr>
      <w:tr>
        <w:trPr>
          <w:trHeight w:val="211"/>
        </w:trPr>
        <w:tc>
          <w:tcPr>
            <w:tcW w:w="32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Vehicle programs:</w:t>
            </w: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32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Decrease (increase) in program cash</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40" w:type="dxa"/>
            <w:vAlign w:val="bottom"/>
          </w:tcPr>
          <w:p>
            <w:pPr>
              <w:spacing w:after="0"/>
              <w:rPr>
                <w:sz w:val="18"/>
                <w:szCs w:val="18"/>
                <w:color w:val="auto"/>
              </w:rPr>
            </w:pPr>
          </w:p>
        </w:tc>
      </w:tr>
      <w:tr>
        <w:trPr>
          <w:trHeight w:val="216"/>
        </w:trPr>
        <w:tc>
          <w:tcPr>
            <w:tcW w:w="32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Investment in vehicles</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(87)</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(10,501)</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4"/>
              </w:rPr>
              <w:t>(10,633)</w:t>
            </w:r>
          </w:p>
        </w:tc>
      </w:tr>
      <w:tr>
        <w:trPr>
          <w:trHeight w:val="216"/>
        </w:trPr>
        <w:tc>
          <w:tcPr>
            <w:tcW w:w="32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Proceeds received on disposition of</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32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vehicles</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8,586</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8,864</w:t>
            </w:r>
          </w:p>
        </w:tc>
        <w:tc>
          <w:tcPr>
            <w:tcW w:w="40" w:type="dxa"/>
            <w:vAlign w:val="bottom"/>
          </w:tcPr>
          <w:p>
            <w:pPr>
              <w:spacing w:after="0"/>
              <w:rPr>
                <w:sz w:val="18"/>
                <w:szCs w:val="18"/>
                <w:color w:val="auto"/>
              </w:rPr>
            </w:pPr>
          </w:p>
        </w:tc>
      </w:tr>
      <w:tr>
        <w:trPr>
          <w:trHeight w:val="229"/>
        </w:trPr>
        <w:tc>
          <w:tcPr>
            <w:tcW w:w="32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Others, net</w:t>
            </w:r>
          </w:p>
        </w:tc>
        <w:tc>
          <w:tcPr>
            <w:tcW w:w="2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r>
      <w:tr>
        <w:trPr>
          <w:trHeight w:val="223"/>
        </w:trPr>
        <w:tc>
          <w:tcPr>
            <w:tcW w:w="3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(1,902)</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(1,756)</w:t>
            </w:r>
          </w:p>
        </w:tc>
        <w:tc>
          <w:tcPr>
            <w:tcW w:w="40" w:type="dxa"/>
            <w:vAlign w:val="bottom"/>
          </w:tcPr>
          <w:p>
            <w:pPr>
              <w:spacing w:after="0"/>
              <w:rPr>
                <w:sz w:val="19"/>
                <w:szCs w:val="19"/>
                <w:color w:val="auto"/>
              </w:rPr>
            </w:pPr>
          </w:p>
        </w:tc>
      </w:tr>
      <w:tr>
        <w:trPr>
          <w:trHeight w:val="208"/>
        </w:trPr>
        <w:tc>
          <w:tcPr>
            <w:tcW w:w="3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cash provided by (used in) investing</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0"/>
        </w:trPr>
        <w:tc>
          <w:tcPr>
            <w:tcW w:w="320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activities</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(62)</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(105)</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(1,910)</w:t>
            </w: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(1,917)</w:t>
            </w:r>
          </w:p>
        </w:tc>
      </w:tr>
      <w:tr>
        <w:trPr>
          <w:trHeight w:val="211"/>
        </w:trPr>
        <w:tc>
          <w:tcPr>
            <w:tcW w:w="3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Principal payments on borrowings</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16"/>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Issuances of common stock</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40" w:type="dxa"/>
            <w:vAlign w:val="bottom"/>
          </w:tcPr>
          <w:p>
            <w:pPr>
              <w:spacing w:after="0"/>
              <w:rPr>
                <w:sz w:val="18"/>
                <w:szCs w:val="18"/>
                <w:color w:val="auto"/>
              </w:rPr>
            </w:pPr>
          </w:p>
        </w:tc>
      </w:tr>
      <w:tr>
        <w:trPr>
          <w:trHeight w:val="216"/>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Net intercompany transactions</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(284)</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r>
      <w:tr>
        <w:trPr>
          <w:trHeight w:val="228"/>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Other, net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09"/>
        </w:trPr>
        <w:tc>
          <w:tcPr>
            <w:tcW w:w="3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cash provided by (used in) financing</w:t>
            </w: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320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activities exclusive of vehicle</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0"/>
        </w:trPr>
        <w:tc>
          <w:tcPr>
            <w:tcW w:w="320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programs</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(155)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(284)</w:t>
            </w: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40" w:type="dxa"/>
            <w:vAlign w:val="bottom"/>
          </w:tcPr>
          <w:p>
            <w:pPr>
              <w:spacing w:after="0"/>
              <w:rPr>
                <w:sz w:val="20"/>
                <w:szCs w:val="20"/>
                <w:color w:val="auto"/>
              </w:rPr>
            </w:pPr>
          </w:p>
        </w:tc>
      </w:tr>
      <w:tr>
        <w:trPr>
          <w:trHeight w:val="211"/>
        </w:trPr>
        <w:tc>
          <w:tcPr>
            <w:tcW w:w="32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Vehicle programs:</w:t>
            </w: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32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Proceeds from borrowings</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10,517</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10,565</w:t>
            </w:r>
          </w:p>
        </w:tc>
        <w:tc>
          <w:tcPr>
            <w:tcW w:w="40" w:type="dxa"/>
            <w:vAlign w:val="bottom"/>
          </w:tcPr>
          <w:p>
            <w:pPr>
              <w:spacing w:after="0"/>
              <w:rPr>
                <w:sz w:val="18"/>
                <w:szCs w:val="18"/>
                <w:color w:val="auto"/>
              </w:rPr>
            </w:pPr>
          </w:p>
        </w:tc>
      </w:tr>
      <w:tr>
        <w:trPr>
          <w:trHeight w:val="216"/>
        </w:trPr>
        <w:tc>
          <w:tcPr>
            <w:tcW w:w="32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Principal payments on borrowings</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(52)</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(10,182)</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4"/>
              </w:rPr>
              <w:t>(10,236)</w:t>
            </w:r>
          </w:p>
        </w:tc>
      </w:tr>
      <w:tr>
        <w:trPr>
          <w:trHeight w:val="216"/>
        </w:trPr>
        <w:tc>
          <w:tcPr>
            <w:tcW w:w="32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change in short-term borrowings</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(86)</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29"/>
        </w:trPr>
        <w:tc>
          <w:tcPr>
            <w:tcW w:w="32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net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23"/>
        </w:trPr>
        <w:tc>
          <w:tcPr>
            <w:tcW w:w="3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40" w:type="dxa"/>
            <w:vAlign w:val="bottom"/>
          </w:tcPr>
          <w:p>
            <w:pPr>
              <w:spacing w:after="0"/>
              <w:rPr>
                <w:sz w:val="19"/>
                <w:szCs w:val="19"/>
                <w:color w:val="auto"/>
              </w:rPr>
            </w:pPr>
          </w:p>
        </w:tc>
      </w:tr>
      <w:tr>
        <w:trPr>
          <w:trHeight w:val="208"/>
        </w:trPr>
        <w:tc>
          <w:tcPr>
            <w:tcW w:w="3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cash provided by (used in) financing</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0"/>
        </w:trPr>
        <w:tc>
          <w:tcPr>
            <w:tcW w:w="320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activities</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(36)</w:t>
            </w: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40" w:type="dxa"/>
            <w:vAlign w:val="bottom"/>
          </w:tcPr>
          <w:p>
            <w:pPr>
              <w:spacing w:after="0"/>
              <w:rPr>
                <w:sz w:val="20"/>
                <w:szCs w:val="20"/>
                <w:color w:val="auto"/>
              </w:rPr>
            </w:pPr>
          </w:p>
        </w:tc>
      </w:tr>
      <w:tr>
        <w:trPr>
          <w:trHeight w:val="211"/>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Effect of changes in exchange rates on</w:t>
            </w: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r>
      <w:tr>
        <w:trPr>
          <w:trHeight w:val="228"/>
        </w:trPr>
        <w:tc>
          <w:tcPr>
            <w:tcW w:w="32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40" w:type="dxa"/>
            <w:vAlign w:val="bottom"/>
          </w:tcPr>
          <w:p>
            <w:pPr>
              <w:spacing w:after="0"/>
              <w:rPr>
                <w:sz w:val="19"/>
                <w:szCs w:val="19"/>
                <w:color w:val="auto"/>
              </w:rPr>
            </w:pPr>
          </w:p>
        </w:tc>
      </w:tr>
      <w:tr>
        <w:trPr>
          <w:trHeight w:val="211"/>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Net increase (decrease) in cash and cash</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32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Equivalents</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40" w:type="dxa"/>
            <w:vAlign w:val="bottom"/>
          </w:tcPr>
          <w:p>
            <w:pPr>
              <w:spacing w:after="0"/>
              <w:rPr>
                <w:sz w:val="18"/>
                <w:szCs w:val="18"/>
                <w:color w:val="auto"/>
              </w:rPr>
            </w:pPr>
          </w:p>
        </w:tc>
      </w:tr>
      <w:tr>
        <w:trPr>
          <w:trHeight w:val="216"/>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beginning of</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28"/>
        </w:trPr>
        <w:tc>
          <w:tcPr>
            <w:tcW w:w="32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period</w:t>
            </w:r>
          </w:p>
        </w:tc>
        <w:tc>
          <w:tcPr>
            <w:tcW w:w="2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40" w:type="dxa"/>
            <w:vAlign w:val="bottom"/>
          </w:tcPr>
          <w:p>
            <w:pPr>
              <w:spacing w:after="0"/>
              <w:rPr>
                <w:sz w:val="19"/>
                <w:szCs w:val="19"/>
                <w:color w:val="auto"/>
              </w:rPr>
            </w:pPr>
          </w:p>
        </w:tc>
      </w:tr>
      <w:tr>
        <w:trPr>
          <w:trHeight w:val="225"/>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end of period</w:t>
            </w:r>
          </w:p>
        </w:tc>
        <w:tc>
          <w:tcPr>
            <w:tcW w:w="200" w:type="dxa"/>
            <w:vAlign w:val="bottom"/>
          </w:tcPr>
          <w:p>
            <w:pPr>
              <w:spacing w:after="0"/>
              <w:rPr>
                <w:sz w:val="19"/>
                <w:szCs w:val="19"/>
                <w:color w:val="auto"/>
              </w:rPr>
            </w:pPr>
          </w:p>
        </w:tc>
        <w:tc>
          <w:tcPr>
            <w:tcW w:w="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40" w:type="dxa"/>
            <w:vAlign w:val="bottom"/>
          </w:tcPr>
          <w:p>
            <w:pPr>
              <w:spacing w:after="0"/>
              <w:rPr>
                <w:sz w:val="19"/>
                <w:szCs w:val="19"/>
                <w:color w:val="auto"/>
              </w:rPr>
            </w:pPr>
          </w:p>
        </w:tc>
      </w:tr>
      <w:tr>
        <w:trPr>
          <w:trHeight w:val="20"/>
        </w:trPr>
        <w:tc>
          <w:tcPr>
            <w:tcW w:w="3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57"/>
        </w:trPr>
        <w:tc>
          <w:tcPr>
            <w:tcW w:w="3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F-60</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1020"/>
          </w:cols>
          <w:pgMar w:left="240" w:top="455" w:right="639" w:bottom="1440" w:gutter="0" w:footer="0" w:header="0"/>
        </w:sectPr>
      </w:pPr>
    </w:p>
    <w:bookmarkStart w:id="121" w:name="page122"/>
    <w:bookmarkEnd w:id="12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340" w:hanging="332"/>
        <w:spacing w:after="0"/>
        <w:tabs>
          <w:tab w:leader="none" w:pos="340" w:val="left"/>
        </w:tabs>
        <w:numPr>
          <w:ilvl w:val="0"/>
          <w:numId w:val="7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Selected Quarterly Financial Data—(unaudited)</w:t>
      </w:r>
    </w:p>
    <w:p>
      <w:pPr>
        <w:spacing w:after="0" w:line="173" w:lineRule="exact"/>
        <w:rPr>
          <w:rFonts w:ascii="Times New Roman" w:cs="Times New Roman" w:eastAsia="Times New Roman" w:hAnsi="Times New Roman"/>
          <w:sz w:val="18"/>
          <w:szCs w:val="18"/>
          <w:b w:val="1"/>
          <w:bCs w:val="1"/>
          <w:color w:val="auto"/>
        </w:rPr>
      </w:pPr>
    </w:p>
    <w:p>
      <w:pPr>
        <w:ind w:left="3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Provided below are selected unaudited quarterly financial data for 2009 and 2008.</w:t>
      </w:r>
    </w:p>
    <w:p>
      <w:pPr>
        <w:spacing w:after="0" w:line="171" w:lineRule="exact"/>
        <w:rPr>
          <w:rFonts w:ascii="Times New Roman" w:cs="Times New Roman" w:eastAsia="Times New Roman" w:hAnsi="Times New Roman"/>
          <w:sz w:val="18"/>
          <w:szCs w:val="18"/>
          <w:b w:val="1"/>
          <w:bCs w:val="1"/>
          <w:color w:val="auto"/>
        </w:rPr>
      </w:pPr>
    </w:p>
    <w:p>
      <w:pPr>
        <w:ind w:left="360"/>
        <w:spacing w:after="0" w:line="26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underlying diluted per share information is calculated from the weighted average common stock and common stock equivalents outstanding during each quarter, which may fluctuate, based on quarterly income levels, market prices and share repurchases. Therefore, the sum of the quarters’ per share information may not equal the total year amounts presented on the Consolidated Statements of Operations.</w:t>
      </w:r>
    </w:p>
    <w:p>
      <w:pPr>
        <w:spacing w:after="0" w:line="171" w:lineRule="exact"/>
        <w:rPr>
          <w:sz w:val="20"/>
          <w:szCs w:val="20"/>
          <w:color w:val="auto"/>
        </w:rPr>
      </w:pPr>
    </w:p>
    <w:tbl>
      <w:tblPr>
        <w:tblLayout w:type="fixed"/>
        <w:tblInd w:w="360" w:type="dxa"/>
        <w:tblCellMar>
          <w:top w:w="0" w:type="dxa"/>
          <w:left w:w="0" w:type="dxa"/>
          <w:bottom w:w="0" w:type="dxa"/>
          <w:right w:w="0" w:type="dxa"/>
        </w:tblCellMar>
      </w:tblPr>
      <w:tr>
        <w:trPr>
          <w:trHeight w:val="230"/>
        </w:trPr>
        <w:tc>
          <w:tcPr>
            <w:tcW w:w="426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2009</w:t>
            </w:r>
          </w:p>
        </w:tc>
        <w:tc>
          <w:tcPr>
            <w:tcW w:w="8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r>
      <w:tr>
        <w:trPr>
          <w:trHeight w:val="212"/>
        </w:trPr>
        <w:tc>
          <w:tcPr>
            <w:tcW w:w="426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 xml:space="preserve">First </w:t>
            </w:r>
            <w:r>
              <w:rPr>
                <w:rFonts w:ascii="Times New Roman" w:cs="Times New Roman" w:eastAsia="Times New Roman" w:hAnsi="Times New Roman"/>
                <w:sz w:val="11"/>
                <w:szCs w:val="11"/>
                <w:b w:val="1"/>
                <w:bCs w:val="1"/>
                <w:color w:val="auto"/>
              </w:rPr>
              <w:t>(a)</w:t>
            </w:r>
          </w:p>
        </w:tc>
        <w:tc>
          <w:tcPr>
            <w:tcW w:w="1060" w:type="dxa"/>
            <w:vAlign w:val="bottom"/>
            <w:gridSpan w:val="4"/>
          </w:tcPr>
          <w:p>
            <w:pPr>
              <w:ind w:left="240"/>
              <w:spacing w:after="0"/>
              <w:rPr>
                <w:sz w:val="20"/>
                <w:szCs w:val="20"/>
                <w:color w:val="auto"/>
              </w:rPr>
            </w:pPr>
            <w:r>
              <w:rPr>
                <w:rFonts w:ascii="Times New Roman" w:cs="Times New Roman" w:eastAsia="Times New Roman" w:hAnsi="Times New Roman"/>
                <w:sz w:val="18"/>
                <w:szCs w:val="18"/>
                <w:b w:val="1"/>
                <w:bCs w:val="1"/>
                <w:color w:val="auto"/>
              </w:rPr>
              <w:t xml:space="preserve">Second </w:t>
            </w:r>
            <w:r>
              <w:rPr>
                <w:rFonts w:ascii="Times New Roman" w:cs="Times New Roman" w:eastAsia="Times New Roman" w:hAnsi="Times New Roman"/>
                <w:sz w:val="11"/>
                <w:szCs w:val="11"/>
                <w:b w:val="1"/>
                <w:bCs w:val="1"/>
                <w:color w:val="auto"/>
              </w:rPr>
              <w:t>(a)</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w w:val="93"/>
              </w:rPr>
              <w:t>Third</w:t>
            </w: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 xml:space="preserve">Fourth </w:t>
            </w:r>
            <w:r>
              <w:rPr>
                <w:rFonts w:ascii="Times New Roman" w:cs="Times New Roman" w:eastAsia="Times New Roman" w:hAnsi="Times New Roman"/>
                <w:sz w:val="11"/>
                <w:szCs w:val="11"/>
                <w:b w:val="1"/>
                <w:bCs w:val="1"/>
                <w:color w:val="auto"/>
              </w:rPr>
              <w:t>(a)</w:t>
            </w:r>
          </w:p>
        </w:tc>
        <w:tc>
          <w:tcPr>
            <w:tcW w:w="40" w:type="dxa"/>
            <w:vAlign w:val="bottom"/>
          </w:tcPr>
          <w:p>
            <w:pPr>
              <w:spacing w:after="0"/>
              <w:rPr>
                <w:sz w:val="18"/>
                <w:szCs w:val="18"/>
                <w:color w:val="auto"/>
              </w:rPr>
            </w:pPr>
          </w:p>
        </w:tc>
      </w:tr>
      <w:tr>
        <w:trPr>
          <w:trHeight w:val="195"/>
        </w:trPr>
        <w:tc>
          <w:tcPr>
            <w:tcW w:w="426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Net revenues</w:t>
            </w:r>
          </w:p>
        </w:tc>
        <w:tc>
          <w:tcPr>
            <w:tcW w:w="2100" w:type="dxa"/>
            <w:vAlign w:val="bottom"/>
          </w:tcPr>
          <w:p>
            <w:pPr>
              <w:spacing w:after="0"/>
              <w:rPr>
                <w:sz w:val="16"/>
                <w:szCs w:val="16"/>
                <w:color w:val="auto"/>
              </w:rPr>
            </w:pPr>
          </w:p>
        </w:tc>
        <w:tc>
          <w:tcPr>
            <w:tcW w:w="560" w:type="dxa"/>
            <w:vAlign w:val="bottom"/>
            <w:tcBorders>
              <w:top w:val="single" w:sz="8" w:color="auto"/>
            </w:tcBorders>
            <w:gridSpan w:val="3"/>
          </w:tcPr>
          <w:p>
            <w:pPr>
              <w:jc w:val="right"/>
              <w:spacing w:after="0" w:line="195" w:lineRule="exact"/>
              <w:rPr>
                <w:sz w:val="20"/>
                <w:szCs w:val="20"/>
                <w:color w:val="auto"/>
              </w:rPr>
            </w:pPr>
            <w:r>
              <w:rPr>
                <w:rFonts w:ascii="Times New Roman" w:cs="Times New Roman" w:eastAsia="Times New Roman" w:hAnsi="Times New Roman"/>
                <w:sz w:val="18"/>
                <w:szCs w:val="18"/>
                <w:color w:val="auto"/>
                <w:w w:val="96"/>
              </w:rPr>
              <w:t>$ 1,194</w:t>
            </w: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top w:val="single" w:sz="8" w:color="auto"/>
            </w:tcBorders>
          </w:tcPr>
          <w:p>
            <w:pPr>
              <w:jc w:val="right"/>
              <w:spacing w:after="0" w:line="195" w:lineRule="exact"/>
              <w:rPr>
                <w:sz w:val="20"/>
                <w:szCs w:val="20"/>
                <w:color w:val="auto"/>
              </w:rPr>
            </w:pPr>
            <w:r>
              <w:rPr>
                <w:rFonts w:ascii="Times New Roman" w:cs="Times New Roman" w:eastAsia="Times New Roman" w:hAnsi="Times New Roman"/>
                <w:sz w:val="18"/>
                <w:szCs w:val="18"/>
                <w:color w:val="auto"/>
              </w:rPr>
              <w:t>1,312</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Borders>
              <w:top w:val="single" w:sz="8" w:color="auto"/>
            </w:tcBorders>
          </w:tcPr>
          <w:p>
            <w:pPr>
              <w:jc w:val="right"/>
              <w:spacing w:after="0" w:line="195" w:lineRule="exact"/>
              <w:rPr>
                <w:sz w:val="20"/>
                <w:szCs w:val="20"/>
                <w:color w:val="auto"/>
              </w:rPr>
            </w:pPr>
            <w:r>
              <w:rPr>
                <w:rFonts w:ascii="Times New Roman" w:cs="Times New Roman" w:eastAsia="Times New Roman" w:hAnsi="Times New Roman"/>
                <w:sz w:val="18"/>
                <w:szCs w:val="18"/>
                <w:color w:val="auto"/>
              </w:rPr>
              <w:t>1,465</w:t>
            </w:r>
          </w:p>
        </w:tc>
        <w:tc>
          <w:tcPr>
            <w:tcW w:w="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Borders>
              <w:top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tcBorders>
              <w:top w:val="single" w:sz="8" w:color="auto"/>
            </w:tcBorders>
          </w:tcPr>
          <w:p>
            <w:pPr>
              <w:jc w:val="right"/>
              <w:spacing w:after="0" w:line="195" w:lineRule="exact"/>
              <w:rPr>
                <w:sz w:val="20"/>
                <w:szCs w:val="20"/>
                <w:color w:val="auto"/>
              </w:rPr>
            </w:pPr>
            <w:r>
              <w:rPr>
                <w:rFonts w:ascii="Times New Roman" w:cs="Times New Roman" w:eastAsia="Times New Roman" w:hAnsi="Times New Roman"/>
                <w:sz w:val="18"/>
                <w:szCs w:val="18"/>
                <w:color w:val="auto"/>
              </w:rPr>
              <w:t>1,160</w:t>
            </w:r>
          </w:p>
        </w:tc>
        <w:tc>
          <w:tcPr>
            <w:tcW w:w="40" w:type="dxa"/>
            <w:vAlign w:val="bottom"/>
          </w:tcPr>
          <w:p>
            <w:pPr>
              <w:spacing w:after="0"/>
              <w:rPr>
                <w:sz w:val="16"/>
                <w:szCs w:val="16"/>
                <w:color w:val="auto"/>
              </w:rPr>
            </w:pPr>
          </w:p>
        </w:tc>
      </w:tr>
      <w:tr>
        <w:trPr>
          <w:trHeight w:val="228"/>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2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(49)</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w:t>
            </w: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312"/>
        </w:trPr>
        <w:tc>
          <w:tcPr>
            <w:tcW w:w="42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Per share information:</w:t>
            </w:r>
          </w:p>
        </w:tc>
        <w:tc>
          <w:tcPr>
            <w:tcW w:w="2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16"/>
        </w:trPr>
        <w:tc>
          <w:tcPr>
            <w:tcW w:w="4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Basic</w:t>
            </w:r>
          </w:p>
        </w:tc>
        <w:tc>
          <w:tcPr>
            <w:tcW w:w="2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42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Net income (loss)</w:t>
            </w:r>
          </w:p>
        </w:tc>
        <w:tc>
          <w:tcPr>
            <w:tcW w:w="2220" w:type="dxa"/>
            <w:vAlign w:val="bottom"/>
            <w:gridSpan w:val="3"/>
          </w:tcPr>
          <w:p>
            <w:pPr>
              <w:ind w:left="21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(0.48)</w:t>
            </w:r>
          </w:p>
        </w:tc>
        <w:tc>
          <w:tcPr>
            <w:tcW w:w="32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(0.06)</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0.55</w:t>
            </w:r>
          </w:p>
        </w:tc>
        <w:tc>
          <w:tcPr>
            <w:tcW w:w="300" w:type="dxa"/>
            <w:vAlign w:val="bottom"/>
          </w:tcPr>
          <w:p>
            <w:pPr>
              <w:spacing w:after="0"/>
              <w:rPr>
                <w:sz w:val="18"/>
                <w:szCs w:val="18"/>
                <w:color w:val="auto"/>
              </w:rPr>
            </w:pPr>
          </w:p>
        </w:tc>
        <w:tc>
          <w:tcPr>
            <w:tcW w:w="440" w:type="dxa"/>
            <w:vAlign w:val="bottom"/>
            <w:gridSpan w:val="2"/>
          </w:tcPr>
          <w:p>
            <w:pPr>
              <w:jc w:val="right"/>
              <w:ind w:right="18"/>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(0.47)</w:t>
            </w:r>
          </w:p>
        </w:tc>
      </w:tr>
      <w:tr>
        <w:trPr>
          <w:trHeight w:val="216"/>
        </w:trPr>
        <w:tc>
          <w:tcPr>
            <w:tcW w:w="42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Weighted average shares</w:t>
            </w:r>
          </w:p>
        </w:tc>
        <w:tc>
          <w:tcPr>
            <w:tcW w:w="2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101.8</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102.2</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102.3</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102.3</w:t>
            </w:r>
          </w:p>
        </w:tc>
        <w:tc>
          <w:tcPr>
            <w:tcW w:w="40" w:type="dxa"/>
            <w:vAlign w:val="bottom"/>
          </w:tcPr>
          <w:p>
            <w:pPr>
              <w:spacing w:after="0"/>
              <w:rPr>
                <w:sz w:val="18"/>
                <w:szCs w:val="18"/>
                <w:color w:val="auto"/>
              </w:rPr>
            </w:pPr>
          </w:p>
        </w:tc>
      </w:tr>
      <w:tr>
        <w:trPr>
          <w:trHeight w:val="216"/>
        </w:trPr>
        <w:tc>
          <w:tcPr>
            <w:tcW w:w="4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Diluted</w:t>
            </w:r>
          </w:p>
        </w:tc>
        <w:tc>
          <w:tcPr>
            <w:tcW w:w="2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42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Net income (loss)</w:t>
            </w:r>
          </w:p>
        </w:tc>
        <w:tc>
          <w:tcPr>
            <w:tcW w:w="2220" w:type="dxa"/>
            <w:vAlign w:val="bottom"/>
            <w:gridSpan w:val="3"/>
          </w:tcPr>
          <w:p>
            <w:pPr>
              <w:ind w:left="21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(0.48)</w:t>
            </w:r>
          </w:p>
        </w:tc>
        <w:tc>
          <w:tcPr>
            <w:tcW w:w="32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(0.06)</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0.54</w:t>
            </w:r>
          </w:p>
        </w:tc>
        <w:tc>
          <w:tcPr>
            <w:tcW w:w="300" w:type="dxa"/>
            <w:vAlign w:val="bottom"/>
          </w:tcPr>
          <w:p>
            <w:pPr>
              <w:spacing w:after="0"/>
              <w:rPr>
                <w:sz w:val="18"/>
                <w:szCs w:val="18"/>
                <w:color w:val="auto"/>
              </w:rPr>
            </w:pPr>
          </w:p>
        </w:tc>
        <w:tc>
          <w:tcPr>
            <w:tcW w:w="440" w:type="dxa"/>
            <w:vAlign w:val="bottom"/>
            <w:gridSpan w:val="2"/>
          </w:tcPr>
          <w:p>
            <w:pPr>
              <w:jc w:val="right"/>
              <w:ind w:right="18"/>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(0.47)</w:t>
            </w:r>
          </w:p>
        </w:tc>
      </w:tr>
      <w:tr>
        <w:trPr>
          <w:trHeight w:val="228"/>
        </w:trPr>
        <w:tc>
          <w:tcPr>
            <w:tcW w:w="42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Weighted average shares</w:t>
            </w:r>
          </w:p>
        </w:tc>
        <w:tc>
          <w:tcPr>
            <w:tcW w:w="2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101.8</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102.2</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104.5</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102.3</w:t>
            </w:r>
          </w:p>
        </w:tc>
        <w:tc>
          <w:tcPr>
            <w:tcW w:w="40" w:type="dxa"/>
            <w:vAlign w:val="bottom"/>
          </w:tcPr>
          <w:p>
            <w:pPr>
              <w:spacing w:after="0"/>
              <w:rPr>
                <w:sz w:val="19"/>
                <w:szCs w:val="19"/>
                <w:color w:val="auto"/>
              </w:rPr>
            </w:pPr>
          </w:p>
        </w:tc>
      </w:tr>
      <w:tr>
        <w:trPr>
          <w:trHeight w:val="432"/>
        </w:trPr>
        <w:tc>
          <w:tcPr>
            <w:tcW w:w="426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2008</w:t>
            </w:r>
          </w:p>
        </w:tc>
        <w:tc>
          <w:tcPr>
            <w:tcW w:w="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212"/>
        </w:trPr>
        <w:tc>
          <w:tcPr>
            <w:tcW w:w="426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 xml:space="preserve">First </w:t>
            </w:r>
            <w:r>
              <w:rPr>
                <w:rFonts w:ascii="Times New Roman" w:cs="Times New Roman" w:eastAsia="Times New Roman" w:hAnsi="Times New Roman"/>
                <w:sz w:val="11"/>
                <w:szCs w:val="11"/>
                <w:b w:val="1"/>
                <w:bCs w:val="1"/>
                <w:color w:val="auto"/>
              </w:rPr>
              <w:t>(a)</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w w:val="94"/>
              </w:rPr>
              <w:t>Second</w:t>
            </w:r>
          </w:p>
        </w:tc>
        <w:tc>
          <w:tcPr>
            <w:tcW w:w="1380" w:type="dxa"/>
            <w:vAlign w:val="bottom"/>
            <w:gridSpan w:val="4"/>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 xml:space="preserve">Third </w:t>
            </w:r>
            <w:r>
              <w:rPr>
                <w:rFonts w:ascii="Times New Roman" w:cs="Times New Roman" w:eastAsia="Times New Roman" w:hAnsi="Times New Roman"/>
                <w:sz w:val="11"/>
                <w:szCs w:val="11"/>
                <w:b w:val="1"/>
                <w:bCs w:val="1"/>
                <w:color w:val="auto"/>
              </w:rPr>
              <w:t>(a)</w:t>
            </w: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 xml:space="preserve">Fourth </w:t>
            </w:r>
            <w:r>
              <w:rPr>
                <w:rFonts w:ascii="Times New Roman" w:cs="Times New Roman" w:eastAsia="Times New Roman" w:hAnsi="Times New Roman"/>
                <w:sz w:val="11"/>
                <w:szCs w:val="11"/>
                <w:b w:val="1"/>
                <w:bCs w:val="1"/>
                <w:color w:val="auto"/>
              </w:rPr>
              <w:t>(a)</w:t>
            </w:r>
          </w:p>
        </w:tc>
        <w:tc>
          <w:tcPr>
            <w:tcW w:w="40" w:type="dxa"/>
            <w:vAlign w:val="bottom"/>
          </w:tcPr>
          <w:p>
            <w:pPr>
              <w:spacing w:after="0"/>
              <w:rPr>
                <w:sz w:val="18"/>
                <w:szCs w:val="18"/>
                <w:color w:val="auto"/>
              </w:rPr>
            </w:pPr>
          </w:p>
        </w:tc>
      </w:tr>
      <w:tr>
        <w:trPr>
          <w:trHeight w:val="195"/>
        </w:trPr>
        <w:tc>
          <w:tcPr>
            <w:tcW w:w="426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Net revenues</w:t>
            </w:r>
          </w:p>
        </w:tc>
        <w:tc>
          <w:tcPr>
            <w:tcW w:w="2100" w:type="dxa"/>
            <w:vAlign w:val="bottom"/>
          </w:tcPr>
          <w:p>
            <w:pPr>
              <w:spacing w:after="0"/>
              <w:rPr>
                <w:sz w:val="16"/>
                <w:szCs w:val="16"/>
                <w:color w:val="auto"/>
              </w:rPr>
            </w:pPr>
          </w:p>
        </w:tc>
        <w:tc>
          <w:tcPr>
            <w:tcW w:w="560" w:type="dxa"/>
            <w:vAlign w:val="bottom"/>
            <w:tcBorders>
              <w:top w:val="single" w:sz="8" w:color="auto"/>
            </w:tcBorders>
            <w:gridSpan w:val="3"/>
          </w:tcPr>
          <w:p>
            <w:pPr>
              <w:jc w:val="right"/>
              <w:spacing w:after="0" w:line="195" w:lineRule="exact"/>
              <w:rPr>
                <w:sz w:val="20"/>
                <w:szCs w:val="20"/>
                <w:color w:val="auto"/>
              </w:rPr>
            </w:pPr>
            <w:r>
              <w:rPr>
                <w:rFonts w:ascii="Times New Roman" w:cs="Times New Roman" w:eastAsia="Times New Roman" w:hAnsi="Times New Roman"/>
                <w:sz w:val="18"/>
                <w:szCs w:val="18"/>
                <w:color w:val="auto"/>
                <w:w w:val="96"/>
              </w:rPr>
              <w:t>$ 1,445</w:t>
            </w: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top w:val="single" w:sz="8" w:color="auto"/>
            </w:tcBorders>
          </w:tcPr>
          <w:p>
            <w:pPr>
              <w:jc w:val="right"/>
              <w:spacing w:after="0" w:line="195" w:lineRule="exact"/>
              <w:rPr>
                <w:sz w:val="20"/>
                <w:szCs w:val="20"/>
                <w:color w:val="auto"/>
              </w:rPr>
            </w:pPr>
            <w:r>
              <w:rPr>
                <w:rFonts w:ascii="Times New Roman" w:cs="Times New Roman" w:eastAsia="Times New Roman" w:hAnsi="Times New Roman"/>
                <w:sz w:val="18"/>
                <w:szCs w:val="18"/>
                <w:color w:val="auto"/>
              </w:rPr>
              <w:t>1,577</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Borders>
              <w:top w:val="single" w:sz="8" w:color="auto"/>
            </w:tcBorders>
          </w:tcPr>
          <w:p>
            <w:pPr>
              <w:jc w:val="right"/>
              <w:spacing w:after="0" w:line="195" w:lineRule="exact"/>
              <w:rPr>
                <w:sz w:val="20"/>
                <w:szCs w:val="20"/>
                <w:color w:val="auto"/>
              </w:rPr>
            </w:pPr>
            <w:r>
              <w:rPr>
                <w:rFonts w:ascii="Times New Roman" w:cs="Times New Roman" w:eastAsia="Times New Roman" w:hAnsi="Times New Roman"/>
                <w:sz w:val="18"/>
                <w:szCs w:val="18"/>
                <w:color w:val="auto"/>
              </w:rPr>
              <w:t>1,701</w:t>
            </w:r>
          </w:p>
        </w:tc>
        <w:tc>
          <w:tcPr>
            <w:tcW w:w="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Borders>
              <w:top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tcBorders>
              <w:top w:val="single" w:sz="8" w:color="auto"/>
            </w:tcBorders>
          </w:tcPr>
          <w:p>
            <w:pPr>
              <w:jc w:val="right"/>
              <w:spacing w:after="0" w:line="195" w:lineRule="exact"/>
              <w:rPr>
                <w:sz w:val="20"/>
                <w:szCs w:val="20"/>
                <w:color w:val="auto"/>
              </w:rPr>
            </w:pPr>
            <w:r>
              <w:rPr>
                <w:rFonts w:ascii="Times New Roman" w:cs="Times New Roman" w:eastAsia="Times New Roman" w:hAnsi="Times New Roman"/>
                <w:sz w:val="18"/>
                <w:szCs w:val="18"/>
                <w:color w:val="auto"/>
              </w:rPr>
              <w:t>1,261</w:t>
            </w:r>
          </w:p>
        </w:tc>
        <w:tc>
          <w:tcPr>
            <w:tcW w:w="40" w:type="dxa"/>
            <w:vAlign w:val="bottom"/>
          </w:tcPr>
          <w:p>
            <w:pPr>
              <w:spacing w:after="0"/>
              <w:rPr>
                <w:sz w:val="16"/>
                <w:szCs w:val="16"/>
                <w:color w:val="auto"/>
              </w:rPr>
            </w:pPr>
          </w:p>
        </w:tc>
      </w:tr>
      <w:tr>
        <w:trPr>
          <w:trHeight w:val="228"/>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2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(12)</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(1,006)</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(121)</w:t>
            </w:r>
          </w:p>
        </w:tc>
      </w:tr>
      <w:tr>
        <w:trPr>
          <w:trHeight w:val="312"/>
        </w:trPr>
        <w:tc>
          <w:tcPr>
            <w:tcW w:w="42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Per share information:</w:t>
            </w:r>
          </w:p>
        </w:tc>
        <w:tc>
          <w:tcPr>
            <w:tcW w:w="2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16"/>
        </w:trPr>
        <w:tc>
          <w:tcPr>
            <w:tcW w:w="4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Basic</w:t>
            </w:r>
          </w:p>
        </w:tc>
        <w:tc>
          <w:tcPr>
            <w:tcW w:w="2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42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Net income (loss)</w:t>
            </w:r>
          </w:p>
        </w:tc>
        <w:tc>
          <w:tcPr>
            <w:tcW w:w="2220" w:type="dxa"/>
            <w:vAlign w:val="bottom"/>
            <w:gridSpan w:val="3"/>
          </w:tcPr>
          <w:p>
            <w:pPr>
              <w:ind w:left="21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(0.11)</w:t>
            </w:r>
          </w:p>
        </w:tc>
        <w:tc>
          <w:tcPr>
            <w:tcW w:w="32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10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(9.91)</w:t>
            </w:r>
          </w:p>
        </w:tc>
        <w:tc>
          <w:tcPr>
            <w:tcW w:w="440" w:type="dxa"/>
            <w:vAlign w:val="bottom"/>
            <w:gridSpan w:val="2"/>
          </w:tcPr>
          <w:p>
            <w:pPr>
              <w:jc w:val="right"/>
              <w:ind w:right="18"/>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(1.20)</w:t>
            </w:r>
          </w:p>
        </w:tc>
      </w:tr>
      <w:tr>
        <w:trPr>
          <w:trHeight w:val="216"/>
        </w:trPr>
        <w:tc>
          <w:tcPr>
            <w:tcW w:w="42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Weighted average shares</w:t>
            </w:r>
          </w:p>
        </w:tc>
        <w:tc>
          <w:tcPr>
            <w:tcW w:w="2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102.8</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101.4</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101.6</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101.7</w:t>
            </w:r>
          </w:p>
        </w:tc>
        <w:tc>
          <w:tcPr>
            <w:tcW w:w="40" w:type="dxa"/>
            <w:vAlign w:val="bottom"/>
          </w:tcPr>
          <w:p>
            <w:pPr>
              <w:spacing w:after="0"/>
              <w:rPr>
                <w:sz w:val="18"/>
                <w:szCs w:val="18"/>
                <w:color w:val="auto"/>
              </w:rPr>
            </w:pPr>
          </w:p>
        </w:tc>
      </w:tr>
      <w:tr>
        <w:trPr>
          <w:trHeight w:val="216"/>
        </w:trPr>
        <w:tc>
          <w:tcPr>
            <w:tcW w:w="4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Diluted</w:t>
            </w:r>
          </w:p>
        </w:tc>
        <w:tc>
          <w:tcPr>
            <w:tcW w:w="2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42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Net income (loss)</w:t>
            </w:r>
          </w:p>
        </w:tc>
        <w:tc>
          <w:tcPr>
            <w:tcW w:w="2220" w:type="dxa"/>
            <w:vAlign w:val="bottom"/>
            <w:gridSpan w:val="3"/>
          </w:tcPr>
          <w:p>
            <w:pPr>
              <w:ind w:left="21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(0.11)</w:t>
            </w:r>
          </w:p>
        </w:tc>
        <w:tc>
          <w:tcPr>
            <w:tcW w:w="32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10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(9.91)</w:t>
            </w:r>
          </w:p>
        </w:tc>
        <w:tc>
          <w:tcPr>
            <w:tcW w:w="440" w:type="dxa"/>
            <w:vAlign w:val="bottom"/>
            <w:gridSpan w:val="2"/>
          </w:tcPr>
          <w:p>
            <w:pPr>
              <w:jc w:val="right"/>
              <w:ind w:right="18"/>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(1.20)</w:t>
            </w:r>
          </w:p>
        </w:tc>
      </w:tr>
      <w:tr>
        <w:trPr>
          <w:trHeight w:val="228"/>
        </w:trPr>
        <w:tc>
          <w:tcPr>
            <w:tcW w:w="42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Weighted average shares</w:t>
            </w:r>
          </w:p>
        </w:tc>
        <w:tc>
          <w:tcPr>
            <w:tcW w:w="2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102.8</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101.4</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101.6</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101.7</w:t>
            </w:r>
          </w:p>
        </w:tc>
        <w:tc>
          <w:tcPr>
            <w:tcW w:w="40" w:type="dxa"/>
            <w:vAlign w:val="bottom"/>
          </w:tcPr>
          <w:p>
            <w:pPr>
              <w:spacing w:after="0"/>
              <w:rPr>
                <w:sz w:val="19"/>
                <w:szCs w:val="19"/>
                <w:color w:val="auto"/>
              </w:rPr>
            </w:pPr>
          </w:p>
        </w:tc>
      </w:tr>
    </w:tbl>
    <w:p>
      <w:pPr>
        <w:spacing w:after="0" w:line="136" w:lineRule="exact"/>
        <w:rPr>
          <w:sz w:val="20"/>
          <w:szCs w:val="20"/>
          <w:color w:val="auto"/>
        </w:rPr>
      </w:pPr>
    </w:p>
    <w:p>
      <w:pPr>
        <w:ind w:left="800" w:right="140" w:hanging="454"/>
        <w:spacing w:after="0" w:line="231" w:lineRule="auto"/>
        <w:tabs>
          <w:tab w:leader="none" w:pos="800" w:val="left"/>
        </w:tabs>
        <w:numPr>
          <w:ilvl w:val="1"/>
          <w:numId w:val="80"/>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As the Company incurred a loss from continuing operations for this period, all outstanding stock options, restricted stock units and warrants are anti-dilutive for such periods. Accordingly, basic and diluted weighted average shares outstanding are equal for such periods.</w:t>
      </w:r>
    </w:p>
    <w:p>
      <w:pPr>
        <w:spacing w:after="0" w:line="190" w:lineRule="exact"/>
        <w:rPr>
          <w:rFonts w:ascii="Times New Roman" w:cs="Times New Roman" w:eastAsia="Times New Roman" w:hAnsi="Times New Roman"/>
          <w:sz w:val="22"/>
          <w:szCs w:val="22"/>
          <w:color w:val="auto"/>
          <w:vertAlign w:val="superscript"/>
        </w:rPr>
      </w:pPr>
    </w:p>
    <w:p>
      <w:pPr>
        <w:ind w:left="340" w:hanging="332"/>
        <w:spacing w:after="0"/>
        <w:tabs>
          <w:tab w:leader="none" w:pos="340" w:val="left"/>
        </w:tabs>
        <w:numPr>
          <w:ilvl w:val="0"/>
          <w:numId w:val="8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Subsequent Events</w:t>
      </w:r>
    </w:p>
    <w:p>
      <w:pPr>
        <w:spacing w:after="0" w:line="173" w:lineRule="exact"/>
        <w:rPr>
          <w:rFonts w:ascii="Times New Roman" w:cs="Times New Roman" w:eastAsia="Times New Roman" w:hAnsi="Times New Roman"/>
          <w:sz w:val="18"/>
          <w:szCs w:val="18"/>
          <w:b w:val="1"/>
          <w:bCs w:val="1"/>
          <w:color w:val="auto"/>
        </w:rPr>
      </w:pPr>
    </w:p>
    <w:p>
      <w:pPr>
        <w:ind w:left="360" w:right="20"/>
        <w:spacing w:after="0" w:line="27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evaluated events through February 23, 2010 for consideration as a subsequent event to be included in its Annual Report on Form 10-K for the fiscal year ended December 31, 2009 issued February 23,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219710</wp:posOffset>
            </wp:positionH>
            <wp:positionV relativeFrom="paragraph">
              <wp:posOffset>-960120</wp:posOffset>
            </wp:positionV>
            <wp:extent cx="72898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8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F-61</w:t>
      </w:r>
    </w:p>
    <w:p>
      <w:pPr>
        <w:sectPr>
          <w:pgSz w:w="11900" w:h="16838" w:orient="portrait"/>
          <w:cols w:equalWidth="0" w:num="1">
            <w:col w:w="11380"/>
          </w:cols>
          <w:pgMar w:left="240" w:top="455" w:right="279" w:bottom="1440" w:gutter="0" w:footer="0" w:header="0"/>
        </w:sectPr>
      </w:pPr>
    </w:p>
    <w:bookmarkStart w:id="122" w:name="page123"/>
    <w:bookmarkEnd w:id="12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Schedule II – Valuation and Qualifying Accounts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8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11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Balance at</w:t>
            </w: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Other –</w:t>
            </w: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11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Beginning</w:t>
            </w: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3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Translation</w:t>
            </w: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w w:val="95"/>
              </w:rPr>
              <w:t>Balance at End</w:t>
            </w:r>
          </w:p>
        </w:tc>
      </w:tr>
      <w:tr>
        <w:trPr>
          <w:trHeight w:val="231"/>
        </w:trPr>
        <w:tc>
          <w:tcPr>
            <w:tcW w:w="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6"/>
              </w:rPr>
              <w:t>Description</w:t>
            </w:r>
          </w:p>
        </w:tc>
        <w:tc>
          <w:tcPr>
            <w:tcW w:w="3300" w:type="dxa"/>
            <w:vAlign w:val="bottom"/>
          </w:tcPr>
          <w:p>
            <w:pPr>
              <w:spacing w:after="0"/>
              <w:rPr>
                <w:sz w:val="20"/>
                <w:szCs w:val="20"/>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of Period</w:t>
            </w: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w w:val="97"/>
              </w:rPr>
              <w:t>Expensed</w:t>
            </w:r>
          </w:p>
        </w:tc>
        <w:tc>
          <w:tcPr>
            <w:tcW w:w="660" w:type="dxa"/>
            <w:vAlign w:val="bottom"/>
          </w:tcPr>
          <w:p>
            <w:pPr>
              <w:spacing w:after="0"/>
              <w:rPr>
                <w:sz w:val="20"/>
                <w:szCs w:val="20"/>
                <w:color w:val="auto"/>
              </w:rPr>
            </w:pPr>
          </w:p>
        </w:tc>
        <w:tc>
          <w:tcPr>
            <w:tcW w:w="13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Adjustment</w:t>
            </w:r>
          </w:p>
        </w:tc>
        <w:tc>
          <w:tcPr>
            <w:tcW w:w="340" w:type="dxa"/>
            <w:vAlign w:val="bottom"/>
          </w:tcPr>
          <w:p>
            <w:pPr>
              <w:spacing w:after="0"/>
              <w:rPr>
                <w:sz w:val="20"/>
                <w:szCs w:val="20"/>
                <w:color w:val="auto"/>
              </w:rPr>
            </w:pPr>
          </w:p>
        </w:tc>
        <w:tc>
          <w:tcPr>
            <w:tcW w:w="12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Deductions</w:t>
            </w: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of Period</w:t>
            </w:r>
          </w:p>
        </w:tc>
      </w:tr>
      <w:tr>
        <w:trPr>
          <w:trHeight w:val="20"/>
        </w:trPr>
        <w:tc>
          <w:tcPr>
            <w:tcW w:w="880" w:type="dxa"/>
            <w:vAlign w:val="bottom"/>
            <w:shd w:val="clear" w:color="auto" w:fill="000000"/>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r>
      <w:tr>
        <w:trPr>
          <w:trHeight w:val="223"/>
        </w:trPr>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3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405"/>
        </w:trPr>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Year Ended December 31,</w:t>
            </w: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2009</w:t>
            </w:r>
          </w:p>
        </w:tc>
        <w:tc>
          <w:tcPr>
            <w:tcW w:w="3300" w:type="dxa"/>
            <w:vAlign w:val="bottom"/>
          </w:tcPr>
          <w:p>
            <w:pPr>
              <w:spacing w:after="0"/>
              <w:rPr>
                <w:sz w:val="18"/>
                <w:szCs w:val="18"/>
                <w:color w:val="auto"/>
              </w:rPr>
            </w:pPr>
          </w:p>
        </w:tc>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17</w:t>
            </w:r>
          </w:p>
        </w:tc>
        <w:tc>
          <w:tcPr>
            <w:tcW w:w="7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7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w:t>
            </w:r>
          </w:p>
        </w:tc>
        <w:tc>
          <w:tcPr>
            <w:tcW w:w="7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(8)</w:t>
            </w:r>
          </w:p>
        </w:tc>
        <w:tc>
          <w:tcPr>
            <w:tcW w:w="5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2008</w:t>
            </w:r>
          </w:p>
        </w:tc>
        <w:tc>
          <w:tcPr>
            <w:tcW w:w="3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19</w:t>
            </w: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w:t>
            </w: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(10)</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28"/>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2007</w:t>
            </w:r>
          </w:p>
        </w:tc>
        <w:tc>
          <w:tcPr>
            <w:tcW w:w="3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20</w:t>
            </w:r>
          </w:p>
        </w:tc>
        <w:tc>
          <w:tcPr>
            <w:tcW w:w="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w:t>
            </w: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(9)</w:t>
            </w: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432"/>
        </w:trPr>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Tax Valuation Allowance:</w:t>
            </w: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420"/>
        </w:trPr>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Year Ended December 31,</w:t>
            </w: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2009</w:t>
            </w:r>
          </w:p>
        </w:tc>
        <w:tc>
          <w:tcPr>
            <w:tcW w:w="3300" w:type="dxa"/>
            <w:vAlign w:val="bottom"/>
          </w:tcPr>
          <w:p>
            <w:pPr>
              <w:spacing w:after="0"/>
              <w:rPr>
                <w:sz w:val="18"/>
                <w:szCs w:val="18"/>
                <w:color w:val="auto"/>
              </w:rPr>
            </w:pPr>
          </w:p>
        </w:tc>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157</w:t>
            </w:r>
          </w:p>
        </w:tc>
        <w:tc>
          <w:tcPr>
            <w:tcW w:w="7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7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2008</w:t>
            </w:r>
          </w:p>
        </w:tc>
        <w:tc>
          <w:tcPr>
            <w:tcW w:w="3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137</w:t>
            </w: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w:t>
            </w:r>
          </w:p>
        </w:tc>
      </w:tr>
      <w:tr>
        <w:trPr>
          <w:trHeight w:val="228"/>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2007</w:t>
            </w:r>
          </w:p>
        </w:tc>
        <w:tc>
          <w:tcPr>
            <w:tcW w:w="3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81</w:t>
            </w:r>
          </w:p>
        </w:tc>
        <w:tc>
          <w:tcPr>
            <w:tcW w:w="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r>
      <w:tr>
        <w:trPr>
          <w:trHeight w:val="365"/>
        </w:trPr>
        <w:tc>
          <w:tcPr>
            <w:tcW w:w="88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G-1</w:t>
            </w: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r>
    </w:tbl>
    <w:p>
      <w:pPr>
        <w:sectPr>
          <w:pgSz w:w="11900" w:h="16838" w:orient="portrait"/>
          <w:cols w:equalWidth="0" w:num="1">
            <w:col w:w="11420"/>
          </w:cols>
          <w:pgMar w:left="240" w:top="455" w:right="239" w:bottom="1440" w:gutter="0" w:footer="0" w:header="0"/>
        </w:sectPr>
      </w:pPr>
    </w:p>
    <w:bookmarkStart w:id="123" w:name="page124"/>
    <w:bookmarkEnd w:id="12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7"/>
              </w:rPr>
              <w:t>Exhibit No.</w:t>
            </w:r>
          </w:p>
        </w:tc>
        <w:tc>
          <w:tcPr>
            <w:tcW w:w="5500" w:type="dxa"/>
            <w:vAlign w:val="bottom"/>
          </w:tcPr>
          <w:p>
            <w:pPr>
              <w:spacing w:after="0"/>
              <w:rPr>
                <w:sz w:val="20"/>
                <w:szCs w:val="20"/>
                <w:color w:val="auto"/>
              </w:rPr>
            </w:pPr>
          </w:p>
        </w:tc>
        <w:tc>
          <w:tcPr>
            <w:tcW w:w="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w w:val="96"/>
              </w:rPr>
              <w:t>Description</w:t>
            </w:r>
          </w:p>
        </w:tc>
        <w:tc>
          <w:tcPr>
            <w:tcW w:w="4120" w:type="dxa"/>
            <w:vAlign w:val="bottom"/>
          </w:tcPr>
          <w:p>
            <w:pPr>
              <w:spacing w:after="0"/>
              <w:rPr>
                <w:sz w:val="20"/>
                <w:szCs w:val="20"/>
                <w:color w:val="auto"/>
              </w:rPr>
            </w:pPr>
          </w:p>
        </w:tc>
      </w:tr>
      <w:tr>
        <w:trPr>
          <w:trHeight w:val="196"/>
        </w:trPr>
        <w:tc>
          <w:tcPr>
            <w:tcW w:w="8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2.1</w:t>
            </w:r>
          </w:p>
        </w:tc>
        <w:tc>
          <w:tcPr>
            <w:tcW w:w="10520" w:type="dxa"/>
            <w:vAlign w:val="bottom"/>
            <w:gridSpan w:val="3"/>
          </w:tcPr>
          <w:p>
            <w:pPr>
              <w:ind w:left="1360"/>
              <w:spacing w:after="0" w:line="196" w:lineRule="exact"/>
              <w:rPr>
                <w:sz w:val="20"/>
                <w:szCs w:val="20"/>
                <w:color w:val="auto"/>
              </w:rPr>
            </w:pPr>
            <w:r>
              <w:rPr>
                <w:rFonts w:ascii="Times New Roman" w:cs="Times New Roman" w:eastAsia="Times New Roman" w:hAnsi="Times New Roman"/>
                <w:sz w:val="18"/>
                <w:szCs w:val="18"/>
                <w:color w:val="auto"/>
              </w:rPr>
              <w:t>Separation and Distribution Agreement by and among Cendant Corporation*, Realogy Corporation, Wyndham Worldwide</w:t>
            </w:r>
          </w:p>
        </w:tc>
      </w:tr>
      <w:tr>
        <w:trPr>
          <w:trHeight w:val="216"/>
        </w:trPr>
        <w:tc>
          <w:tcPr>
            <w:tcW w:w="880" w:type="dxa"/>
            <w:vAlign w:val="bottom"/>
          </w:tcPr>
          <w:p>
            <w:pPr>
              <w:spacing w:after="0"/>
              <w:rPr>
                <w:sz w:val="18"/>
                <w:szCs w:val="18"/>
                <w:color w:val="auto"/>
              </w:rPr>
            </w:pPr>
          </w:p>
        </w:tc>
        <w:tc>
          <w:tcPr>
            <w:tcW w:w="10520" w:type="dxa"/>
            <w:vAlign w:val="bottom"/>
            <w:gridSpan w:val="3"/>
          </w:tcPr>
          <w:p>
            <w:pPr>
              <w:ind w:left="1360"/>
              <w:spacing w:after="0"/>
              <w:rPr>
                <w:sz w:val="20"/>
                <w:szCs w:val="20"/>
                <w:color w:val="auto"/>
              </w:rPr>
            </w:pPr>
            <w:r>
              <w:rPr>
                <w:rFonts w:ascii="Times New Roman" w:cs="Times New Roman" w:eastAsia="Times New Roman" w:hAnsi="Times New Roman"/>
                <w:sz w:val="18"/>
                <w:szCs w:val="18"/>
                <w:color w:val="auto"/>
              </w:rPr>
              <w:t>Corporation and Travelport Inc., dated as of July 27, 2006 (Incorporated by reference to Exhibit 2.1 to the Company’s Current</w:t>
            </w:r>
          </w:p>
        </w:tc>
      </w:tr>
      <w:tr>
        <w:trPr>
          <w:trHeight w:val="228"/>
        </w:trPr>
        <w:tc>
          <w:tcPr>
            <w:tcW w:w="880" w:type="dxa"/>
            <w:vAlign w:val="bottom"/>
          </w:tcPr>
          <w:p>
            <w:pPr>
              <w:spacing w:after="0"/>
              <w:rPr>
                <w:sz w:val="19"/>
                <w:szCs w:val="19"/>
                <w:color w:val="auto"/>
              </w:rPr>
            </w:pPr>
          </w:p>
        </w:tc>
        <w:tc>
          <w:tcPr>
            <w:tcW w:w="10520" w:type="dxa"/>
            <w:vAlign w:val="bottom"/>
            <w:gridSpan w:val="3"/>
          </w:tcPr>
          <w:p>
            <w:pPr>
              <w:ind w:left="1360"/>
              <w:spacing w:after="0"/>
              <w:rPr>
                <w:sz w:val="20"/>
                <w:szCs w:val="20"/>
                <w:color w:val="auto"/>
              </w:rPr>
            </w:pPr>
            <w:r>
              <w:rPr>
                <w:rFonts w:ascii="Times New Roman" w:cs="Times New Roman" w:eastAsia="Times New Roman" w:hAnsi="Times New Roman"/>
                <w:sz w:val="18"/>
                <w:szCs w:val="18"/>
                <w:color w:val="auto"/>
              </w:rPr>
              <w:t>Report on Form 8-K dated August 1, 2006).</w:t>
            </w:r>
          </w:p>
        </w:tc>
      </w:tr>
      <w:tr>
        <w:trPr>
          <w:trHeight w:val="3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2.2</w:t>
            </w:r>
          </w:p>
        </w:tc>
        <w:tc>
          <w:tcPr>
            <w:tcW w:w="10520" w:type="dxa"/>
            <w:vAlign w:val="bottom"/>
            <w:gridSpan w:val="3"/>
          </w:tcPr>
          <w:p>
            <w:pPr>
              <w:ind w:left="1360"/>
              <w:spacing w:after="0"/>
              <w:rPr>
                <w:sz w:val="20"/>
                <w:szCs w:val="20"/>
                <w:color w:val="auto"/>
              </w:rPr>
            </w:pPr>
            <w:r>
              <w:rPr>
                <w:rFonts w:ascii="Times New Roman" w:cs="Times New Roman" w:eastAsia="Times New Roman" w:hAnsi="Times New Roman"/>
                <w:sz w:val="18"/>
                <w:szCs w:val="18"/>
                <w:color w:val="auto"/>
              </w:rPr>
              <w:t>Letter Agreement dated August 23, 2006 related to the Separation and Distribution Agreement by and among Realogy</w:t>
            </w:r>
          </w:p>
        </w:tc>
      </w:tr>
      <w:tr>
        <w:trPr>
          <w:trHeight w:val="216"/>
        </w:trPr>
        <w:tc>
          <w:tcPr>
            <w:tcW w:w="880" w:type="dxa"/>
            <w:vAlign w:val="bottom"/>
          </w:tcPr>
          <w:p>
            <w:pPr>
              <w:spacing w:after="0"/>
              <w:rPr>
                <w:sz w:val="18"/>
                <w:szCs w:val="18"/>
                <w:color w:val="auto"/>
              </w:rPr>
            </w:pPr>
          </w:p>
        </w:tc>
        <w:tc>
          <w:tcPr>
            <w:tcW w:w="10520" w:type="dxa"/>
            <w:vAlign w:val="bottom"/>
            <w:gridSpan w:val="3"/>
          </w:tcPr>
          <w:p>
            <w:pPr>
              <w:ind w:left="1360"/>
              <w:spacing w:after="0"/>
              <w:rPr>
                <w:sz w:val="20"/>
                <w:szCs w:val="20"/>
                <w:color w:val="auto"/>
              </w:rPr>
            </w:pPr>
            <w:r>
              <w:rPr>
                <w:rFonts w:ascii="Times New Roman" w:cs="Times New Roman" w:eastAsia="Times New Roman" w:hAnsi="Times New Roman"/>
                <w:sz w:val="18"/>
                <w:szCs w:val="18"/>
                <w:color w:val="auto"/>
              </w:rPr>
              <w:t>Corporation, Cendant Corporation*, Wyndham Worldwide Corporation and Travelport Inc. dated as of July 27, 2006</w:t>
            </w:r>
          </w:p>
        </w:tc>
      </w:tr>
      <w:tr>
        <w:trPr>
          <w:trHeight w:val="228"/>
        </w:trPr>
        <w:tc>
          <w:tcPr>
            <w:tcW w:w="880" w:type="dxa"/>
            <w:vAlign w:val="bottom"/>
          </w:tcPr>
          <w:p>
            <w:pPr>
              <w:spacing w:after="0"/>
              <w:rPr>
                <w:sz w:val="19"/>
                <w:szCs w:val="19"/>
                <w:color w:val="auto"/>
              </w:rPr>
            </w:pPr>
          </w:p>
        </w:tc>
        <w:tc>
          <w:tcPr>
            <w:tcW w:w="10520" w:type="dxa"/>
            <w:vAlign w:val="bottom"/>
            <w:gridSpan w:val="3"/>
          </w:tcPr>
          <w:p>
            <w:pPr>
              <w:ind w:left="1360"/>
              <w:spacing w:after="0"/>
              <w:rPr>
                <w:sz w:val="20"/>
                <w:szCs w:val="20"/>
                <w:color w:val="auto"/>
              </w:rPr>
            </w:pPr>
            <w:r>
              <w:rPr>
                <w:rFonts w:ascii="Times New Roman" w:cs="Times New Roman" w:eastAsia="Times New Roman" w:hAnsi="Times New Roman"/>
                <w:sz w:val="18"/>
                <w:szCs w:val="18"/>
                <w:color w:val="auto"/>
                <w:w w:val="98"/>
              </w:rPr>
              <w:t>(Incorporated by reference to Exhibit 2.2 to the Company’s Quarterly Report on Form 10-Q for the period ended June 30, 2007).</w:t>
            </w:r>
          </w:p>
        </w:tc>
      </w:tr>
      <w:tr>
        <w:trPr>
          <w:trHeight w:val="3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10520" w:type="dxa"/>
            <w:vAlign w:val="bottom"/>
            <w:gridSpan w:val="3"/>
          </w:tcPr>
          <w:p>
            <w:pPr>
              <w:ind w:left="1360"/>
              <w:spacing w:after="0"/>
              <w:rPr>
                <w:sz w:val="20"/>
                <w:szCs w:val="20"/>
                <w:color w:val="auto"/>
              </w:rPr>
            </w:pPr>
            <w:r>
              <w:rPr>
                <w:rFonts w:ascii="Times New Roman" w:cs="Times New Roman" w:eastAsia="Times New Roman" w:hAnsi="Times New Roman"/>
                <w:sz w:val="18"/>
                <w:szCs w:val="18"/>
                <w:color w:val="auto"/>
                <w:w w:val="99"/>
              </w:rPr>
              <w:t>Amended and Restated Certificate of Incorporation of the Company (Incorporated by reference to Exhibit 3.1 to the Company’s</w:t>
            </w:r>
          </w:p>
        </w:tc>
      </w:tr>
      <w:tr>
        <w:trPr>
          <w:trHeight w:val="228"/>
        </w:trPr>
        <w:tc>
          <w:tcPr>
            <w:tcW w:w="880" w:type="dxa"/>
            <w:vAlign w:val="bottom"/>
          </w:tcPr>
          <w:p>
            <w:pPr>
              <w:spacing w:after="0"/>
              <w:rPr>
                <w:sz w:val="19"/>
                <w:szCs w:val="19"/>
                <w:color w:val="auto"/>
              </w:rPr>
            </w:pPr>
          </w:p>
        </w:tc>
        <w:tc>
          <w:tcPr>
            <w:tcW w:w="10520" w:type="dxa"/>
            <w:vAlign w:val="bottom"/>
            <w:gridSpan w:val="3"/>
          </w:tcPr>
          <w:p>
            <w:pPr>
              <w:ind w:left="1360"/>
              <w:spacing w:after="0"/>
              <w:rPr>
                <w:sz w:val="20"/>
                <w:szCs w:val="20"/>
                <w:color w:val="auto"/>
              </w:rPr>
            </w:pPr>
            <w:r>
              <w:rPr>
                <w:rFonts w:ascii="Times New Roman" w:cs="Times New Roman" w:eastAsia="Times New Roman" w:hAnsi="Times New Roman"/>
                <w:sz w:val="18"/>
                <w:szCs w:val="18"/>
                <w:color w:val="auto"/>
              </w:rPr>
              <w:t>Current Report on Form 8-K dated September 5, 2006).</w:t>
            </w:r>
          </w:p>
        </w:tc>
      </w:tr>
      <w:tr>
        <w:trPr>
          <w:trHeight w:val="3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10520" w:type="dxa"/>
            <w:vAlign w:val="bottom"/>
            <w:gridSpan w:val="3"/>
          </w:tcPr>
          <w:p>
            <w:pPr>
              <w:ind w:left="1360"/>
              <w:spacing w:after="0"/>
              <w:rPr>
                <w:sz w:val="20"/>
                <w:szCs w:val="20"/>
                <w:color w:val="auto"/>
              </w:rPr>
            </w:pPr>
            <w:r>
              <w:rPr>
                <w:rFonts w:ascii="Times New Roman" w:cs="Times New Roman" w:eastAsia="Times New Roman" w:hAnsi="Times New Roman"/>
                <w:sz w:val="18"/>
                <w:szCs w:val="18"/>
                <w:color w:val="auto"/>
                <w:w w:val="97"/>
              </w:rPr>
              <w:t>Amended and Restated Bylaws of Avis Budget Group, Inc. (as of November 5, 2009) (Incorporated by reference to Exhibit 3.2 to</w:t>
            </w:r>
          </w:p>
        </w:tc>
      </w:tr>
      <w:tr>
        <w:trPr>
          <w:trHeight w:val="228"/>
        </w:trPr>
        <w:tc>
          <w:tcPr>
            <w:tcW w:w="880" w:type="dxa"/>
            <w:vAlign w:val="bottom"/>
          </w:tcPr>
          <w:p>
            <w:pPr>
              <w:spacing w:after="0"/>
              <w:rPr>
                <w:sz w:val="19"/>
                <w:szCs w:val="19"/>
                <w:color w:val="auto"/>
              </w:rPr>
            </w:pPr>
          </w:p>
        </w:tc>
        <w:tc>
          <w:tcPr>
            <w:tcW w:w="10520" w:type="dxa"/>
            <w:vAlign w:val="bottom"/>
            <w:gridSpan w:val="3"/>
          </w:tcPr>
          <w:p>
            <w:pPr>
              <w:ind w:left="1360"/>
              <w:spacing w:after="0"/>
              <w:rPr>
                <w:sz w:val="20"/>
                <w:szCs w:val="20"/>
                <w:color w:val="auto"/>
              </w:rPr>
            </w:pPr>
            <w:r>
              <w:rPr>
                <w:rFonts w:ascii="Times New Roman" w:cs="Times New Roman" w:eastAsia="Times New Roman" w:hAnsi="Times New Roman"/>
                <w:sz w:val="18"/>
                <w:szCs w:val="18"/>
                <w:color w:val="auto"/>
              </w:rPr>
              <w:t>the Company’s Current Report on Form 8-K dated November 5, 2009).</w:t>
            </w:r>
          </w:p>
        </w:tc>
      </w:tr>
      <w:tr>
        <w:trPr>
          <w:trHeight w:val="3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4.1(a)</w:t>
            </w:r>
          </w:p>
        </w:tc>
        <w:tc>
          <w:tcPr>
            <w:tcW w:w="10520" w:type="dxa"/>
            <w:vAlign w:val="bottom"/>
            <w:gridSpan w:val="3"/>
          </w:tcPr>
          <w:p>
            <w:pPr>
              <w:ind w:left="1360"/>
              <w:spacing w:after="0"/>
              <w:rPr>
                <w:sz w:val="20"/>
                <w:szCs w:val="20"/>
                <w:color w:val="auto"/>
              </w:rPr>
            </w:pPr>
            <w:r>
              <w:rPr>
                <w:rFonts w:ascii="Times New Roman" w:cs="Times New Roman" w:eastAsia="Times New Roman" w:hAnsi="Times New Roman"/>
                <w:sz w:val="18"/>
                <w:szCs w:val="18"/>
                <w:color w:val="auto"/>
                <w:w w:val="98"/>
              </w:rPr>
              <w:t>Indenture, dated as of April 19, 2006, among Avis Budget Car Rental, LLC, Avis Budget Finance, Inc., the guarantors from time</w:t>
            </w:r>
          </w:p>
        </w:tc>
      </w:tr>
      <w:tr>
        <w:trPr>
          <w:trHeight w:val="216"/>
        </w:trPr>
        <w:tc>
          <w:tcPr>
            <w:tcW w:w="880" w:type="dxa"/>
            <w:vAlign w:val="bottom"/>
          </w:tcPr>
          <w:p>
            <w:pPr>
              <w:spacing w:after="0"/>
              <w:rPr>
                <w:sz w:val="18"/>
                <w:szCs w:val="18"/>
                <w:color w:val="auto"/>
              </w:rPr>
            </w:pPr>
          </w:p>
        </w:tc>
        <w:tc>
          <w:tcPr>
            <w:tcW w:w="10520" w:type="dxa"/>
            <w:vAlign w:val="bottom"/>
            <w:gridSpan w:val="3"/>
          </w:tcPr>
          <w:p>
            <w:pPr>
              <w:ind w:left="1360"/>
              <w:spacing w:after="0"/>
              <w:rPr>
                <w:sz w:val="20"/>
                <w:szCs w:val="20"/>
                <w:color w:val="auto"/>
              </w:rPr>
            </w:pPr>
            <w:r>
              <w:rPr>
                <w:rFonts w:ascii="Times New Roman" w:cs="Times New Roman" w:eastAsia="Times New Roman" w:hAnsi="Times New Roman"/>
                <w:sz w:val="18"/>
                <w:szCs w:val="18"/>
                <w:color w:val="auto"/>
                <w:w w:val="98"/>
              </w:rPr>
              <w:t>to time parties thereto and the Bank of Nova Scotia Trust Company of New York, as trustee, relating to $1,000 million aggregate</w:t>
            </w:r>
          </w:p>
        </w:tc>
      </w:tr>
      <w:tr>
        <w:trPr>
          <w:trHeight w:val="216"/>
        </w:trPr>
        <w:tc>
          <w:tcPr>
            <w:tcW w:w="880" w:type="dxa"/>
            <w:vAlign w:val="bottom"/>
          </w:tcPr>
          <w:p>
            <w:pPr>
              <w:spacing w:after="0"/>
              <w:rPr>
                <w:sz w:val="18"/>
                <w:szCs w:val="18"/>
                <w:color w:val="auto"/>
              </w:rPr>
            </w:pPr>
          </w:p>
        </w:tc>
        <w:tc>
          <w:tcPr>
            <w:tcW w:w="10520" w:type="dxa"/>
            <w:vAlign w:val="bottom"/>
            <w:gridSpan w:val="3"/>
          </w:tcPr>
          <w:p>
            <w:pPr>
              <w:ind w:left="1360"/>
              <w:spacing w:after="0"/>
              <w:rPr>
                <w:sz w:val="20"/>
                <w:szCs w:val="20"/>
                <w:color w:val="auto"/>
              </w:rPr>
            </w:pPr>
            <w:r>
              <w:rPr>
                <w:rFonts w:ascii="Times New Roman" w:cs="Times New Roman" w:eastAsia="Times New Roman" w:hAnsi="Times New Roman"/>
                <w:sz w:val="18"/>
                <w:szCs w:val="18"/>
                <w:color w:val="auto"/>
                <w:w w:val="98"/>
              </w:rPr>
              <w:t>principal amount of senior notes, consisting of $250 million aggregate principal amount of Floating Rate Senior Notes due 2014,</w:t>
            </w:r>
          </w:p>
        </w:tc>
      </w:tr>
      <w:tr>
        <w:trPr>
          <w:trHeight w:val="216"/>
        </w:trPr>
        <w:tc>
          <w:tcPr>
            <w:tcW w:w="880" w:type="dxa"/>
            <w:vAlign w:val="bottom"/>
          </w:tcPr>
          <w:p>
            <w:pPr>
              <w:spacing w:after="0"/>
              <w:rPr>
                <w:sz w:val="18"/>
                <w:szCs w:val="18"/>
                <w:color w:val="auto"/>
              </w:rPr>
            </w:pPr>
          </w:p>
        </w:tc>
        <w:tc>
          <w:tcPr>
            <w:tcW w:w="10520" w:type="dxa"/>
            <w:vAlign w:val="bottom"/>
            <w:gridSpan w:val="3"/>
          </w:tcPr>
          <w:p>
            <w:pPr>
              <w:ind w:left="1360"/>
              <w:spacing w:after="0"/>
              <w:rPr>
                <w:sz w:val="20"/>
                <w:szCs w:val="20"/>
                <w:color w:val="auto"/>
              </w:rPr>
            </w:pPr>
            <w:r>
              <w:rPr>
                <w:rFonts w:ascii="Times New Roman" w:cs="Times New Roman" w:eastAsia="Times New Roman" w:hAnsi="Times New Roman"/>
                <w:sz w:val="18"/>
                <w:szCs w:val="18"/>
                <w:color w:val="auto"/>
              </w:rPr>
              <w:t>$375 million aggregate principal amount of 7.625% Senior Notes due 2014 and $375 million aggregate principal amount of</w:t>
            </w:r>
          </w:p>
        </w:tc>
      </w:tr>
      <w:tr>
        <w:trPr>
          <w:trHeight w:val="216"/>
        </w:trPr>
        <w:tc>
          <w:tcPr>
            <w:tcW w:w="880" w:type="dxa"/>
            <w:vAlign w:val="bottom"/>
          </w:tcPr>
          <w:p>
            <w:pPr>
              <w:spacing w:after="0"/>
              <w:rPr>
                <w:sz w:val="18"/>
                <w:szCs w:val="18"/>
                <w:color w:val="auto"/>
              </w:rPr>
            </w:pPr>
          </w:p>
        </w:tc>
        <w:tc>
          <w:tcPr>
            <w:tcW w:w="10520" w:type="dxa"/>
            <w:vAlign w:val="bottom"/>
            <w:gridSpan w:val="3"/>
          </w:tcPr>
          <w:p>
            <w:pPr>
              <w:ind w:left="1360"/>
              <w:spacing w:after="0"/>
              <w:rPr>
                <w:sz w:val="20"/>
                <w:szCs w:val="20"/>
                <w:color w:val="auto"/>
              </w:rPr>
            </w:pPr>
            <w:r>
              <w:rPr>
                <w:rFonts w:ascii="Times New Roman" w:cs="Times New Roman" w:eastAsia="Times New Roman" w:hAnsi="Times New Roman"/>
                <w:sz w:val="18"/>
                <w:szCs w:val="18"/>
                <w:color w:val="auto"/>
                <w:w w:val="99"/>
              </w:rPr>
              <w:t>7.750% Senior Notes due 2016 (Incorporated by reference to Exhibit 10.4 to the Company’s Current Report on Form 8-K dated</w:t>
            </w:r>
          </w:p>
        </w:tc>
      </w:tr>
      <w:tr>
        <w:trPr>
          <w:trHeight w:val="228"/>
        </w:trPr>
        <w:tc>
          <w:tcPr>
            <w:tcW w:w="880" w:type="dxa"/>
            <w:vAlign w:val="bottom"/>
          </w:tcPr>
          <w:p>
            <w:pPr>
              <w:spacing w:after="0"/>
              <w:rPr>
                <w:sz w:val="19"/>
                <w:szCs w:val="19"/>
                <w:color w:val="auto"/>
              </w:rPr>
            </w:pPr>
          </w:p>
        </w:tc>
        <w:tc>
          <w:tcPr>
            <w:tcW w:w="10520" w:type="dxa"/>
            <w:vAlign w:val="bottom"/>
            <w:gridSpan w:val="3"/>
          </w:tcPr>
          <w:p>
            <w:pPr>
              <w:ind w:left="1360"/>
              <w:spacing w:after="0"/>
              <w:rPr>
                <w:sz w:val="20"/>
                <w:szCs w:val="20"/>
                <w:color w:val="auto"/>
              </w:rPr>
            </w:pPr>
            <w:r>
              <w:rPr>
                <w:rFonts w:ascii="Times New Roman" w:cs="Times New Roman" w:eastAsia="Times New Roman" w:hAnsi="Times New Roman"/>
                <w:sz w:val="18"/>
                <w:szCs w:val="18"/>
                <w:color w:val="auto"/>
              </w:rPr>
              <w:t>April 21, 2006).</w:t>
            </w:r>
          </w:p>
        </w:tc>
      </w:tr>
      <w:tr>
        <w:trPr>
          <w:trHeight w:val="3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4.1(b)</w:t>
            </w:r>
          </w:p>
        </w:tc>
        <w:tc>
          <w:tcPr>
            <w:tcW w:w="10520" w:type="dxa"/>
            <w:vAlign w:val="bottom"/>
            <w:gridSpan w:val="3"/>
          </w:tcPr>
          <w:p>
            <w:pPr>
              <w:ind w:left="1360"/>
              <w:spacing w:after="0"/>
              <w:rPr>
                <w:sz w:val="20"/>
                <w:szCs w:val="20"/>
                <w:color w:val="auto"/>
              </w:rPr>
            </w:pPr>
            <w:r>
              <w:rPr>
                <w:rFonts w:ascii="Times New Roman" w:cs="Times New Roman" w:eastAsia="Times New Roman" w:hAnsi="Times New Roman"/>
                <w:sz w:val="18"/>
                <w:szCs w:val="18"/>
                <w:color w:val="auto"/>
              </w:rPr>
              <w:t>Supplemental Indenture, dated as of February 9, 2007, to the Indenture, dated as of April 19, 2006, among Avis Budget Car</w:t>
            </w:r>
          </w:p>
        </w:tc>
      </w:tr>
      <w:tr>
        <w:trPr>
          <w:trHeight w:val="216"/>
        </w:trPr>
        <w:tc>
          <w:tcPr>
            <w:tcW w:w="880" w:type="dxa"/>
            <w:vAlign w:val="bottom"/>
          </w:tcPr>
          <w:p>
            <w:pPr>
              <w:spacing w:after="0"/>
              <w:rPr>
                <w:sz w:val="18"/>
                <w:szCs w:val="18"/>
                <w:color w:val="auto"/>
              </w:rPr>
            </w:pPr>
          </w:p>
        </w:tc>
        <w:tc>
          <w:tcPr>
            <w:tcW w:w="10520" w:type="dxa"/>
            <w:vAlign w:val="bottom"/>
            <w:gridSpan w:val="3"/>
          </w:tcPr>
          <w:p>
            <w:pPr>
              <w:ind w:left="1360"/>
              <w:spacing w:after="0"/>
              <w:rPr>
                <w:sz w:val="20"/>
                <w:szCs w:val="20"/>
                <w:color w:val="auto"/>
              </w:rPr>
            </w:pPr>
            <w:r>
              <w:rPr>
                <w:rFonts w:ascii="Times New Roman" w:cs="Times New Roman" w:eastAsia="Times New Roman" w:hAnsi="Times New Roman"/>
                <w:sz w:val="18"/>
                <w:szCs w:val="18"/>
                <w:color w:val="auto"/>
              </w:rPr>
              <w:t>Rental, LLC, Avis Budget Finance, Inc., the guarantors from time to time parties thereto and the Bank of Nova Scotia Trust</w:t>
            </w:r>
          </w:p>
        </w:tc>
      </w:tr>
      <w:tr>
        <w:trPr>
          <w:trHeight w:val="216"/>
        </w:trPr>
        <w:tc>
          <w:tcPr>
            <w:tcW w:w="880" w:type="dxa"/>
            <w:vAlign w:val="bottom"/>
          </w:tcPr>
          <w:p>
            <w:pPr>
              <w:spacing w:after="0"/>
              <w:rPr>
                <w:sz w:val="18"/>
                <w:szCs w:val="18"/>
                <w:color w:val="auto"/>
              </w:rPr>
            </w:pPr>
          </w:p>
        </w:tc>
        <w:tc>
          <w:tcPr>
            <w:tcW w:w="10520" w:type="dxa"/>
            <w:vAlign w:val="bottom"/>
            <w:gridSpan w:val="3"/>
          </w:tcPr>
          <w:p>
            <w:pPr>
              <w:ind w:left="1360"/>
              <w:spacing w:after="0"/>
              <w:rPr>
                <w:sz w:val="20"/>
                <w:szCs w:val="20"/>
                <w:color w:val="auto"/>
              </w:rPr>
            </w:pPr>
            <w:r>
              <w:rPr>
                <w:rFonts w:ascii="Times New Roman" w:cs="Times New Roman" w:eastAsia="Times New Roman" w:hAnsi="Times New Roman"/>
                <w:sz w:val="18"/>
                <w:szCs w:val="18"/>
                <w:color w:val="auto"/>
                <w:w w:val="97"/>
              </w:rPr>
              <w:t>Company of New York, as trustee (Incorporated by reference to Exhibit 10.1 to the Company’s Current Report on Form 8-K dated</w:t>
            </w:r>
          </w:p>
        </w:tc>
      </w:tr>
      <w:tr>
        <w:trPr>
          <w:trHeight w:val="228"/>
        </w:trPr>
        <w:tc>
          <w:tcPr>
            <w:tcW w:w="880" w:type="dxa"/>
            <w:vAlign w:val="bottom"/>
          </w:tcPr>
          <w:p>
            <w:pPr>
              <w:spacing w:after="0"/>
              <w:rPr>
                <w:sz w:val="19"/>
                <w:szCs w:val="19"/>
                <w:color w:val="auto"/>
              </w:rPr>
            </w:pPr>
          </w:p>
        </w:tc>
        <w:tc>
          <w:tcPr>
            <w:tcW w:w="10520" w:type="dxa"/>
            <w:vAlign w:val="bottom"/>
            <w:gridSpan w:val="3"/>
          </w:tcPr>
          <w:p>
            <w:pPr>
              <w:ind w:left="1360"/>
              <w:spacing w:after="0"/>
              <w:rPr>
                <w:sz w:val="20"/>
                <w:szCs w:val="20"/>
                <w:color w:val="auto"/>
              </w:rPr>
            </w:pPr>
            <w:r>
              <w:rPr>
                <w:rFonts w:ascii="Times New Roman" w:cs="Times New Roman" w:eastAsia="Times New Roman" w:hAnsi="Times New Roman"/>
                <w:sz w:val="18"/>
                <w:szCs w:val="18"/>
                <w:color w:val="auto"/>
              </w:rPr>
              <w:t>February 9, 2007).</w:t>
            </w:r>
          </w:p>
        </w:tc>
      </w:tr>
      <w:tr>
        <w:trPr>
          <w:trHeight w:val="3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4.1(c)</w:t>
            </w:r>
          </w:p>
        </w:tc>
        <w:tc>
          <w:tcPr>
            <w:tcW w:w="10520" w:type="dxa"/>
            <w:vAlign w:val="bottom"/>
            <w:gridSpan w:val="3"/>
          </w:tcPr>
          <w:p>
            <w:pPr>
              <w:ind w:left="1360"/>
              <w:spacing w:after="0"/>
              <w:rPr>
                <w:sz w:val="20"/>
                <w:szCs w:val="20"/>
                <w:color w:val="auto"/>
              </w:rPr>
            </w:pPr>
            <w:r>
              <w:rPr>
                <w:rFonts w:ascii="Times New Roman" w:cs="Times New Roman" w:eastAsia="Times New Roman" w:hAnsi="Times New Roman"/>
                <w:sz w:val="18"/>
                <w:szCs w:val="18"/>
                <w:color w:val="auto"/>
                <w:w w:val="99"/>
              </w:rPr>
              <w:t>Second Supplemental Indenture, dated as of January 28, 2009, among Avis Budget Car Rental, LLC and Avis Budget Finance,</w:t>
            </w:r>
          </w:p>
        </w:tc>
      </w:tr>
      <w:tr>
        <w:trPr>
          <w:trHeight w:val="216"/>
        </w:trPr>
        <w:tc>
          <w:tcPr>
            <w:tcW w:w="880" w:type="dxa"/>
            <w:vAlign w:val="bottom"/>
          </w:tcPr>
          <w:p>
            <w:pPr>
              <w:spacing w:after="0"/>
              <w:rPr>
                <w:sz w:val="18"/>
                <w:szCs w:val="18"/>
                <w:color w:val="auto"/>
              </w:rPr>
            </w:pPr>
          </w:p>
        </w:tc>
        <w:tc>
          <w:tcPr>
            <w:tcW w:w="10520" w:type="dxa"/>
            <w:vAlign w:val="bottom"/>
            <w:gridSpan w:val="3"/>
          </w:tcPr>
          <w:p>
            <w:pPr>
              <w:ind w:left="1360"/>
              <w:spacing w:after="0"/>
              <w:rPr>
                <w:sz w:val="20"/>
                <w:szCs w:val="20"/>
                <w:color w:val="auto"/>
              </w:rPr>
            </w:pPr>
            <w:r>
              <w:rPr>
                <w:rFonts w:ascii="Times New Roman" w:cs="Times New Roman" w:eastAsia="Times New Roman" w:hAnsi="Times New Roman"/>
                <w:sz w:val="18"/>
                <w:szCs w:val="18"/>
                <w:color w:val="auto"/>
              </w:rPr>
              <w:t>Inc., as Issuers, the guarantors from time to time parties thereto and the Bank of Nova Scotia Trust Company of New York, as</w:t>
            </w:r>
          </w:p>
        </w:tc>
      </w:tr>
      <w:tr>
        <w:trPr>
          <w:trHeight w:val="216"/>
        </w:trPr>
        <w:tc>
          <w:tcPr>
            <w:tcW w:w="880" w:type="dxa"/>
            <w:vAlign w:val="bottom"/>
          </w:tcPr>
          <w:p>
            <w:pPr>
              <w:spacing w:after="0"/>
              <w:rPr>
                <w:sz w:val="18"/>
                <w:szCs w:val="18"/>
                <w:color w:val="auto"/>
              </w:rPr>
            </w:pPr>
          </w:p>
        </w:tc>
        <w:tc>
          <w:tcPr>
            <w:tcW w:w="10520" w:type="dxa"/>
            <w:vAlign w:val="bottom"/>
            <w:gridSpan w:val="3"/>
          </w:tcPr>
          <w:p>
            <w:pPr>
              <w:ind w:left="1360"/>
              <w:spacing w:after="0"/>
              <w:rPr>
                <w:sz w:val="20"/>
                <w:szCs w:val="20"/>
                <w:color w:val="auto"/>
              </w:rPr>
            </w:pPr>
            <w:r>
              <w:rPr>
                <w:rFonts w:ascii="Times New Roman" w:cs="Times New Roman" w:eastAsia="Times New Roman" w:hAnsi="Times New Roman"/>
                <w:sz w:val="18"/>
                <w:szCs w:val="18"/>
                <w:color w:val="auto"/>
                <w:w w:val="99"/>
              </w:rPr>
              <w:t>trustee (Incorporated by reference to Exhibit 10.6 to the Company’s Annual Report on Form 10-K for the year ended December</w:t>
            </w:r>
          </w:p>
        </w:tc>
      </w:tr>
      <w:tr>
        <w:trPr>
          <w:trHeight w:val="228"/>
        </w:trPr>
        <w:tc>
          <w:tcPr>
            <w:tcW w:w="880" w:type="dxa"/>
            <w:vAlign w:val="bottom"/>
          </w:tcPr>
          <w:p>
            <w:pPr>
              <w:spacing w:after="0"/>
              <w:rPr>
                <w:sz w:val="19"/>
                <w:szCs w:val="19"/>
                <w:color w:val="auto"/>
              </w:rPr>
            </w:pPr>
          </w:p>
        </w:tc>
        <w:tc>
          <w:tcPr>
            <w:tcW w:w="550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31, 2008).</w:t>
            </w:r>
          </w:p>
        </w:tc>
        <w:tc>
          <w:tcPr>
            <w:tcW w:w="900" w:type="dxa"/>
            <w:vAlign w:val="bottom"/>
          </w:tcPr>
          <w:p>
            <w:pPr>
              <w:spacing w:after="0"/>
              <w:rPr>
                <w:sz w:val="19"/>
                <w:szCs w:val="19"/>
                <w:color w:val="auto"/>
              </w:rPr>
            </w:pPr>
          </w:p>
        </w:tc>
        <w:tc>
          <w:tcPr>
            <w:tcW w:w="4120" w:type="dxa"/>
            <w:vAlign w:val="bottom"/>
          </w:tcPr>
          <w:p>
            <w:pPr>
              <w:spacing w:after="0"/>
              <w:rPr>
                <w:sz w:val="19"/>
                <w:szCs w:val="19"/>
                <w:color w:val="auto"/>
              </w:rPr>
            </w:pPr>
          </w:p>
        </w:tc>
      </w:tr>
      <w:tr>
        <w:trPr>
          <w:trHeight w:val="3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4.1(d)</w:t>
            </w:r>
          </w:p>
        </w:tc>
        <w:tc>
          <w:tcPr>
            <w:tcW w:w="10520" w:type="dxa"/>
            <w:vAlign w:val="bottom"/>
            <w:gridSpan w:val="3"/>
          </w:tcPr>
          <w:p>
            <w:pPr>
              <w:ind w:left="1360"/>
              <w:spacing w:after="0"/>
              <w:rPr>
                <w:sz w:val="20"/>
                <w:szCs w:val="20"/>
                <w:color w:val="auto"/>
              </w:rPr>
            </w:pPr>
            <w:r>
              <w:rPr>
                <w:rFonts w:ascii="Times New Roman" w:cs="Times New Roman" w:eastAsia="Times New Roman" w:hAnsi="Times New Roman"/>
                <w:sz w:val="18"/>
                <w:szCs w:val="18"/>
                <w:color w:val="auto"/>
                <w:w w:val="97"/>
              </w:rPr>
              <w:t>Third Supplemental Indenture, dated as of November 5, 2009 among Avis Budget Car Rental, LLC and Avis Budget Finance, Inc.</w:t>
            </w:r>
          </w:p>
        </w:tc>
      </w:tr>
      <w:tr>
        <w:trPr>
          <w:trHeight w:val="228"/>
        </w:trPr>
        <w:tc>
          <w:tcPr>
            <w:tcW w:w="880" w:type="dxa"/>
            <w:vAlign w:val="bottom"/>
          </w:tcPr>
          <w:p>
            <w:pPr>
              <w:spacing w:after="0"/>
              <w:rPr>
                <w:sz w:val="19"/>
                <w:szCs w:val="19"/>
                <w:color w:val="auto"/>
              </w:rPr>
            </w:pPr>
          </w:p>
        </w:tc>
        <w:tc>
          <w:tcPr>
            <w:tcW w:w="10520" w:type="dxa"/>
            <w:vAlign w:val="bottom"/>
            <w:gridSpan w:val="3"/>
          </w:tcPr>
          <w:p>
            <w:pPr>
              <w:ind w:left="1360"/>
              <w:spacing w:after="0"/>
              <w:rPr>
                <w:sz w:val="20"/>
                <w:szCs w:val="20"/>
                <w:color w:val="auto"/>
              </w:rPr>
            </w:pPr>
            <w:r>
              <w:rPr>
                <w:rFonts w:ascii="Times New Roman" w:cs="Times New Roman" w:eastAsia="Times New Roman" w:hAnsi="Times New Roman"/>
                <w:sz w:val="18"/>
                <w:szCs w:val="18"/>
                <w:color w:val="auto"/>
                <w:w w:val="98"/>
              </w:rPr>
              <w:t>as Issuers, the guarantors from time to time parties thereto and the Bank of Nova Scotia Trust Company of New York, as trustee.</w:t>
            </w:r>
          </w:p>
        </w:tc>
      </w:tr>
      <w:tr>
        <w:trPr>
          <w:trHeight w:val="3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4.2</w:t>
            </w:r>
          </w:p>
        </w:tc>
        <w:tc>
          <w:tcPr>
            <w:tcW w:w="10520" w:type="dxa"/>
            <w:vAlign w:val="bottom"/>
            <w:gridSpan w:val="3"/>
          </w:tcPr>
          <w:p>
            <w:pPr>
              <w:ind w:left="1360"/>
              <w:spacing w:after="0"/>
              <w:rPr>
                <w:sz w:val="20"/>
                <w:szCs w:val="20"/>
                <w:color w:val="auto"/>
              </w:rPr>
            </w:pPr>
            <w:r>
              <w:rPr>
                <w:rFonts w:ascii="Times New Roman" w:cs="Times New Roman" w:eastAsia="Times New Roman" w:hAnsi="Times New Roman"/>
                <w:sz w:val="18"/>
                <w:szCs w:val="18"/>
                <w:color w:val="auto"/>
                <w:w w:val="99"/>
              </w:rPr>
              <w:t>Form of Exchange Floating Rate Note (Included in Exhibit 10.4 to the Company’s Current Report on Form 8-K dated April 21,</w:t>
            </w:r>
          </w:p>
        </w:tc>
      </w:tr>
      <w:tr>
        <w:trPr>
          <w:trHeight w:val="228"/>
        </w:trPr>
        <w:tc>
          <w:tcPr>
            <w:tcW w:w="880" w:type="dxa"/>
            <w:vAlign w:val="bottom"/>
          </w:tcPr>
          <w:p>
            <w:pPr>
              <w:spacing w:after="0"/>
              <w:rPr>
                <w:sz w:val="19"/>
                <w:szCs w:val="19"/>
                <w:color w:val="auto"/>
              </w:rPr>
            </w:pPr>
          </w:p>
        </w:tc>
        <w:tc>
          <w:tcPr>
            <w:tcW w:w="550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2006).</w:t>
            </w:r>
          </w:p>
        </w:tc>
        <w:tc>
          <w:tcPr>
            <w:tcW w:w="900" w:type="dxa"/>
            <w:vAlign w:val="bottom"/>
          </w:tcPr>
          <w:p>
            <w:pPr>
              <w:spacing w:after="0"/>
              <w:rPr>
                <w:sz w:val="19"/>
                <w:szCs w:val="19"/>
                <w:color w:val="auto"/>
              </w:rPr>
            </w:pPr>
          </w:p>
        </w:tc>
        <w:tc>
          <w:tcPr>
            <w:tcW w:w="4120" w:type="dxa"/>
            <w:vAlign w:val="bottom"/>
          </w:tcPr>
          <w:p>
            <w:pPr>
              <w:spacing w:after="0"/>
              <w:rPr>
                <w:sz w:val="19"/>
                <w:szCs w:val="19"/>
                <w:color w:val="auto"/>
              </w:rPr>
            </w:pPr>
          </w:p>
        </w:tc>
      </w:tr>
      <w:tr>
        <w:trPr>
          <w:trHeight w:val="32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4.3</w:t>
            </w:r>
          </w:p>
        </w:tc>
        <w:tc>
          <w:tcPr>
            <w:tcW w:w="10520" w:type="dxa"/>
            <w:vAlign w:val="bottom"/>
            <w:gridSpan w:val="3"/>
          </w:tcPr>
          <w:p>
            <w:pPr>
              <w:ind w:left="1360"/>
              <w:spacing w:after="0"/>
              <w:rPr>
                <w:sz w:val="20"/>
                <w:szCs w:val="20"/>
                <w:color w:val="auto"/>
              </w:rPr>
            </w:pPr>
            <w:r>
              <w:rPr>
                <w:rFonts w:ascii="Times New Roman" w:cs="Times New Roman" w:eastAsia="Times New Roman" w:hAnsi="Times New Roman"/>
                <w:sz w:val="18"/>
                <w:szCs w:val="18"/>
                <w:color w:val="auto"/>
                <w:w w:val="98"/>
              </w:rPr>
              <w:t>Form of Exchange 7.625% Note (Included in Exhibit 10.4 to the Company’s Current Report on Form 8-K dated April 21, 2006).</w:t>
            </w:r>
          </w:p>
        </w:tc>
      </w:tr>
      <w:tr>
        <w:trPr>
          <w:trHeight w:val="32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4.4</w:t>
            </w:r>
          </w:p>
        </w:tc>
        <w:tc>
          <w:tcPr>
            <w:tcW w:w="10520" w:type="dxa"/>
            <w:vAlign w:val="bottom"/>
            <w:gridSpan w:val="3"/>
          </w:tcPr>
          <w:p>
            <w:pPr>
              <w:ind w:left="1360"/>
              <w:spacing w:after="0"/>
              <w:rPr>
                <w:sz w:val="20"/>
                <w:szCs w:val="20"/>
                <w:color w:val="auto"/>
              </w:rPr>
            </w:pPr>
            <w:r>
              <w:rPr>
                <w:rFonts w:ascii="Times New Roman" w:cs="Times New Roman" w:eastAsia="Times New Roman" w:hAnsi="Times New Roman"/>
                <w:sz w:val="18"/>
                <w:szCs w:val="18"/>
                <w:color w:val="auto"/>
                <w:w w:val="99"/>
              </w:rPr>
              <w:t>Form of Exchange 7.75% Note (Included in Exhibit 10.4 to the Company’s Current Report on Form 8-K dated April 21, 2006).</w:t>
            </w:r>
          </w:p>
        </w:tc>
      </w:tr>
      <w:tr>
        <w:trPr>
          <w:trHeight w:val="3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4.5</w:t>
            </w:r>
          </w:p>
        </w:tc>
        <w:tc>
          <w:tcPr>
            <w:tcW w:w="10520" w:type="dxa"/>
            <w:vAlign w:val="bottom"/>
            <w:gridSpan w:val="3"/>
          </w:tcPr>
          <w:p>
            <w:pPr>
              <w:ind w:left="1360"/>
              <w:spacing w:after="0"/>
              <w:rPr>
                <w:sz w:val="20"/>
                <w:szCs w:val="20"/>
                <w:color w:val="auto"/>
              </w:rPr>
            </w:pPr>
            <w:r>
              <w:rPr>
                <w:rFonts w:ascii="Times New Roman" w:cs="Times New Roman" w:eastAsia="Times New Roman" w:hAnsi="Times New Roman"/>
                <w:sz w:val="18"/>
                <w:szCs w:val="18"/>
                <w:color w:val="auto"/>
                <w:w w:val="97"/>
              </w:rPr>
              <w:t>Indenture dated as of October 13, 2009, by and between Avis Budget Group, Inc. and The Bank of Nova Scotia Trust Company of</w:t>
            </w:r>
          </w:p>
        </w:tc>
      </w:tr>
      <w:tr>
        <w:trPr>
          <w:trHeight w:val="216"/>
        </w:trPr>
        <w:tc>
          <w:tcPr>
            <w:tcW w:w="880" w:type="dxa"/>
            <w:vAlign w:val="bottom"/>
          </w:tcPr>
          <w:p>
            <w:pPr>
              <w:spacing w:after="0"/>
              <w:rPr>
                <w:sz w:val="18"/>
                <w:szCs w:val="18"/>
                <w:color w:val="auto"/>
              </w:rPr>
            </w:pPr>
          </w:p>
        </w:tc>
        <w:tc>
          <w:tcPr>
            <w:tcW w:w="10520" w:type="dxa"/>
            <w:vAlign w:val="bottom"/>
            <w:gridSpan w:val="3"/>
          </w:tcPr>
          <w:p>
            <w:pPr>
              <w:ind w:left="1360"/>
              <w:spacing w:after="0"/>
              <w:rPr>
                <w:sz w:val="20"/>
                <w:szCs w:val="20"/>
                <w:color w:val="auto"/>
              </w:rPr>
            </w:pPr>
            <w:r>
              <w:rPr>
                <w:rFonts w:ascii="Times New Roman" w:cs="Times New Roman" w:eastAsia="Times New Roman" w:hAnsi="Times New Roman"/>
                <w:sz w:val="18"/>
                <w:szCs w:val="18"/>
                <w:color w:val="auto"/>
                <w:w w:val="97"/>
              </w:rPr>
              <w:t>New York, as Trustee (Incorporated by reference to Exhibit 4.1 to the Company’s Current Report on Form 8-K dated October 13,</w:t>
            </w:r>
          </w:p>
        </w:tc>
      </w:tr>
      <w:tr>
        <w:trPr>
          <w:trHeight w:val="228"/>
        </w:trPr>
        <w:tc>
          <w:tcPr>
            <w:tcW w:w="880" w:type="dxa"/>
            <w:vAlign w:val="bottom"/>
          </w:tcPr>
          <w:p>
            <w:pPr>
              <w:spacing w:after="0"/>
              <w:rPr>
                <w:sz w:val="19"/>
                <w:szCs w:val="19"/>
                <w:color w:val="auto"/>
              </w:rPr>
            </w:pPr>
          </w:p>
        </w:tc>
        <w:tc>
          <w:tcPr>
            <w:tcW w:w="550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2009).</w:t>
            </w:r>
          </w:p>
        </w:tc>
        <w:tc>
          <w:tcPr>
            <w:tcW w:w="900" w:type="dxa"/>
            <w:vAlign w:val="bottom"/>
          </w:tcPr>
          <w:p>
            <w:pPr>
              <w:spacing w:after="0"/>
              <w:rPr>
                <w:sz w:val="19"/>
                <w:szCs w:val="19"/>
                <w:color w:val="auto"/>
              </w:rPr>
            </w:pPr>
          </w:p>
        </w:tc>
        <w:tc>
          <w:tcPr>
            <w:tcW w:w="4120" w:type="dxa"/>
            <w:vAlign w:val="bottom"/>
          </w:tcPr>
          <w:p>
            <w:pPr>
              <w:spacing w:after="0"/>
              <w:rPr>
                <w:sz w:val="19"/>
                <w:szCs w:val="19"/>
                <w:color w:val="auto"/>
              </w:rPr>
            </w:pPr>
          </w:p>
        </w:tc>
      </w:tr>
      <w:tr>
        <w:trPr>
          <w:trHeight w:val="3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10520" w:type="dxa"/>
            <w:vAlign w:val="bottom"/>
            <w:gridSpan w:val="3"/>
          </w:tcPr>
          <w:p>
            <w:pPr>
              <w:ind w:left="1360"/>
              <w:spacing w:after="0"/>
              <w:rPr>
                <w:sz w:val="20"/>
                <w:szCs w:val="20"/>
                <w:color w:val="auto"/>
              </w:rPr>
            </w:pPr>
            <w:r>
              <w:rPr>
                <w:rFonts w:ascii="Times New Roman" w:cs="Times New Roman" w:eastAsia="Times New Roman" w:hAnsi="Times New Roman"/>
                <w:sz w:val="18"/>
                <w:szCs w:val="18"/>
                <w:color w:val="auto"/>
              </w:rPr>
              <w:t>Amended and Restated Employment Agreement between Avis Budget Group, Inc. and Ronald L. Nelson (Incorporated by</w:t>
            </w:r>
          </w:p>
        </w:tc>
      </w:tr>
      <w:tr>
        <w:trPr>
          <w:trHeight w:val="228"/>
        </w:trPr>
        <w:tc>
          <w:tcPr>
            <w:tcW w:w="880" w:type="dxa"/>
            <w:vAlign w:val="bottom"/>
          </w:tcPr>
          <w:p>
            <w:pPr>
              <w:spacing w:after="0"/>
              <w:rPr>
                <w:sz w:val="19"/>
                <w:szCs w:val="19"/>
                <w:color w:val="auto"/>
              </w:rPr>
            </w:pPr>
          </w:p>
        </w:tc>
        <w:tc>
          <w:tcPr>
            <w:tcW w:w="10520" w:type="dxa"/>
            <w:vAlign w:val="bottom"/>
            <w:gridSpan w:val="3"/>
          </w:tcPr>
          <w:p>
            <w:pPr>
              <w:ind w:left="1360"/>
              <w:spacing w:after="0"/>
              <w:rPr>
                <w:sz w:val="20"/>
                <w:szCs w:val="20"/>
                <w:color w:val="auto"/>
              </w:rPr>
            </w:pPr>
            <w:r>
              <w:rPr>
                <w:rFonts w:ascii="Times New Roman" w:cs="Times New Roman" w:eastAsia="Times New Roman" w:hAnsi="Times New Roman"/>
                <w:sz w:val="18"/>
                <w:szCs w:val="18"/>
                <w:color w:val="auto"/>
              </w:rPr>
              <w:t>reference to Exhibit 10.1 to the Company’s Current Report on Form 8-K dated January 29, 2010). †</w:t>
            </w:r>
          </w:p>
        </w:tc>
      </w:tr>
      <w:tr>
        <w:trPr>
          <w:trHeight w:val="365"/>
        </w:trPr>
        <w:tc>
          <w:tcPr>
            <w:tcW w:w="880" w:type="dxa"/>
            <w:vAlign w:val="bottom"/>
          </w:tcPr>
          <w:p>
            <w:pPr>
              <w:spacing w:after="0"/>
              <w:rPr>
                <w:sz w:val="24"/>
                <w:szCs w:val="24"/>
                <w:color w:val="auto"/>
              </w:rPr>
            </w:pPr>
          </w:p>
        </w:tc>
        <w:tc>
          <w:tcPr>
            <w:tcW w:w="10520" w:type="dxa"/>
            <w:vAlign w:val="bottom"/>
            <w:gridSpan w:val="3"/>
          </w:tcPr>
          <w:p>
            <w:pPr>
              <w:ind w:left="4700"/>
              <w:spacing w:after="0"/>
              <w:rPr>
                <w:sz w:val="20"/>
                <w:szCs w:val="20"/>
                <w:color w:val="auto"/>
              </w:rPr>
            </w:pPr>
            <w:r>
              <w:rPr>
                <w:rFonts w:ascii="Times New Roman" w:cs="Times New Roman" w:eastAsia="Times New Roman" w:hAnsi="Times New Roman"/>
                <w:sz w:val="18"/>
                <w:szCs w:val="18"/>
                <w:color w:val="auto"/>
              </w:rPr>
              <w:t>H-1</w:t>
            </w:r>
          </w:p>
        </w:tc>
      </w:tr>
    </w:tbl>
    <w:p>
      <w:pPr>
        <w:sectPr>
          <w:pgSz w:w="11900" w:h="16838" w:orient="portrait"/>
          <w:cols w:equalWidth="0" w:num="1">
            <w:col w:w="11400"/>
          </w:cols>
          <w:pgMar w:left="240" w:top="455" w:right="259" w:bottom="1440" w:gutter="0" w:footer="0" w:header="0"/>
        </w:sectPr>
      </w:pPr>
    </w:p>
    <w:bookmarkStart w:id="124" w:name="page125"/>
    <w:bookmarkEnd w:id="12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7"/>
              </w:rPr>
              <w:t>Exhibit No.</w:t>
            </w:r>
          </w:p>
        </w:tc>
        <w:tc>
          <w:tcPr>
            <w:tcW w:w="5460" w:type="dxa"/>
            <w:vAlign w:val="bottom"/>
          </w:tcPr>
          <w:p>
            <w:pPr>
              <w:spacing w:after="0"/>
              <w:rPr>
                <w:sz w:val="20"/>
                <w:szCs w:val="20"/>
                <w:color w:val="auto"/>
              </w:rPr>
            </w:pPr>
          </w:p>
        </w:tc>
        <w:tc>
          <w:tcPr>
            <w:tcW w:w="5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97"/>
        </w:trPr>
        <w:tc>
          <w:tcPr>
            <w:tcW w:w="880" w:type="dxa"/>
            <w:vAlign w:val="bottom"/>
            <w:tcBorders>
              <w:top w:val="single" w:sz="8" w:color="auto"/>
            </w:tcBorders>
          </w:tcPr>
          <w:p>
            <w:pPr>
              <w:spacing w:after="0" w:line="197" w:lineRule="exact"/>
              <w:rPr>
                <w:sz w:val="20"/>
                <w:szCs w:val="20"/>
                <w:color w:val="auto"/>
              </w:rPr>
            </w:pPr>
            <w:r>
              <w:rPr>
                <w:rFonts w:ascii="Times New Roman" w:cs="Times New Roman" w:eastAsia="Times New Roman" w:hAnsi="Times New Roman"/>
                <w:sz w:val="18"/>
                <w:szCs w:val="18"/>
                <w:color w:val="auto"/>
              </w:rPr>
              <w:t>10.2</w:t>
            </w:r>
          </w:p>
        </w:tc>
        <w:tc>
          <w:tcPr>
            <w:tcW w:w="5460" w:type="dxa"/>
            <w:vAlign w:val="bottom"/>
          </w:tcPr>
          <w:p>
            <w:pPr>
              <w:ind w:left="1260"/>
              <w:spacing w:after="0" w:line="197" w:lineRule="exact"/>
              <w:rPr>
                <w:sz w:val="20"/>
                <w:szCs w:val="20"/>
                <w:color w:val="auto"/>
              </w:rPr>
            </w:pPr>
            <w:r>
              <w:rPr>
                <w:rFonts w:ascii="Times New Roman" w:cs="Times New Roman" w:eastAsia="Times New Roman" w:hAnsi="Times New Roman"/>
                <w:sz w:val="18"/>
                <w:szCs w:val="18"/>
                <w:color w:val="auto"/>
                <w:w w:val="98"/>
              </w:rPr>
              <w:t>Employment Agreement between Avis Budget Group, Inc.</w:t>
            </w:r>
          </w:p>
        </w:tc>
        <w:tc>
          <w:tcPr>
            <w:tcW w:w="880" w:type="dxa"/>
            <w:vAlign w:val="bottom"/>
            <w:tcBorders>
              <w:top w:val="single" w:sz="8" w:color="auto"/>
            </w:tcBorders>
          </w:tcPr>
          <w:p>
            <w:pPr>
              <w:spacing w:after="0" w:line="197" w:lineRule="exact"/>
              <w:rPr>
                <w:sz w:val="20"/>
                <w:szCs w:val="20"/>
                <w:color w:val="auto"/>
              </w:rPr>
            </w:pPr>
            <w:r>
              <w:rPr>
                <w:rFonts w:ascii="Times New Roman" w:cs="Times New Roman" w:eastAsia="Times New Roman" w:hAnsi="Times New Roman"/>
                <w:sz w:val="18"/>
                <w:szCs w:val="18"/>
                <w:color w:val="auto"/>
                <w:w w:val="87"/>
              </w:rPr>
              <w:t>and F. Robert</w:t>
            </w:r>
          </w:p>
        </w:tc>
        <w:tc>
          <w:tcPr>
            <w:tcW w:w="4140" w:type="dxa"/>
            <w:vAlign w:val="bottom"/>
          </w:tcPr>
          <w:p>
            <w:pPr>
              <w:ind w:left="80"/>
              <w:spacing w:after="0" w:line="197" w:lineRule="exact"/>
              <w:rPr>
                <w:sz w:val="20"/>
                <w:szCs w:val="20"/>
                <w:color w:val="auto"/>
              </w:rPr>
            </w:pPr>
            <w:r>
              <w:rPr>
                <w:rFonts w:ascii="Times New Roman" w:cs="Times New Roman" w:eastAsia="Times New Roman" w:hAnsi="Times New Roman"/>
                <w:sz w:val="18"/>
                <w:szCs w:val="18"/>
                <w:color w:val="auto"/>
                <w:w w:val="98"/>
              </w:rPr>
              <w:t>Salerno (Incorporated by reference to Exhibit 10.2 to the</w:t>
            </w:r>
          </w:p>
        </w:tc>
      </w:tr>
      <w:tr>
        <w:trPr>
          <w:trHeight w:val="228"/>
        </w:trPr>
        <w:tc>
          <w:tcPr>
            <w:tcW w:w="880" w:type="dxa"/>
            <w:vAlign w:val="bottom"/>
          </w:tcPr>
          <w:p>
            <w:pPr>
              <w:spacing w:after="0"/>
              <w:rPr>
                <w:sz w:val="19"/>
                <w:szCs w:val="19"/>
                <w:color w:val="auto"/>
              </w:rPr>
            </w:pPr>
          </w:p>
        </w:tc>
        <w:tc>
          <w:tcPr>
            <w:tcW w:w="1048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Company’s Current Report on Form 8-K dated December 31, 2008). †</w:t>
            </w:r>
          </w:p>
        </w:tc>
      </w:tr>
      <w:tr>
        <w:trPr>
          <w:trHeight w:val="3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10.3</w:t>
            </w:r>
          </w:p>
        </w:tc>
        <w:tc>
          <w:tcPr>
            <w:tcW w:w="1048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w w:val="97"/>
              </w:rPr>
              <w:t>Employment Agreement between Avis Budget Group, Inc. and David B. Wyshner (Incorporated by reference to Exhibit 10.3 to the</w:t>
            </w:r>
          </w:p>
        </w:tc>
      </w:tr>
      <w:tr>
        <w:trPr>
          <w:trHeight w:val="228"/>
        </w:trPr>
        <w:tc>
          <w:tcPr>
            <w:tcW w:w="880" w:type="dxa"/>
            <w:vAlign w:val="bottom"/>
          </w:tcPr>
          <w:p>
            <w:pPr>
              <w:spacing w:after="0"/>
              <w:rPr>
                <w:sz w:val="19"/>
                <w:szCs w:val="19"/>
                <w:color w:val="auto"/>
              </w:rPr>
            </w:pPr>
          </w:p>
        </w:tc>
        <w:tc>
          <w:tcPr>
            <w:tcW w:w="1048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Company’s Current Report on Form 8-K dated December 31, 2008). †</w:t>
            </w:r>
          </w:p>
        </w:tc>
      </w:tr>
      <w:tr>
        <w:trPr>
          <w:trHeight w:val="3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048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w w:val="97"/>
              </w:rPr>
              <w:t>Agreement between Avis Budget Group, Inc. and Mark J. Servodidio (Incorporated by reference to Exhibit 10.4 to the Company’s</w:t>
            </w:r>
          </w:p>
        </w:tc>
      </w:tr>
      <w:tr>
        <w:trPr>
          <w:trHeight w:val="228"/>
        </w:trPr>
        <w:tc>
          <w:tcPr>
            <w:tcW w:w="880" w:type="dxa"/>
            <w:vAlign w:val="bottom"/>
          </w:tcPr>
          <w:p>
            <w:pPr>
              <w:spacing w:after="0"/>
              <w:rPr>
                <w:sz w:val="19"/>
                <w:szCs w:val="19"/>
                <w:color w:val="auto"/>
              </w:rPr>
            </w:pPr>
          </w:p>
        </w:tc>
        <w:tc>
          <w:tcPr>
            <w:tcW w:w="1048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Current Report on Form 8-K dated December 31, 2008). †</w:t>
            </w:r>
          </w:p>
        </w:tc>
      </w:tr>
      <w:tr>
        <w:trPr>
          <w:trHeight w:val="3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10.5</w:t>
            </w:r>
          </w:p>
        </w:tc>
        <w:tc>
          <w:tcPr>
            <w:tcW w:w="1048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w w:val="98"/>
              </w:rPr>
              <w:t>Agreement between Avis Budget Group, Inc. and Larry D. De Shon (Incorporated by reference to Exhibit 10.5 to the Company’s</w:t>
            </w:r>
          </w:p>
        </w:tc>
      </w:tr>
      <w:tr>
        <w:trPr>
          <w:trHeight w:val="228"/>
        </w:trPr>
        <w:tc>
          <w:tcPr>
            <w:tcW w:w="880" w:type="dxa"/>
            <w:vAlign w:val="bottom"/>
          </w:tcPr>
          <w:p>
            <w:pPr>
              <w:spacing w:after="0"/>
              <w:rPr>
                <w:sz w:val="19"/>
                <w:szCs w:val="19"/>
                <w:color w:val="auto"/>
              </w:rPr>
            </w:pPr>
          </w:p>
        </w:tc>
        <w:tc>
          <w:tcPr>
            <w:tcW w:w="1048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Current Report on Form 8-K dated December 31, 2008). †</w:t>
            </w:r>
          </w:p>
        </w:tc>
      </w:tr>
      <w:tr>
        <w:trPr>
          <w:trHeight w:val="3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10.6</w:t>
            </w:r>
          </w:p>
        </w:tc>
        <w:tc>
          <w:tcPr>
            <w:tcW w:w="1048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w w:val="97"/>
              </w:rPr>
              <w:t>Agreement between Avis Budget Group, Inc. and Patric T. Siniscalchi (Incorporated by reference to Exhibit 10.6 to the Company’s</w:t>
            </w:r>
          </w:p>
        </w:tc>
      </w:tr>
      <w:tr>
        <w:trPr>
          <w:trHeight w:val="228"/>
        </w:trPr>
        <w:tc>
          <w:tcPr>
            <w:tcW w:w="880" w:type="dxa"/>
            <w:vAlign w:val="bottom"/>
          </w:tcPr>
          <w:p>
            <w:pPr>
              <w:spacing w:after="0"/>
              <w:rPr>
                <w:sz w:val="19"/>
                <w:szCs w:val="19"/>
                <w:color w:val="auto"/>
              </w:rPr>
            </w:pPr>
          </w:p>
        </w:tc>
        <w:tc>
          <w:tcPr>
            <w:tcW w:w="1048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Annual Report on Form 10-K for the year ended December 31, 2008). †</w:t>
            </w:r>
          </w:p>
        </w:tc>
      </w:tr>
      <w:tr>
        <w:trPr>
          <w:trHeight w:val="32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10.7(a)</w:t>
            </w:r>
          </w:p>
        </w:tc>
        <w:tc>
          <w:tcPr>
            <w:tcW w:w="1048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Agreement between Avis Budget Group, Inc. and Thomas Gartland dated April 21, 2008. †</w:t>
            </w:r>
          </w:p>
        </w:tc>
      </w:tr>
      <w:tr>
        <w:trPr>
          <w:trHeight w:val="32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10.7(b)</w:t>
            </w:r>
          </w:p>
        </w:tc>
        <w:tc>
          <w:tcPr>
            <w:tcW w:w="1048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Agreement between Avis Budget Group, Inc. and Thomas Gartland dated December 19, 2008. †</w:t>
            </w:r>
          </w:p>
        </w:tc>
      </w:tr>
      <w:tr>
        <w:trPr>
          <w:trHeight w:val="32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10.8</w:t>
            </w:r>
          </w:p>
        </w:tc>
        <w:tc>
          <w:tcPr>
            <w:tcW w:w="1048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Form of Avis Budget Group, Inc. Severance Agreement. †</w:t>
            </w:r>
          </w:p>
        </w:tc>
      </w:tr>
      <w:tr>
        <w:trPr>
          <w:trHeight w:val="3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10.9(a)</w:t>
            </w:r>
          </w:p>
        </w:tc>
        <w:tc>
          <w:tcPr>
            <w:tcW w:w="1048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w w:val="99"/>
              </w:rPr>
              <w:t>1987 Stock Option Plan, as amended (Incorporated by reference to Exhibit 10.16 to the Company’s Form 10-Q for the quarterly</w:t>
            </w:r>
          </w:p>
        </w:tc>
      </w:tr>
      <w:tr>
        <w:trPr>
          <w:trHeight w:val="228"/>
        </w:trPr>
        <w:tc>
          <w:tcPr>
            <w:tcW w:w="880" w:type="dxa"/>
            <w:vAlign w:val="bottom"/>
          </w:tcPr>
          <w:p>
            <w:pPr>
              <w:spacing w:after="0"/>
              <w:rPr>
                <w:sz w:val="19"/>
                <w:szCs w:val="19"/>
                <w:color w:val="auto"/>
              </w:rPr>
            </w:pPr>
          </w:p>
        </w:tc>
        <w:tc>
          <w:tcPr>
            <w:tcW w:w="1048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period ended October 31, 1996 dated December 13, 1996, File No. 1-10308). †</w:t>
            </w:r>
          </w:p>
        </w:tc>
      </w:tr>
      <w:tr>
        <w:trPr>
          <w:trHeight w:val="3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10.9(b)</w:t>
            </w:r>
          </w:p>
        </w:tc>
        <w:tc>
          <w:tcPr>
            <w:tcW w:w="1048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Amendment to 1987 Stock Option Plan dated January 3, 2001 (Incorporated by reference to Exhibit 10.7(b) to the Company’s</w:t>
            </w:r>
          </w:p>
        </w:tc>
      </w:tr>
      <w:tr>
        <w:trPr>
          <w:trHeight w:val="228"/>
        </w:trPr>
        <w:tc>
          <w:tcPr>
            <w:tcW w:w="880" w:type="dxa"/>
            <w:vAlign w:val="bottom"/>
          </w:tcPr>
          <w:p>
            <w:pPr>
              <w:spacing w:after="0"/>
              <w:rPr>
                <w:sz w:val="19"/>
                <w:szCs w:val="19"/>
                <w:color w:val="auto"/>
              </w:rPr>
            </w:pPr>
          </w:p>
        </w:tc>
        <w:tc>
          <w:tcPr>
            <w:tcW w:w="1048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Annual Report on Form 10-K for the year ended December 31, 2000 dated March 29, 2001). †</w:t>
            </w:r>
          </w:p>
        </w:tc>
      </w:tr>
      <w:tr>
        <w:trPr>
          <w:trHeight w:val="3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10.10(a)</w:t>
            </w:r>
          </w:p>
        </w:tc>
        <w:tc>
          <w:tcPr>
            <w:tcW w:w="1048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1997 Stock Option Plan (Incorporated by reference to Exhibit 10.23 to the Company’s Quarterly Report on Form 10-Q for the</w:t>
            </w:r>
          </w:p>
        </w:tc>
      </w:tr>
      <w:tr>
        <w:trPr>
          <w:trHeight w:val="228"/>
        </w:trPr>
        <w:tc>
          <w:tcPr>
            <w:tcW w:w="880" w:type="dxa"/>
            <w:vAlign w:val="bottom"/>
          </w:tcPr>
          <w:p>
            <w:pPr>
              <w:spacing w:after="0"/>
              <w:rPr>
                <w:sz w:val="19"/>
                <w:szCs w:val="19"/>
                <w:color w:val="auto"/>
              </w:rPr>
            </w:pPr>
          </w:p>
        </w:tc>
        <w:tc>
          <w:tcPr>
            <w:tcW w:w="1048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quarterly period ended April 30, 1997 dated June 16, 1997, File No. 1-10308). †</w:t>
            </w:r>
          </w:p>
        </w:tc>
      </w:tr>
      <w:tr>
        <w:trPr>
          <w:trHeight w:val="3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10.10(b)</w:t>
            </w:r>
          </w:p>
        </w:tc>
        <w:tc>
          <w:tcPr>
            <w:tcW w:w="1048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Amendment to 1997 Stock Option Plan dated January 3, 2001 (Incorporated by reference to Exhibit 10.11(b) to the Company’s</w:t>
            </w:r>
          </w:p>
        </w:tc>
      </w:tr>
      <w:tr>
        <w:trPr>
          <w:trHeight w:val="228"/>
        </w:trPr>
        <w:tc>
          <w:tcPr>
            <w:tcW w:w="880" w:type="dxa"/>
            <w:vAlign w:val="bottom"/>
          </w:tcPr>
          <w:p>
            <w:pPr>
              <w:spacing w:after="0"/>
              <w:rPr>
                <w:sz w:val="19"/>
                <w:szCs w:val="19"/>
                <w:color w:val="auto"/>
              </w:rPr>
            </w:pPr>
          </w:p>
        </w:tc>
        <w:tc>
          <w:tcPr>
            <w:tcW w:w="1048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Annual Report on Form 10-K for the year ended December 31, 2000 dated March 29, 2001). †</w:t>
            </w:r>
          </w:p>
        </w:tc>
      </w:tr>
      <w:tr>
        <w:trPr>
          <w:trHeight w:val="3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10.10(c)</w:t>
            </w:r>
          </w:p>
        </w:tc>
        <w:tc>
          <w:tcPr>
            <w:tcW w:w="1048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Amendment to 1997 Stock Option Plan dated March 19, 2002 (Incorporated by reference to Exhibit 10.11(c) to the Company’s</w:t>
            </w:r>
          </w:p>
        </w:tc>
      </w:tr>
      <w:tr>
        <w:trPr>
          <w:trHeight w:val="228"/>
        </w:trPr>
        <w:tc>
          <w:tcPr>
            <w:tcW w:w="880" w:type="dxa"/>
            <w:vAlign w:val="bottom"/>
          </w:tcPr>
          <w:p>
            <w:pPr>
              <w:spacing w:after="0"/>
              <w:rPr>
                <w:sz w:val="19"/>
                <w:szCs w:val="19"/>
                <w:color w:val="auto"/>
              </w:rPr>
            </w:pPr>
          </w:p>
        </w:tc>
        <w:tc>
          <w:tcPr>
            <w:tcW w:w="1048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Annual Report on Form 10-K for the year ended December 31, 2002 dated March 5, 2003). †</w:t>
            </w:r>
          </w:p>
        </w:tc>
      </w:tr>
      <w:tr>
        <w:trPr>
          <w:trHeight w:val="3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10.11(a)</w:t>
            </w:r>
          </w:p>
        </w:tc>
        <w:tc>
          <w:tcPr>
            <w:tcW w:w="1048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w w:val="99"/>
              </w:rPr>
              <w:t>Avis Budget Group, Inc. 2007 Equity and Incentive Plan (Incorporated by reference to Exhibit 10.2 to the Company’s Quarterly</w:t>
            </w:r>
          </w:p>
        </w:tc>
      </w:tr>
      <w:tr>
        <w:trPr>
          <w:trHeight w:val="228"/>
        </w:trPr>
        <w:tc>
          <w:tcPr>
            <w:tcW w:w="880" w:type="dxa"/>
            <w:vAlign w:val="bottom"/>
          </w:tcPr>
          <w:p>
            <w:pPr>
              <w:spacing w:after="0"/>
              <w:rPr>
                <w:sz w:val="19"/>
                <w:szCs w:val="19"/>
                <w:color w:val="auto"/>
              </w:rPr>
            </w:pPr>
          </w:p>
        </w:tc>
        <w:tc>
          <w:tcPr>
            <w:tcW w:w="1048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Report on Form 10-Q for the quarterly period ended June 30, 2007 dated August 8, 2007). †</w:t>
            </w:r>
          </w:p>
        </w:tc>
      </w:tr>
      <w:tr>
        <w:trPr>
          <w:trHeight w:val="3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10.11(b)</w:t>
            </w:r>
          </w:p>
        </w:tc>
        <w:tc>
          <w:tcPr>
            <w:tcW w:w="1048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w w:val="98"/>
              </w:rPr>
              <w:t>Amendment to the Avis Budget Group, Inc. 2007 Equity And Incentive Plan dated March 20, 2008 (Incorporated by reference to</w:t>
            </w:r>
          </w:p>
        </w:tc>
      </w:tr>
      <w:tr>
        <w:trPr>
          <w:trHeight w:val="216"/>
        </w:trPr>
        <w:tc>
          <w:tcPr>
            <w:tcW w:w="880" w:type="dxa"/>
            <w:vAlign w:val="bottom"/>
          </w:tcPr>
          <w:p>
            <w:pPr>
              <w:spacing w:after="0"/>
              <w:rPr>
                <w:sz w:val="18"/>
                <w:szCs w:val="18"/>
                <w:color w:val="auto"/>
              </w:rPr>
            </w:pPr>
          </w:p>
        </w:tc>
        <w:tc>
          <w:tcPr>
            <w:tcW w:w="1048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w w:val="97"/>
              </w:rPr>
              <w:t>Exhibit 10.1 to the Company’s Quarterly Report on Form 10-Q for the quarterly period ended March 31, 2008 dated May 7, 2008).</w:t>
            </w:r>
          </w:p>
        </w:tc>
      </w:tr>
      <w:tr>
        <w:trPr>
          <w:trHeight w:val="228"/>
        </w:trPr>
        <w:tc>
          <w:tcPr>
            <w:tcW w:w="880" w:type="dxa"/>
            <w:vAlign w:val="bottom"/>
          </w:tcPr>
          <w:p>
            <w:pPr>
              <w:spacing w:after="0"/>
              <w:rPr>
                <w:sz w:val="19"/>
                <w:szCs w:val="19"/>
                <w:color w:val="auto"/>
              </w:rPr>
            </w:pPr>
          </w:p>
        </w:tc>
        <w:tc>
          <w:tcPr>
            <w:tcW w:w="1048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w:t>
            </w:r>
          </w:p>
        </w:tc>
      </w:tr>
      <w:tr>
        <w:trPr>
          <w:trHeight w:val="3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10.11(c)</w:t>
            </w:r>
          </w:p>
        </w:tc>
        <w:tc>
          <w:tcPr>
            <w:tcW w:w="1048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w w:val="97"/>
              </w:rPr>
              <w:t>Amendment No. 2 to the Avis Budget Group, Inc. 2007 Equity and Incentive Plan (Incorporated by reference to Exhibit 10.1 of the</w:t>
            </w:r>
          </w:p>
        </w:tc>
      </w:tr>
      <w:tr>
        <w:trPr>
          <w:trHeight w:val="228"/>
        </w:trPr>
        <w:tc>
          <w:tcPr>
            <w:tcW w:w="880" w:type="dxa"/>
            <w:vAlign w:val="bottom"/>
          </w:tcPr>
          <w:p>
            <w:pPr>
              <w:spacing w:after="0"/>
              <w:rPr>
                <w:sz w:val="19"/>
                <w:szCs w:val="19"/>
                <w:color w:val="auto"/>
              </w:rPr>
            </w:pPr>
          </w:p>
        </w:tc>
        <w:tc>
          <w:tcPr>
            <w:tcW w:w="1048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Company’s Current Report on Form 8-K dated June 18, 2009). †</w:t>
            </w:r>
          </w:p>
        </w:tc>
      </w:tr>
      <w:tr>
        <w:trPr>
          <w:trHeight w:val="3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10.11(d)</w:t>
            </w:r>
          </w:p>
        </w:tc>
        <w:tc>
          <w:tcPr>
            <w:tcW w:w="1048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w w:val="97"/>
              </w:rPr>
              <w:t>Amendment No. 3 to the Avis Budget Group, Inc. 2007 Equity and Incentive Plan (Incorporated by reference to Exhibit 10.3 to the</w:t>
            </w:r>
          </w:p>
        </w:tc>
      </w:tr>
      <w:tr>
        <w:trPr>
          <w:trHeight w:val="228"/>
        </w:trPr>
        <w:tc>
          <w:tcPr>
            <w:tcW w:w="880" w:type="dxa"/>
            <w:vAlign w:val="bottom"/>
          </w:tcPr>
          <w:p>
            <w:pPr>
              <w:spacing w:after="0"/>
              <w:rPr>
                <w:sz w:val="19"/>
                <w:szCs w:val="19"/>
                <w:color w:val="auto"/>
              </w:rPr>
            </w:pPr>
          </w:p>
        </w:tc>
        <w:tc>
          <w:tcPr>
            <w:tcW w:w="1048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Company’s Quarterly Report on Form 10-Q for the quarter ended June 30, 2009). †</w:t>
            </w:r>
          </w:p>
        </w:tc>
      </w:tr>
      <w:tr>
        <w:trPr>
          <w:trHeight w:val="365"/>
        </w:trPr>
        <w:tc>
          <w:tcPr>
            <w:tcW w:w="880" w:type="dxa"/>
            <w:vAlign w:val="bottom"/>
          </w:tcPr>
          <w:p>
            <w:pPr>
              <w:spacing w:after="0"/>
              <w:rPr>
                <w:sz w:val="24"/>
                <w:szCs w:val="24"/>
                <w:color w:val="auto"/>
              </w:rPr>
            </w:pPr>
          </w:p>
        </w:tc>
        <w:tc>
          <w:tcPr>
            <w:tcW w:w="10480" w:type="dxa"/>
            <w:vAlign w:val="bottom"/>
            <w:gridSpan w:val="3"/>
          </w:tcPr>
          <w:p>
            <w:pPr>
              <w:ind w:left="4700"/>
              <w:spacing w:after="0"/>
              <w:rPr>
                <w:sz w:val="20"/>
                <w:szCs w:val="20"/>
                <w:color w:val="auto"/>
              </w:rPr>
            </w:pPr>
            <w:r>
              <w:rPr>
                <w:rFonts w:ascii="Times New Roman" w:cs="Times New Roman" w:eastAsia="Times New Roman" w:hAnsi="Times New Roman"/>
                <w:sz w:val="18"/>
                <w:szCs w:val="18"/>
                <w:color w:val="auto"/>
              </w:rPr>
              <w:t>H-2</w:t>
            </w:r>
          </w:p>
        </w:tc>
      </w:tr>
    </w:tbl>
    <w:p>
      <w:pPr>
        <w:sectPr>
          <w:pgSz w:w="11900" w:h="16838" w:orient="portrait"/>
          <w:cols w:equalWidth="0" w:num="1">
            <w:col w:w="11360"/>
          </w:cols>
          <w:pgMar w:left="240" w:top="455" w:right="299" w:bottom="1440" w:gutter="0" w:footer="0" w:header="0"/>
        </w:sectPr>
      </w:pPr>
    </w:p>
    <w:bookmarkStart w:id="125" w:name="page126"/>
    <w:bookmarkEnd w:id="12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7"/>
              </w:rPr>
              <w:t>Exhibit No.</w:t>
            </w:r>
          </w:p>
        </w:tc>
        <w:tc>
          <w:tcPr>
            <w:tcW w:w="5460" w:type="dxa"/>
            <w:vAlign w:val="bottom"/>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6"/>
              </w:rPr>
              <w:t>Description</w:t>
            </w:r>
          </w:p>
        </w:tc>
        <w:tc>
          <w:tcPr>
            <w:tcW w:w="4180" w:type="dxa"/>
            <w:vAlign w:val="bottom"/>
          </w:tcPr>
          <w:p>
            <w:pPr>
              <w:spacing w:after="0"/>
              <w:rPr>
                <w:sz w:val="20"/>
                <w:szCs w:val="20"/>
                <w:color w:val="auto"/>
              </w:rPr>
            </w:pPr>
          </w:p>
        </w:tc>
      </w:tr>
      <w:tr>
        <w:trPr>
          <w:trHeight w:val="223"/>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10.11(e)</w:t>
            </w:r>
          </w:p>
        </w:tc>
        <w:tc>
          <w:tcPr>
            <w:tcW w:w="1052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Amendment No. 4 to the Avis Budget Group, Inc. 2007 Equity and Incentive Plan dated January 27, 2010. †</w:t>
            </w:r>
          </w:p>
        </w:tc>
      </w:tr>
      <w:tr>
        <w:trPr>
          <w:trHeight w:val="297"/>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10.12(a)</w:t>
            </w:r>
          </w:p>
        </w:tc>
        <w:tc>
          <w:tcPr>
            <w:tcW w:w="1052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w w:val="99"/>
              </w:rPr>
              <w:t>1997 Stock Incentive Plan (Incorporated by reference to Appendix E to the Joint Proxy Statement/ Prospectus included as part of</w:t>
            </w:r>
          </w:p>
        </w:tc>
      </w:tr>
      <w:tr>
        <w:trPr>
          <w:trHeight w:val="228"/>
        </w:trPr>
        <w:tc>
          <w:tcPr>
            <w:tcW w:w="880" w:type="dxa"/>
            <w:vAlign w:val="bottom"/>
          </w:tcPr>
          <w:p>
            <w:pPr>
              <w:spacing w:after="0"/>
              <w:rPr>
                <w:sz w:val="19"/>
                <w:szCs w:val="19"/>
                <w:color w:val="auto"/>
              </w:rPr>
            </w:pPr>
          </w:p>
        </w:tc>
        <w:tc>
          <w:tcPr>
            <w:tcW w:w="1052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the Company’s Registration Statement on Form S-4, Registration No. 333-34517, dated August 28, 1997). †</w:t>
            </w:r>
          </w:p>
        </w:tc>
      </w:tr>
      <w:tr>
        <w:trPr>
          <w:trHeight w:val="3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10.12(b)</w:t>
            </w:r>
          </w:p>
        </w:tc>
        <w:tc>
          <w:tcPr>
            <w:tcW w:w="1052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w w:val="98"/>
              </w:rPr>
              <w:t>Amendment to 1997 Stock Incentive Plan dated March 27, 2000 (Incorporated by reference to Exhibit 10.12(b) to the Company’s</w:t>
            </w:r>
          </w:p>
        </w:tc>
      </w:tr>
      <w:tr>
        <w:trPr>
          <w:trHeight w:val="228"/>
        </w:trPr>
        <w:tc>
          <w:tcPr>
            <w:tcW w:w="880" w:type="dxa"/>
            <w:vAlign w:val="bottom"/>
          </w:tcPr>
          <w:p>
            <w:pPr>
              <w:spacing w:after="0"/>
              <w:rPr>
                <w:sz w:val="19"/>
                <w:szCs w:val="19"/>
                <w:color w:val="auto"/>
              </w:rPr>
            </w:pPr>
          </w:p>
        </w:tc>
        <w:tc>
          <w:tcPr>
            <w:tcW w:w="1052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Annual Report on Form 10-K for the year ended December 31, 2000 dated March 29, 2001). †</w:t>
            </w:r>
          </w:p>
        </w:tc>
      </w:tr>
      <w:tr>
        <w:trPr>
          <w:trHeight w:val="3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10.12(c)</w:t>
            </w:r>
          </w:p>
        </w:tc>
        <w:tc>
          <w:tcPr>
            <w:tcW w:w="1052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w w:val="98"/>
              </w:rPr>
              <w:t>Amendment to 1997 Stock Incentive Plan dated March 28, 2000 (Incorporated by reference to Exhibit 10.12(c) to the Company’s</w:t>
            </w:r>
          </w:p>
        </w:tc>
      </w:tr>
      <w:tr>
        <w:trPr>
          <w:trHeight w:val="228"/>
        </w:trPr>
        <w:tc>
          <w:tcPr>
            <w:tcW w:w="880" w:type="dxa"/>
            <w:vAlign w:val="bottom"/>
          </w:tcPr>
          <w:p>
            <w:pPr>
              <w:spacing w:after="0"/>
              <w:rPr>
                <w:sz w:val="19"/>
                <w:szCs w:val="19"/>
                <w:color w:val="auto"/>
              </w:rPr>
            </w:pPr>
          </w:p>
        </w:tc>
        <w:tc>
          <w:tcPr>
            <w:tcW w:w="1052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Annual Report on Form 10-K for the year ended December 31, 2000 dated March 29, 2001). †</w:t>
            </w:r>
          </w:p>
        </w:tc>
      </w:tr>
      <w:tr>
        <w:trPr>
          <w:trHeight w:val="3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10.12(d)</w:t>
            </w:r>
          </w:p>
        </w:tc>
        <w:tc>
          <w:tcPr>
            <w:tcW w:w="1052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w w:val="98"/>
              </w:rPr>
              <w:t>Amendment to 1997 Stock Incentive Plan dated January 3, 2001 (Incorporated by reference to Exhibit 10.12(d) to the Company’s</w:t>
            </w:r>
          </w:p>
        </w:tc>
      </w:tr>
      <w:tr>
        <w:trPr>
          <w:trHeight w:val="228"/>
        </w:trPr>
        <w:tc>
          <w:tcPr>
            <w:tcW w:w="880" w:type="dxa"/>
            <w:vAlign w:val="bottom"/>
          </w:tcPr>
          <w:p>
            <w:pPr>
              <w:spacing w:after="0"/>
              <w:rPr>
                <w:sz w:val="19"/>
                <w:szCs w:val="19"/>
                <w:color w:val="auto"/>
              </w:rPr>
            </w:pPr>
          </w:p>
        </w:tc>
        <w:tc>
          <w:tcPr>
            <w:tcW w:w="1052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Annual Report on Form 10-K for the year ended December 31, 2000 dated March 29, 2001). †</w:t>
            </w:r>
          </w:p>
        </w:tc>
      </w:tr>
      <w:tr>
        <w:trPr>
          <w:trHeight w:val="3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10.13(a)</w:t>
            </w:r>
          </w:p>
        </w:tc>
        <w:tc>
          <w:tcPr>
            <w:tcW w:w="1052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1997 Employee Stock Plan (Incorporated by reference to Exhibit 4.1 to the Company’s Registration Statement on Form S-8,</w:t>
            </w:r>
          </w:p>
        </w:tc>
      </w:tr>
      <w:tr>
        <w:trPr>
          <w:trHeight w:val="228"/>
        </w:trPr>
        <w:tc>
          <w:tcPr>
            <w:tcW w:w="880" w:type="dxa"/>
            <w:vAlign w:val="bottom"/>
          </w:tcPr>
          <w:p>
            <w:pPr>
              <w:spacing w:after="0"/>
              <w:rPr>
                <w:sz w:val="19"/>
                <w:szCs w:val="19"/>
                <w:color w:val="auto"/>
              </w:rPr>
            </w:pPr>
          </w:p>
        </w:tc>
        <w:tc>
          <w:tcPr>
            <w:tcW w:w="1052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Registration No. 333-45183, dated January 29, 1998). †</w:t>
            </w:r>
          </w:p>
        </w:tc>
      </w:tr>
      <w:tr>
        <w:trPr>
          <w:trHeight w:val="3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10.13(b)</w:t>
            </w:r>
          </w:p>
        </w:tc>
        <w:tc>
          <w:tcPr>
            <w:tcW w:w="1052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w w:val="98"/>
              </w:rPr>
              <w:t>Amendment to 1997 Employee Stock Plan dated January 3, 2001 (Incorporated by reference to Exhibit 10.15(b) to the Company’s</w:t>
            </w:r>
          </w:p>
        </w:tc>
      </w:tr>
      <w:tr>
        <w:trPr>
          <w:trHeight w:val="228"/>
        </w:trPr>
        <w:tc>
          <w:tcPr>
            <w:tcW w:w="880" w:type="dxa"/>
            <w:vAlign w:val="bottom"/>
          </w:tcPr>
          <w:p>
            <w:pPr>
              <w:spacing w:after="0"/>
              <w:rPr>
                <w:sz w:val="19"/>
                <w:szCs w:val="19"/>
                <w:color w:val="auto"/>
              </w:rPr>
            </w:pPr>
          </w:p>
        </w:tc>
        <w:tc>
          <w:tcPr>
            <w:tcW w:w="1052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Annual Report on Form 10-K for the year ended December 31, 2003 dated March 1, 2004). †</w:t>
            </w:r>
          </w:p>
        </w:tc>
      </w:tr>
      <w:tr>
        <w:trPr>
          <w:trHeight w:val="3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10.14</w:t>
            </w:r>
          </w:p>
        </w:tc>
        <w:tc>
          <w:tcPr>
            <w:tcW w:w="1052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w w:val="98"/>
              </w:rPr>
              <w:t>Amendment to Certain Stock Plans (Incorporated by reference to Exhibit 10.16(c) to the Company’s Annual Report on Form 10-K</w:t>
            </w:r>
          </w:p>
        </w:tc>
      </w:tr>
      <w:tr>
        <w:trPr>
          <w:trHeight w:val="228"/>
        </w:trPr>
        <w:tc>
          <w:tcPr>
            <w:tcW w:w="880" w:type="dxa"/>
            <w:vAlign w:val="bottom"/>
          </w:tcPr>
          <w:p>
            <w:pPr>
              <w:spacing w:after="0"/>
              <w:rPr>
                <w:sz w:val="19"/>
                <w:szCs w:val="19"/>
                <w:color w:val="auto"/>
              </w:rPr>
            </w:pPr>
          </w:p>
        </w:tc>
        <w:tc>
          <w:tcPr>
            <w:tcW w:w="1052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for the year ended December 31, 2003 dated March 5, 2003). †</w:t>
            </w:r>
          </w:p>
        </w:tc>
      </w:tr>
      <w:tr>
        <w:trPr>
          <w:trHeight w:val="3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10.15</w:t>
            </w:r>
          </w:p>
        </w:tc>
        <w:tc>
          <w:tcPr>
            <w:tcW w:w="1052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1999 Broad-Based Employee Stock Option Plan, including the Third Amendment dated March 19, 2002, Second Amendment</w:t>
            </w:r>
          </w:p>
        </w:tc>
      </w:tr>
      <w:tr>
        <w:trPr>
          <w:trHeight w:val="216"/>
        </w:trPr>
        <w:tc>
          <w:tcPr>
            <w:tcW w:w="880" w:type="dxa"/>
            <w:vAlign w:val="bottom"/>
          </w:tcPr>
          <w:p>
            <w:pPr>
              <w:spacing w:after="0"/>
              <w:rPr>
                <w:sz w:val="18"/>
                <w:szCs w:val="18"/>
                <w:color w:val="auto"/>
              </w:rPr>
            </w:pPr>
          </w:p>
        </w:tc>
        <w:tc>
          <w:tcPr>
            <w:tcW w:w="1052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dated April 2, 2001 and First Amendment dated March 29, 1999 (Incorporated by reference to Exhibit 10.17 to the Company’s</w:t>
            </w:r>
          </w:p>
        </w:tc>
      </w:tr>
      <w:tr>
        <w:trPr>
          <w:trHeight w:val="228"/>
        </w:trPr>
        <w:tc>
          <w:tcPr>
            <w:tcW w:w="880" w:type="dxa"/>
            <w:vAlign w:val="bottom"/>
          </w:tcPr>
          <w:p>
            <w:pPr>
              <w:spacing w:after="0"/>
              <w:rPr>
                <w:sz w:val="19"/>
                <w:szCs w:val="19"/>
                <w:color w:val="auto"/>
              </w:rPr>
            </w:pPr>
          </w:p>
        </w:tc>
        <w:tc>
          <w:tcPr>
            <w:tcW w:w="1052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Annual Report on Form 10-K for the year ended December 31, 2002 dated March 5, 2003). †</w:t>
            </w:r>
          </w:p>
        </w:tc>
      </w:tr>
      <w:tr>
        <w:trPr>
          <w:trHeight w:val="3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10.16</w:t>
            </w:r>
          </w:p>
        </w:tc>
        <w:tc>
          <w:tcPr>
            <w:tcW w:w="1052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w w:val="98"/>
              </w:rPr>
              <w:t>Amendment to Various Equity-Based Plans (Incorporated by reference to Exhibit 10.16 to the Company’s Annual Report on Form</w:t>
            </w:r>
          </w:p>
        </w:tc>
      </w:tr>
      <w:tr>
        <w:trPr>
          <w:trHeight w:val="228"/>
        </w:trPr>
        <w:tc>
          <w:tcPr>
            <w:tcW w:w="880" w:type="dxa"/>
            <w:vAlign w:val="bottom"/>
          </w:tcPr>
          <w:p>
            <w:pPr>
              <w:spacing w:after="0"/>
              <w:rPr>
                <w:sz w:val="19"/>
                <w:szCs w:val="19"/>
                <w:color w:val="auto"/>
              </w:rPr>
            </w:pPr>
          </w:p>
        </w:tc>
        <w:tc>
          <w:tcPr>
            <w:tcW w:w="1052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10-K for the year ended December 31, 2005 dated March 1, 2006). †</w:t>
            </w:r>
          </w:p>
        </w:tc>
      </w:tr>
      <w:tr>
        <w:trPr>
          <w:trHeight w:val="3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10.17</w:t>
            </w:r>
          </w:p>
        </w:tc>
        <w:tc>
          <w:tcPr>
            <w:tcW w:w="1052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Avis Budget Group, Inc. Employee Stock Purchase Plan (Incorporated by reference to Exhibit 10.2 to the Company’s Current</w:t>
            </w:r>
          </w:p>
        </w:tc>
      </w:tr>
      <w:tr>
        <w:trPr>
          <w:trHeight w:val="228"/>
        </w:trPr>
        <w:tc>
          <w:tcPr>
            <w:tcW w:w="880" w:type="dxa"/>
            <w:vAlign w:val="bottom"/>
          </w:tcPr>
          <w:p>
            <w:pPr>
              <w:spacing w:after="0"/>
              <w:rPr>
                <w:sz w:val="19"/>
                <w:szCs w:val="19"/>
                <w:color w:val="auto"/>
              </w:rPr>
            </w:pPr>
          </w:p>
        </w:tc>
        <w:tc>
          <w:tcPr>
            <w:tcW w:w="1052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Report on Form 8-K dated June 18, 2009). †</w:t>
            </w:r>
          </w:p>
        </w:tc>
      </w:tr>
      <w:tr>
        <w:trPr>
          <w:trHeight w:val="3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10.18(a)</w:t>
            </w:r>
          </w:p>
        </w:tc>
        <w:tc>
          <w:tcPr>
            <w:tcW w:w="1052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w w:val="96"/>
              </w:rPr>
              <w:t>Form of Award Agreement—Restricted Stock Units (Incorporated by reference to Exhibit 10.1 to the Company’s Current Report on</w:t>
            </w:r>
          </w:p>
        </w:tc>
      </w:tr>
      <w:tr>
        <w:trPr>
          <w:trHeight w:val="228"/>
        </w:trPr>
        <w:tc>
          <w:tcPr>
            <w:tcW w:w="880" w:type="dxa"/>
            <w:vAlign w:val="bottom"/>
          </w:tcPr>
          <w:p>
            <w:pPr>
              <w:spacing w:after="0"/>
              <w:rPr>
                <w:sz w:val="19"/>
                <w:szCs w:val="19"/>
                <w:color w:val="auto"/>
              </w:rPr>
            </w:pPr>
          </w:p>
        </w:tc>
        <w:tc>
          <w:tcPr>
            <w:tcW w:w="1052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Form 8-K dated August 4, 2006). †</w:t>
            </w:r>
          </w:p>
        </w:tc>
      </w:tr>
      <w:tr>
        <w:trPr>
          <w:trHeight w:val="3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10.18(b)</w:t>
            </w:r>
          </w:p>
        </w:tc>
        <w:tc>
          <w:tcPr>
            <w:tcW w:w="1052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Form of Award Agreement—Stock Appreciation Rights (Incorporated by reference to Exhibit 10.2 to the Company’s Current</w:t>
            </w:r>
          </w:p>
        </w:tc>
      </w:tr>
      <w:tr>
        <w:trPr>
          <w:trHeight w:val="228"/>
        </w:trPr>
        <w:tc>
          <w:tcPr>
            <w:tcW w:w="880" w:type="dxa"/>
            <w:vAlign w:val="bottom"/>
          </w:tcPr>
          <w:p>
            <w:pPr>
              <w:spacing w:after="0"/>
              <w:rPr>
                <w:sz w:val="19"/>
                <w:szCs w:val="19"/>
                <w:color w:val="auto"/>
              </w:rPr>
            </w:pPr>
          </w:p>
        </w:tc>
        <w:tc>
          <w:tcPr>
            <w:tcW w:w="1052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Report on Form 8-K dated August 4, 2006). †</w:t>
            </w:r>
          </w:p>
        </w:tc>
      </w:tr>
      <w:tr>
        <w:trPr>
          <w:trHeight w:val="3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10.18(c)</w:t>
            </w:r>
          </w:p>
        </w:tc>
        <w:tc>
          <w:tcPr>
            <w:tcW w:w="1052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Form of Award Agreement—Stock Options (Incorporated by reference to Exhibit 10.15(c) to the Company’s Annual Report on</w:t>
            </w:r>
          </w:p>
        </w:tc>
      </w:tr>
      <w:tr>
        <w:trPr>
          <w:trHeight w:val="228"/>
        </w:trPr>
        <w:tc>
          <w:tcPr>
            <w:tcW w:w="880" w:type="dxa"/>
            <w:vAlign w:val="bottom"/>
          </w:tcPr>
          <w:p>
            <w:pPr>
              <w:spacing w:after="0"/>
              <w:rPr>
                <w:sz w:val="19"/>
                <w:szCs w:val="19"/>
                <w:color w:val="auto"/>
              </w:rPr>
            </w:pPr>
          </w:p>
        </w:tc>
        <w:tc>
          <w:tcPr>
            <w:tcW w:w="1052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Form 10-K for the year ended December 31, 2008). †</w:t>
            </w:r>
          </w:p>
        </w:tc>
      </w:tr>
      <w:tr>
        <w:trPr>
          <w:trHeight w:val="3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10.18(d)</w:t>
            </w:r>
          </w:p>
        </w:tc>
        <w:tc>
          <w:tcPr>
            <w:tcW w:w="1052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Form of Award Agreement—Stock Options (Incorporated by reference to Exhibit 10.15(d) to the Company’s Annual Report on</w:t>
            </w:r>
          </w:p>
        </w:tc>
      </w:tr>
      <w:tr>
        <w:trPr>
          <w:trHeight w:val="228"/>
        </w:trPr>
        <w:tc>
          <w:tcPr>
            <w:tcW w:w="880" w:type="dxa"/>
            <w:vAlign w:val="bottom"/>
          </w:tcPr>
          <w:p>
            <w:pPr>
              <w:spacing w:after="0"/>
              <w:rPr>
                <w:sz w:val="19"/>
                <w:szCs w:val="19"/>
                <w:color w:val="auto"/>
              </w:rPr>
            </w:pPr>
          </w:p>
        </w:tc>
        <w:tc>
          <w:tcPr>
            <w:tcW w:w="1052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Form 10-K for the year ended December 31, 2008). †</w:t>
            </w:r>
          </w:p>
        </w:tc>
      </w:tr>
      <w:tr>
        <w:trPr>
          <w:trHeight w:val="3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10.18(e)</w:t>
            </w:r>
          </w:p>
        </w:tc>
        <w:tc>
          <w:tcPr>
            <w:tcW w:w="1052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Form of Other Stock or Cash-Based Award Agreement (Incorporated by reference to Exhibit 10.4 to the Company’s Quarterly</w:t>
            </w:r>
          </w:p>
        </w:tc>
      </w:tr>
      <w:tr>
        <w:trPr>
          <w:trHeight w:val="228"/>
        </w:trPr>
        <w:tc>
          <w:tcPr>
            <w:tcW w:w="880" w:type="dxa"/>
            <w:vAlign w:val="bottom"/>
          </w:tcPr>
          <w:p>
            <w:pPr>
              <w:spacing w:after="0"/>
              <w:rPr>
                <w:sz w:val="19"/>
                <w:szCs w:val="19"/>
                <w:color w:val="auto"/>
              </w:rPr>
            </w:pPr>
          </w:p>
        </w:tc>
        <w:tc>
          <w:tcPr>
            <w:tcW w:w="1052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Report on Form 10-Q for the quarter ended June 30, 2009). †</w:t>
            </w:r>
          </w:p>
        </w:tc>
      </w:tr>
      <w:tr>
        <w:trPr>
          <w:trHeight w:val="3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10.19(a)</w:t>
            </w:r>
          </w:p>
        </w:tc>
        <w:tc>
          <w:tcPr>
            <w:tcW w:w="1052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Avis Budget Group, Inc. Non-Employee Directors Deferred Compensation Plan, Amended and Restated as of January 1, 2007</w:t>
            </w:r>
          </w:p>
        </w:tc>
      </w:tr>
      <w:tr>
        <w:trPr>
          <w:trHeight w:val="216"/>
        </w:trPr>
        <w:tc>
          <w:tcPr>
            <w:tcW w:w="880" w:type="dxa"/>
            <w:vAlign w:val="bottom"/>
          </w:tcPr>
          <w:p>
            <w:pPr>
              <w:spacing w:after="0"/>
              <w:rPr>
                <w:sz w:val="18"/>
                <w:szCs w:val="18"/>
                <w:color w:val="auto"/>
              </w:rPr>
            </w:pPr>
          </w:p>
        </w:tc>
        <w:tc>
          <w:tcPr>
            <w:tcW w:w="1052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(Incorporated by reference to Exhibit 10.16 to the Company’s Annual Report on Form 10-K for the year ended December 31,</w:t>
            </w:r>
          </w:p>
        </w:tc>
      </w:tr>
      <w:tr>
        <w:trPr>
          <w:trHeight w:val="228"/>
        </w:trPr>
        <w:tc>
          <w:tcPr>
            <w:tcW w:w="880" w:type="dxa"/>
            <w:vAlign w:val="bottom"/>
          </w:tcPr>
          <w:p>
            <w:pPr>
              <w:spacing w:after="0"/>
              <w:rPr>
                <w:sz w:val="19"/>
                <w:szCs w:val="19"/>
                <w:color w:val="auto"/>
              </w:rPr>
            </w:pPr>
          </w:p>
        </w:tc>
        <w:tc>
          <w:tcPr>
            <w:tcW w:w="1052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2008). †</w:t>
            </w:r>
          </w:p>
        </w:tc>
      </w:tr>
      <w:tr>
        <w:trPr>
          <w:trHeight w:val="365"/>
        </w:trPr>
        <w:tc>
          <w:tcPr>
            <w:tcW w:w="880" w:type="dxa"/>
            <w:vAlign w:val="bottom"/>
          </w:tcPr>
          <w:p>
            <w:pPr>
              <w:spacing w:after="0"/>
              <w:rPr>
                <w:sz w:val="24"/>
                <w:szCs w:val="24"/>
                <w:color w:val="auto"/>
              </w:rPr>
            </w:pPr>
          </w:p>
        </w:tc>
        <w:tc>
          <w:tcPr>
            <w:tcW w:w="10520" w:type="dxa"/>
            <w:vAlign w:val="bottom"/>
            <w:gridSpan w:val="3"/>
          </w:tcPr>
          <w:p>
            <w:pPr>
              <w:ind w:left="4700"/>
              <w:spacing w:after="0"/>
              <w:rPr>
                <w:sz w:val="20"/>
                <w:szCs w:val="20"/>
                <w:color w:val="auto"/>
              </w:rPr>
            </w:pPr>
            <w:r>
              <w:rPr>
                <w:rFonts w:ascii="Times New Roman" w:cs="Times New Roman" w:eastAsia="Times New Roman" w:hAnsi="Times New Roman"/>
                <w:sz w:val="18"/>
                <w:szCs w:val="18"/>
                <w:color w:val="auto"/>
              </w:rPr>
              <w:t>H-3</w:t>
            </w:r>
          </w:p>
        </w:tc>
      </w:tr>
    </w:tbl>
    <w:p>
      <w:pPr>
        <w:sectPr>
          <w:pgSz w:w="11900" w:h="16838" w:orient="portrait"/>
          <w:cols w:equalWidth="0" w:num="1">
            <w:col w:w="11400"/>
          </w:cols>
          <w:pgMar w:left="240" w:top="455" w:right="259" w:bottom="1440" w:gutter="0" w:footer="0" w:header="0"/>
        </w:sectPr>
      </w:pPr>
    </w:p>
    <w:bookmarkStart w:id="126" w:name="page127"/>
    <w:bookmarkEnd w:id="12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7"/>
              </w:rPr>
              <w:t>Exhibit No.</w:t>
            </w:r>
          </w:p>
        </w:tc>
        <w:tc>
          <w:tcPr>
            <w:tcW w:w="5460" w:type="dxa"/>
            <w:vAlign w:val="bottom"/>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6"/>
              </w:rPr>
              <w:t>Description</w:t>
            </w:r>
          </w:p>
        </w:tc>
        <w:tc>
          <w:tcPr>
            <w:tcW w:w="4180" w:type="dxa"/>
            <w:vAlign w:val="bottom"/>
          </w:tcPr>
          <w:p>
            <w:pPr>
              <w:spacing w:after="0"/>
              <w:rPr>
                <w:sz w:val="20"/>
                <w:szCs w:val="20"/>
                <w:color w:val="auto"/>
              </w:rPr>
            </w:pPr>
          </w:p>
        </w:tc>
      </w:tr>
      <w:tr>
        <w:trPr>
          <w:trHeight w:val="223"/>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10.19(b)</w:t>
            </w:r>
          </w:p>
        </w:tc>
        <w:tc>
          <w:tcPr>
            <w:tcW w:w="1052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w w:val="98"/>
              </w:rPr>
              <w:t>First Amendment to the Avis Budget Group, Inc. Non-Employee Directors Deferred Compensation Plan dated January 28, 2010. †</w:t>
            </w:r>
          </w:p>
        </w:tc>
      </w:tr>
      <w:tr>
        <w:trPr>
          <w:trHeight w:val="297"/>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10.20</w:t>
            </w:r>
          </w:p>
        </w:tc>
        <w:tc>
          <w:tcPr>
            <w:tcW w:w="1052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w w:val="97"/>
              </w:rPr>
              <w:t>Avis Budget Group, Inc. Deferred Compensation Plan, amended and restated as of November 1, 2008 (Incorporated by reference to</w:t>
            </w:r>
          </w:p>
        </w:tc>
      </w:tr>
      <w:tr>
        <w:trPr>
          <w:trHeight w:val="228"/>
        </w:trPr>
        <w:tc>
          <w:tcPr>
            <w:tcW w:w="880" w:type="dxa"/>
            <w:vAlign w:val="bottom"/>
          </w:tcPr>
          <w:p>
            <w:pPr>
              <w:spacing w:after="0"/>
              <w:rPr>
                <w:sz w:val="19"/>
                <w:szCs w:val="19"/>
                <w:color w:val="auto"/>
              </w:rPr>
            </w:pPr>
          </w:p>
        </w:tc>
        <w:tc>
          <w:tcPr>
            <w:tcW w:w="1052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Exhibit 10.17 to the Company’s Annual Report on Form 10-K for the year ended December 31, 2008). †</w:t>
            </w:r>
          </w:p>
        </w:tc>
      </w:tr>
      <w:tr>
        <w:trPr>
          <w:trHeight w:val="3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10.21</w:t>
            </w:r>
          </w:p>
        </w:tc>
        <w:tc>
          <w:tcPr>
            <w:tcW w:w="1052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Avis Budget Group, Inc. Savings Restoration Plan, amended and restated as of November 1, 2008 (Incorporated by reference to</w:t>
            </w:r>
          </w:p>
        </w:tc>
      </w:tr>
      <w:tr>
        <w:trPr>
          <w:trHeight w:val="228"/>
        </w:trPr>
        <w:tc>
          <w:tcPr>
            <w:tcW w:w="880" w:type="dxa"/>
            <w:vAlign w:val="bottom"/>
          </w:tcPr>
          <w:p>
            <w:pPr>
              <w:spacing w:after="0"/>
              <w:rPr>
                <w:sz w:val="19"/>
                <w:szCs w:val="19"/>
                <w:color w:val="auto"/>
              </w:rPr>
            </w:pPr>
          </w:p>
        </w:tc>
        <w:tc>
          <w:tcPr>
            <w:tcW w:w="1052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Exhibit 10.18 to the Company’s Annual Report on Form 10-K for the year ended December 31, 2008). †</w:t>
            </w:r>
          </w:p>
        </w:tc>
      </w:tr>
      <w:tr>
        <w:trPr>
          <w:trHeight w:val="3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10.22</w:t>
            </w:r>
          </w:p>
        </w:tc>
        <w:tc>
          <w:tcPr>
            <w:tcW w:w="1052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w w:val="98"/>
              </w:rPr>
              <w:t>Amended and Restated Equalization Benefit Plan (Incorporated by reference to Exhibit 10.59 to the Company’s Annual Report on</w:t>
            </w:r>
          </w:p>
        </w:tc>
      </w:tr>
      <w:tr>
        <w:trPr>
          <w:trHeight w:val="228"/>
        </w:trPr>
        <w:tc>
          <w:tcPr>
            <w:tcW w:w="880" w:type="dxa"/>
            <w:vAlign w:val="bottom"/>
          </w:tcPr>
          <w:p>
            <w:pPr>
              <w:spacing w:after="0"/>
              <w:rPr>
                <w:sz w:val="19"/>
                <w:szCs w:val="19"/>
                <w:color w:val="auto"/>
              </w:rPr>
            </w:pPr>
          </w:p>
        </w:tc>
        <w:tc>
          <w:tcPr>
            <w:tcW w:w="1052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Form 10-K for the year ended December 31, 2007, dated February 29, 2008). †</w:t>
            </w:r>
          </w:p>
        </w:tc>
      </w:tr>
      <w:tr>
        <w:trPr>
          <w:trHeight w:val="3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10.23</w:t>
            </w:r>
          </w:p>
        </w:tc>
        <w:tc>
          <w:tcPr>
            <w:tcW w:w="1052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w w:val="97"/>
              </w:rPr>
              <w:t>Avis Rent A Car System, LLC Pension Plan (Incorporated by reference to Exhibit 10.20 to the Company’s Annual Report on Form</w:t>
            </w:r>
          </w:p>
        </w:tc>
      </w:tr>
      <w:tr>
        <w:trPr>
          <w:trHeight w:val="228"/>
        </w:trPr>
        <w:tc>
          <w:tcPr>
            <w:tcW w:w="880" w:type="dxa"/>
            <w:vAlign w:val="bottom"/>
          </w:tcPr>
          <w:p>
            <w:pPr>
              <w:spacing w:after="0"/>
              <w:rPr>
                <w:sz w:val="19"/>
                <w:szCs w:val="19"/>
                <w:color w:val="auto"/>
              </w:rPr>
            </w:pPr>
          </w:p>
        </w:tc>
        <w:tc>
          <w:tcPr>
            <w:tcW w:w="1052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10-K for the year ended December 31, 2008). †</w:t>
            </w:r>
          </w:p>
        </w:tc>
      </w:tr>
      <w:tr>
        <w:trPr>
          <w:trHeight w:val="3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10.24(a)</w:t>
            </w:r>
          </w:p>
        </w:tc>
        <w:tc>
          <w:tcPr>
            <w:tcW w:w="1052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w w:val="99"/>
              </w:rPr>
              <w:t>Second Amended and Restated Base Indenture, dated as of June 3, 2004, among Cendant Rental Car Funding (AESOP) LLC***,</w:t>
            </w:r>
          </w:p>
        </w:tc>
      </w:tr>
      <w:tr>
        <w:trPr>
          <w:trHeight w:val="216"/>
        </w:trPr>
        <w:tc>
          <w:tcPr>
            <w:tcW w:w="880" w:type="dxa"/>
            <w:vAlign w:val="bottom"/>
          </w:tcPr>
          <w:p>
            <w:pPr>
              <w:spacing w:after="0"/>
              <w:rPr>
                <w:sz w:val="18"/>
                <w:szCs w:val="18"/>
                <w:color w:val="auto"/>
              </w:rPr>
            </w:pPr>
          </w:p>
        </w:tc>
        <w:tc>
          <w:tcPr>
            <w:tcW w:w="1052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w w:val="97"/>
              </w:rPr>
              <w:t>as Issuer, and The Bank of New York, as Trustee (Incorporated by reference to Exhibit 10.7 to the Company’s Quarterly Report on</w:t>
            </w:r>
          </w:p>
        </w:tc>
      </w:tr>
      <w:tr>
        <w:trPr>
          <w:trHeight w:val="228"/>
        </w:trPr>
        <w:tc>
          <w:tcPr>
            <w:tcW w:w="880" w:type="dxa"/>
            <w:vAlign w:val="bottom"/>
          </w:tcPr>
          <w:p>
            <w:pPr>
              <w:spacing w:after="0"/>
              <w:rPr>
                <w:sz w:val="19"/>
                <w:szCs w:val="19"/>
                <w:color w:val="auto"/>
              </w:rPr>
            </w:pPr>
          </w:p>
        </w:tc>
        <w:tc>
          <w:tcPr>
            <w:tcW w:w="1052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Form 10-Q for the quarterly period ended June 30, 2004, dated August 2, 2004).</w:t>
            </w:r>
          </w:p>
        </w:tc>
      </w:tr>
      <w:tr>
        <w:trPr>
          <w:trHeight w:val="3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10.24(b)</w:t>
            </w:r>
          </w:p>
        </w:tc>
        <w:tc>
          <w:tcPr>
            <w:tcW w:w="1052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w w:val="98"/>
              </w:rPr>
              <w:t>Supplemental Indenture No. 1, dated as of December 23, 2005, among Cendant Rental Car Funding (AESOP) LLC***, as Issuer,</w:t>
            </w:r>
          </w:p>
        </w:tc>
      </w:tr>
      <w:tr>
        <w:trPr>
          <w:trHeight w:val="216"/>
        </w:trPr>
        <w:tc>
          <w:tcPr>
            <w:tcW w:w="880" w:type="dxa"/>
            <w:vAlign w:val="bottom"/>
          </w:tcPr>
          <w:p>
            <w:pPr>
              <w:spacing w:after="0"/>
              <w:rPr>
                <w:sz w:val="18"/>
                <w:szCs w:val="18"/>
                <w:color w:val="auto"/>
              </w:rPr>
            </w:pPr>
          </w:p>
        </w:tc>
        <w:tc>
          <w:tcPr>
            <w:tcW w:w="1052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and The Bank of New York, as Trustee, to the Second Amended and Restated Base Indenture, dated as of June 3, 2004</w:t>
            </w:r>
          </w:p>
        </w:tc>
      </w:tr>
      <w:tr>
        <w:trPr>
          <w:trHeight w:val="228"/>
        </w:trPr>
        <w:tc>
          <w:tcPr>
            <w:tcW w:w="880" w:type="dxa"/>
            <w:vAlign w:val="bottom"/>
          </w:tcPr>
          <w:p>
            <w:pPr>
              <w:spacing w:after="0"/>
              <w:rPr>
                <w:sz w:val="19"/>
                <w:szCs w:val="19"/>
                <w:color w:val="auto"/>
              </w:rPr>
            </w:pPr>
          </w:p>
        </w:tc>
        <w:tc>
          <w:tcPr>
            <w:tcW w:w="1052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(Incorporated by reference to Exhibit 10.1 to the Company’s Current Report on Form 8-K dated January 20, 2006).</w:t>
            </w:r>
          </w:p>
        </w:tc>
      </w:tr>
      <w:tr>
        <w:trPr>
          <w:trHeight w:val="3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10.24(c)</w:t>
            </w:r>
          </w:p>
        </w:tc>
        <w:tc>
          <w:tcPr>
            <w:tcW w:w="1052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w w:val="97"/>
              </w:rPr>
              <w:t>Supplemental Indenture No. 2, dated as of May 9, 2007, among Avis Budget Rental Car Funding (AESOP) LLC, as Issuer, and The</w:t>
            </w:r>
          </w:p>
        </w:tc>
      </w:tr>
      <w:tr>
        <w:trPr>
          <w:trHeight w:val="216"/>
        </w:trPr>
        <w:tc>
          <w:tcPr>
            <w:tcW w:w="880" w:type="dxa"/>
            <w:vAlign w:val="bottom"/>
          </w:tcPr>
          <w:p>
            <w:pPr>
              <w:spacing w:after="0"/>
              <w:rPr>
                <w:sz w:val="18"/>
                <w:szCs w:val="18"/>
                <w:color w:val="auto"/>
              </w:rPr>
            </w:pPr>
          </w:p>
        </w:tc>
        <w:tc>
          <w:tcPr>
            <w:tcW w:w="1052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w w:val="98"/>
              </w:rPr>
              <w:t>Bank of New York Trust Company, N.A. (as successor in interest to The Bank of New York), as Trustee, to the Second Amended</w:t>
            </w:r>
          </w:p>
        </w:tc>
      </w:tr>
      <w:tr>
        <w:trPr>
          <w:trHeight w:val="216"/>
        </w:trPr>
        <w:tc>
          <w:tcPr>
            <w:tcW w:w="880" w:type="dxa"/>
            <w:vAlign w:val="bottom"/>
          </w:tcPr>
          <w:p>
            <w:pPr>
              <w:spacing w:after="0"/>
              <w:rPr>
                <w:sz w:val="18"/>
                <w:szCs w:val="18"/>
                <w:color w:val="auto"/>
              </w:rPr>
            </w:pPr>
          </w:p>
        </w:tc>
        <w:tc>
          <w:tcPr>
            <w:tcW w:w="1052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w w:val="98"/>
              </w:rPr>
              <w:t>and Restated Base Indenture, dated as of June 3, 2004 (Incorporated by reference to Exhibit 10.6 the Company Form 10-Q for the</w:t>
            </w:r>
          </w:p>
        </w:tc>
      </w:tr>
      <w:tr>
        <w:trPr>
          <w:trHeight w:val="228"/>
        </w:trPr>
        <w:tc>
          <w:tcPr>
            <w:tcW w:w="880" w:type="dxa"/>
            <w:vAlign w:val="bottom"/>
          </w:tcPr>
          <w:p>
            <w:pPr>
              <w:spacing w:after="0"/>
              <w:rPr>
                <w:sz w:val="19"/>
                <w:szCs w:val="19"/>
                <w:color w:val="auto"/>
              </w:rPr>
            </w:pPr>
          </w:p>
        </w:tc>
        <w:tc>
          <w:tcPr>
            <w:tcW w:w="1052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quarterly period ended June 30, 2007, dated August 8, 2007).</w:t>
            </w:r>
          </w:p>
        </w:tc>
      </w:tr>
      <w:tr>
        <w:trPr>
          <w:trHeight w:val="3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10.25(a)</w:t>
            </w:r>
          </w:p>
        </w:tc>
        <w:tc>
          <w:tcPr>
            <w:tcW w:w="1052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w w:val="97"/>
              </w:rPr>
              <w:t>Second Amended and Restated Loan Agreement, dated as of June 3, 2004, among AESOP Leasing L.P., as Borrower, Quartx Fleet</w:t>
            </w:r>
          </w:p>
        </w:tc>
      </w:tr>
      <w:tr>
        <w:trPr>
          <w:trHeight w:val="216"/>
        </w:trPr>
        <w:tc>
          <w:tcPr>
            <w:tcW w:w="880" w:type="dxa"/>
            <w:vAlign w:val="bottom"/>
          </w:tcPr>
          <w:p>
            <w:pPr>
              <w:spacing w:after="0"/>
              <w:rPr>
                <w:sz w:val="18"/>
                <w:szCs w:val="18"/>
                <w:color w:val="auto"/>
              </w:rPr>
            </w:pPr>
          </w:p>
        </w:tc>
        <w:tc>
          <w:tcPr>
            <w:tcW w:w="1052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Management, Inc., as a Permitted Nominee, PV Holding Corp., as a Permitted Nominee, and Cendant Rental Car Funding</w:t>
            </w:r>
          </w:p>
        </w:tc>
      </w:tr>
      <w:tr>
        <w:trPr>
          <w:trHeight w:val="216"/>
        </w:trPr>
        <w:tc>
          <w:tcPr>
            <w:tcW w:w="880" w:type="dxa"/>
            <w:vAlign w:val="bottom"/>
          </w:tcPr>
          <w:p>
            <w:pPr>
              <w:spacing w:after="0"/>
              <w:rPr>
                <w:sz w:val="18"/>
                <w:szCs w:val="18"/>
                <w:color w:val="auto"/>
              </w:rPr>
            </w:pPr>
          </w:p>
        </w:tc>
        <w:tc>
          <w:tcPr>
            <w:tcW w:w="1052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(AESOP) LLC***, as</w:t>
            </w:r>
          </w:p>
        </w:tc>
      </w:tr>
      <w:tr>
        <w:trPr>
          <w:trHeight w:val="216"/>
        </w:trPr>
        <w:tc>
          <w:tcPr>
            <w:tcW w:w="880" w:type="dxa"/>
            <w:vAlign w:val="bottom"/>
          </w:tcPr>
          <w:p>
            <w:pPr>
              <w:spacing w:after="0"/>
              <w:rPr>
                <w:sz w:val="18"/>
                <w:szCs w:val="18"/>
                <w:color w:val="auto"/>
              </w:rPr>
            </w:pPr>
          </w:p>
        </w:tc>
        <w:tc>
          <w:tcPr>
            <w:tcW w:w="1052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w w:val="97"/>
              </w:rPr>
              <w:t>Lender (Incorporated by reference to Exhibit 10.8 to the Company’s Quarterly Report on Form 10-Q for the quarterly period ended</w:t>
            </w:r>
          </w:p>
        </w:tc>
      </w:tr>
      <w:tr>
        <w:trPr>
          <w:trHeight w:val="228"/>
        </w:trPr>
        <w:tc>
          <w:tcPr>
            <w:tcW w:w="880" w:type="dxa"/>
            <w:vAlign w:val="bottom"/>
          </w:tcPr>
          <w:p>
            <w:pPr>
              <w:spacing w:after="0"/>
              <w:rPr>
                <w:sz w:val="19"/>
                <w:szCs w:val="19"/>
                <w:color w:val="auto"/>
              </w:rPr>
            </w:pPr>
          </w:p>
        </w:tc>
        <w:tc>
          <w:tcPr>
            <w:tcW w:w="1052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June 30, 2004, dated August 2, 2004).</w:t>
            </w:r>
          </w:p>
        </w:tc>
      </w:tr>
      <w:tr>
        <w:trPr>
          <w:trHeight w:val="325"/>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10.25(b)</w:t>
            </w:r>
          </w:p>
        </w:tc>
        <w:tc>
          <w:tcPr>
            <w:tcW w:w="1052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w w:val="97"/>
              </w:rPr>
              <w:t>First Amendment, dated as of December 23, 2005, among AESOP Leasing L.P., as Borrower, Quartx Fleet Management, Inc., as a</w:t>
            </w:r>
          </w:p>
        </w:tc>
      </w:tr>
      <w:tr>
        <w:trPr>
          <w:trHeight w:val="216"/>
        </w:trPr>
        <w:tc>
          <w:tcPr>
            <w:tcW w:w="880" w:type="dxa"/>
            <w:vAlign w:val="bottom"/>
          </w:tcPr>
          <w:p>
            <w:pPr>
              <w:spacing w:after="0"/>
              <w:rPr>
                <w:sz w:val="18"/>
                <w:szCs w:val="18"/>
                <w:color w:val="auto"/>
              </w:rPr>
            </w:pPr>
          </w:p>
        </w:tc>
        <w:tc>
          <w:tcPr>
            <w:tcW w:w="1052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w w:val="98"/>
              </w:rPr>
              <w:t>Permitted Nominee, PV Holding Corp., as Permitted Nominee, and Cendant Rental Car Funding (AESOP) LLC***, as Lender, to</w:t>
            </w:r>
          </w:p>
        </w:tc>
      </w:tr>
      <w:tr>
        <w:trPr>
          <w:trHeight w:val="216"/>
        </w:trPr>
        <w:tc>
          <w:tcPr>
            <w:tcW w:w="880" w:type="dxa"/>
            <w:vAlign w:val="bottom"/>
          </w:tcPr>
          <w:p>
            <w:pPr>
              <w:spacing w:after="0"/>
              <w:rPr>
                <w:sz w:val="18"/>
                <w:szCs w:val="18"/>
                <w:color w:val="auto"/>
              </w:rPr>
            </w:pPr>
          </w:p>
        </w:tc>
        <w:tc>
          <w:tcPr>
            <w:tcW w:w="1052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the Second Amended and Restated Loan Agreement, dated as of June 3, 2004 (Incorporated by reference to Exhibit 10.2 to the</w:t>
            </w:r>
          </w:p>
        </w:tc>
      </w:tr>
      <w:tr>
        <w:trPr>
          <w:trHeight w:val="228"/>
        </w:trPr>
        <w:tc>
          <w:tcPr>
            <w:tcW w:w="880" w:type="dxa"/>
            <w:vAlign w:val="bottom"/>
          </w:tcPr>
          <w:p>
            <w:pPr>
              <w:spacing w:after="0"/>
              <w:rPr>
                <w:sz w:val="19"/>
                <w:szCs w:val="19"/>
                <w:color w:val="auto"/>
              </w:rPr>
            </w:pPr>
          </w:p>
        </w:tc>
        <w:tc>
          <w:tcPr>
            <w:tcW w:w="1052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Company’s Current Report on Form 8-K dated January 20, 2006).</w:t>
            </w:r>
          </w:p>
        </w:tc>
      </w:tr>
      <w:tr>
        <w:trPr>
          <w:trHeight w:val="3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10.25(c)</w:t>
            </w:r>
          </w:p>
        </w:tc>
        <w:tc>
          <w:tcPr>
            <w:tcW w:w="1052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Second Amendment, dated as of May 9, 2007, among AESOP Leasing L.P., as Borrower, PV Holding Corp., as Permitted</w:t>
            </w:r>
          </w:p>
        </w:tc>
      </w:tr>
      <w:tr>
        <w:trPr>
          <w:trHeight w:val="216"/>
        </w:trPr>
        <w:tc>
          <w:tcPr>
            <w:tcW w:w="880" w:type="dxa"/>
            <w:vAlign w:val="bottom"/>
          </w:tcPr>
          <w:p>
            <w:pPr>
              <w:spacing w:after="0"/>
              <w:rPr>
                <w:sz w:val="18"/>
                <w:szCs w:val="18"/>
                <w:color w:val="auto"/>
              </w:rPr>
            </w:pPr>
          </w:p>
        </w:tc>
        <w:tc>
          <w:tcPr>
            <w:tcW w:w="1052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w w:val="98"/>
              </w:rPr>
              <w:t>Nominee, Quartx Fleet Management, Inc., as Permitted Nominee, and Avis Budget Rental Car Funding (AESOP) LLC, as Lender,</w:t>
            </w:r>
          </w:p>
        </w:tc>
      </w:tr>
      <w:tr>
        <w:trPr>
          <w:trHeight w:val="216"/>
        </w:trPr>
        <w:tc>
          <w:tcPr>
            <w:tcW w:w="880" w:type="dxa"/>
            <w:vAlign w:val="bottom"/>
          </w:tcPr>
          <w:p>
            <w:pPr>
              <w:spacing w:after="0"/>
              <w:rPr>
                <w:sz w:val="18"/>
                <w:szCs w:val="18"/>
                <w:color w:val="auto"/>
              </w:rPr>
            </w:pPr>
          </w:p>
        </w:tc>
        <w:tc>
          <w:tcPr>
            <w:tcW w:w="1052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to the Second Amended and Restated Loan Agreement, dated as of June 3, 2004 (Incorporated by reference to Exhibit 10.8 the</w:t>
            </w:r>
          </w:p>
        </w:tc>
      </w:tr>
      <w:tr>
        <w:trPr>
          <w:trHeight w:val="228"/>
        </w:trPr>
        <w:tc>
          <w:tcPr>
            <w:tcW w:w="880" w:type="dxa"/>
            <w:vAlign w:val="bottom"/>
          </w:tcPr>
          <w:p>
            <w:pPr>
              <w:spacing w:after="0"/>
              <w:rPr>
                <w:sz w:val="19"/>
                <w:szCs w:val="19"/>
                <w:color w:val="auto"/>
              </w:rPr>
            </w:pPr>
          </w:p>
        </w:tc>
        <w:tc>
          <w:tcPr>
            <w:tcW w:w="1052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Company Form 10-Q for the quarterly period ended June 30, 2007, dated August 8, 2007).</w:t>
            </w:r>
          </w:p>
        </w:tc>
      </w:tr>
      <w:tr>
        <w:trPr>
          <w:trHeight w:val="3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10.26(a)</w:t>
            </w:r>
          </w:p>
        </w:tc>
        <w:tc>
          <w:tcPr>
            <w:tcW w:w="1052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w w:val="98"/>
              </w:rPr>
              <w:t>Amended and Restated Loan Agreement, dated as of June 3, 2004, among AESOP Leasing L.P., as Borrower, and Cendant Rental</w:t>
            </w:r>
          </w:p>
        </w:tc>
      </w:tr>
      <w:tr>
        <w:trPr>
          <w:trHeight w:val="216"/>
        </w:trPr>
        <w:tc>
          <w:tcPr>
            <w:tcW w:w="880" w:type="dxa"/>
            <w:vAlign w:val="bottom"/>
          </w:tcPr>
          <w:p>
            <w:pPr>
              <w:spacing w:after="0"/>
              <w:rPr>
                <w:sz w:val="18"/>
                <w:szCs w:val="18"/>
                <w:color w:val="auto"/>
              </w:rPr>
            </w:pPr>
          </w:p>
        </w:tc>
        <w:tc>
          <w:tcPr>
            <w:tcW w:w="1052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Car Funding (AESOP) LLC***, as Lender (Incorporated by reference to Exhibit 10.29(a) to the Company’s Annual Report on</w:t>
            </w:r>
          </w:p>
        </w:tc>
      </w:tr>
      <w:tr>
        <w:trPr>
          <w:trHeight w:val="228"/>
        </w:trPr>
        <w:tc>
          <w:tcPr>
            <w:tcW w:w="880" w:type="dxa"/>
            <w:vAlign w:val="bottom"/>
          </w:tcPr>
          <w:p>
            <w:pPr>
              <w:spacing w:after="0"/>
              <w:rPr>
                <w:sz w:val="19"/>
                <w:szCs w:val="19"/>
                <w:color w:val="auto"/>
              </w:rPr>
            </w:pPr>
          </w:p>
        </w:tc>
        <w:tc>
          <w:tcPr>
            <w:tcW w:w="1052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Form 10-K for the year ended December 31, 2006, dated March 1, 2007).</w:t>
            </w:r>
          </w:p>
        </w:tc>
      </w:tr>
      <w:tr>
        <w:trPr>
          <w:trHeight w:val="365"/>
        </w:trPr>
        <w:tc>
          <w:tcPr>
            <w:tcW w:w="880" w:type="dxa"/>
            <w:vAlign w:val="bottom"/>
          </w:tcPr>
          <w:p>
            <w:pPr>
              <w:spacing w:after="0"/>
              <w:rPr>
                <w:sz w:val="24"/>
                <w:szCs w:val="24"/>
                <w:color w:val="auto"/>
              </w:rPr>
            </w:pPr>
          </w:p>
        </w:tc>
        <w:tc>
          <w:tcPr>
            <w:tcW w:w="10520" w:type="dxa"/>
            <w:vAlign w:val="bottom"/>
            <w:gridSpan w:val="3"/>
          </w:tcPr>
          <w:p>
            <w:pPr>
              <w:ind w:left="4700"/>
              <w:spacing w:after="0"/>
              <w:rPr>
                <w:sz w:val="20"/>
                <w:szCs w:val="20"/>
                <w:color w:val="auto"/>
              </w:rPr>
            </w:pPr>
            <w:r>
              <w:rPr>
                <w:rFonts w:ascii="Times New Roman" w:cs="Times New Roman" w:eastAsia="Times New Roman" w:hAnsi="Times New Roman"/>
                <w:sz w:val="18"/>
                <w:szCs w:val="18"/>
                <w:color w:val="auto"/>
              </w:rPr>
              <w:t>H-4</w:t>
            </w:r>
          </w:p>
        </w:tc>
      </w:tr>
    </w:tbl>
    <w:p>
      <w:pPr>
        <w:sectPr>
          <w:pgSz w:w="11900" w:h="16838" w:orient="portrait"/>
          <w:cols w:equalWidth="0" w:num="1">
            <w:col w:w="11400"/>
          </w:cols>
          <w:pgMar w:left="240" w:top="455" w:right="259" w:bottom="1440" w:gutter="0" w:footer="0" w:header="0"/>
        </w:sectPr>
      </w:pPr>
    </w:p>
    <w:bookmarkStart w:id="127" w:name="page128"/>
    <w:bookmarkEnd w:id="12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7"/>
              </w:rPr>
              <w:t>Exhibit No.</w:t>
            </w:r>
          </w:p>
        </w:tc>
        <w:tc>
          <w:tcPr>
            <w:tcW w:w="5460" w:type="dxa"/>
            <w:vAlign w:val="bottom"/>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6"/>
              </w:rPr>
              <w:t>Description</w:t>
            </w:r>
          </w:p>
        </w:tc>
        <w:tc>
          <w:tcPr>
            <w:tcW w:w="4180" w:type="dxa"/>
            <w:vAlign w:val="bottom"/>
          </w:tcPr>
          <w:p>
            <w:pPr>
              <w:spacing w:after="0"/>
              <w:rPr>
                <w:sz w:val="20"/>
                <w:szCs w:val="20"/>
                <w:color w:val="auto"/>
              </w:rPr>
            </w:pPr>
          </w:p>
        </w:tc>
      </w:tr>
      <w:tr>
        <w:trPr>
          <w:trHeight w:val="197"/>
        </w:trPr>
        <w:tc>
          <w:tcPr>
            <w:tcW w:w="880" w:type="dxa"/>
            <w:vAlign w:val="bottom"/>
          </w:tcPr>
          <w:p>
            <w:pPr>
              <w:spacing w:after="0" w:line="197" w:lineRule="exact"/>
              <w:rPr>
                <w:sz w:val="20"/>
                <w:szCs w:val="20"/>
                <w:color w:val="auto"/>
              </w:rPr>
            </w:pPr>
            <w:r>
              <w:rPr>
                <w:rFonts w:ascii="Times New Roman" w:cs="Times New Roman" w:eastAsia="Times New Roman" w:hAnsi="Times New Roman"/>
                <w:sz w:val="18"/>
                <w:szCs w:val="18"/>
                <w:color w:val="auto"/>
              </w:rPr>
              <w:t>10.26(b)</w:t>
            </w:r>
          </w:p>
        </w:tc>
        <w:tc>
          <w:tcPr>
            <w:tcW w:w="5460" w:type="dxa"/>
            <w:vAlign w:val="bottom"/>
          </w:tcPr>
          <w:p>
            <w:pPr>
              <w:ind w:left="1260"/>
              <w:spacing w:after="0" w:line="197" w:lineRule="exact"/>
              <w:rPr>
                <w:sz w:val="20"/>
                <w:szCs w:val="20"/>
                <w:color w:val="auto"/>
              </w:rPr>
            </w:pPr>
            <w:r>
              <w:rPr>
                <w:rFonts w:ascii="Times New Roman" w:cs="Times New Roman" w:eastAsia="Times New Roman" w:hAnsi="Times New Roman"/>
                <w:sz w:val="18"/>
                <w:szCs w:val="18"/>
                <w:color w:val="auto"/>
              </w:rPr>
              <w:t>First Amendment, dated as of December 23, 2005, among</w:t>
            </w:r>
          </w:p>
        </w:tc>
        <w:tc>
          <w:tcPr>
            <w:tcW w:w="5060" w:type="dxa"/>
            <w:vAlign w:val="bottom"/>
            <w:gridSpan w:val="2"/>
          </w:tcPr>
          <w:p>
            <w:pPr>
              <w:spacing w:after="0" w:line="197" w:lineRule="exact"/>
              <w:rPr>
                <w:sz w:val="20"/>
                <w:szCs w:val="20"/>
                <w:color w:val="auto"/>
              </w:rPr>
            </w:pPr>
            <w:r>
              <w:rPr>
                <w:rFonts w:ascii="Times New Roman" w:cs="Times New Roman" w:eastAsia="Times New Roman" w:hAnsi="Times New Roman"/>
                <w:sz w:val="18"/>
                <w:szCs w:val="18"/>
                <w:color w:val="auto"/>
              </w:rPr>
              <w:t>AESOP Leasing L.P., as Borrower, and Cendant Rental Car Funding</w:t>
            </w:r>
          </w:p>
        </w:tc>
      </w:tr>
      <w:tr>
        <w:trPr>
          <w:trHeight w:val="216"/>
        </w:trPr>
        <w:tc>
          <w:tcPr>
            <w:tcW w:w="880" w:type="dxa"/>
            <w:vAlign w:val="bottom"/>
          </w:tcPr>
          <w:p>
            <w:pPr>
              <w:spacing w:after="0"/>
              <w:rPr>
                <w:sz w:val="18"/>
                <w:szCs w:val="18"/>
                <w:color w:val="auto"/>
              </w:rPr>
            </w:pPr>
          </w:p>
        </w:tc>
        <w:tc>
          <w:tcPr>
            <w:tcW w:w="1052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w w:val="98"/>
              </w:rPr>
              <w:t>(AESOP) LLC***, as Lender, to the Amended and Restated Loan Agreement, dated as of June 3, 2004 (Incorporated by reference</w:t>
            </w:r>
          </w:p>
        </w:tc>
      </w:tr>
      <w:tr>
        <w:trPr>
          <w:trHeight w:val="228"/>
        </w:trPr>
        <w:tc>
          <w:tcPr>
            <w:tcW w:w="880" w:type="dxa"/>
            <w:vAlign w:val="bottom"/>
          </w:tcPr>
          <w:p>
            <w:pPr>
              <w:spacing w:after="0"/>
              <w:rPr>
                <w:sz w:val="19"/>
                <w:szCs w:val="19"/>
                <w:color w:val="auto"/>
              </w:rPr>
            </w:pPr>
          </w:p>
        </w:tc>
        <w:tc>
          <w:tcPr>
            <w:tcW w:w="1052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w w:val="98"/>
              </w:rPr>
              <w:t>to Exhibit 10.29(b) to the Company’s Annual Report on Form 10-K for the year ended December 31, 2006, dated March 1, 2007).</w:t>
            </w:r>
          </w:p>
        </w:tc>
      </w:tr>
      <w:tr>
        <w:trPr>
          <w:trHeight w:val="3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10.26(c)</w:t>
            </w:r>
          </w:p>
        </w:tc>
        <w:tc>
          <w:tcPr>
            <w:tcW w:w="1052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w w:val="97"/>
              </w:rPr>
              <w:t>Second Amendment, dated as of the May 9, 2007, among AESOP Leasing L.P., as Borrower, and Avis Budget Rental Car Funding</w:t>
            </w:r>
          </w:p>
        </w:tc>
      </w:tr>
      <w:tr>
        <w:trPr>
          <w:trHeight w:val="216"/>
        </w:trPr>
        <w:tc>
          <w:tcPr>
            <w:tcW w:w="880" w:type="dxa"/>
            <w:vAlign w:val="bottom"/>
          </w:tcPr>
          <w:p>
            <w:pPr>
              <w:spacing w:after="0"/>
              <w:rPr>
                <w:sz w:val="18"/>
                <w:szCs w:val="18"/>
                <w:color w:val="auto"/>
              </w:rPr>
            </w:pPr>
          </w:p>
        </w:tc>
        <w:tc>
          <w:tcPr>
            <w:tcW w:w="1052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w w:val="99"/>
              </w:rPr>
              <w:t>(AESOP) LLC, as Lender, to the Amended and Restated Loan Agreement, dated as of June 3, 2004 (Incorporated by reference to</w:t>
            </w:r>
          </w:p>
        </w:tc>
      </w:tr>
      <w:tr>
        <w:trPr>
          <w:trHeight w:val="228"/>
        </w:trPr>
        <w:tc>
          <w:tcPr>
            <w:tcW w:w="880" w:type="dxa"/>
            <w:vAlign w:val="bottom"/>
          </w:tcPr>
          <w:p>
            <w:pPr>
              <w:spacing w:after="0"/>
              <w:rPr>
                <w:sz w:val="19"/>
                <w:szCs w:val="19"/>
                <w:color w:val="auto"/>
              </w:rPr>
            </w:pPr>
          </w:p>
        </w:tc>
        <w:tc>
          <w:tcPr>
            <w:tcW w:w="1052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Exhibit 10.7 the Company Form 10-Q for the quarterly period ended June 30, 2007, dated August 8, 2007).</w:t>
            </w:r>
          </w:p>
        </w:tc>
      </w:tr>
      <w:tr>
        <w:trPr>
          <w:trHeight w:val="3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10.27(a)</w:t>
            </w:r>
          </w:p>
        </w:tc>
        <w:tc>
          <w:tcPr>
            <w:tcW w:w="1052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Second Amended and Restated Master Motor Vehicle Operating Lease Agreement, dated as of June 3, 2004, among AESOP</w:t>
            </w:r>
          </w:p>
        </w:tc>
      </w:tr>
      <w:tr>
        <w:trPr>
          <w:trHeight w:val="216"/>
        </w:trPr>
        <w:tc>
          <w:tcPr>
            <w:tcW w:w="880" w:type="dxa"/>
            <w:vAlign w:val="bottom"/>
          </w:tcPr>
          <w:p>
            <w:pPr>
              <w:spacing w:after="0"/>
              <w:rPr>
                <w:sz w:val="18"/>
                <w:szCs w:val="18"/>
                <w:color w:val="auto"/>
              </w:rPr>
            </w:pPr>
          </w:p>
        </w:tc>
        <w:tc>
          <w:tcPr>
            <w:tcW w:w="1052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Leasing L.P., as Lessor, and Cendant Car Rental Group, Inc.**, as Lessee and as Administrator (Incorporated by reference to</w:t>
            </w:r>
          </w:p>
        </w:tc>
      </w:tr>
      <w:tr>
        <w:trPr>
          <w:trHeight w:val="216"/>
        </w:trPr>
        <w:tc>
          <w:tcPr>
            <w:tcW w:w="880" w:type="dxa"/>
            <w:vAlign w:val="bottom"/>
          </w:tcPr>
          <w:p>
            <w:pPr>
              <w:spacing w:after="0"/>
              <w:rPr>
                <w:sz w:val="18"/>
                <w:szCs w:val="18"/>
                <w:color w:val="auto"/>
              </w:rPr>
            </w:pPr>
          </w:p>
        </w:tc>
        <w:tc>
          <w:tcPr>
            <w:tcW w:w="1052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Exhibit 10.9 to the Company’s Quarterly Report on Form 10-Q for the quarterly period ended June 30, 2004, dated August 2,</w:t>
            </w:r>
          </w:p>
        </w:tc>
      </w:tr>
      <w:tr>
        <w:trPr>
          <w:trHeight w:val="228"/>
        </w:trPr>
        <w:tc>
          <w:tcPr>
            <w:tcW w:w="880" w:type="dxa"/>
            <w:vAlign w:val="bottom"/>
          </w:tcPr>
          <w:p>
            <w:pPr>
              <w:spacing w:after="0"/>
              <w:rPr>
                <w:sz w:val="19"/>
                <w:szCs w:val="19"/>
                <w:color w:val="auto"/>
              </w:rPr>
            </w:pPr>
          </w:p>
        </w:tc>
        <w:tc>
          <w:tcPr>
            <w:tcW w:w="546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2004).</w:t>
            </w:r>
          </w:p>
        </w:tc>
        <w:tc>
          <w:tcPr>
            <w:tcW w:w="880" w:type="dxa"/>
            <w:vAlign w:val="bottom"/>
          </w:tcPr>
          <w:p>
            <w:pPr>
              <w:spacing w:after="0"/>
              <w:rPr>
                <w:sz w:val="19"/>
                <w:szCs w:val="19"/>
                <w:color w:val="auto"/>
              </w:rPr>
            </w:pPr>
          </w:p>
        </w:tc>
        <w:tc>
          <w:tcPr>
            <w:tcW w:w="4180" w:type="dxa"/>
            <w:vAlign w:val="bottom"/>
          </w:tcPr>
          <w:p>
            <w:pPr>
              <w:spacing w:after="0"/>
              <w:rPr>
                <w:sz w:val="19"/>
                <w:szCs w:val="19"/>
                <w:color w:val="auto"/>
              </w:rPr>
            </w:pPr>
          </w:p>
        </w:tc>
      </w:tr>
      <w:tr>
        <w:trPr>
          <w:trHeight w:val="3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10.27(b)</w:t>
            </w:r>
          </w:p>
        </w:tc>
        <w:tc>
          <w:tcPr>
            <w:tcW w:w="1052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First Amendment, dated December 23, 2005, among AESOP Leasing L.P., as Lessor, and Cendant Car Rental Group, Inc.**, as</w:t>
            </w:r>
          </w:p>
        </w:tc>
      </w:tr>
      <w:tr>
        <w:trPr>
          <w:trHeight w:val="216"/>
        </w:trPr>
        <w:tc>
          <w:tcPr>
            <w:tcW w:w="880" w:type="dxa"/>
            <w:vAlign w:val="bottom"/>
          </w:tcPr>
          <w:p>
            <w:pPr>
              <w:spacing w:after="0"/>
              <w:rPr>
                <w:sz w:val="18"/>
                <w:szCs w:val="18"/>
                <w:color w:val="auto"/>
              </w:rPr>
            </w:pPr>
          </w:p>
        </w:tc>
        <w:tc>
          <w:tcPr>
            <w:tcW w:w="1052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w w:val="98"/>
              </w:rPr>
              <w:t>Lessee and as Administrator, to the Second Amended and Restated Master Motor Vehicle Operating Lease Agreement, dated as of</w:t>
            </w:r>
          </w:p>
        </w:tc>
      </w:tr>
      <w:tr>
        <w:trPr>
          <w:trHeight w:val="216"/>
        </w:trPr>
        <w:tc>
          <w:tcPr>
            <w:tcW w:w="880" w:type="dxa"/>
            <w:vAlign w:val="bottom"/>
          </w:tcPr>
          <w:p>
            <w:pPr>
              <w:spacing w:after="0"/>
              <w:rPr>
                <w:sz w:val="18"/>
                <w:szCs w:val="18"/>
                <w:color w:val="auto"/>
              </w:rPr>
            </w:pPr>
          </w:p>
        </w:tc>
        <w:tc>
          <w:tcPr>
            <w:tcW w:w="1052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w w:val="99"/>
              </w:rPr>
              <w:t>December 23, 2005 (Incorporated by reference to Exhibit 10.3 to the Company’s Current Report on Form 8-K dated January 20,</w:t>
            </w:r>
          </w:p>
        </w:tc>
      </w:tr>
      <w:tr>
        <w:trPr>
          <w:trHeight w:val="228"/>
        </w:trPr>
        <w:tc>
          <w:tcPr>
            <w:tcW w:w="880" w:type="dxa"/>
            <w:vAlign w:val="bottom"/>
          </w:tcPr>
          <w:p>
            <w:pPr>
              <w:spacing w:after="0"/>
              <w:rPr>
                <w:sz w:val="19"/>
                <w:szCs w:val="19"/>
                <w:color w:val="auto"/>
              </w:rPr>
            </w:pPr>
          </w:p>
        </w:tc>
        <w:tc>
          <w:tcPr>
            <w:tcW w:w="546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2006).</w:t>
            </w:r>
          </w:p>
        </w:tc>
        <w:tc>
          <w:tcPr>
            <w:tcW w:w="880" w:type="dxa"/>
            <w:vAlign w:val="bottom"/>
          </w:tcPr>
          <w:p>
            <w:pPr>
              <w:spacing w:after="0"/>
              <w:rPr>
                <w:sz w:val="19"/>
                <w:szCs w:val="19"/>
                <w:color w:val="auto"/>
              </w:rPr>
            </w:pPr>
          </w:p>
        </w:tc>
        <w:tc>
          <w:tcPr>
            <w:tcW w:w="4180" w:type="dxa"/>
            <w:vAlign w:val="bottom"/>
          </w:tcPr>
          <w:p>
            <w:pPr>
              <w:spacing w:after="0"/>
              <w:rPr>
                <w:sz w:val="19"/>
                <w:szCs w:val="19"/>
                <w:color w:val="auto"/>
              </w:rPr>
            </w:pPr>
          </w:p>
        </w:tc>
      </w:tr>
      <w:tr>
        <w:trPr>
          <w:trHeight w:val="3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10.27(c)</w:t>
            </w:r>
          </w:p>
        </w:tc>
        <w:tc>
          <w:tcPr>
            <w:tcW w:w="1052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w w:val="98"/>
              </w:rPr>
              <w:t>Third Amendment, dated as of May 9, 2007, among AESOP Leasing L.P., as Lessor and Avis Budget Car Rental, LLC, as Lessee</w:t>
            </w:r>
          </w:p>
        </w:tc>
      </w:tr>
      <w:tr>
        <w:trPr>
          <w:trHeight w:val="216"/>
        </w:trPr>
        <w:tc>
          <w:tcPr>
            <w:tcW w:w="880" w:type="dxa"/>
            <w:vAlign w:val="bottom"/>
          </w:tcPr>
          <w:p>
            <w:pPr>
              <w:spacing w:after="0"/>
              <w:rPr>
                <w:sz w:val="18"/>
                <w:szCs w:val="18"/>
                <w:color w:val="auto"/>
              </w:rPr>
            </w:pPr>
          </w:p>
        </w:tc>
        <w:tc>
          <w:tcPr>
            <w:tcW w:w="1052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w w:val="97"/>
              </w:rPr>
              <w:t>and as the Administrator, to the Second Amended and Restated Master Motor Vehicle Operating Lease Agreement, dated as of June</w:t>
            </w:r>
          </w:p>
        </w:tc>
      </w:tr>
      <w:tr>
        <w:trPr>
          <w:trHeight w:val="216"/>
        </w:trPr>
        <w:tc>
          <w:tcPr>
            <w:tcW w:w="880" w:type="dxa"/>
            <w:vAlign w:val="bottom"/>
          </w:tcPr>
          <w:p>
            <w:pPr>
              <w:spacing w:after="0"/>
              <w:rPr>
                <w:sz w:val="18"/>
                <w:szCs w:val="18"/>
                <w:color w:val="auto"/>
              </w:rPr>
            </w:pPr>
          </w:p>
        </w:tc>
        <w:tc>
          <w:tcPr>
            <w:tcW w:w="1052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3, 2004 (Incorporated by reference to Exhibit 10.9 the Company Form 10-Q for the quarterly period ended June 30, 2007, dated</w:t>
            </w:r>
          </w:p>
        </w:tc>
      </w:tr>
      <w:tr>
        <w:trPr>
          <w:trHeight w:val="228"/>
        </w:trPr>
        <w:tc>
          <w:tcPr>
            <w:tcW w:w="880" w:type="dxa"/>
            <w:vAlign w:val="bottom"/>
          </w:tcPr>
          <w:p>
            <w:pPr>
              <w:spacing w:after="0"/>
              <w:rPr>
                <w:sz w:val="19"/>
                <w:szCs w:val="19"/>
                <w:color w:val="auto"/>
              </w:rPr>
            </w:pPr>
          </w:p>
        </w:tc>
        <w:tc>
          <w:tcPr>
            <w:tcW w:w="1052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August 8, 2007).</w:t>
            </w:r>
          </w:p>
        </w:tc>
      </w:tr>
      <w:tr>
        <w:trPr>
          <w:trHeight w:val="3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10.28(a)</w:t>
            </w:r>
          </w:p>
        </w:tc>
        <w:tc>
          <w:tcPr>
            <w:tcW w:w="1052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w w:val="97"/>
              </w:rPr>
              <w:t>Amended and Restated Master Motor Vehicle Finance Lease Agreement, dated as of June 3, 2004, among AESOP Leasing L.P., as</w:t>
            </w:r>
          </w:p>
        </w:tc>
      </w:tr>
      <w:tr>
        <w:trPr>
          <w:trHeight w:val="216"/>
        </w:trPr>
        <w:tc>
          <w:tcPr>
            <w:tcW w:w="880" w:type="dxa"/>
            <w:vAlign w:val="bottom"/>
          </w:tcPr>
          <w:p>
            <w:pPr>
              <w:spacing w:after="0"/>
              <w:rPr>
                <w:sz w:val="18"/>
                <w:szCs w:val="18"/>
                <w:color w:val="auto"/>
              </w:rPr>
            </w:pPr>
          </w:p>
        </w:tc>
        <w:tc>
          <w:tcPr>
            <w:tcW w:w="1052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w w:val="98"/>
              </w:rPr>
              <w:t>Lessor, Cendant Car Rental Group, Inc.**, as Lessee, as Administrator and as Finance Lease Guarantor, Avis Rent A Car System,</w:t>
            </w:r>
          </w:p>
        </w:tc>
      </w:tr>
      <w:tr>
        <w:trPr>
          <w:trHeight w:val="216"/>
        </w:trPr>
        <w:tc>
          <w:tcPr>
            <w:tcW w:w="880" w:type="dxa"/>
            <w:vAlign w:val="bottom"/>
          </w:tcPr>
          <w:p>
            <w:pPr>
              <w:spacing w:after="0"/>
              <w:rPr>
                <w:sz w:val="18"/>
                <w:szCs w:val="18"/>
                <w:color w:val="auto"/>
              </w:rPr>
            </w:pPr>
          </w:p>
        </w:tc>
        <w:tc>
          <w:tcPr>
            <w:tcW w:w="1052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Inc.****, as Lessee, and Budget Rent A Car System, Inc., as Lessee (Incorporated by reference to Exhibit 10.30(a) to the</w:t>
            </w:r>
          </w:p>
        </w:tc>
      </w:tr>
      <w:tr>
        <w:trPr>
          <w:trHeight w:val="228"/>
        </w:trPr>
        <w:tc>
          <w:tcPr>
            <w:tcW w:w="880" w:type="dxa"/>
            <w:vAlign w:val="bottom"/>
          </w:tcPr>
          <w:p>
            <w:pPr>
              <w:spacing w:after="0"/>
              <w:rPr>
                <w:sz w:val="19"/>
                <w:szCs w:val="19"/>
                <w:color w:val="auto"/>
              </w:rPr>
            </w:pPr>
          </w:p>
        </w:tc>
        <w:tc>
          <w:tcPr>
            <w:tcW w:w="1052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Company’s Annual Report on Form 10-K for the year ended December 31, 2006, dated March 1, 2007).</w:t>
            </w:r>
          </w:p>
        </w:tc>
      </w:tr>
      <w:tr>
        <w:trPr>
          <w:trHeight w:val="3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10.28(b)</w:t>
            </w:r>
          </w:p>
        </w:tc>
        <w:tc>
          <w:tcPr>
            <w:tcW w:w="1052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w w:val="99"/>
              </w:rPr>
              <w:t>First Amendment, dated as of December 23, 2005, among AESOP Leasing L.P., as Lessor, Cendant Car Rental Group, Inc.**, as</w:t>
            </w:r>
          </w:p>
        </w:tc>
      </w:tr>
      <w:tr>
        <w:trPr>
          <w:trHeight w:val="216"/>
        </w:trPr>
        <w:tc>
          <w:tcPr>
            <w:tcW w:w="880" w:type="dxa"/>
            <w:vAlign w:val="bottom"/>
          </w:tcPr>
          <w:p>
            <w:pPr>
              <w:spacing w:after="0"/>
              <w:rPr>
                <w:sz w:val="18"/>
                <w:szCs w:val="18"/>
                <w:color w:val="auto"/>
              </w:rPr>
            </w:pPr>
          </w:p>
        </w:tc>
        <w:tc>
          <w:tcPr>
            <w:tcW w:w="1052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w w:val="99"/>
              </w:rPr>
              <w:t>Lessee, as Administrator and as Finance Lease Guarantor, Avis Rent A Car System, Inc.****, as Lessee, and Budget Rent A Car</w:t>
            </w:r>
          </w:p>
        </w:tc>
      </w:tr>
      <w:tr>
        <w:trPr>
          <w:trHeight w:val="216"/>
        </w:trPr>
        <w:tc>
          <w:tcPr>
            <w:tcW w:w="880" w:type="dxa"/>
            <w:vAlign w:val="bottom"/>
          </w:tcPr>
          <w:p>
            <w:pPr>
              <w:spacing w:after="0"/>
              <w:rPr>
                <w:sz w:val="18"/>
                <w:szCs w:val="18"/>
                <w:color w:val="auto"/>
              </w:rPr>
            </w:pPr>
          </w:p>
        </w:tc>
        <w:tc>
          <w:tcPr>
            <w:tcW w:w="1052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w w:val="99"/>
              </w:rPr>
              <w:t>System, Inc., as Lessee, to the Amended and Restated Master Motor Vehicle Finance Lease Agreement, dated as of June 3, 2004</w:t>
            </w:r>
          </w:p>
        </w:tc>
      </w:tr>
      <w:tr>
        <w:trPr>
          <w:trHeight w:val="216"/>
        </w:trPr>
        <w:tc>
          <w:tcPr>
            <w:tcW w:w="880" w:type="dxa"/>
            <w:vAlign w:val="bottom"/>
          </w:tcPr>
          <w:p>
            <w:pPr>
              <w:spacing w:after="0"/>
              <w:rPr>
                <w:sz w:val="18"/>
                <w:szCs w:val="18"/>
                <w:color w:val="auto"/>
              </w:rPr>
            </w:pPr>
          </w:p>
        </w:tc>
        <w:tc>
          <w:tcPr>
            <w:tcW w:w="1052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w w:val="99"/>
              </w:rPr>
              <w:t>(Incorporated by reference to Exhibit 10.30(b) to the Company’s Annual Report on Form 10-K for the year ended December 31,</w:t>
            </w:r>
          </w:p>
        </w:tc>
      </w:tr>
      <w:tr>
        <w:trPr>
          <w:trHeight w:val="228"/>
        </w:trPr>
        <w:tc>
          <w:tcPr>
            <w:tcW w:w="880" w:type="dxa"/>
            <w:vAlign w:val="bottom"/>
          </w:tcPr>
          <w:p>
            <w:pPr>
              <w:spacing w:after="0"/>
              <w:rPr>
                <w:sz w:val="19"/>
                <w:szCs w:val="19"/>
                <w:color w:val="auto"/>
              </w:rPr>
            </w:pPr>
          </w:p>
        </w:tc>
        <w:tc>
          <w:tcPr>
            <w:tcW w:w="1052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2006, dated March 1, 2007).</w:t>
            </w:r>
          </w:p>
        </w:tc>
      </w:tr>
      <w:tr>
        <w:trPr>
          <w:trHeight w:val="3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10.28(c)</w:t>
            </w:r>
          </w:p>
        </w:tc>
        <w:tc>
          <w:tcPr>
            <w:tcW w:w="1052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w w:val="98"/>
              </w:rPr>
              <w:t>Third Amendment, dated as of May 9, 2007, among AESOP Leasing L.P., as Lessor, Avis Budget Car Rental, LLC, as Lessee, as</w:t>
            </w:r>
          </w:p>
        </w:tc>
      </w:tr>
      <w:tr>
        <w:trPr>
          <w:trHeight w:val="216"/>
        </w:trPr>
        <w:tc>
          <w:tcPr>
            <w:tcW w:w="880" w:type="dxa"/>
            <w:vAlign w:val="bottom"/>
          </w:tcPr>
          <w:p>
            <w:pPr>
              <w:spacing w:after="0"/>
              <w:rPr>
                <w:sz w:val="18"/>
                <w:szCs w:val="18"/>
                <w:color w:val="auto"/>
              </w:rPr>
            </w:pPr>
          </w:p>
        </w:tc>
        <w:tc>
          <w:tcPr>
            <w:tcW w:w="1052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w w:val="98"/>
              </w:rPr>
              <w:t>Administrator and as Finance Lease Guarantor, Avis Rent A Car System, LLC, as Lessee, and Budget Rent A Car System, Inc., as</w:t>
            </w:r>
          </w:p>
        </w:tc>
      </w:tr>
      <w:tr>
        <w:trPr>
          <w:trHeight w:val="216"/>
        </w:trPr>
        <w:tc>
          <w:tcPr>
            <w:tcW w:w="880" w:type="dxa"/>
            <w:vAlign w:val="bottom"/>
          </w:tcPr>
          <w:p>
            <w:pPr>
              <w:spacing w:after="0"/>
              <w:rPr>
                <w:sz w:val="18"/>
                <w:szCs w:val="18"/>
                <w:color w:val="auto"/>
              </w:rPr>
            </w:pPr>
          </w:p>
        </w:tc>
        <w:tc>
          <w:tcPr>
            <w:tcW w:w="1052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w w:val="98"/>
              </w:rPr>
              <w:t>Lessee, to the Amended and Restated Master Motor Vehicle Finance Lease Agreement, dated as of June 3, 2004 (Incorporated by</w:t>
            </w:r>
          </w:p>
        </w:tc>
      </w:tr>
      <w:tr>
        <w:trPr>
          <w:trHeight w:val="228"/>
        </w:trPr>
        <w:tc>
          <w:tcPr>
            <w:tcW w:w="880" w:type="dxa"/>
            <w:vAlign w:val="bottom"/>
          </w:tcPr>
          <w:p>
            <w:pPr>
              <w:spacing w:after="0"/>
              <w:rPr>
                <w:sz w:val="19"/>
                <w:szCs w:val="19"/>
                <w:color w:val="auto"/>
              </w:rPr>
            </w:pPr>
          </w:p>
        </w:tc>
        <w:tc>
          <w:tcPr>
            <w:tcW w:w="1052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reference to Exhibit 10.11 the Company Form 10-Q for the quarterly period ended June 30, 2007, dated August 8, 2007).</w:t>
            </w:r>
          </w:p>
        </w:tc>
      </w:tr>
      <w:tr>
        <w:trPr>
          <w:trHeight w:val="3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10.29</w:t>
            </w:r>
          </w:p>
        </w:tc>
        <w:tc>
          <w:tcPr>
            <w:tcW w:w="1052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w w:val="97"/>
              </w:rPr>
              <w:t>Second Amended and Restated Administration Agreement, dated as of June 3, 2004, among Cendant Rental Car Funding (AESOP)</w:t>
            </w:r>
          </w:p>
        </w:tc>
      </w:tr>
      <w:tr>
        <w:trPr>
          <w:trHeight w:val="216"/>
        </w:trPr>
        <w:tc>
          <w:tcPr>
            <w:tcW w:w="880" w:type="dxa"/>
            <w:vAlign w:val="bottom"/>
          </w:tcPr>
          <w:p>
            <w:pPr>
              <w:spacing w:after="0"/>
              <w:rPr>
                <w:sz w:val="18"/>
                <w:szCs w:val="18"/>
                <w:color w:val="auto"/>
              </w:rPr>
            </w:pPr>
          </w:p>
        </w:tc>
        <w:tc>
          <w:tcPr>
            <w:tcW w:w="1052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LLC***, AESOP Leasing L.P., AESOP Leasing Corp. II, Avis Rent A Car System, Inc.****, Budget Rent A Car System, Inc.,</w:t>
            </w:r>
          </w:p>
        </w:tc>
      </w:tr>
      <w:tr>
        <w:trPr>
          <w:trHeight w:val="216"/>
        </w:trPr>
        <w:tc>
          <w:tcPr>
            <w:tcW w:w="880" w:type="dxa"/>
            <w:vAlign w:val="bottom"/>
          </w:tcPr>
          <w:p>
            <w:pPr>
              <w:spacing w:after="0"/>
              <w:rPr>
                <w:sz w:val="18"/>
                <w:szCs w:val="18"/>
                <w:color w:val="auto"/>
              </w:rPr>
            </w:pPr>
          </w:p>
        </w:tc>
        <w:tc>
          <w:tcPr>
            <w:tcW w:w="1052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Cendant Car Rental Group, Inc.** and The Bank of New York, as Trustee (Incorporated by reference to Exhibit 10.34 to the</w:t>
            </w:r>
          </w:p>
        </w:tc>
      </w:tr>
      <w:tr>
        <w:trPr>
          <w:trHeight w:val="228"/>
        </w:trPr>
        <w:tc>
          <w:tcPr>
            <w:tcW w:w="880" w:type="dxa"/>
            <w:vAlign w:val="bottom"/>
          </w:tcPr>
          <w:p>
            <w:pPr>
              <w:spacing w:after="0"/>
              <w:rPr>
                <w:sz w:val="19"/>
                <w:szCs w:val="19"/>
                <w:color w:val="auto"/>
              </w:rPr>
            </w:pPr>
          </w:p>
        </w:tc>
        <w:tc>
          <w:tcPr>
            <w:tcW w:w="1052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Company’s Annual Report on Form 10-K for the year ended December 31, 2005, dated March 1, 2006).</w:t>
            </w:r>
          </w:p>
        </w:tc>
      </w:tr>
      <w:tr>
        <w:trPr>
          <w:trHeight w:val="365"/>
        </w:trPr>
        <w:tc>
          <w:tcPr>
            <w:tcW w:w="880" w:type="dxa"/>
            <w:vAlign w:val="bottom"/>
          </w:tcPr>
          <w:p>
            <w:pPr>
              <w:spacing w:after="0"/>
              <w:rPr>
                <w:sz w:val="24"/>
                <w:szCs w:val="24"/>
                <w:color w:val="auto"/>
              </w:rPr>
            </w:pPr>
          </w:p>
        </w:tc>
        <w:tc>
          <w:tcPr>
            <w:tcW w:w="10520" w:type="dxa"/>
            <w:vAlign w:val="bottom"/>
            <w:gridSpan w:val="3"/>
          </w:tcPr>
          <w:p>
            <w:pPr>
              <w:ind w:left="4700"/>
              <w:spacing w:after="0"/>
              <w:rPr>
                <w:sz w:val="20"/>
                <w:szCs w:val="20"/>
                <w:color w:val="auto"/>
              </w:rPr>
            </w:pPr>
            <w:r>
              <w:rPr>
                <w:rFonts w:ascii="Times New Roman" w:cs="Times New Roman" w:eastAsia="Times New Roman" w:hAnsi="Times New Roman"/>
                <w:sz w:val="18"/>
                <w:szCs w:val="18"/>
                <w:color w:val="auto"/>
              </w:rPr>
              <w:t>H-5</w:t>
            </w:r>
          </w:p>
        </w:tc>
      </w:tr>
    </w:tbl>
    <w:p>
      <w:pPr>
        <w:sectPr>
          <w:pgSz w:w="11900" w:h="16838" w:orient="portrait"/>
          <w:cols w:equalWidth="0" w:num="1">
            <w:col w:w="11400"/>
          </w:cols>
          <w:pgMar w:left="240" w:top="455" w:right="259" w:bottom="1440" w:gutter="0" w:footer="0" w:header="0"/>
        </w:sectPr>
      </w:pPr>
    </w:p>
    <w:bookmarkStart w:id="128" w:name="page129"/>
    <w:bookmarkEnd w:id="12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7"/>
              </w:rPr>
              <w:t>Exhibit No.</w:t>
            </w:r>
          </w:p>
        </w:tc>
        <w:tc>
          <w:tcPr>
            <w:tcW w:w="5460" w:type="dxa"/>
            <w:vAlign w:val="bottom"/>
          </w:tcPr>
          <w:p>
            <w:pPr>
              <w:spacing w:after="0"/>
              <w:rPr>
                <w:sz w:val="20"/>
                <w:szCs w:val="20"/>
                <w:color w:val="auto"/>
              </w:rPr>
            </w:pPr>
          </w:p>
        </w:tc>
        <w:tc>
          <w:tcPr>
            <w:tcW w:w="5060" w:type="dxa"/>
            <w:vAlign w:val="bottom"/>
            <w:gridSpan w:val="2"/>
          </w:tcPr>
          <w:p>
            <w:pPr>
              <w:jc w:val="right"/>
              <w:ind w:right="4092"/>
              <w:spacing w:after="0"/>
              <w:rPr>
                <w:sz w:val="20"/>
                <w:szCs w:val="20"/>
                <w:color w:val="auto"/>
              </w:rPr>
            </w:pPr>
            <w:r>
              <w:rPr>
                <w:rFonts w:ascii="Times New Roman" w:cs="Times New Roman" w:eastAsia="Times New Roman" w:hAnsi="Times New Roman"/>
                <w:sz w:val="18"/>
                <w:szCs w:val="18"/>
                <w:b w:val="1"/>
                <w:bCs w:val="1"/>
                <w:color w:val="auto"/>
                <w:w w:val="96"/>
              </w:rPr>
              <w:t>Description</w:t>
            </w:r>
          </w:p>
        </w:tc>
      </w:tr>
      <w:tr>
        <w:trPr>
          <w:trHeight w:val="197"/>
        </w:trPr>
        <w:tc>
          <w:tcPr>
            <w:tcW w:w="880" w:type="dxa"/>
            <w:vAlign w:val="bottom"/>
            <w:tcBorders>
              <w:top w:val="single" w:sz="8" w:color="auto"/>
            </w:tcBorders>
          </w:tcPr>
          <w:p>
            <w:pPr>
              <w:spacing w:after="0" w:line="197" w:lineRule="exact"/>
              <w:rPr>
                <w:sz w:val="20"/>
                <w:szCs w:val="20"/>
                <w:color w:val="auto"/>
              </w:rPr>
            </w:pPr>
            <w:r>
              <w:rPr>
                <w:rFonts w:ascii="Times New Roman" w:cs="Times New Roman" w:eastAsia="Times New Roman" w:hAnsi="Times New Roman"/>
                <w:sz w:val="18"/>
                <w:szCs w:val="18"/>
                <w:color w:val="auto"/>
              </w:rPr>
              <w:t>10.30</w:t>
            </w:r>
          </w:p>
        </w:tc>
        <w:tc>
          <w:tcPr>
            <w:tcW w:w="5460" w:type="dxa"/>
            <w:vAlign w:val="bottom"/>
          </w:tcPr>
          <w:p>
            <w:pPr>
              <w:ind w:left="1260"/>
              <w:spacing w:after="0" w:line="197" w:lineRule="exact"/>
              <w:rPr>
                <w:sz w:val="20"/>
                <w:szCs w:val="20"/>
                <w:color w:val="auto"/>
              </w:rPr>
            </w:pPr>
            <w:r>
              <w:rPr>
                <w:rFonts w:ascii="Times New Roman" w:cs="Times New Roman" w:eastAsia="Times New Roman" w:hAnsi="Times New Roman"/>
                <w:sz w:val="18"/>
                <w:szCs w:val="18"/>
                <w:color w:val="auto"/>
                <w:w w:val="97"/>
              </w:rPr>
              <w:t>Assignment and Assumption Agreement dated as of June 3,</w:t>
            </w:r>
          </w:p>
        </w:tc>
        <w:tc>
          <w:tcPr>
            <w:tcW w:w="880" w:type="dxa"/>
            <w:vAlign w:val="bottom"/>
            <w:tcBorders>
              <w:top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w w:val="91"/>
              </w:rPr>
              <w:t>2004, among</w:t>
            </w:r>
          </w:p>
        </w:tc>
        <w:tc>
          <w:tcPr>
            <w:tcW w:w="4180" w:type="dxa"/>
            <w:vAlign w:val="bottom"/>
          </w:tcPr>
          <w:p>
            <w:pPr>
              <w:ind w:left="120"/>
              <w:spacing w:after="0" w:line="197" w:lineRule="exact"/>
              <w:rPr>
                <w:sz w:val="20"/>
                <w:szCs w:val="20"/>
                <w:color w:val="auto"/>
              </w:rPr>
            </w:pPr>
            <w:r>
              <w:rPr>
                <w:rFonts w:ascii="Times New Roman" w:cs="Times New Roman" w:eastAsia="Times New Roman" w:hAnsi="Times New Roman"/>
                <w:sz w:val="18"/>
                <w:szCs w:val="18"/>
                <w:color w:val="auto"/>
                <w:w w:val="96"/>
              </w:rPr>
              <w:t>Avis Rent A Car System, Inc.****, Avis Group Holdings,</w:t>
            </w:r>
          </w:p>
        </w:tc>
      </w:tr>
      <w:tr>
        <w:trPr>
          <w:trHeight w:val="216"/>
        </w:trPr>
        <w:tc>
          <w:tcPr>
            <w:tcW w:w="880" w:type="dxa"/>
            <w:vAlign w:val="bottom"/>
          </w:tcPr>
          <w:p>
            <w:pPr>
              <w:spacing w:after="0"/>
              <w:rPr>
                <w:sz w:val="18"/>
                <w:szCs w:val="18"/>
                <w:color w:val="auto"/>
              </w:rPr>
            </w:pPr>
          </w:p>
        </w:tc>
        <w:tc>
          <w:tcPr>
            <w:tcW w:w="1052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w w:val="98"/>
              </w:rPr>
              <w:t>Inc.***** and Cendant Car Rental Group, Inc.** (Incorporated by reference to Exhibit 10.35 to the Company’s Annual Report on</w:t>
            </w:r>
          </w:p>
        </w:tc>
      </w:tr>
      <w:tr>
        <w:trPr>
          <w:trHeight w:val="228"/>
        </w:trPr>
        <w:tc>
          <w:tcPr>
            <w:tcW w:w="880" w:type="dxa"/>
            <w:vAlign w:val="bottom"/>
          </w:tcPr>
          <w:p>
            <w:pPr>
              <w:spacing w:after="0"/>
              <w:rPr>
                <w:sz w:val="19"/>
                <w:szCs w:val="19"/>
                <w:color w:val="auto"/>
              </w:rPr>
            </w:pPr>
          </w:p>
        </w:tc>
        <w:tc>
          <w:tcPr>
            <w:tcW w:w="1052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Form 10-K for the year ended December 31, 2005, dated March 1, 2006).</w:t>
            </w:r>
          </w:p>
        </w:tc>
      </w:tr>
      <w:tr>
        <w:trPr>
          <w:trHeight w:val="3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10.31(a)</w:t>
            </w:r>
          </w:p>
        </w:tc>
        <w:tc>
          <w:tcPr>
            <w:tcW w:w="1052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w w:val="97"/>
              </w:rPr>
              <w:t>Series 2003-4 Supplement, dated as of June 19, 2003, among AESOP Funding II L.L.C.***, as Issuer, and The Bank of New York,</w:t>
            </w:r>
          </w:p>
        </w:tc>
      </w:tr>
      <w:tr>
        <w:trPr>
          <w:trHeight w:val="216"/>
        </w:trPr>
        <w:tc>
          <w:tcPr>
            <w:tcW w:w="880" w:type="dxa"/>
            <w:vAlign w:val="bottom"/>
          </w:tcPr>
          <w:p>
            <w:pPr>
              <w:spacing w:after="0"/>
              <w:rPr>
                <w:sz w:val="18"/>
                <w:szCs w:val="18"/>
                <w:color w:val="auto"/>
              </w:rPr>
            </w:pPr>
          </w:p>
        </w:tc>
        <w:tc>
          <w:tcPr>
            <w:tcW w:w="1052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w w:val="97"/>
              </w:rPr>
              <w:t>as Trustee and Series 2003-4 Agent, to the Second Amended and Restated Base Indenture dated as of June 3, 2004, among Cendant</w:t>
            </w:r>
          </w:p>
        </w:tc>
      </w:tr>
      <w:tr>
        <w:trPr>
          <w:trHeight w:val="216"/>
        </w:trPr>
        <w:tc>
          <w:tcPr>
            <w:tcW w:w="880" w:type="dxa"/>
            <w:vAlign w:val="bottom"/>
          </w:tcPr>
          <w:p>
            <w:pPr>
              <w:spacing w:after="0"/>
              <w:rPr>
                <w:sz w:val="18"/>
                <w:szCs w:val="18"/>
                <w:color w:val="auto"/>
              </w:rPr>
            </w:pPr>
          </w:p>
        </w:tc>
        <w:tc>
          <w:tcPr>
            <w:tcW w:w="1052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w w:val="96"/>
              </w:rPr>
              <w:t>Rental Car Funding (AESOP) LLC***, as Issuer, and The Bank of New York, as Trustee (Incorporated by reference to Exhibit 10.2</w:t>
            </w:r>
          </w:p>
        </w:tc>
      </w:tr>
      <w:tr>
        <w:trPr>
          <w:trHeight w:val="216"/>
        </w:trPr>
        <w:tc>
          <w:tcPr>
            <w:tcW w:w="880" w:type="dxa"/>
            <w:vAlign w:val="bottom"/>
          </w:tcPr>
          <w:p>
            <w:pPr>
              <w:spacing w:after="0"/>
              <w:rPr>
                <w:sz w:val="18"/>
                <w:szCs w:val="18"/>
                <w:color w:val="auto"/>
              </w:rPr>
            </w:pPr>
          </w:p>
        </w:tc>
        <w:tc>
          <w:tcPr>
            <w:tcW w:w="1052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to Avis Group Holdings, Inc.’s Quarterly Report on Form 10-Q for the quarterly period ended June 30, 2003, dated August 13,</w:t>
            </w:r>
          </w:p>
        </w:tc>
      </w:tr>
      <w:tr>
        <w:trPr>
          <w:trHeight w:val="228"/>
        </w:trPr>
        <w:tc>
          <w:tcPr>
            <w:tcW w:w="880" w:type="dxa"/>
            <w:vAlign w:val="bottom"/>
          </w:tcPr>
          <w:p>
            <w:pPr>
              <w:spacing w:after="0"/>
              <w:rPr>
                <w:sz w:val="19"/>
                <w:szCs w:val="19"/>
                <w:color w:val="auto"/>
              </w:rPr>
            </w:pPr>
          </w:p>
        </w:tc>
        <w:tc>
          <w:tcPr>
            <w:tcW w:w="546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2003).</w:t>
            </w:r>
          </w:p>
        </w:tc>
        <w:tc>
          <w:tcPr>
            <w:tcW w:w="880" w:type="dxa"/>
            <w:vAlign w:val="bottom"/>
          </w:tcPr>
          <w:p>
            <w:pPr>
              <w:spacing w:after="0"/>
              <w:rPr>
                <w:sz w:val="19"/>
                <w:szCs w:val="19"/>
                <w:color w:val="auto"/>
              </w:rPr>
            </w:pPr>
          </w:p>
        </w:tc>
        <w:tc>
          <w:tcPr>
            <w:tcW w:w="4180" w:type="dxa"/>
            <w:vAlign w:val="bottom"/>
          </w:tcPr>
          <w:p>
            <w:pPr>
              <w:spacing w:after="0"/>
              <w:rPr>
                <w:sz w:val="19"/>
                <w:szCs w:val="19"/>
                <w:color w:val="auto"/>
              </w:rPr>
            </w:pPr>
          </w:p>
        </w:tc>
      </w:tr>
      <w:tr>
        <w:trPr>
          <w:trHeight w:val="3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10.31(b)</w:t>
            </w:r>
          </w:p>
        </w:tc>
        <w:tc>
          <w:tcPr>
            <w:tcW w:w="1052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w w:val="99"/>
              </w:rPr>
              <w:t>Second Amendment, dated as of December 23, 2005, among Cendant Rental Car Funding (AESOP) LLC***, as Issuer, and The</w:t>
            </w:r>
          </w:p>
        </w:tc>
      </w:tr>
      <w:tr>
        <w:trPr>
          <w:trHeight w:val="216"/>
        </w:trPr>
        <w:tc>
          <w:tcPr>
            <w:tcW w:w="880" w:type="dxa"/>
            <w:vAlign w:val="bottom"/>
          </w:tcPr>
          <w:p>
            <w:pPr>
              <w:spacing w:after="0"/>
              <w:rPr>
                <w:sz w:val="18"/>
                <w:szCs w:val="18"/>
                <w:color w:val="auto"/>
              </w:rPr>
            </w:pPr>
          </w:p>
        </w:tc>
        <w:tc>
          <w:tcPr>
            <w:tcW w:w="1052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Bank of New York, as Trustee and Series 2003-4 Agent,</w:t>
            </w:r>
          </w:p>
        </w:tc>
      </w:tr>
      <w:tr>
        <w:trPr>
          <w:trHeight w:val="216"/>
        </w:trPr>
        <w:tc>
          <w:tcPr>
            <w:tcW w:w="880" w:type="dxa"/>
            <w:vAlign w:val="bottom"/>
          </w:tcPr>
          <w:p>
            <w:pPr>
              <w:spacing w:after="0"/>
              <w:rPr>
                <w:sz w:val="18"/>
                <w:szCs w:val="18"/>
                <w:color w:val="auto"/>
              </w:rPr>
            </w:pPr>
          </w:p>
        </w:tc>
        <w:tc>
          <w:tcPr>
            <w:tcW w:w="1052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w w:val="97"/>
              </w:rPr>
              <w:t>to the Series 2003-4 Supplement dated as of June 19, 2003 (Incorporated by reference to Exhibit 10.43(b) to the Company’s Annual</w:t>
            </w:r>
          </w:p>
        </w:tc>
      </w:tr>
      <w:tr>
        <w:trPr>
          <w:trHeight w:val="228"/>
        </w:trPr>
        <w:tc>
          <w:tcPr>
            <w:tcW w:w="880" w:type="dxa"/>
            <w:vAlign w:val="bottom"/>
          </w:tcPr>
          <w:p>
            <w:pPr>
              <w:spacing w:after="0"/>
              <w:rPr>
                <w:sz w:val="19"/>
                <w:szCs w:val="19"/>
                <w:color w:val="auto"/>
              </w:rPr>
            </w:pPr>
          </w:p>
        </w:tc>
        <w:tc>
          <w:tcPr>
            <w:tcW w:w="1052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Report on Form 10-K for the year ended December 31, 2005, dated March 1, 2006).</w:t>
            </w:r>
          </w:p>
        </w:tc>
      </w:tr>
      <w:tr>
        <w:trPr>
          <w:trHeight w:val="325"/>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10.31(c)</w:t>
            </w:r>
          </w:p>
        </w:tc>
        <w:tc>
          <w:tcPr>
            <w:tcW w:w="1052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w w:val="99"/>
              </w:rPr>
              <w:t>Third Amendment, dated as of May 9, 2007, among Avis Budget Rental Car Funding (AESOP) LLC, as Issuer, and The Bank of</w:t>
            </w:r>
          </w:p>
        </w:tc>
      </w:tr>
      <w:tr>
        <w:trPr>
          <w:trHeight w:val="216"/>
        </w:trPr>
        <w:tc>
          <w:tcPr>
            <w:tcW w:w="880" w:type="dxa"/>
            <w:vAlign w:val="bottom"/>
          </w:tcPr>
          <w:p>
            <w:pPr>
              <w:spacing w:after="0"/>
              <w:rPr>
                <w:sz w:val="18"/>
                <w:szCs w:val="18"/>
                <w:color w:val="auto"/>
              </w:rPr>
            </w:pPr>
          </w:p>
        </w:tc>
        <w:tc>
          <w:tcPr>
            <w:tcW w:w="1052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w w:val="97"/>
              </w:rPr>
              <w:t>New York Trust Company, N.A. (as successor in interest to The Bank of New York), as Trustee and as Series 2003-4 Agent, to the</w:t>
            </w:r>
          </w:p>
        </w:tc>
      </w:tr>
      <w:tr>
        <w:trPr>
          <w:trHeight w:val="216"/>
        </w:trPr>
        <w:tc>
          <w:tcPr>
            <w:tcW w:w="880" w:type="dxa"/>
            <w:vAlign w:val="bottom"/>
          </w:tcPr>
          <w:p>
            <w:pPr>
              <w:spacing w:after="0"/>
              <w:rPr>
                <w:sz w:val="18"/>
                <w:szCs w:val="18"/>
                <w:color w:val="auto"/>
              </w:rPr>
            </w:pPr>
          </w:p>
        </w:tc>
        <w:tc>
          <w:tcPr>
            <w:tcW w:w="1052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w w:val="98"/>
              </w:rPr>
              <w:t>Series 2003-4 Supplement, dated as of June 19, 2003 (Incorporated by reference to Exhibit 10.19 the Company Form 10-Q for the</w:t>
            </w:r>
          </w:p>
        </w:tc>
      </w:tr>
      <w:tr>
        <w:trPr>
          <w:trHeight w:val="228"/>
        </w:trPr>
        <w:tc>
          <w:tcPr>
            <w:tcW w:w="880" w:type="dxa"/>
            <w:vAlign w:val="bottom"/>
          </w:tcPr>
          <w:p>
            <w:pPr>
              <w:spacing w:after="0"/>
              <w:rPr>
                <w:sz w:val="19"/>
                <w:szCs w:val="19"/>
                <w:color w:val="auto"/>
              </w:rPr>
            </w:pPr>
          </w:p>
        </w:tc>
        <w:tc>
          <w:tcPr>
            <w:tcW w:w="1052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quarterly period ended June 30, 2007, dated August 8, 2007).</w:t>
            </w:r>
          </w:p>
        </w:tc>
      </w:tr>
      <w:tr>
        <w:trPr>
          <w:trHeight w:val="3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10.32(a)</w:t>
            </w:r>
          </w:p>
        </w:tc>
        <w:tc>
          <w:tcPr>
            <w:tcW w:w="1052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Second Amended and Restated Series 2004-1 Supplement, dated as of June 27, 2006, among Cendant Rental Car Funding</w:t>
            </w:r>
          </w:p>
        </w:tc>
      </w:tr>
      <w:tr>
        <w:trPr>
          <w:trHeight w:val="216"/>
        </w:trPr>
        <w:tc>
          <w:tcPr>
            <w:tcW w:w="880" w:type="dxa"/>
            <w:vAlign w:val="bottom"/>
          </w:tcPr>
          <w:p>
            <w:pPr>
              <w:spacing w:after="0"/>
              <w:rPr>
                <w:sz w:val="18"/>
                <w:szCs w:val="18"/>
                <w:color w:val="auto"/>
              </w:rPr>
            </w:pPr>
          </w:p>
        </w:tc>
        <w:tc>
          <w:tcPr>
            <w:tcW w:w="1052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(AESOP) LLC***, as Issuer, Avis Budget Car Rental, LLC, as Administrator, Mizuho Corporate Bank, Ltd., as Administrative</w:t>
            </w:r>
          </w:p>
        </w:tc>
      </w:tr>
      <w:tr>
        <w:trPr>
          <w:trHeight w:val="216"/>
        </w:trPr>
        <w:tc>
          <w:tcPr>
            <w:tcW w:w="880" w:type="dxa"/>
            <w:vAlign w:val="bottom"/>
          </w:tcPr>
          <w:p>
            <w:pPr>
              <w:spacing w:after="0"/>
              <w:rPr>
                <w:sz w:val="18"/>
                <w:szCs w:val="18"/>
                <w:color w:val="auto"/>
              </w:rPr>
            </w:pPr>
          </w:p>
        </w:tc>
        <w:tc>
          <w:tcPr>
            <w:tcW w:w="1052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w w:val="98"/>
              </w:rPr>
              <w:t>Agent, certain financial institutions, as Purchasers, and The Bank of New York, as Trustee and Series 2004-1 Agent, to the Second</w:t>
            </w:r>
          </w:p>
        </w:tc>
      </w:tr>
      <w:tr>
        <w:trPr>
          <w:trHeight w:val="216"/>
        </w:trPr>
        <w:tc>
          <w:tcPr>
            <w:tcW w:w="880" w:type="dxa"/>
            <w:vAlign w:val="bottom"/>
          </w:tcPr>
          <w:p>
            <w:pPr>
              <w:spacing w:after="0"/>
              <w:rPr>
                <w:sz w:val="18"/>
                <w:szCs w:val="18"/>
                <w:color w:val="auto"/>
              </w:rPr>
            </w:pPr>
          </w:p>
        </w:tc>
        <w:tc>
          <w:tcPr>
            <w:tcW w:w="1052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w w:val="97"/>
              </w:rPr>
              <w:t>Amended and Restated Base Indenture, dated as of June 3, 2004, among Cendant Rental Car Funding (AESOP) LLC***, as Issuer,</w:t>
            </w:r>
          </w:p>
        </w:tc>
      </w:tr>
      <w:tr>
        <w:trPr>
          <w:trHeight w:val="216"/>
        </w:trPr>
        <w:tc>
          <w:tcPr>
            <w:tcW w:w="880" w:type="dxa"/>
            <w:vAlign w:val="bottom"/>
          </w:tcPr>
          <w:p>
            <w:pPr>
              <w:spacing w:after="0"/>
              <w:rPr>
                <w:sz w:val="18"/>
                <w:szCs w:val="18"/>
                <w:color w:val="auto"/>
              </w:rPr>
            </w:pPr>
          </w:p>
        </w:tc>
        <w:tc>
          <w:tcPr>
            <w:tcW w:w="1052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w w:val="98"/>
              </w:rPr>
              <w:t>and The Bank of New York, as Trustee (Incorporated by reference to Exhibit 10.2 to the Company’s Current Report on Form 8-K</w:t>
            </w:r>
          </w:p>
        </w:tc>
      </w:tr>
      <w:tr>
        <w:trPr>
          <w:trHeight w:val="228"/>
        </w:trPr>
        <w:tc>
          <w:tcPr>
            <w:tcW w:w="880" w:type="dxa"/>
            <w:vAlign w:val="bottom"/>
          </w:tcPr>
          <w:p>
            <w:pPr>
              <w:spacing w:after="0"/>
              <w:rPr>
                <w:sz w:val="19"/>
                <w:szCs w:val="19"/>
                <w:color w:val="auto"/>
              </w:rPr>
            </w:pPr>
          </w:p>
        </w:tc>
        <w:tc>
          <w:tcPr>
            <w:tcW w:w="1052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dated June 30, 2006).</w:t>
            </w:r>
          </w:p>
        </w:tc>
      </w:tr>
      <w:tr>
        <w:trPr>
          <w:trHeight w:val="3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10.32(b)</w:t>
            </w:r>
          </w:p>
        </w:tc>
        <w:tc>
          <w:tcPr>
            <w:tcW w:w="1052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w w:val="99"/>
              </w:rPr>
              <w:t>First Amendment to the Second Amended and Restated Series 2004-1 Supplement, dated as of May 9, 2007, among Avis Budget</w:t>
            </w:r>
          </w:p>
        </w:tc>
      </w:tr>
      <w:tr>
        <w:trPr>
          <w:trHeight w:val="216"/>
        </w:trPr>
        <w:tc>
          <w:tcPr>
            <w:tcW w:w="880" w:type="dxa"/>
            <w:vAlign w:val="bottom"/>
          </w:tcPr>
          <w:p>
            <w:pPr>
              <w:spacing w:after="0"/>
              <w:rPr>
                <w:sz w:val="18"/>
                <w:szCs w:val="18"/>
                <w:color w:val="auto"/>
              </w:rPr>
            </w:pPr>
          </w:p>
        </w:tc>
        <w:tc>
          <w:tcPr>
            <w:tcW w:w="1052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w w:val="99"/>
              </w:rPr>
              <w:t>Rental Car Funding (AESOP) LLC, as Issuer, Avis Budget Car Rental, LLC, as Administrator, Mizuho Corporate Bank, Ltd., as</w:t>
            </w:r>
          </w:p>
        </w:tc>
      </w:tr>
      <w:tr>
        <w:trPr>
          <w:trHeight w:val="216"/>
        </w:trPr>
        <w:tc>
          <w:tcPr>
            <w:tcW w:w="880" w:type="dxa"/>
            <w:vAlign w:val="bottom"/>
          </w:tcPr>
          <w:p>
            <w:pPr>
              <w:spacing w:after="0"/>
              <w:rPr>
                <w:sz w:val="18"/>
                <w:szCs w:val="18"/>
                <w:color w:val="auto"/>
              </w:rPr>
            </w:pPr>
          </w:p>
        </w:tc>
        <w:tc>
          <w:tcPr>
            <w:tcW w:w="1052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w w:val="98"/>
              </w:rPr>
              <w:t>Administrative Agent, certain financial institutions, as Purchasers, and The Bank of New York Trust Company, N.A. (as successor</w:t>
            </w:r>
          </w:p>
        </w:tc>
      </w:tr>
      <w:tr>
        <w:trPr>
          <w:trHeight w:val="216"/>
        </w:trPr>
        <w:tc>
          <w:tcPr>
            <w:tcW w:w="880" w:type="dxa"/>
            <w:vAlign w:val="bottom"/>
          </w:tcPr>
          <w:p>
            <w:pPr>
              <w:spacing w:after="0"/>
              <w:rPr>
                <w:sz w:val="18"/>
                <w:szCs w:val="18"/>
                <w:color w:val="auto"/>
              </w:rPr>
            </w:pPr>
          </w:p>
        </w:tc>
        <w:tc>
          <w:tcPr>
            <w:tcW w:w="1052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in interest to The Bank of New York), as Trustee and as Series 2004-1 Agent (Incorporated by reference to Exhibit 10.21 the</w:t>
            </w:r>
          </w:p>
        </w:tc>
      </w:tr>
      <w:tr>
        <w:trPr>
          <w:trHeight w:val="228"/>
        </w:trPr>
        <w:tc>
          <w:tcPr>
            <w:tcW w:w="880" w:type="dxa"/>
            <w:vAlign w:val="bottom"/>
          </w:tcPr>
          <w:p>
            <w:pPr>
              <w:spacing w:after="0"/>
              <w:rPr>
                <w:sz w:val="19"/>
                <w:szCs w:val="19"/>
                <w:color w:val="auto"/>
              </w:rPr>
            </w:pPr>
          </w:p>
        </w:tc>
        <w:tc>
          <w:tcPr>
            <w:tcW w:w="1052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Company Form 10-Q for the quarterly period ended June 30, 2007, dated August 8, 2007).</w:t>
            </w:r>
          </w:p>
        </w:tc>
      </w:tr>
      <w:tr>
        <w:trPr>
          <w:trHeight w:val="3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10.33(a)</w:t>
            </w:r>
          </w:p>
        </w:tc>
        <w:tc>
          <w:tcPr>
            <w:tcW w:w="1052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w w:val="99"/>
              </w:rPr>
              <w:t>Series 2005-1 Supplement, dated as of February 25, 2005, among Cendant Rental Car Funding (AESOP) LLC***, as Issuer, and</w:t>
            </w:r>
          </w:p>
        </w:tc>
      </w:tr>
      <w:tr>
        <w:trPr>
          <w:trHeight w:val="216"/>
        </w:trPr>
        <w:tc>
          <w:tcPr>
            <w:tcW w:w="880" w:type="dxa"/>
            <w:vAlign w:val="bottom"/>
          </w:tcPr>
          <w:p>
            <w:pPr>
              <w:spacing w:after="0"/>
              <w:rPr>
                <w:sz w:val="18"/>
                <w:szCs w:val="18"/>
                <w:color w:val="auto"/>
              </w:rPr>
            </w:pPr>
          </w:p>
        </w:tc>
        <w:tc>
          <w:tcPr>
            <w:tcW w:w="1052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w w:val="97"/>
              </w:rPr>
              <w:t>The Bank of New York, as Trustee and Series 2005-1 Agent, to the Second Amended and Restated Base Indenture, dated as of June</w:t>
            </w:r>
          </w:p>
        </w:tc>
      </w:tr>
      <w:tr>
        <w:trPr>
          <w:trHeight w:val="216"/>
        </w:trPr>
        <w:tc>
          <w:tcPr>
            <w:tcW w:w="880" w:type="dxa"/>
            <w:vAlign w:val="bottom"/>
          </w:tcPr>
          <w:p>
            <w:pPr>
              <w:spacing w:after="0"/>
              <w:rPr>
                <w:sz w:val="18"/>
                <w:szCs w:val="18"/>
                <w:color w:val="auto"/>
              </w:rPr>
            </w:pPr>
          </w:p>
        </w:tc>
        <w:tc>
          <w:tcPr>
            <w:tcW w:w="1052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w w:val="97"/>
              </w:rPr>
              <w:t>3, 2004, among Cendant Rental Car Funding (AESOP) LLC***, as Issuer, and The Bank of New York, as Trustee (Incorporated by</w:t>
            </w:r>
          </w:p>
        </w:tc>
      </w:tr>
      <w:tr>
        <w:trPr>
          <w:trHeight w:val="228"/>
        </w:trPr>
        <w:tc>
          <w:tcPr>
            <w:tcW w:w="880" w:type="dxa"/>
            <w:vAlign w:val="bottom"/>
          </w:tcPr>
          <w:p>
            <w:pPr>
              <w:spacing w:after="0"/>
              <w:rPr>
                <w:sz w:val="19"/>
                <w:szCs w:val="19"/>
                <w:color w:val="auto"/>
              </w:rPr>
            </w:pPr>
          </w:p>
        </w:tc>
        <w:tc>
          <w:tcPr>
            <w:tcW w:w="1052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reference to Exhibit 10.1 to the Company’s Current Report on Form 8-K dated March 2, 2005).</w:t>
            </w:r>
          </w:p>
        </w:tc>
      </w:tr>
      <w:tr>
        <w:trPr>
          <w:trHeight w:val="3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10.33(b)</w:t>
            </w:r>
          </w:p>
        </w:tc>
        <w:tc>
          <w:tcPr>
            <w:tcW w:w="1052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w w:val="97"/>
              </w:rPr>
              <w:t>First Amendment, dated as of December 23, 2005, among Cendant Rental Car Funding (AESOP) LLC***, as Issuer, and The Bank</w:t>
            </w:r>
          </w:p>
        </w:tc>
      </w:tr>
      <w:tr>
        <w:trPr>
          <w:trHeight w:val="216"/>
        </w:trPr>
        <w:tc>
          <w:tcPr>
            <w:tcW w:w="880" w:type="dxa"/>
            <w:vAlign w:val="bottom"/>
          </w:tcPr>
          <w:p>
            <w:pPr>
              <w:spacing w:after="0"/>
              <w:rPr>
                <w:sz w:val="18"/>
                <w:szCs w:val="18"/>
                <w:color w:val="auto"/>
              </w:rPr>
            </w:pPr>
          </w:p>
        </w:tc>
        <w:tc>
          <w:tcPr>
            <w:tcW w:w="1052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of New York, as Trustee and Series 2005-1 Agent,</w:t>
            </w:r>
          </w:p>
        </w:tc>
      </w:tr>
      <w:tr>
        <w:trPr>
          <w:trHeight w:val="216"/>
        </w:trPr>
        <w:tc>
          <w:tcPr>
            <w:tcW w:w="880" w:type="dxa"/>
            <w:vAlign w:val="bottom"/>
          </w:tcPr>
          <w:p>
            <w:pPr>
              <w:spacing w:after="0"/>
              <w:rPr>
                <w:sz w:val="18"/>
                <w:szCs w:val="18"/>
                <w:color w:val="auto"/>
              </w:rPr>
            </w:pPr>
          </w:p>
        </w:tc>
        <w:tc>
          <w:tcPr>
            <w:tcW w:w="1052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w w:val="99"/>
              </w:rPr>
              <w:t>to the Series 2005-1 Supplement dated as of February 25, 2005 (Incorporated by reference to Exhibit 10.29(b) to the Company’s</w:t>
            </w:r>
          </w:p>
        </w:tc>
      </w:tr>
      <w:tr>
        <w:trPr>
          <w:trHeight w:val="228"/>
        </w:trPr>
        <w:tc>
          <w:tcPr>
            <w:tcW w:w="880" w:type="dxa"/>
            <w:vAlign w:val="bottom"/>
          </w:tcPr>
          <w:p>
            <w:pPr>
              <w:spacing w:after="0"/>
              <w:rPr>
                <w:sz w:val="19"/>
                <w:szCs w:val="19"/>
                <w:color w:val="auto"/>
              </w:rPr>
            </w:pPr>
          </w:p>
        </w:tc>
        <w:tc>
          <w:tcPr>
            <w:tcW w:w="1052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Annual Report on Form 10-K for the year ended December 31, 2005, dated March 1, 2006).</w:t>
            </w:r>
          </w:p>
        </w:tc>
      </w:tr>
      <w:tr>
        <w:trPr>
          <w:trHeight w:val="378"/>
        </w:trPr>
        <w:tc>
          <w:tcPr>
            <w:tcW w:w="880" w:type="dxa"/>
            <w:vAlign w:val="bottom"/>
          </w:tcPr>
          <w:p>
            <w:pPr>
              <w:spacing w:after="0"/>
              <w:rPr>
                <w:sz w:val="24"/>
                <w:szCs w:val="24"/>
                <w:color w:val="auto"/>
              </w:rPr>
            </w:pPr>
          </w:p>
        </w:tc>
        <w:tc>
          <w:tcPr>
            <w:tcW w:w="10520" w:type="dxa"/>
            <w:vAlign w:val="bottom"/>
            <w:gridSpan w:val="3"/>
          </w:tcPr>
          <w:p>
            <w:pPr>
              <w:ind w:left="4700"/>
              <w:spacing w:after="0"/>
              <w:rPr>
                <w:sz w:val="20"/>
                <w:szCs w:val="20"/>
                <w:color w:val="auto"/>
              </w:rPr>
            </w:pPr>
            <w:r>
              <w:rPr>
                <w:rFonts w:ascii="Times New Roman" w:cs="Times New Roman" w:eastAsia="Times New Roman" w:hAnsi="Times New Roman"/>
                <w:sz w:val="18"/>
                <w:szCs w:val="18"/>
                <w:color w:val="auto"/>
              </w:rPr>
              <w:t>H-6</w:t>
            </w:r>
          </w:p>
        </w:tc>
      </w:tr>
    </w:tbl>
    <w:p>
      <w:pPr>
        <w:sectPr>
          <w:pgSz w:w="11900" w:h="16838" w:orient="portrait"/>
          <w:cols w:equalWidth="0" w:num="1">
            <w:col w:w="11400"/>
          </w:cols>
          <w:pgMar w:left="240" w:top="455" w:right="259" w:bottom="1440" w:gutter="0" w:footer="0" w:header="0"/>
        </w:sectPr>
      </w:pPr>
    </w:p>
    <w:bookmarkStart w:id="129" w:name="page130"/>
    <w:bookmarkEnd w:id="12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7"/>
              </w:rPr>
              <w:t>Exhibit No.</w:t>
            </w:r>
          </w:p>
        </w:tc>
        <w:tc>
          <w:tcPr>
            <w:tcW w:w="5460" w:type="dxa"/>
            <w:vAlign w:val="bottom"/>
          </w:tcPr>
          <w:p>
            <w:pPr>
              <w:spacing w:after="0"/>
              <w:rPr>
                <w:sz w:val="20"/>
                <w:szCs w:val="20"/>
                <w:color w:val="auto"/>
              </w:rPr>
            </w:pPr>
          </w:p>
        </w:tc>
        <w:tc>
          <w:tcPr>
            <w:tcW w:w="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w w:val="96"/>
              </w:rPr>
              <w:t>Description</w:t>
            </w:r>
          </w:p>
        </w:tc>
        <w:tc>
          <w:tcPr>
            <w:tcW w:w="4160" w:type="dxa"/>
            <w:vAlign w:val="bottom"/>
          </w:tcPr>
          <w:p>
            <w:pPr>
              <w:spacing w:after="0"/>
              <w:rPr>
                <w:sz w:val="20"/>
                <w:szCs w:val="20"/>
                <w:color w:val="auto"/>
              </w:rPr>
            </w:pPr>
          </w:p>
        </w:tc>
      </w:tr>
      <w:tr>
        <w:trPr>
          <w:trHeight w:val="197"/>
        </w:trPr>
        <w:tc>
          <w:tcPr>
            <w:tcW w:w="880" w:type="dxa"/>
            <w:vAlign w:val="bottom"/>
          </w:tcPr>
          <w:p>
            <w:pPr>
              <w:spacing w:after="0" w:line="197" w:lineRule="exact"/>
              <w:rPr>
                <w:sz w:val="20"/>
                <w:szCs w:val="20"/>
                <w:color w:val="auto"/>
              </w:rPr>
            </w:pPr>
            <w:r>
              <w:rPr>
                <w:rFonts w:ascii="Times New Roman" w:cs="Times New Roman" w:eastAsia="Times New Roman" w:hAnsi="Times New Roman"/>
                <w:sz w:val="18"/>
                <w:szCs w:val="18"/>
                <w:color w:val="auto"/>
              </w:rPr>
              <w:t>10.33(c)</w:t>
            </w:r>
          </w:p>
        </w:tc>
        <w:tc>
          <w:tcPr>
            <w:tcW w:w="5460" w:type="dxa"/>
            <w:vAlign w:val="bottom"/>
          </w:tcPr>
          <w:p>
            <w:pPr>
              <w:ind w:left="1280"/>
              <w:spacing w:after="0" w:line="197" w:lineRule="exact"/>
              <w:rPr>
                <w:sz w:val="20"/>
                <w:szCs w:val="20"/>
                <w:color w:val="auto"/>
              </w:rPr>
            </w:pPr>
            <w:r>
              <w:rPr>
                <w:rFonts w:ascii="Times New Roman" w:cs="Times New Roman" w:eastAsia="Times New Roman" w:hAnsi="Times New Roman"/>
                <w:sz w:val="18"/>
                <w:szCs w:val="18"/>
                <w:color w:val="auto"/>
                <w:w w:val="97"/>
              </w:rPr>
              <w:t>Second Amendment, dated as of May 9, 2007, among Avis</w:t>
            </w:r>
          </w:p>
        </w:tc>
        <w:tc>
          <w:tcPr>
            <w:tcW w:w="5060" w:type="dxa"/>
            <w:vAlign w:val="bottom"/>
            <w:gridSpan w:val="2"/>
          </w:tcPr>
          <w:p>
            <w:pPr>
              <w:spacing w:after="0" w:line="197" w:lineRule="exact"/>
              <w:rPr>
                <w:sz w:val="20"/>
                <w:szCs w:val="20"/>
                <w:color w:val="auto"/>
              </w:rPr>
            </w:pPr>
            <w:r>
              <w:rPr>
                <w:rFonts w:ascii="Times New Roman" w:cs="Times New Roman" w:eastAsia="Times New Roman" w:hAnsi="Times New Roman"/>
                <w:sz w:val="18"/>
                <w:szCs w:val="18"/>
                <w:color w:val="auto"/>
                <w:w w:val="98"/>
              </w:rPr>
              <w:t>Budget Rental Car Funding (AESOP) LLC, as Issuer, and The Bank of</w:t>
            </w:r>
          </w:p>
        </w:tc>
      </w:tr>
      <w:tr>
        <w:trPr>
          <w:trHeight w:val="216"/>
        </w:trPr>
        <w:tc>
          <w:tcPr>
            <w:tcW w:w="880" w:type="dxa"/>
            <w:vAlign w:val="bottom"/>
          </w:tcPr>
          <w:p>
            <w:pPr>
              <w:spacing w:after="0"/>
              <w:rPr>
                <w:sz w:val="18"/>
                <w:szCs w:val="18"/>
                <w:color w:val="auto"/>
              </w:rPr>
            </w:pPr>
          </w:p>
        </w:tc>
        <w:tc>
          <w:tcPr>
            <w:tcW w:w="10520" w:type="dxa"/>
            <w:vAlign w:val="bottom"/>
            <w:gridSpan w:val="3"/>
          </w:tcPr>
          <w:p>
            <w:pPr>
              <w:ind w:left="1280"/>
              <w:spacing w:after="0"/>
              <w:rPr>
                <w:sz w:val="20"/>
                <w:szCs w:val="20"/>
                <w:color w:val="auto"/>
              </w:rPr>
            </w:pPr>
            <w:r>
              <w:rPr>
                <w:rFonts w:ascii="Times New Roman" w:cs="Times New Roman" w:eastAsia="Times New Roman" w:hAnsi="Times New Roman"/>
                <w:sz w:val="18"/>
                <w:szCs w:val="18"/>
                <w:color w:val="auto"/>
                <w:w w:val="97"/>
              </w:rPr>
              <w:t>New York Trust Company, N.A. (as successor in interest to The Bank of New York), as Trustee and as Series 2005-1 Agent, to the</w:t>
            </w:r>
          </w:p>
        </w:tc>
      </w:tr>
      <w:tr>
        <w:trPr>
          <w:trHeight w:val="216"/>
        </w:trPr>
        <w:tc>
          <w:tcPr>
            <w:tcW w:w="880" w:type="dxa"/>
            <w:vAlign w:val="bottom"/>
          </w:tcPr>
          <w:p>
            <w:pPr>
              <w:spacing w:after="0"/>
              <w:rPr>
                <w:sz w:val="18"/>
                <w:szCs w:val="18"/>
                <w:color w:val="auto"/>
              </w:rPr>
            </w:pPr>
          </w:p>
        </w:tc>
        <w:tc>
          <w:tcPr>
            <w:tcW w:w="10520" w:type="dxa"/>
            <w:vAlign w:val="bottom"/>
            <w:gridSpan w:val="3"/>
          </w:tcPr>
          <w:p>
            <w:pPr>
              <w:ind w:left="1280"/>
              <w:spacing w:after="0"/>
              <w:rPr>
                <w:sz w:val="20"/>
                <w:szCs w:val="20"/>
                <w:color w:val="auto"/>
              </w:rPr>
            </w:pPr>
            <w:r>
              <w:rPr>
                <w:rFonts w:ascii="Times New Roman" w:cs="Times New Roman" w:eastAsia="Times New Roman" w:hAnsi="Times New Roman"/>
                <w:sz w:val="18"/>
                <w:szCs w:val="18"/>
                <w:color w:val="auto"/>
                <w:w w:val="97"/>
              </w:rPr>
              <w:t>Series 2005-1 Supplement, dated as of February 25, 2005 (Incorporated by reference to Exhibit 10.23 the Company Form 10-Q for</w:t>
            </w:r>
          </w:p>
        </w:tc>
      </w:tr>
      <w:tr>
        <w:trPr>
          <w:trHeight w:val="228"/>
        </w:trPr>
        <w:tc>
          <w:tcPr>
            <w:tcW w:w="880" w:type="dxa"/>
            <w:vAlign w:val="bottom"/>
          </w:tcPr>
          <w:p>
            <w:pPr>
              <w:spacing w:after="0"/>
              <w:rPr>
                <w:sz w:val="19"/>
                <w:szCs w:val="19"/>
                <w:color w:val="auto"/>
              </w:rPr>
            </w:pPr>
          </w:p>
        </w:tc>
        <w:tc>
          <w:tcPr>
            <w:tcW w:w="10520" w:type="dxa"/>
            <w:vAlign w:val="bottom"/>
            <w:gridSpan w:val="3"/>
          </w:tcPr>
          <w:p>
            <w:pPr>
              <w:ind w:left="1280"/>
              <w:spacing w:after="0"/>
              <w:rPr>
                <w:sz w:val="20"/>
                <w:szCs w:val="20"/>
                <w:color w:val="auto"/>
              </w:rPr>
            </w:pPr>
            <w:r>
              <w:rPr>
                <w:rFonts w:ascii="Times New Roman" w:cs="Times New Roman" w:eastAsia="Times New Roman" w:hAnsi="Times New Roman"/>
                <w:sz w:val="18"/>
                <w:szCs w:val="18"/>
                <w:color w:val="auto"/>
              </w:rPr>
              <w:t>the quarterly period ended June 30, 2007, dated August 8, 2007).</w:t>
            </w:r>
          </w:p>
        </w:tc>
      </w:tr>
      <w:tr>
        <w:trPr>
          <w:trHeight w:val="3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10.33(d)</w:t>
            </w:r>
          </w:p>
        </w:tc>
        <w:tc>
          <w:tcPr>
            <w:tcW w:w="10520" w:type="dxa"/>
            <w:vAlign w:val="bottom"/>
            <w:gridSpan w:val="3"/>
          </w:tcPr>
          <w:p>
            <w:pPr>
              <w:ind w:left="1280"/>
              <w:spacing w:after="0"/>
              <w:rPr>
                <w:sz w:val="20"/>
                <w:szCs w:val="20"/>
                <w:color w:val="auto"/>
              </w:rPr>
            </w:pPr>
            <w:r>
              <w:rPr>
                <w:rFonts w:ascii="Times New Roman" w:cs="Times New Roman" w:eastAsia="Times New Roman" w:hAnsi="Times New Roman"/>
                <w:sz w:val="18"/>
                <w:szCs w:val="18"/>
                <w:color w:val="auto"/>
                <w:w w:val="98"/>
              </w:rPr>
              <w:t>Third Amendment, dated as of September 1, 2009, to the Series 2005-1 Supplement dated as of February 25, 2005, between Avis</w:t>
            </w:r>
          </w:p>
        </w:tc>
      </w:tr>
      <w:tr>
        <w:trPr>
          <w:trHeight w:val="216"/>
        </w:trPr>
        <w:tc>
          <w:tcPr>
            <w:tcW w:w="880" w:type="dxa"/>
            <w:vAlign w:val="bottom"/>
          </w:tcPr>
          <w:p>
            <w:pPr>
              <w:spacing w:after="0"/>
              <w:rPr>
                <w:sz w:val="18"/>
                <w:szCs w:val="18"/>
                <w:color w:val="auto"/>
              </w:rPr>
            </w:pPr>
          </w:p>
        </w:tc>
        <w:tc>
          <w:tcPr>
            <w:tcW w:w="10520" w:type="dxa"/>
            <w:vAlign w:val="bottom"/>
            <w:gridSpan w:val="3"/>
          </w:tcPr>
          <w:p>
            <w:pPr>
              <w:ind w:left="1280"/>
              <w:spacing w:after="0"/>
              <w:rPr>
                <w:sz w:val="20"/>
                <w:szCs w:val="20"/>
                <w:color w:val="auto"/>
              </w:rPr>
            </w:pPr>
            <w:r>
              <w:rPr>
                <w:rFonts w:ascii="Times New Roman" w:cs="Times New Roman" w:eastAsia="Times New Roman" w:hAnsi="Times New Roman"/>
                <w:sz w:val="18"/>
                <w:szCs w:val="18"/>
                <w:color w:val="auto"/>
                <w:w w:val="99"/>
              </w:rPr>
              <w:t>Budget Rental Car Funding (AESOP) LLC, and The Bank of New York Mellon Trust Company, N.A. (as successor in interest to</w:t>
            </w:r>
          </w:p>
        </w:tc>
      </w:tr>
      <w:tr>
        <w:trPr>
          <w:trHeight w:val="216"/>
        </w:trPr>
        <w:tc>
          <w:tcPr>
            <w:tcW w:w="880" w:type="dxa"/>
            <w:vAlign w:val="bottom"/>
          </w:tcPr>
          <w:p>
            <w:pPr>
              <w:spacing w:after="0"/>
              <w:rPr>
                <w:sz w:val="18"/>
                <w:szCs w:val="18"/>
                <w:color w:val="auto"/>
              </w:rPr>
            </w:pPr>
          </w:p>
        </w:tc>
        <w:tc>
          <w:tcPr>
            <w:tcW w:w="10520" w:type="dxa"/>
            <w:vAlign w:val="bottom"/>
            <w:gridSpan w:val="3"/>
          </w:tcPr>
          <w:p>
            <w:pPr>
              <w:ind w:left="1280"/>
              <w:spacing w:after="0"/>
              <w:rPr>
                <w:sz w:val="20"/>
                <w:szCs w:val="20"/>
                <w:color w:val="auto"/>
              </w:rPr>
            </w:pPr>
            <w:r>
              <w:rPr>
                <w:rFonts w:ascii="Times New Roman" w:cs="Times New Roman" w:eastAsia="Times New Roman" w:hAnsi="Times New Roman"/>
                <w:sz w:val="18"/>
                <w:szCs w:val="18"/>
                <w:color w:val="auto"/>
                <w:w w:val="97"/>
              </w:rPr>
              <w:t>The Bank of New York), as trustee and Series 2005-1 Agent (Incorporated by reference to Exhibit 10.2 to the Company’s Quarterly</w:t>
            </w:r>
          </w:p>
        </w:tc>
      </w:tr>
      <w:tr>
        <w:trPr>
          <w:trHeight w:val="228"/>
        </w:trPr>
        <w:tc>
          <w:tcPr>
            <w:tcW w:w="880" w:type="dxa"/>
            <w:vAlign w:val="bottom"/>
          </w:tcPr>
          <w:p>
            <w:pPr>
              <w:spacing w:after="0"/>
              <w:rPr>
                <w:sz w:val="19"/>
                <w:szCs w:val="19"/>
                <w:color w:val="auto"/>
              </w:rPr>
            </w:pPr>
          </w:p>
        </w:tc>
        <w:tc>
          <w:tcPr>
            <w:tcW w:w="10520" w:type="dxa"/>
            <w:vAlign w:val="bottom"/>
            <w:gridSpan w:val="3"/>
          </w:tcPr>
          <w:p>
            <w:pPr>
              <w:ind w:left="1280"/>
              <w:spacing w:after="0"/>
              <w:rPr>
                <w:sz w:val="20"/>
                <w:szCs w:val="20"/>
                <w:color w:val="auto"/>
              </w:rPr>
            </w:pPr>
            <w:r>
              <w:rPr>
                <w:rFonts w:ascii="Times New Roman" w:cs="Times New Roman" w:eastAsia="Times New Roman" w:hAnsi="Times New Roman"/>
                <w:sz w:val="18"/>
                <w:szCs w:val="18"/>
                <w:color w:val="auto"/>
              </w:rPr>
              <w:t>Report on Form 10-Q for the quarter ended September 30, 2009).</w:t>
            </w:r>
          </w:p>
        </w:tc>
      </w:tr>
      <w:tr>
        <w:trPr>
          <w:trHeight w:val="3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10.34(a)</w:t>
            </w:r>
          </w:p>
        </w:tc>
        <w:tc>
          <w:tcPr>
            <w:tcW w:w="10520" w:type="dxa"/>
            <w:vAlign w:val="bottom"/>
            <w:gridSpan w:val="3"/>
          </w:tcPr>
          <w:p>
            <w:pPr>
              <w:ind w:left="1280"/>
              <w:spacing w:after="0"/>
              <w:rPr>
                <w:sz w:val="20"/>
                <w:szCs w:val="20"/>
                <w:color w:val="auto"/>
              </w:rPr>
            </w:pPr>
            <w:r>
              <w:rPr>
                <w:rFonts w:ascii="Times New Roman" w:cs="Times New Roman" w:eastAsia="Times New Roman" w:hAnsi="Times New Roman"/>
                <w:sz w:val="18"/>
                <w:szCs w:val="18"/>
                <w:color w:val="auto"/>
                <w:w w:val="98"/>
              </w:rPr>
              <w:t>Amended and Restated Series 2005-2 Supplement, dated May 20, 2008, between Avis Budget Rental Car Funding (AESOP) LLC</w:t>
            </w:r>
          </w:p>
        </w:tc>
      </w:tr>
      <w:tr>
        <w:trPr>
          <w:trHeight w:val="216"/>
        </w:trPr>
        <w:tc>
          <w:tcPr>
            <w:tcW w:w="880" w:type="dxa"/>
            <w:vAlign w:val="bottom"/>
          </w:tcPr>
          <w:p>
            <w:pPr>
              <w:spacing w:after="0"/>
              <w:rPr>
                <w:sz w:val="18"/>
                <w:szCs w:val="18"/>
                <w:color w:val="auto"/>
              </w:rPr>
            </w:pPr>
          </w:p>
        </w:tc>
        <w:tc>
          <w:tcPr>
            <w:tcW w:w="10520" w:type="dxa"/>
            <w:vAlign w:val="bottom"/>
            <w:gridSpan w:val="3"/>
          </w:tcPr>
          <w:p>
            <w:pPr>
              <w:ind w:left="1280"/>
              <w:spacing w:after="0"/>
              <w:rPr>
                <w:sz w:val="20"/>
                <w:szCs w:val="20"/>
                <w:color w:val="auto"/>
              </w:rPr>
            </w:pPr>
            <w:r>
              <w:rPr>
                <w:rFonts w:ascii="Times New Roman" w:cs="Times New Roman" w:eastAsia="Times New Roman" w:hAnsi="Times New Roman"/>
                <w:sz w:val="18"/>
                <w:szCs w:val="18"/>
                <w:color w:val="auto"/>
                <w:w w:val="98"/>
              </w:rPr>
              <w:t>(formerly known as Cendant Rental Car Funding (AESOP) LLC), as issuer and The Bank of New York Trust Company, N.A. (as</w:t>
            </w:r>
          </w:p>
        </w:tc>
      </w:tr>
      <w:tr>
        <w:trPr>
          <w:trHeight w:val="216"/>
        </w:trPr>
        <w:tc>
          <w:tcPr>
            <w:tcW w:w="880" w:type="dxa"/>
            <w:vAlign w:val="bottom"/>
          </w:tcPr>
          <w:p>
            <w:pPr>
              <w:spacing w:after="0"/>
              <w:rPr>
                <w:sz w:val="18"/>
                <w:szCs w:val="18"/>
                <w:color w:val="auto"/>
              </w:rPr>
            </w:pPr>
          </w:p>
        </w:tc>
        <w:tc>
          <w:tcPr>
            <w:tcW w:w="10520" w:type="dxa"/>
            <w:vAlign w:val="bottom"/>
            <w:gridSpan w:val="3"/>
          </w:tcPr>
          <w:p>
            <w:pPr>
              <w:ind w:left="1280"/>
              <w:spacing w:after="0"/>
              <w:rPr>
                <w:sz w:val="20"/>
                <w:szCs w:val="20"/>
                <w:color w:val="auto"/>
              </w:rPr>
            </w:pPr>
            <w:r>
              <w:rPr>
                <w:rFonts w:ascii="Times New Roman" w:cs="Times New Roman" w:eastAsia="Times New Roman" w:hAnsi="Times New Roman"/>
                <w:sz w:val="18"/>
                <w:szCs w:val="18"/>
                <w:color w:val="auto"/>
                <w:w w:val="97"/>
              </w:rPr>
              <w:t>successor in interest to The Bank of New York), as trustee and as Series 2005-2 Agent, to the Second Amended and Restated Base</w:t>
            </w:r>
          </w:p>
        </w:tc>
      </w:tr>
      <w:tr>
        <w:trPr>
          <w:trHeight w:val="216"/>
        </w:trPr>
        <w:tc>
          <w:tcPr>
            <w:tcW w:w="880" w:type="dxa"/>
            <w:vAlign w:val="bottom"/>
          </w:tcPr>
          <w:p>
            <w:pPr>
              <w:spacing w:after="0"/>
              <w:rPr>
                <w:sz w:val="18"/>
                <w:szCs w:val="18"/>
                <w:color w:val="auto"/>
              </w:rPr>
            </w:pPr>
          </w:p>
        </w:tc>
        <w:tc>
          <w:tcPr>
            <w:tcW w:w="10520" w:type="dxa"/>
            <w:vAlign w:val="bottom"/>
            <w:gridSpan w:val="3"/>
          </w:tcPr>
          <w:p>
            <w:pPr>
              <w:ind w:left="1280"/>
              <w:spacing w:after="0"/>
              <w:rPr>
                <w:sz w:val="20"/>
                <w:szCs w:val="20"/>
                <w:color w:val="auto"/>
              </w:rPr>
            </w:pPr>
            <w:r>
              <w:rPr>
                <w:rFonts w:ascii="Times New Roman" w:cs="Times New Roman" w:eastAsia="Times New Roman" w:hAnsi="Times New Roman"/>
                <w:sz w:val="18"/>
                <w:szCs w:val="18"/>
                <w:color w:val="auto"/>
                <w:w w:val="97"/>
              </w:rPr>
              <w:t>Indenture, dated as of June 3, 2004, between Avis Budget Rental Car Funding (AESOP) LLC, as issuer and The Bank of New York</w:t>
            </w:r>
          </w:p>
        </w:tc>
      </w:tr>
      <w:tr>
        <w:trPr>
          <w:trHeight w:val="216"/>
        </w:trPr>
        <w:tc>
          <w:tcPr>
            <w:tcW w:w="880" w:type="dxa"/>
            <w:vAlign w:val="bottom"/>
          </w:tcPr>
          <w:p>
            <w:pPr>
              <w:spacing w:after="0"/>
              <w:rPr>
                <w:sz w:val="18"/>
                <w:szCs w:val="18"/>
                <w:color w:val="auto"/>
              </w:rPr>
            </w:pPr>
          </w:p>
        </w:tc>
        <w:tc>
          <w:tcPr>
            <w:tcW w:w="10520" w:type="dxa"/>
            <w:vAlign w:val="bottom"/>
            <w:gridSpan w:val="3"/>
          </w:tcPr>
          <w:p>
            <w:pPr>
              <w:ind w:left="1280"/>
              <w:spacing w:after="0"/>
              <w:rPr>
                <w:sz w:val="20"/>
                <w:szCs w:val="20"/>
                <w:color w:val="auto"/>
              </w:rPr>
            </w:pPr>
            <w:r>
              <w:rPr>
                <w:rFonts w:ascii="Times New Roman" w:cs="Times New Roman" w:eastAsia="Times New Roman" w:hAnsi="Times New Roman"/>
                <w:sz w:val="18"/>
                <w:szCs w:val="18"/>
                <w:color w:val="auto"/>
                <w:w w:val="98"/>
              </w:rPr>
              <w:t>Trust Company, N.A. (as successor in interest to The Bank of New York), as trustee (Incorporated by reference to Exhibit 10.1 to</w:t>
            </w:r>
          </w:p>
        </w:tc>
      </w:tr>
      <w:tr>
        <w:trPr>
          <w:trHeight w:val="228"/>
        </w:trPr>
        <w:tc>
          <w:tcPr>
            <w:tcW w:w="880" w:type="dxa"/>
            <w:vAlign w:val="bottom"/>
          </w:tcPr>
          <w:p>
            <w:pPr>
              <w:spacing w:after="0"/>
              <w:rPr>
                <w:sz w:val="19"/>
                <w:szCs w:val="19"/>
                <w:color w:val="auto"/>
              </w:rPr>
            </w:pPr>
          </w:p>
        </w:tc>
        <w:tc>
          <w:tcPr>
            <w:tcW w:w="10520" w:type="dxa"/>
            <w:vAlign w:val="bottom"/>
            <w:gridSpan w:val="3"/>
          </w:tcPr>
          <w:p>
            <w:pPr>
              <w:ind w:left="1280"/>
              <w:spacing w:after="0"/>
              <w:rPr>
                <w:sz w:val="20"/>
                <w:szCs w:val="20"/>
                <w:color w:val="auto"/>
              </w:rPr>
            </w:pPr>
            <w:r>
              <w:rPr>
                <w:rFonts w:ascii="Times New Roman" w:cs="Times New Roman" w:eastAsia="Times New Roman" w:hAnsi="Times New Roman"/>
                <w:sz w:val="18"/>
                <w:szCs w:val="18"/>
                <w:color w:val="auto"/>
              </w:rPr>
              <w:t>the Company’s Current Report on Form 8-K dated May 22, 2008).</w:t>
            </w:r>
          </w:p>
        </w:tc>
      </w:tr>
      <w:tr>
        <w:trPr>
          <w:trHeight w:val="3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10.34(b)</w:t>
            </w:r>
          </w:p>
        </w:tc>
        <w:tc>
          <w:tcPr>
            <w:tcW w:w="10520" w:type="dxa"/>
            <w:vAlign w:val="bottom"/>
            <w:gridSpan w:val="3"/>
          </w:tcPr>
          <w:p>
            <w:pPr>
              <w:ind w:left="1280"/>
              <w:spacing w:after="0"/>
              <w:rPr>
                <w:sz w:val="20"/>
                <w:szCs w:val="20"/>
                <w:color w:val="auto"/>
              </w:rPr>
            </w:pPr>
            <w:r>
              <w:rPr>
                <w:rFonts w:ascii="Times New Roman" w:cs="Times New Roman" w:eastAsia="Times New Roman" w:hAnsi="Times New Roman"/>
                <w:sz w:val="18"/>
                <w:szCs w:val="18"/>
                <w:color w:val="auto"/>
                <w:w w:val="99"/>
              </w:rPr>
              <w:t>First Amendment, dated as of November 11, 2008, between Avis Budget Rental Car Funding (AESOP) LLC, as Issuer, and The</w:t>
            </w:r>
          </w:p>
        </w:tc>
      </w:tr>
      <w:tr>
        <w:trPr>
          <w:trHeight w:val="216"/>
        </w:trPr>
        <w:tc>
          <w:tcPr>
            <w:tcW w:w="880" w:type="dxa"/>
            <w:vAlign w:val="bottom"/>
          </w:tcPr>
          <w:p>
            <w:pPr>
              <w:spacing w:after="0"/>
              <w:rPr>
                <w:sz w:val="18"/>
                <w:szCs w:val="18"/>
                <w:color w:val="auto"/>
              </w:rPr>
            </w:pPr>
          </w:p>
        </w:tc>
        <w:tc>
          <w:tcPr>
            <w:tcW w:w="10520" w:type="dxa"/>
            <w:vAlign w:val="bottom"/>
            <w:gridSpan w:val="3"/>
          </w:tcPr>
          <w:p>
            <w:pPr>
              <w:ind w:left="1280"/>
              <w:spacing w:after="0"/>
              <w:rPr>
                <w:sz w:val="20"/>
                <w:szCs w:val="20"/>
                <w:color w:val="auto"/>
              </w:rPr>
            </w:pPr>
            <w:r>
              <w:rPr>
                <w:rFonts w:ascii="Times New Roman" w:cs="Times New Roman" w:eastAsia="Times New Roman" w:hAnsi="Times New Roman"/>
                <w:sz w:val="18"/>
                <w:szCs w:val="18"/>
                <w:color w:val="auto"/>
              </w:rPr>
              <w:t>Bank of New York Mellon Trust Company, N.A. (as successor in interest to The Bank of New York), as Trustee and as Series</w:t>
            </w:r>
          </w:p>
        </w:tc>
      </w:tr>
      <w:tr>
        <w:trPr>
          <w:trHeight w:val="216"/>
        </w:trPr>
        <w:tc>
          <w:tcPr>
            <w:tcW w:w="880" w:type="dxa"/>
            <w:vAlign w:val="bottom"/>
          </w:tcPr>
          <w:p>
            <w:pPr>
              <w:spacing w:after="0"/>
              <w:rPr>
                <w:sz w:val="18"/>
                <w:szCs w:val="18"/>
                <w:color w:val="auto"/>
              </w:rPr>
            </w:pPr>
          </w:p>
        </w:tc>
        <w:tc>
          <w:tcPr>
            <w:tcW w:w="10520" w:type="dxa"/>
            <w:vAlign w:val="bottom"/>
            <w:gridSpan w:val="3"/>
          </w:tcPr>
          <w:p>
            <w:pPr>
              <w:ind w:left="1280"/>
              <w:spacing w:after="0"/>
              <w:rPr>
                <w:sz w:val="20"/>
                <w:szCs w:val="20"/>
                <w:color w:val="auto"/>
              </w:rPr>
            </w:pPr>
            <w:r>
              <w:rPr>
                <w:rFonts w:ascii="Times New Roman" w:cs="Times New Roman" w:eastAsia="Times New Roman" w:hAnsi="Times New Roman"/>
                <w:sz w:val="18"/>
                <w:szCs w:val="18"/>
                <w:color w:val="auto"/>
              </w:rPr>
              <w:t>2005-2 Agent, to the Amended and Restated Series 2005-2 Supplement, dated as of May 20, 2008 (Incorporated by reference to</w:t>
            </w:r>
          </w:p>
        </w:tc>
      </w:tr>
      <w:tr>
        <w:trPr>
          <w:trHeight w:val="228"/>
        </w:trPr>
        <w:tc>
          <w:tcPr>
            <w:tcW w:w="880" w:type="dxa"/>
            <w:vAlign w:val="bottom"/>
          </w:tcPr>
          <w:p>
            <w:pPr>
              <w:spacing w:after="0"/>
              <w:rPr>
                <w:sz w:val="19"/>
                <w:szCs w:val="19"/>
                <w:color w:val="auto"/>
              </w:rPr>
            </w:pPr>
          </w:p>
        </w:tc>
        <w:tc>
          <w:tcPr>
            <w:tcW w:w="10520" w:type="dxa"/>
            <w:vAlign w:val="bottom"/>
            <w:gridSpan w:val="3"/>
          </w:tcPr>
          <w:p>
            <w:pPr>
              <w:ind w:left="1280"/>
              <w:spacing w:after="0"/>
              <w:rPr>
                <w:sz w:val="20"/>
                <w:szCs w:val="20"/>
                <w:color w:val="auto"/>
              </w:rPr>
            </w:pPr>
            <w:r>
              <w:rPr>
                <w:rFonts w:ascii="Times New Roman" w:cs="Times New Roman" w:eastAsia="Times New Roman" w:hAnsi="Times New Roman"/>
                <w:sz w:val="18"/>
                <w:szCs w:val="18"/>
                <w:color w:val="auto"/>
              </w:rPr>
              <w:t>Exhibit 10.33(b) to the Company’s Annual Report on Form 10-K for the year ended December 31, 2008).</w:t>
            </w:r>
          </w:p>
        </w:tc>
      </w:tr>
      <w:tr>
        <w:trPr>
          <w:trHeight w:val="3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10.35(a)</w:t>
            </w:r>
          </w:p>
        </w:tc>
        <w:tc>
          <w:tcPr>
            <w:tcW w:w="10520" w:type="dxa"/>
            <w:vAlign w:val="bottom"/>
            <w:gridSpan w:val="3"/>
          </w:tcPr>
          <w:p>
            <w:pPr>
              <w:ind w:left="1280"/>
              <w:spacing w:after="0"/>
              <w:rPr>
                <w:sz w:val="20"/>
                <w:szCs w:val="20"/>
                <w:color w:val="auto"/>
              </w:rPr>
            </w:pPr>
            <w:r>
              <w:rPr>
                <w:rFonts w:ascii="Times New Roman" w:cs="Times New Roman" w:eastAsia="Times New Roman" w:hAnsi="Times New Roman"/>
                <w:sz w:val="18"/>
                <w:szCs w:val="18"/>
                <w:color w:val="auto"/>
              </w:rPr>
              <w:t>Series 2005-4 Supplement, dated as of June 1, 2005, among Cendant Rental Car Funding (AESOP) LLC***, as Issuer, and The</w:t>
            </w:r>
          </w:p>
        </w:tc>
      </w:tr>
      <w:tr>
        <w:trPr>
          <w:trHeight w:val="216"/>
        </w:trPr>
        <w:tc>
          <w:tcPr>
            <w:tcW w:w="880" w:type="dxa"/>
            <w:vAlign w:val="bottom"/>
          </w:tcPr>
          <w:p>
            <w:pPr>
              <w:spacing w:after="0"/>
              <w:rPr>
                <w:sz w:val="18"/>
                <w:szCs w:val="18"/>
                <w:color w:val="auto"/>
              </w:rPr>
            </w:pPr>
          </w:p>
        </w:tc>
        <w:tc>
          <w:tcPr>
            <w:tcW w:w="10520" w:type="dxa"/>
            <w:vAlign w:val="bottom"/>
            <w:gridSpan w:val="3"/>
          </w:tcPr>
          <w:p>
            <w:pPr>
              <w:ind w:left="1280"/>
              <w:spacing w:after="0"/>
              <w:rPr>
                <w:sz w:val="20"/>
                <w:szCs w:val="20"/>
                <w:color w:val="auto"/>
              </w:rPr>
            </w:pPr>
            <w:r>
              <w:rPr>
                <w:rFonts w:ascii="Times New Roman" w:cs="Times New Roman" w:eastAsia="Times New Roman" w:hAnsi="Times New Roman"/>
                <w:sz w:val="18"/>
                <w:szCs w:val="18"/>
                <w:color w:val="auto"/>
                <w:w w:val="98"/>
              </w:rPr>
              <w:t>Bank of New York, as Trustee and as Series 2005-4 Agent, to the Second Amended and Restated Base Indenture, dated as of June</w:t>
            </w:r>
          </w:p>
        </w:tc>
      </w:tr>
      <w:tr>
        <w:trPr>
          <w:trHeight w:val="216"/>
        </w:trPr>
        <w:tc>
          <w:tcPr>
            <w:tcW w:w="880" w:type="dxa"/>
            <w:vAlign w:val="bottom"/>
          </w:tcPr>
          <w:p>
            <w:pPr>
              <w:spacing w:after="0"/>
              <w:rPr>
                <w:sz w:val="18"/>
                <w:szCs w:val="18"/>
                <w:color w:val="auto"/>
              </w:rPr>
            </w:pPr>
          </w:p>
        </w:tc>
        <w:tc>
          <w:tcPr>
            <w:tcW w:w="10520" w:type="dxa"/>
            <w:vAlign w:val="bottom"/>
            <w:gridSpan w:val="3"/>
          </w:tcPr>
          <w:p>
            <w:pPr>
              <w:ind w:left="1280"/>
              <w:spacing w:after="0"/>
              <w:rPr>
                <w:sz w:val="20"/>
                <w:szCs w:val="20"/>
                <w:color w:val="auto"/>
              </w:rPr>
            </w:pPr>
            <w:r>
              <w:rPr>
                <w:rFonts w:ascii="Times New Roman" w:cs="Times New Roman" w:eastAsia="Times New Roman" w:hAnsi="Times New Roman"/>
                <w:sz w:val="18"/>
                <w:szCs w:val="18"/>
                <w:color w:val="auto"/>
                <w:w w:val="97"/>
              </w:rPr>
              <w:t>3, 2004, among Cendant Rental Car Funding (AESOP) LLC*** and The Bank of New York, as Trustee (Incorporated by reference</w:t>
            </w:r>
          </w:p>
        </w:tc>
      </w:tr>
      <w:tr>
        <w:trPr>
          <w:trHeight w:val="228"/>
        </w:trPr>
        <w:tc>
          <w:tcPr>
            <w:tcW w:w="880" w:type="dxa"/>
            <w:vAlign w:val="bottom"/>
          </w:tcPr>
          <w:p>
            <w:pPr>
              <w:spacing w:after="0"/>
              <w:rPr>
                <w:sz w:val="19"/>
                <w:szCs w:val="19"/>
                <w:color w:val="auto"/>
              </w:rPr>
            </w:pPr>
          </w:p>
        </w:tc>
        <w:tc>
          <w:tcPr>
            <w:tcW w:w="10520" w:type="dxa"/>
            <w:vAlign w:val="bottom"/>
            <w:gridSpan w:val="3"/>
          </w:tcPr>
          <w:p>
            <w:pPr>
              <w:ind w:left="1280"/>
              <w:spacing w:after="0"/>
              <w:rPr>
                <w:sz w:val="20"/>
                <w:szCs w:val="20"/>
                <w:color w:val="auto"/>
              </w:rPr>
            </w:pPr>
            <w:r>
              <w:rPr>
                <w:rFonts w:ascii="Times New Roman" w:cs="Times New Roman" w:eastAsia="Times New Roman" w:hAnsi="Times New Roman"/>
                <w:sz w:val="18"/>
                <w:szCs w:val="18"/>
                <w:color w:val="auto"/>
              </w:rPr>
              <w:t>to Exhibit 10.1 to the Company’s Current Report on Form 8-K dated June 7, 2005).</w:t>
            </w:r>
          </w:p>
        </w:tc>
      </w:tr>
      <w:tr>
        <w:trPr>
          <w:trHeight w:val="3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10.35(b)</w:t>
            </w:r>
          </w:p>
        </w:tc>
        <w:tc>
          <w:tcPr>
            <w:tcW w:w="10520" w:type="dxa"/>
            <w:vAlign w:val="bottom"/>
            <w:gridSpan w:val="3"/>
          </w:tcPr>
          <w:p>
            <w:pPr>
              <w:ind w:left="1280"/>
              <w:spacing w:after="0"/>
              <w:rPr>
                <w:sz w:val="20"/>
                <w:szCs w:val="20"/>
                <w:color w:val="auto"/>
              </w:rPr>
            </w:pPr>
            <w:r>
              <w:rPr>
                <w:rFonts w:ascii="Times New Roman" w:cs="Times New Roman" w:eastAsia="Times New Roman" w:hAnsi="Times New Roman"/>
                <w:sz w:val="18"/>
                <w:szCs w:val="18"/>
                <w:color w:val="auto"/>
                <w:w w:val="97"/>
              </w:rPr>
              <w:t>First Amendment, dated as of December 23, 2005, among Cendant Rental Car Funding (AESOP) LLC***, as Issuer, and The Bank</w:t>
            </w:r>
          </w:p>
        </w:tc>
      </w:tr>
      <w:tr>
        <w:trPr>
          <w:trHeight w:val="216"/>
        </w:trPr>
        <w:tc>
          <w:tcPr>
            <w:tcW w:w="880" w:type="dxa"/>
            <w:vAlign w:val="bottom"/>
          </w:tcPr>
          <w:p>
            <w:pPr>
              <w:spacing w:after="0"/>
              <w:rPr>
                <w:sz w:val="18"/>
                <w:szCs w:val="18"/>
                <w:color w:val="auto"/>
              </w:rPr>
            </w:pPr>
          </w:p>
        </w:tc>
        <w:tc>
          <w:tcPr>
            <w:tcW w:w="10520" w:type="dxa"/>
            <w:vAlign w:val="bottom"/>
            <w:gridSpan w:val="3"/>
          </w:tcPr>
          <w:p>
            <w:pPr>
              <w:ind w:left="1280"/>
              <w:spacing w:after="0"/>
              <w:rPr>
                <w:sz w:val="20"/>
                <w:szCs w:val="20"/>
                <w:color w:val="auto"/>
              </w:rPr>
            </w:pPr>
            <w:r>
              <w:rPr>
                <w:rFonts w:ascii="Times New Roman" w:cs="Times New Roman" w:eastAsia="Times New Roman" w:hAnsi="Times New Roman"/>
                <w:sz w:val="18"/>
                <w:szCs w:val="18"/>
                <w:color w:val="auto"/>
              </w:rPr>
              <w:t>of New York, as Trustee and Series 2005-4 Agent, to the Series 2005-4 Supplement dated as of June 1, 2005 (Incorporated by</w:t>
            </w:r>
          </w:p>
        </w:tc>
      </w:tr>
      <w:tr>
        <w:trPr>
          <w:trHeight w:val="216"/>
        </w:trPr>
        <w:tc>
          <w:tcPr>
            <w:tcW w:w="880" w:type="dxa"/>
            <w:vAlign w:val="bottom"/>
          </w:tcPr>
          <w:p>
            <w:pPr>
              <w:spacing w:after="0"/>
              <w:rPr>
                <w:sz w:val="18"/>
                <w:szCs w:val="18"/>
                <w:color w:val="auto"/>
              </w:rPr>
            </w:pPr>
          </w:p>
        </w:tc>
        <w:tc>
          <w:tcPr>
            <w:tcW w:w="10520" w:type="dxa"/>
            <w:vAlign w:val="bottom"/>
            <w:gridSpan w:val="3"/>
          </w:tcPr>
          <w:p>
            <w:pPr>
              <w:ind w:left="1280"/>
              <w:spacing w:after="0"/>
              <w:rPr>
                <w:sz w:val="20"/>
                <w:szCs w:val="20"/>
                <w:color w:val="auto"/>
              </w:rPr>
            </w:pPr>
            <w:r>
              <w:rPr>
                <w:rFonts w:ascii="Times New Roman" w:cs="Times New Roman" w:eastAsia="Times New Roman" w:hAnsi="Times New Roman"/>
                <w:sz w:val="18"/>
                <w:szCs w:val="18"/>
                <w:color w:val="auto"/>
                <w:w w:val="98"/>
              </w:rPr>
              <w:t>reference to Exhibit 10.30(b) to the Company’s Annual Report on Form 10-K for the year ended December 31, 2005, dated March</w:t>
            </w:r>
          </w:p>
        </w:tc>
      </w:tr>
      <w:tr>
        <w:trPr>
          <w:trHeight w:val="228"/>
        </w:trPr>
        <w:tc>
          <w:tcPr>
            <w:tcW w:w="880" w:type="dxa"/>
            <w:vAlign w:val="bottom"/>
          </w:tcPr>
          <w:p>
            <w:pPr>
              <w:spacing w:after="0"/>
              <w:rPr>
                <w:sz w:val="19"/>
                <w:szCs w:val="19"/>
                <w:color w:val="auto"/>
              </w:rPr>
            </w:pPr>
          </w:p>
        </w:tc>
        <w:tc>
          <w:tcPr>
            <w:tcW w:w="546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1, 2006).</w:t>
            </w:r>
          </w:p>
        </w:tc>
        <w:tc>
          <w:tcPr>
            <w:tcW w:w="900" w:type="dxa"/>
            <w:vAlign w:val="bottom"/>
          </w:tcPr>
          <w:p>
            <w:pPr>
              <w:spacing w:after="0"/>
              <w:rPr>
                <w:sz w:val="19"/>
                <w:szCs w:val="19"/>
                <w:color w:val="auto"/>
              </w:rPr>
            </w:pPr>
          </w:p>
        </w:tc>
        <w:tc>
          <w:tcPr>
            <w:tcW w:w="4160" w:type="dxa"/>
            <w:vAlign w:val="bottom"/>
          </w:tcPr>
          <w:p>
            <w:pPr>
              <w:spacing w:after="0"/>
              <w:rPr>
                <w:sz w:val="19"/>
                <w:szCs w:val="19"/>
                <w:color w:val="auto"/>
              </w:rPr>
            </w:pPr>
          </w:p>
        </w:tc>
      </w:tr>
      <w:tr>
        <w:trPr>
          <w:trHeight w:val="3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10.35(c)</w:t>
            </w:r>
          </w:p>
        </w:tc>
        <w:tc>
          <w:tcPr>
            <w:tcW w:w="10520" w:type="dxa"/>
            <w:vAlign w:val="bottom"/>
            <w:gridSpan w:val="3"/>
          </w:tcPr>
          <w:p>
            <w:pPr>
              <w:ind w:left="1280"/>
              <w:spacing w:after="0"/>
              <w:rPr>
                <w:sz w:val="20"/>
                <w:szCs w:val="20"/>
                <w:color w:val="auto"/>
              </w:rPr>
            </w:pPr>
            <w:r>
              <w:rPr>
                <w:rFonts w:ascii="Times New Roman" w:cs="Times New Roman" w:eastAsia="Times New Roman" w:hAnsi="Times New Roman"/>
                <w:sz w:val="18"/>
                <w:szCs w:val="18"/>
                <w:color w:val="auto"/>
                <w:w w:val="97"/>
              </w:rPr>
              <w:t>Second Amendment, dated as of May 9, 2007, among Avis Budget Rental Car Funding (AESOP) LLC, as Issuer, and The Bank of</w:t>
            </w:r>
          </w:p>
        </w:tc>
      </w:tr>
      <w:tr>
        <w:trPr>
          <w:trHeight w:val="216"/>
        </w:trPr>
        <w:tc>
          <w:tcPr>
            <w:tcW w:w="880" w:type="dxa"/>
            <w:vAlign w:val="bottom"/>
          </w:tcPr>
          <w:p>
            <w:pPr>
              <w:spacing w:after="0"/>
              <w:rPr>
                <w:sz w:val="18"/>
                <w:szCs w:val="18"/>
                <w:color w:val="auto"/>
              </w:rPr>
            </w:pPr>
          </w:p>
        </w:tc>
        <w:tc>
          <w:tcPr>
            <w:tcW w:w="10520" w:type="dxa"/>
            <w:vAlign w:val="bottom"/>
            <w:gridSpan w:val="3"/>
          </w:tcPr>
          <w:p>
            <w:pPr>
              <w:ind w:left="1280"/>
              <w:spacing w:after="0"/>
              <w:rPr>
                <w:sz w:val="20"/>
                <w:szCs w:val="20"/>
                <w:color w:val="auto"/>
              </w:rPr>
            </w:pPr>
            <w:r>
              <w:rPr>
                <w:rFonts w:ascii="Times New Roman" w:cs="Times New Roman" w:eastAsia="Times New Roman" w:hAnsi="Times New Roman"/>
                <w:sz w:val="18"/>
                <w:szCs w:val="18"/>
                <w:color w:val="auto"/>
                <w:w w:val="97"/>
              </w:rPr>
              <w:t>New York Trust Company, N.A. (as successor in interest to The Bank of New York), as Trustee and as Series 2005-4 Agent, to the</w:t>
            </w:r>
          </w:p>
        </w:tc>
      </w:tr>
      <w:tr>
        <w:trPr>
          <w:trHeight w:val="216"/>
        </w:trPr>
        <w:tc>
          <w:tcPr>
            <w:tcW w:w="880" w:type="dxa"/>
            <w:vAlign w:val="bottom"/>
          </w:tcPr>
          <w:p>
            <w:pPr>
              <w:spacing w:after="0"/>
              <w:rPr>
                <w:sz w:val="18"/>
                <w:szCs w:val="18"/>
                <w:color w:val="auto"/>
              </w:rPr>
            </w:pPr>
          </w:p>
        </w:tc>
        <w:tc>
          <w:tcPr>
            <w:tcW w:w="10520" w:type="dxa"/>
            <w:vAlign w:val="bottom"/>
            <w:gridSpan w:val="3"/>
          </w:tcPr>
          <w:p>
            <w:pPr>
              <w:ind w:left="1280"/>
              <w:spacing w:after="0"/>
              <w:rPr>
                <w:sz w:val="20"/>
                <w:szCs w:val="20"/>
                <w:color w:val="auto"/>
              </w:rPr>
            </w:pPr>
            <w:r>
              <w:rPr>
                <w:rFonts w:ascii="Times New Roman" w:cs="Times New Roman" w:eastAsia="Times New Roman" w:hAnsi="Times New Roman"/>
                <w:sz w:val="18"/>
                <w:szCs w:val="18"/>
                <w:color w:val="auto"/>
                <w:w w:val="99"/>
              </w:rPr>
              <w:t>Series 2005-4 Supplement, dated as of June 1, 2005 (Incorporated by reference to Exhibit 10.25 the Company Form 10-Q for the</w:t>
            </w:r>
          </w:p>
        </w:tc>
      </w:tr>
      <w:tr>
        <w:trPr>
          <w:trHeight w:val="228"/>
        </w:trPr>
        <w:tc>
          <w:tcPr>
            <w:tcW w:w="880" w:type="dxa"/>
            <w:vAlign w:val="bottom"/>
          </w:tcPr>
          <w:p>
            <w:pPr>
              <w:spacing w:after="0"/>
              <w:rPr>
                <w:sz w:val="19"/>
                <w:szCs w:val="19"/>
                <w:color w:val="auto"/>
              </w:rPr>
            </w:pPr>
          </w:p>
        </w:tc>
        <w:tc>
          <w:tcPr>
            <w:tcW w:w="10520" w:type="dxa"/>
            <w:vAlign w:val="bottom"/>
            <w:gridSpan w:val="3"/>
          </w:tcPr>
          <w:p>
            <w:pPr>
              <w:ind w:left="1280"/>
              <w:spacing w:after="0"/>
              <w:rPr>
                <w:sz w:val="20"/>
                <w:szCs w:val="20"/>
                <w:color w:val="auto"/>
              </w:rPr>
            </w:pPr>
            <w:r>
              <w:rPr>
                <w:rFonts w:ascii="Times New Roman" w:cs="Times New Roman" w:eastAsia="Times New Roman" w:hAnsi="Times New Roman"/>
                <w:sz w:val="18"/>
                <w:szCs w:val="18"/>
                <w:color w:val="auto"/>
              </w:rPr>
              <w:t>quarterly period ended June 30, 2007, dated August 8, 2007).</w:t>
            </w:r>
          </w:p>
        </w:tc>
      </w:tr>
      <w:tr>
        <w:trPr>
          <w:trHeight w:val="3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10.35(d)</w:t>
            </w:r>
          </w:p>
        </w:tc>
        <w:tc>
          <w:tcPr>
            <w:tcW w:w="10520" w:type="dxa"/>
            <w:vAlign w:val="bottom"/>
            <w:gridSpan w:val="3"/>
          </w:tcPr>
          <w:p>
            <w:pPr>
              <w:ind w:left="1280"/>
              <w:spacing w:after="0"/>
              <w:rPr>
                <w:sz w:val="20"/>
                <w:szCs w:val="20"/>
                <w:color w:val="auto"/>
              </w:rPr>
            </w:pPr>
            <w:r>
              <w:rPr>
                <w:rFonts w:ascii="Times New Roman" w:cs="Times New Roman" w:eastAsia="Times New Roman" w:hAnsi="Times New Roman"/>
                <w:sz w:val="18"/>
                <w:szCs w:val="18"/>
                <w:color w:val="auto"/>
                <w:w w:val="99"/>
              </w:rPr>
              <w:t>Third Amendment, dated as of November 11, 2008, between Avis Budget Rental Car Funding (AESOP) LLC, as Issuer, and The</w:t>
            </w:r>
          </w:p>
        </w:tc>
      </w:tr>
      <w:tr>
        <w:trPr>
          <w:trHeight w:val="216"/>
        </w:trPr>
        <w:tc>
          <w:tcPr>
            <w:tcW w:w="880" w:type="dxa"/>
            <w:vAlign w:val="bottom"/>
          </w:tcPr>
          <w:p>
            <w:pPr>
              <w:spacing w:after="0"/>
              <w:rPr>
                <w:sz w:val="18"/>
                <w:szCs w:val="18"/>
                <w:color w:val="auto"/>
              </w:rPr>
            </w:pPr>
          </w:p>
        </w:tc>
        <w:tc>
          <w:tcPr>
            <w:tcW w:w="10520" w:type="dxa"/>
            <w:vAlign w:val="bottom"/>
            <w:gridSpan w:val="3"/>
          </w:tcPr>
          <w:p>
            <w:pPr>
              <w:ind w:left="1280"/>
              <w:spacing w:after="0"/>
              <w:rPr>
                <w:sz w:val="20"/>
                <w:szCs w:val="20"/>
                <w:color w:val="auto"/>
              </w:rPr>
            </w:pPr>
            <w:r>
              <w:rPr>
                <w:rFonts w:ascii="Times New Roman" w:cs="Times New Roman" w:eastAsia="Times New Roman" w:hAnsi="Times New Roman"/>
                <w:sz w:val="18"/>
                <w:szCs w:val="18"/>
                <w:color w:val="auto"/>
              </w:rPr>
              <w:t>Bank of New York Mellon Trust Company, N.A. (as successor in interest to The Bank of New York), as Trustee and as Series</w:t>
            </w:r>
          </w:p>
        </w:tc>
      </w:tr>
      <w:tr>
        <w:trPr>
          <w:trHeight w:val="216"/>
        </w:trPr>
        <w:tc>
          <w:tcPr>
            <w:tcW w:w="880" w:type="dxa"/>
            <w:vAlign w:val="bottom"/>
          </w:tcPr>
          <w:p>
            <w:pPr>
              <w:spacing w:after="0"/>
              <w:rPr>
                <w:sz w:val="18"/>
                <w:szCs w:val="18"/>
                <w:color w:val="auto"/>
              </w:rPr>
            </w:pPr>
          </w:p>
        </w:tc>
        <w:tc>
          <w:tcPr>
            <w:tcW w:w="10520" w:type="dxa"/>
            <w:vAlign w:val="bottom"/>
            <w:gridSpan w:val="3"/>
          </w:tcPr>
          <w:p>
            <w:pPr>
              <w:ind w:left="1280"/>
              <w:spacing w:after="0"/>
              <w:rPr>
                <w:sz w:val="20"/>
                <w:szCs w:val="20"/>
                <w:color w:val="auto"/>
              </w:rPr>
            </w:pPr>
            <w:r>
              <w:rPr>
                <w:rFonts w:ascii="Times New Roman" w:cs="Times New Roman" w:eastAsia="Times New Roman" w:hAnsi="Times New Roman"/>
                <w:sz w:val="18"/>
                <w:szCs w:val="18"/>
                <w:color w:val="auto"/>
              </w:rPr>
              <w:t>2005-4 Agent, to the Series 2005-4 Supplement, dated as of June 1, 2005 (Incorporated by reference to Exhibit 10.34(d) to the</w:t>
            </w:r>
          </w:p>
        </w:tc>
      </w:tr>
      <w:tr>
        <w:trPr>
          <w:trHeight w:val="228"/>
        </w:trPr>
        <w:tc>
          <w:tcPr>
            <w:tcW w:w="880" w:type="dxa"/>
            <w:vAlign w:val="bottom"/>
          </w:tcPr>
          <w:p>
            <w:pPr>
              <w:spacing w:after="0"/>
              <w:rPr>
                <w:sz w:val="19"/>
                <w:szCs w:val="19"/>
                <w:color w:val="auto"/>
              </w:rPr>
            </w:pPr>
          </w:p>
        </w:tc>
        <w:tc>
          <w:tcPr>
            <w:tcW w:w="10520" w:type="dxa"/>
            <w:vAlign w:val="bottom"/>
            <w:gridSpan w:val="3"/>
          </w:tcPr>
          <w:p>
            <w:pPr>
              <w:ind w:left="1280"/>
              <w:spacing w:after="0"/>
              <w:rPr>
                <w:sz w:val="20"/>
                <w:szCs w:val="20"/>
                <w:color w:val="auto"/>
              </w:rPr>
            </w:pPr>
            <w:r>
              <w:rPr>
                <w:rFonts w:ascii="Times New Roman" w:cs="Times New Roman" w:eastAsia="Times New Roman" w:hAnsi="Times New Roman"/>
                <w:sz w:val="18"/>
                <w:szCs w:val="18"/>
                <w:color w:val="auto"/>
              </w:rPr>
              <w:t>Company’s Annual Report on Form 10-K for the year ended December 31, 2008).</w:t>
            </w:r>
          </w:p>
        </w:tc>
      </w:tr>
      <w:tr>
        <w:trPr>
          <w:trHeight w:val="365"/>
        </w:trPr>
        <w:tc>
          <w:tcPr>
            <w:tcW w:w="880" w:type="dxa"/>
            <w:vAlign w:val="bottom"/>
          </w:tcPr>
          <w:p>
            <w:pPr>
              <w:spacing w:after="0"/>
              <w:rPr>
                <w:sz w:val="24"/>
                <w:szCs w:val="24"/>
                <w:color w:val="auto"/>
              </w:rPr>
            </w:pPr>
          </w:p>
        </w:tc>
        <w:tc>
          <w:tcPr>
            <w:tcW w:w="10520" w:type="dxa"/>
            <w:vAlign w:val="bottom"/>
            <w:gridSpan w:val="3"/>
          </w:tcPr>
          <w:p>
            <w:pPr>
              <w:ind w:left="4700"/>
              <w:spacing w:after="0"/>
              <w:rPr>
                <w:sz w:val="20"/>
                <w:szCs w:val="20"/>
                <w:color w:val="auto"/>
              </w:rPr>
            </w:pPr>
            <w:r>
              <w:rPr>
                <w:rFonts w:ascii="Times New Roman" w:cs="Times New Roman" w:eastAsia="Times New Roman" w:hAnsi="Times New Roman"/>
                <w:sz w:val="18"/>
                <w:szCs w:val="18"/>
                <w:color w:val="auto"/>
              </w:rPr>
              <w:t>H-7</w:t>
            </w:r>
          </w:p>
        </w:tc>
      </w:tr>
    </w:tbl>
    <w:p>
      <w:pPr>
        <w:sectPr>
          <w:pgSz w:w="11900" w:h="16838" w:orient="portrait"/>
          <w:cols w:equalWidth="0" w:num="1">
            <w:col w:w="11400"/>
          </w:cols>
          <w:pgMar w:left="240" w:top="455" w:right="259" w:bottom="1440" w:gutter="0" w:footer="0" w:header="0"/>
        </w:sectPr>
      </w:pPr>
    </w:p>
    <w:bookmarkStart w:id="130" w:name="page131"/>
    <w:bookmarkEnd w:id="13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7"/>
              </w:rPr>
              <w:t>Exhibit No.</w:t>
            </w:r>
          </w:p>
        </w:tc>
        <w:tc>
          <w:tcPr>
            <w:tcW w:w="5460" w:type="dxa"/>
            <w:vAlign w:val="bottom"/>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6"/>
              </w:rPr>
              <w:t>Description</w:t>
            </w:r>
          </w:p>
        </w:tc>
        <w:tc>
          <w:tcPr>
            <w:tcW w:w="4200" w:type="dxa"/>
            <w:vAlign w:val="bottom"/>
          </w:tcPr>
          <w:p>
            <w:pPr>
              <w:spacing w:after="0"/>
              <w:rPr>
                <w:sz w:val="20"/>
                <w:szCs w:val="20"/>
                <w:color w:val="auto"/>
              </w:rPr>
            </w:pPr>
          </w:p>
        </w:tc>
      </w:tr>
      <w:tr>
        <w:trPr>
          <w:trHeight w:val="197"/>
        </w:trPr>
        <w:tc>
          <w:tcPr>
            <w:tcW w:w="880" w:type="dxa"/>
            <w:vAlign w:val="bottom"/>
          </w:tcPr>
          <w:p>
            <w:pPr>
              <w:spacing w:after="0" w:line="197" w:lineRule="exact"/>
              <w:rPr>
                <w:sz w:val="20"/>
                <w:szCs w:val="20"/>
                <w:color w:val="auto"/>
              </w:rPr>
            </w:pPr>
            <w:r>
              <w:rPr>
                <w:rFonts w:ascii="Times New Roman" w:cs="Times New Roman" w:eastAsia="Times New Roman" w:hAnsi="Times New Roman"/>
                <w:sz w:val="18"/>
                <w:szCs w:val="18"/>
                <w:color w:val="auto"/>
              </w:rPr>
              <w:t>10.36(a)</w:t>
            </w:r>
          </w:p>
        </w:tc>
        <w:tc>
          <w:tcPr>
            <w:tcW w:w="6340" w:type="dxa"/>
            <w:vAlign w:val="bottom"/>
            <w:gridSpan w:val="2"/>
          </w:tcPr>
          <w:p>
            <w:pPr>
              <w:ind w:left="1260"/>
              <w:spacing w:after="0" w:line="197" w:lineRule="exact"/>
              <w:rPr>
                <w:sz w:val="20"/>
                <w:szCs w:val="20"/>
                <w:color w:val="auto"/>
              </w:rPr>
            </w:pPr>
            <w:r>
              <w:rPr>
                <w:rFonts w:ascii="Times New Roman" w:cs="Times New Roman" w:eastAsia="Times New Roman" w:hAnsi="Times New Roman"/>
                <w:sz w:val="18"/>
                <w:szCs w:val="18"/>
                <w:color w:val="auto"/>
                <w:w w:val="95"/>
              </w:rPr>
              <w:t>Series 2006-1 Supplement, dated as of January 19, 2006, among Cendant</w:t>
            </w:r>
          </w:p>
        </w:tc>
        <w:tc>
          <w:tcPr>
            <w:tcW w:w="4200" w:type="dxa"/>
            <w:vAlign w:val="bottom"/>
          </w:tcPr>
          <w:p>
            <w:pPr>
              <w:ind w:left="120"/>
              <w:spacing w:after="0" w:line="197" w:lineRule="exact"/>
              <w:rPr>
                <w:sz w:val="20"/>
                <w:szCs w:val="20"/>
                <w:color w:val="auto"/>
              </w:rPr>
            </w:pPr>
            <w:r>
              <w:rPr>
                <w:rFonts w:ascii="Times New Roman" w:cs="Times New Roman" w:eastAsia="Times New Roman" w:hAnsi="Times New Roman"/>
                <w:sz w:val="18"/>
                <w:szCs w:val="18"/>
                <w:color w:val="auto"/>
                <w:w w:val="96"/>
              </w:rPr>
              <w:t>Rental Car Funding (AESOP) LLC***, as Issuer, and The</w:t>
            </w:r>
          </w:p>
        </w:tc>
      </w:tr>
      <w:tr>
        <w:trPr>
          <w:trHeight w:val="216"/>
        </w:trPr>
        <w:tc>
          <w:tcPr>
            <w:tcW w:w="880" w:type="dxa"/>
            <w:vAlign w:val="bottom"/>
          </w:tcPr>
          <w:p>
            <w:pPr>
              <w:spacing w:after="0"/>
              <w:rPr>
                <w:sz w:val="18"/>
                <w:szCs w:val="18"/>
                <w:color w:val="auto"/>
              </w:rPr>
            </w:pPr>
          </w:p>
        </w:tc>
        <w:tc>
          <w:tcPr>
            <w:tcW w:w="1054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Bank of New York, as Trustee and as Series 2006-1 Agent, to the Second Amended and Restated Base Indenture, dated as of</w:t>
            </w:r>
          </w:p>
        </w:tc>
      </w:tr>
      <w:tr>
        <w:trPr>
          <w:trHeight w:val="216"/>
        </w:trPr>
        <w:tc>
          <w:tcPr>
            <w:tcW w:w="880" w:type="dxa"/>
            <w:vAlign w:val="bottom"/>
          </w:tcPr>
          <w:p>
            <w:pPr>
              <w:spacing w:after="0"/>
              <w:rPr>
                <w:sz w:val="18"/>
                <w:szCs w:val="18"/>
                <w:color w:val="auto"/>
              </w:rPr>
            </w:pPr>
          </w:p>
        </w:tc>
        <w:tc>
          <w:tcPr>
            <w:tcW w:w="1054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June 3, 2004, among Cendant Rental Car Funding (AESOP) LLC***, as Issuer and The Bank of New York, as Trustee</w:t>
            </w:r>
          </w:p>
        </w:tc>
      </w:tr>
      <w:tr>
        <w:trPr>
          <w:trHeight w:val="228"/>
        </w:trPr>
        <w:tc>
          <w:tcPr>
            <w:tcW w:w="880" w:type="dxa"/>
            <w:vAlign w:val="bottom"/>
          </w:tcPr>
          <w:p>
            <w:pPr>
              <w:spacing w:after="0"/>
              <w:rPr>
                <w:sz w:val="19"/>
                <w:szCs w:val="19"/>
                <w:color w:val="auto"/>
              </w:rPr>
            </w:pPr>
          </w:p>
        </w:tc>
        <w:tc>
          <w:tcPr>
            <w:tcW w:w="1054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(Incorporated by reference to Exhibit 10.4 to the Company’s Current Report on Form 8K dated January 20, 2006).</w:t>
            </w:r>
          </w:p>
        </w:tc>
      </w:tr>
      <w:tr>
        <w:trPr>
          <w:trHeight w:val="3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10.36(b)</w:t>
            </w:r>
          </w:p>
        </w:tc>
        <w:tc>
          <w:tcPr>
            <w:tcW w:w="1054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First Amendment, dated as of May 9, 2007, among Avis Budget Rental Car Funding (AESOP) LLC, as Issuer, and The Bank of</w:t>
            </w:r>
          </w:p>
        </w:tc>
      </w:tr>
      <w:tr>
        <w:trPr>
          <w:trHeight w:val="216"/>
        </w:trPr>
        <w:tc>
          <w:tcPr>
            <w:tcW w:w="880" w:type="dxa"/>
            <w:vAlign w:val="bottom"/>
          </w:tcPr>
          <w:p>
            <w:pPr>
              <w:spacing w:after="0"/>
              <w:rPr>
                <w:sz w:val="18"/>
                <w:szCs w:val="18"/>
                <w:color w:val="auto"/>
              </w:rPr>
            </w:pPr>
          </w:p>
        </w:tc>
        <w:tc>
          <w:tcPr>
            <w:tcW w:w="1054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w w:val="98"/>
              </w:rPr>
              <w:t>New York Trust Company, N.A. (as successor in interest to The Bank of New York), as Trustee and as Series 2006-1 Agent, to the</w:t>
            </w:r>
          </w:p>
        </w:tc>
      </w:tr>
      <w:tr>
        <w:trPr>
          <w:trHeight w:val="216"/>
        </w:trPr>
        <w:tc>
          <w:tcPr>
            <w:tcW w:w="880" w:type="dxa"/>
            <w:vAlign w:val="bottom"/>
          </w:tcPr>
          <w:p>
            <w:pPr>
              <w:spacing w:after="0"/>
              <w:rPr>
                <w:sz w:val="18"/>
                <w:szCs w:val="18"/>
                <w:color w:val="auto"/>
              </w:rPr>
            </w:pPr>
          </w:p>
        </w:tc>
        <w:tc>
          <w:tcPr>
            <w:tcW w:w="1054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w w:val="99"/>
              </w:rPr>
              <w:t>Series 2006-1 Supplement, dated as of January 11, 2006 (Incorporated by reference to Exhibit 10.26 the Company Form 10-Q for</w:t>
            </w:r>
          </w:p>
        </w:tc>
      </w:tr>
      <w:tr>
        <w:trPr>
          <w:trHeight w:val="228"/>
        </w:trPr>
        <w:tc>
          <w:tcPr>
            <w:tcW w:w="880" w:type="dxa"/>
            <w:vAlign w:val="bottom"/>
          </w:tcPr>
          <w:p>
            <w:pPr>
              <w:spacing w:after="0"/>
              <w:rPr>
                <w:sz w:val="19"/>
                <w:szCs w:val="19"/>
                <w:color w:val="auto"/>
              </w:rPr>
            </w:pPr>
          </w:p>
        </w:tc>
        <w:tc>
          <w:tcPr>
            <w:tcW w:w="1054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the quarterly period ended June 30, 2007, dated August 8, 2007).</w:t>
            </w:r>
          </w:p>
        </w:tc>
      </w:tr>
      <w:tr>
        <w:trPr>
          <w:trHeight w:val="3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10.36(c)</w:t>
            </w:r>
          </w:p>
        </w:tc>
        <w:tc>
          <w:tcPr>
            <w:tcW w:w="1054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w w:val="98"/>
              </w:rPr>
              <w:t>Second Amendment, dated as of September 1, 2009, to the Series 2006-1 Supplement dated as of January 19, 2006, between Avis</w:t>
            </w:r>
          </w:p>
        </w:tc>
      </w:tr>
      <w:tr>
        <w:trPr>
          <w:trHeight w:val="216"/>
        </w:trPr>
        <w:tc>
          <w:tcPr>
            <w:tcW w:w="880" w:type="dxa"/>
            <w:vAlign w:val="bottom"/>
          </w:tcPr>
          <w:p>
            <w:pPr>
              <w:spacing w:after="0"/>
              <w:rPr>
                <w:sz w:val="18"/>
                <w:szCs w:val="18"/>
                <w:color w:val="auto"/>
              </w:rPr>
            </w:pPr>
          </w:p>
        </w:tc>
        <w:tc>
          <w:tcPr>
            <w:tcW w:w="1054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w w:val="99"/>
              </w:rPr>
              <w:t>Budget Rental Car Funding (AESOP) LLC and The Bank of New York Mellon Trust Company, N.A. (as successor in interest to</w:t>
            </w:r>
          </w:p>
        </w:tc>
      </w:tr>
      <w:tr>
        <w:trPr>
          <w:trHeight w:val="216"/>
        </w:trPr>
        <w:tc>
          <w:tcPr>
            <w:tcW w:w="880" w:type="dxa"/>
            <w:vAlign w:val="bottom"/>
          </w:tcPr>
          <w:p>
            <w:pPr>
              <w:spacing w:after="0"/>
              <w:rPr>
                <w:sz w:val="18"/>
                <w:szCs w:val="18"/>
                <w:color w:val="auto"/>
              </w:rPr>
            </w:pPr>
          </w:p>
        </w:tc>
        <w:tc>
          <w:tcPr>
            <w:tcW w:w="1054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w w:val="97"/>
              </w:rPr>
              <w:t>The Bank of New York Trust Company, N.A.), as trustee and Series 2006-1 Agent (Incorporated by reference to Exhibit 10.1 to the</w:t>
            </w:r>
          </w:p>
        </w:tc>
      </w:tr>
      <w:tr>
        <w:trPr>
          <w:trHeight w:val="228"/>
        </w:trPr>
        <w:tc>
          <w:tcPr>
            <w:tcW w:w="880" w:type="dxa"/>
            <w:vAlign w:val="bottom"/>
          </w:tcPr>
          <w:p>
            <w:pPr>
              <w:spacing w:after="0"/>
              <w:rPr>
                <w:sz w:val="19"/>
                <w:szCs w:val="19"/>
                <w:color w:val="auto"/>
              </w:rPr>
            </w:pPr>
          </w:p>
        </w:tc>
        <w:tc>
          <w:tcPr>
            <w:tcW w:w="1054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Company’s Quarterly Report on Form 10-Q for the quarter ended September 30, 2009).</w:t>
            </w:r>
          </w:p>
        </w:tc>
      </w:tr>
      <w:tr>
        <w:trPr>
          <w:trHeight w:val="3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10.37(a)</w:t>
            </w:r>
          </w:p>
        </w:tc>
        <w:tc>
          <w:tcPr>
            <w:tcW w:w="1054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Series 2007-2 Supplement, dated as of June 6, 2007, among Avis Budget Rental Car Funding (AESOP) LLC, as Issuer and The</w:t>
            </w:r>
          </w:p>
        </w:tc>
      </w:tr>
      <w:tr>
        <w:trPr>
          <w:trHeight w:val="216"/>
        </w:trPr>
        <w:tc>
          <w:tcPr>
            <w:tcW w:w="880" w:type="dxa"/>
            <w:vAlign w:val="bottom"/>
          </w:tcPr>
          <w:p>
            <w:pPr>
              <w:spacing w:after="0"/>
              <w:rPr>
                <w:sz w:val="18"/>
                <w:szCs w:val="18"/>
                <w:color w:val="auto"/>
              </w:rPr>
            </w:pPr>
          </w:p>
        </w:tc>
        <w:tc>
          <w:tcPr>
            <w:tcW w:w="1054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Bank of New York Trust Company, N.A., as Trustee and Series 2007-2 Agent, to the Second Amended and Restated Base</w:t>
            </w:r>
          </w:p>
        </w:tc>
      </w:tr>
      <w:tr>
        <w:trPr>
          <w:trHeight w:val="216"/>
        </w:trPr>
        <w:tc>
          <w:tcPr>
            <w:tcW w:w="880" w:type="dxa"/>
            <w:vAlign w:val="bottom"/>
          </w:tcPr>
          <w:p>
            <w:pPr>
              <w:spacing w:after="0"/>
              <w:rPr>
                <w:sz w:val="18"/>
                <w:szCs w:val="18"/>
                <w:color w:val="auto"/>
              </w:rPr>
            </w:pPr>
          </w:p>
        </w:tc>
        <w:tc>
          <w:tcPr>
            <w:tcW w:w="1054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w w:val="98"/>
              </w:rPr>
              <w:t>Indenture, dated as of June 3, 2004, among Cendant Rental Car Funding (AESOP) LLC***, as Issuer and The Bank of New York,</w:t>
            </w:r>
          </w:p>
        </w:tc>
      </w:tr>
      <w:tr>
        <w:trPr>
          <w:trHeight w:val="216"/>
        </w:trPr>
        <w:tc>
          <w:tcPr>
            <w:tcW w:w="880" w:type="dxa"/>
            <w:vAlign w:val="bottom"/>
          </w:tcPr>
          <w:p>
            <w:pPr>
              <w:spacing w:after="0"/>
              <w:rPr>
                <w:sz w:val="18"/>
                <w:szCs w:val="18"/>
                <w:color w:val="auto"/>
              </w:rPr>
            </w:pPr>
          </w:p>
        </w:tc>
        <w:tc>
          <w:tcPr>
            <w:tcW w:w="1054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as Trustee, as amended (Incorporated by reference to Exhibit 10.1 to the Company’s Current Report on Form 8-K dated June 8,</w:t>
            </w:r>
          </w:p>
        </w:tc>
      </w:tr>
      <w:tr>
        <w:trPr>
          <w:trHeight w:val="228"/>
        </w:trPr>
        <w:tc>
          <w:tcPr>
            <w:tcW w:w="880" w:type="dxa"/>
            <w:vAlign w:val="bottom"/>
          </w:tcPr>
          <w:p>
            <w:pPr>
              <w:spacing w:after="0"/>
              <w:rPr>
                <w:sz w:val="19"/>
                <w:szCs w:val="19"/>
                <w:color w:val="auto"/>
              </w:rPr>
            </w:pPr>
          </w:p>
        </w:tc>
        <w:tc>
          <w:tcPr>
            <w:tcW w:w="546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2007).</w:t>
            </w:r>
          </w:p>
        </w:tc>
        <w:tc>
          <w:tcPr>
            <w:tcW w:w="880" w:type="dxa"/>
            <w:vAlign w:val="bottom"/>
          </w:tcPr>
          <w:p>
            <w:pPr>
              <w:spacing w:after="0"/>
              <w:rPr>
                <w:sz w:val="19"/>
                <w:szCs w:val="19"/>
                <w:color w:val="auto"/>
              </w:rPr>
            </w:pPr>
          </w:p>
        </w:tc>
        <w:tc>
          <w:tcPr>
            <w:tcW w:w="4200" w:type="dxa"/>
            <w:vAlign w:val="bottom"/>
          </w:tcPr>
          <w:p>
            <w:pPr>
              <w:spacing w:after="0"/>
              <w:rPr>
                <w:sz w:val="19"/>
                <w:szCs w:val="19"/>
                <w:color w:val="auto"/>
              </w:rPr>
            </w:pPr>
          </w:p>
        </w:tc>
      </w:tr>
      <w:tr>
        <w:trPr>
          <w:trHeight w:val="3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10.37(b)</w:t>
            </w:r>
          </w:p>
        </w:tc>
        <w:tc>
          <w:tcPr>
            <w:tcW w:w="1054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First Amendment, dated as of November 11, 2008, between Avis Budget Rental Car Funding (AESOP) LLC, as Issuer and The</w:t>
            </w:r>
          </w:p>
        </w:tc>
      </w:tr>
      <w:tr>
        <w:trPr>
          <w:trHeight w:val="216"/>
        </w:trPr>
        <w:tc>
          <w:tcPr>
            <w:tcW w:w="880" w:type="dxa"/>
            <w:vAlign w:val="bottom"/>
          </w:tcPr>
          <w:p>
            <w:pPr>
              <w:spacing w:after="0"/>
              <w:rPr>
                <w:sz w:val="18"/>
                <w:szCs w:val="18"/>
                <w:color w:val="auto"/>
              </w:rPr>
            </w:pPr>
          </w:p>
        </w:tc>
        <w:tc>
          <w:tcPr>
            <w:tcW w:w="1054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w w:val="97"/>
              </w:rPr>
              <w:t>Bank of New York Mellon Trust Company, N.A. (as successor in interest to The Bank of New York), as Trustee and Series 2007-2</w:t>
            </w:r>
          </w:p>
        </w:tc>
      </w:tr>
      <w:tr>
        <w:trPr>
          <w:trHeight w:val="216"/>
        </w:trPr>
        <w:tc>
          <w:tcPr>
            <w:tcW w:w="880" w:type="dxa"/>
            <w:vAlign w:val="bottom"/>
          </w:tcPr>
          <w:p>
            <w:pPr>
              <w:spacing w:after="0"/>
              <w:rPr>
                <w:sz w:val="18"/>
                <w:szCs w:val="18"/>
                <w:color w:val="auto"/>
              </w:rPr>
            </w:pPr>
          </w:p>
        </w:tc>
        <w:tc>
          <w:tcPr>
            <w:tcW w:w="1054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w w:val="98"/>
              </w:rPr>
              <w:t>Agent, to the Series 2007-2 Supplement, dated as of June 6, 2007 (Incorporated by reference to Exhibit 10.36(b) to the Company’s</w:t>
            </w:r>
          </w:p>
        </w:tc>
      </w:tr>
      <w:tr>
        <w:trPr>
          <w:trHeight w:val="228"/>
        </w:trPr>
        <w:tc>
          <w:tcPr>
            <w:tcW w:w="880" w:type="dxa"/>
            <w:vAlign w:val="bottom"/>
          </w:tcPr>
          <w:p>
            <w:pPr>
              <w:spacing w:after="0"/>
              <w:rPr>
                <w:sz w:val="19"/>
                <w:szCs w:val="19"/>
                <w:color w:val="auto"/>
              </w:rPr>
            </w:pPr>
          </w:p>
        </w:tc>
        <w:tc>
          <w:tcPr>
            <w:tcW w:w="1054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Annual Report on Form 10-K for the year ended December 31, 2008).</w:t>
            </w:r>
          </w:p>
        </w:tc>
      </w:tr>
      <w:tr>
        <w:trPr>
          <w:trHeight w:val="3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10.38(a)</w:t>
            </w:r>
          </w:p>
        </w:tc>
        <w:tc>
          <w:tcPr>
            <w:tcW w:w="1054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w w:val="97"/>
              </w:rPr>
              <w:t>Amended and Restated Series 2008-1 Supplement, dated as of October 29, 2009, among Avis Budget Rental Car Funding (AESOP)</w:t>
            </w:r>
          </w:p>
        </w:tc>
      </w:tr>
      <w:tr>
        <w:trPr>
          <w:trHeight w:val="216"/>
        </w:trPr>
        <w:tc>
          <w:tcPr>
            <w:tcW w:w="880" w:type="dxa"/>
            <w:vAlign w:val="bottom"/>
          </w:tcPr>
          <w:p>
            <w:pPr>
              <w:spacing w:after="0"/>
              <w:rPr>
                <w:sz w:val="18"/>
                <w:szCs w:val="18"/>
                <w:color w:val="auto"/>
              </w:rPr>
            </w:pPr>
          </w:p>
        </w:tc>
        <w:tc>
          <w:tcPr>
            <w:tcW w:w="1054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w w:val="98"/>
              </w:rPr>
              <w:t>LLC, Avis Budget Car Rental, LLC, as administrator, JPMorgan Chase Bank, N.A., as administrative agent, the commercial paper</w:t>
            </w:r>
          </w:p>
        </w:tc>
      </w:tr>
      <w:tr>
        <w:trPr>
          <w:trHeight w:val="216"/>
        </w:trPr>
        <w:tc>
          <w:tcPr>
            <w:tcW w:w="880" w:type="dxa"/>
            <w:vAlign w:val="bottom"/>
          </w:tcPr>
          <w:p>
            <w:pPr>
              <w:spacing w:after="0"/>
              <w:rPr>
                <w:sz w:val="18"/>
                <w:szCs w:val="18"/>
                <w:color w:val="auto"/>
              </w:rPr>
            </w:pPr>
          </w:p>
        </w:tc>
        <w:tc>
          <w:tcPr>
            <w:tcW w:w="1054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conduit purchasers, the funding agents and the APA Banks named therein, and The Bank of New York Mellon Trust Company,</w:t>
            </w:r>
          </w:p>
        </w:tc>
      </w:tr>
      <w:tr>
        <w:trPr>
          <w:trHeight w:val="216"/>
        </w:trPr>
        <w:tc>
          <w:tcPr>
            <w:tcW w:w="880" w:type="dxa"/>
            <w:vAlign w:val="bottom"/>
          </w:tcPr>
          <w:p>
            <w:pPr>
              <w:spacing w:after="0"/>
              <w:rPr>
                <w:sz w:val="18"/>
                <w:szCs w:val="18"/>
                <w:color w:val="auto"/>
              </w:rPr>
            </w:pPr>
          </w:p>
        </w:tc>
        <w:tc>
          <w:tcPr>
            <w:tcW w:w="1054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N.A., as trustee and as Series 2008-1 Agent (Incorporated by reference to Exhibit 10.1 to the Company’s Current Report on the</w:t>
            </w:r>
          </w:p>
        </w:tc>
      </w:tr>
      <w:tr>
        <w:trPr>
          <w:trHeight w:val="228"/>
        </w:trPr>
        <w:tc>
          <w:tcPr>
            <w:tcW w:w="880" w:type="dxa"/>
            <w:vAlign w:val="bottom"/>
          </w:tcPr>
          <w:p>
            <w:pPr>
              <w:spacing w:after="0"/>
              <w:rPr>
                <w:sz w:val="19"/>
                <w:szCs w:val="19"/>
                <w:color w:val="auto"/>
              </w:rPr>
            </w:pPr>
          </w:p>
        </w:tc>
        <w:tc>
          <w:tcPr>
            <w:tcW w:w="1054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Form 8-K dated October 30, 2009).</w:t>
            </w:r>
          </w:p>
        </w:tc>
      </w:tr>
      <w:tr>
        <w:trPr>
          <w:trHeight w:val="3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10.38(b)</w:t>
            </w:r>
          </w:p>
        </w:tc>
        <w:tc>
          <w:tcPr>
            <w:tcW w:w="1054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First Amendment to the Amended and Restated Series 2008-1 Supplement, dated as of November 25, 2009, among Avis Budget</w:t>
            </w:r>
          </w:p>
        </w:tc>
      </w:tr>
      <w:tr>
        <w:trPr>
          <w:trHeight w:val="216"/>
        </w:trPr>
        <w:tc>
          <w:tcPr>
            <w:tcW w:w="880" w:type="dxa"/>
            <w:vAlign w:val="bottom"/>
          </w:tcPr>
          <w:p>
            <w:pPr>
              <w:spacing w:after="0"/>
              <w:rPr>
                <w:sz w:val="18"/>
                <w:szCs w:val="18"/>
                <w:color w:val="auto"/>
              </w:rPr>
            </w:pPr>
          </w:p>
        </w:tc>
        <w:tc>
          <w:tcPr>
            <w:tcW w:w="1054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w w:val="97"/>
              </w:rPr>
              <w:t>Rental Car Funding (AESOP) LLC, Avis Budget Car Rental, LLC, as administrator, JPMorgan Chase Bank, N.A., as administrative</w:t>
            </w:r>
          </w:p>
        </w:tc>
      </w:tr>
      <w:tr>
        <w:trPr>
          <w:trHeight w:val="216"/>
        </w:trPr>
        <w:tc>
          <w:tcPr>
            <w:tcW w:w="880" w:type="dxa"/>
            <w:vAlign w:val="bottom"/>
          </w:tcPr>
          <w:p>
            <w:pPr>
              <w:spacing w:after="0"/>
              <w:rPr>
                <w:sz w:val="18"/>
                <w:szCs w:val="18"/>
                <w:color w:val="auto"/>
              </w:rPr>
            </w:pPr>
          </w:p>
        </w:tc>
        <w:tc>
          <w:tcPr>
            <w:tcW w:w="1054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w w:val="97"/>
              </w:rPr>
              <w:t>agent, the commercial paper conduit purchasers, the funding agents and the APA Banks named therein, and The Bank of New York</w:t>
            </w:r>
          </w:p>
        </w:tc>
      </w:tr>
      <w:tr>
        <w:trPr>
          <w:trHeight w:val="228"/>
        </w:trPr>
        <w:tc>
          <w:tcPr>
            <w:tcW w:w="880" w:type="dxa"/>
            <w:vAlign w:val="bottom"/>
          </w:tcPr>
          <w:p>
            <w:pPr>
              <w:spacing w:after="0"/>
              <w:rPr>
                <w:sz w:val="19"/>
                <w:szCs w:val="19"/>
                <w:color w:val="auto"/>
              </w:rPr>
            </w:pPr>
          </w:p>
        </w:tc>
        <w:tc>
          <w:tcPr>
            <w:tcW w:w="1054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Mellon Trust Company, N.A., as trustee and as Series 2008-1 Agent.</w:t>
            </w:r>
          </w:p>
        </w:tc>
      </w:tr>
      <w:tr>
        <w:trPr>
          <w:trHeight w:val="3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10.39</w:t>
            </w:r>
          </w:p>
        </w:tc>
        <w:tc>
          <w:tcPr>
            <w:tcW w:w="1054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Series 2009-1 Supplement, dated as of July 23, 2009, among Avis Budget Rental Car Funding (AESOP) LLC and The Bank of</w:t>
            </w:r>
          </w:p>
        </w:tc>
      </w:tr>
      <w:tr>
        <w:trPr>
          <w:trHeight w:val="216"/>
        </w:trPr>
        <w:tc>
          <w:tcPr>
            <w:tcW w:w="880" w:type="dxa"/>
            <w:vAlign w:val="bottom"/>
          </w:tcPr>
          <w:p>
            <w:pPr>
              <w:spacing w:after="0"/>
              <w:rPr>
                <w:sz w:val="18"/>
                <w:szCs w:val="18"/>
                <w:color w:val="auto"/>
              </w:rPr>
            </w:pPr>
          </w:p>
        </w:tc>
        <w:tc>
          <w:tcPr>
            <w:tcW w:w="1054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New York Mellon Trust Company, N.A., as trustee and as Series 2009-1 Agent (Incorporated by reference to Exhibit 10.1 to the</w:t>
            </w:r>
          </w:p>
        </w:tc>
      </w:tr>
      <w:tr>
        <w:trPr>
          <w:trHeight w:val="228"/>
        </w:trPr>
        <w:tc>
          <w:tcPr>
            <w:tcW w:w="880" w:type="dxa"/>
            <w:vAlign w:val="bottom"/>
          </w:tcPr>
          <w:p>
            <w:pPr>
              <w:spacing w:after="0"/>
              <w:rPr>
                <w:sz w:val="19"/>
                <w:szCs w:val="19"/>
                <w:color w:val="auto"/>
              </w:rPr>
            </w:pPr>
          </w:p>
        </w:tc>
        <w:tc>
          <w:tcPr>
            <w:tcW w:w="1054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Company’s Current Report on Form 8-K dated July 24, 2009).</w:t>
            </w:r>
          </w:p>
        </w:tc>
      </w:tr>
      <w:tr>
        <w:trPr>
          <w:trHeight w:val="365"/>
        </w:trPr>
        <w:tc>
          <w:tcPr>
            <w:tcW w:w="880" w:type="dxa"/>
            <w:vAlign w:val="bottom"/>
          </w:tcPr>
          <w:p>
            <w:pPr>
              <w:spacing w:after="0"/>
              <w:rPr>
                <w:sz w:val="24"/>
                <w:szCs w:val="24"/>
                <w:color w:val="auto"/>
              </w:rPr>
            </w:pPr>
          </w:p>
        </w:tc>
        <w:tc>
          <w:tcPr>
            <w:tcW w:w="10540" w:type="dxa"/>
            <w:vAlign w:val="bottom"/>
            <w:gridSpan w:val="3"/>
          </w:tcPr>
          <w:p>
            <w:pPr>
              <w:ind w:left="4700"/>
              <w:spacing w:after="0"/>
              <w:rPr>
                <w:sz w:val="20"/>
                <w:szCs w:val="20"/>
                <w:color w:val="auto"/>
              </w:rPr>
            </w:pPr>
            <w:r>
              <w:rPr>
                <w:rFonts w:ascii="Times New Roman" w:cs="Times New Roman" w:eastAsia="Times New Roman" w:hAnsi="Times New Roman"/>
                <w:sz w:val="18"/>
                <w:szCs w:val="18"/>
                <w:color w:val="auto"/>
              </w:rPr>
              <w:t>H-8</w:t>
            </w:r>
          </w:p>
        </w:tc>
      </w:tr>
    </w:tbl>
    <w:p>
      <w:pPr>
        <w:sectPr>
          <w:pgSz w:w="11900" w:h="16838" w:orient="portrait"/>
          <w:cols w:equalWidth="0" w:num="1">
            <w:col w:w="11420"/>
          </w:cols>
          <w:pgMar w:left="240" w:top="455" w:right="239" w:bottom="1440" w:gutter="0" w:footer="0" w:header="0"/>
        </w:sectPr>
      </w:pPr>
    </w:p>
    <w:bookmarkStart w:id="131" w:name="page132"/>
    <w:bookmarkEnd w:id="13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7"/>
              </w:rPr>
              <w:t>Exhibit No.</w:t>
            </w:r>
          </w:p>
        </w:tc>
        <w:tc>
          <w:tcPr>
            <w:tcW w:w="5460" w:type="dxa"/>
            <w:vAlign w:val="bottom"/>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6"/>
              </w:rPr>
              <w:t>Description</w:t>
            </w:r>
          </w:p>
        </w:tc>
        <w:tc>
          <w:tcPr>
            <w:tcW w:w="4200" w:type="dxa"/>
            <w:vAlign w:val="bottom"/>
          </w:tcPr>
          <w:p>
            <w:pPr>
              <w:spacing w:after="0"/>
              <w:rPr>
                <w:sz w:val="20"/>
                <w:szCs w:val="20"/>
                <w:color w:val="auto"/>
              </w:rPr>
            </w:pPr>
          </w:p>
        </w:tc>
      </w:tr>
      <w:tr>
        <w:trPr>
          <w:trHeight w:val="196"/>
        </w:trPr>
        <w:tc>
          <w:tcPr>
            <w:tcW w:w="8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10.40</w:t>
            </w:r>
          </w:p>
        </w:tc>
        <w:tc>
          <w:tcPr>
            <w:tcW w:w="10540" w:type="dxa"/>
            <w:vAlign w:val="bottom"/>
            <w:gridSpan w:val="3"/>
          </w:tcPr>
          <w:p>
            <w:pPr>
              <w:ind w:left="1260"/>
              <w:spacing w:after="0" w:line="196" w:lineRule="exact"/>
              <w:rPr>
                <w:sz w:val="20"/>
                <w:szCs w:val="20"/>
                <w:color w:val="auto"/>
              </w:rPr>
            </w:pPr>
            <w:r>
              <w:rPr>
                <w:rFonts w:ascii="Times New Roman" w:cs="Times New Roman" w:eastAsia="Times New Roman" w:hAnsi="Times New Roman"/>
                <w:sz w:val="18"/>
                <w:szCs w:val="18"/>
                <w:color w:val="auto"/>
                <w:w w:val="99"/>
              </w:rPr>
              <w:t>Series 2009-2 Supplement, dated as of October 1, 2009, among Avis Budget Rental Car Funding (AESOP) LLC and The Bank of</w:t>
            </w:r>
          </w:p>
        </w:tc>
      </w:tr>
      <w:tr>
        <w:trPr>
          <w:trHeight w:val="216"/>
        </w:trPr>
        <w:tc>
          <w:tcPr>
            <w:tcW w:w="880" w:type="dxa"/>
            <w:vAlign w:val="bottom"/>
          </w:tcPr>
          <w:p>
            <w:pPr>
              <w:spacing w:after="0"/>
              <w:rPr>
                <w:sz w:val="18"/>
                <w:szCs w:val="18"/>
                <w:color w:val="auto"/>
              </w:rPr>
            </w:pPr>
          </w:p>
        </w:tc>
        <w:tc>
          <w:tcPr>
            <w:tcW w:w="1054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New York Mellon Trust Company, N.A., as trustee and as Series 2009-2 Agent (Incorporated by reference to Exhibit 10.1 to the</w:t>
            </w:r>
          </w:p>
        </w:tc>
      </w:tr>
      <w:tr>
        <w:trPr>
          <w:trHeight w:val="228"/>
        </w:trPr>
        <w:tc>
          <w:tcPr>
            <w:tcW w:w="880" w:type="dxa"/>
            <w:vAlign w:val="bottom"/>
          </w:tcPr>
          <w:p>
            <w:pPr>
              <w:spacing w:after="0"/>
              <w:rPr>
                <w:sz w:val="19"/>
                <w:szCs w:val="19"/>
                <w:color w:val="auto"/>
              </w:rPr>
            </w:pPr>
          </w:p>
        </w:tc>
        <w:tc>
          <w:tcPr>
            <w:tcW w:w="1054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Company’s Current Report on Form 8-K dated October 1, 2009).</w:t>
            </w:r>
          </w:p>
        </w:tc>
      </w:tr>
      <w:tr>
        <w:trPr>
          <w:trHeight w:val="3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10.41(a)</w:t>
            </w:r>
          </w:p>
        </w:tc>
        <w:tc>
          <w:tcPr>
            <w:tcW w:w="1054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w w:val="99"/>
              </w:rPr>
              <w:t>Series 2009-3 Supplement, dated as of November 5, 2009, among Avis Budget Rental Car Funding (AESOP) LLC, Avis Budget</w:t>
            </w:r>
          </w:p>
        </w:tc>
      </w:tr>
      <w:tr>
        <w:trPr>
          <w:trHeight w:val="216"/>
        </w:trPr>
        <w:tc>
          <w:tcPr>
            <w:tcW w:w="880" w:type="dxa"/>
            <w:vAlign w:val="bottom"/>
          </w:tcPr>
          <w:p>
            <w:pPr>
              <w:spacing w:after="0"/>
              <w:rPr>
                <w:sz w:val="18"/>
                <w:szCs w:val="18"/>
                <w:color w:val="auto"/>
              </w:rPr>
            </w:pPr>
          </w:p>
        </w:tc>
        <w:tc>
          <w:tcPr>
            <w:tcW w:w="1054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w w:val="99"/>
              </w:rPr>
              <w:t>Car Rental, LLC, as administrator, Deutsche Bank AG, New York Branch, as administrative agent, the commercial paper conduit</w:t>
            </w:r>
          </w:p>
        </w:tc>
      </w:tr>
      <w:tr>
        <w:trPr>
          <w:trHeight w:val="216"/>
        </w:trPr>
        <w:tc>
          <w:tcPr>
            <w:tcW w:w="880" w:type="dxa"/>
            <w:vAlign w:val="bottom"/>
          </w:tcPr>
          <w:p>
            <w:pPr>
              <w:spacing w:after="0"/>
              <w:rPr>
                <w:sz w:val="18"/>
                <w:szCs w:val="18"/>
                <w:color w:val="auto"/>
              </w:rPr>
            </w:pPr>
          </w:p>
        </w:tc>
        <w:tc>
          <w:tcPr>
            <w:tcW w:w="1054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purchasers, the funding agents and the APA Banks named therein, and The Bank of New York Mellon Trust Company, N.A., as</w:t>
            </w:r>
          </w:p>
        </w:tc>
      </w:tr>
      <w:tr>
        <w:trPr>
          <w:trHeight w:val="228"/>
        </w:trPr>
        <w:tc>
          <w:tcPr>
            <w:tcW w:w="880" w:type="dxa"/>
            <w:vAlign w:val="bottom"/>
          </w:tcPr>
          <w:p>
            <w:pPr>
              <w:spacing w:after="0"/>
              <w:rPr>
                <w:sz w:val="19"/>
                <w:szCs w:val="19"/>
                <w:color w:val="auto"/>
              </w:rPr>
            </w:pPr>
          </w:p>
        </w:tc>
        <w:tc>
          <w:tcPr>
            <w:tcW w:w="1054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trustee and Series 2009-3 Agent.</w:t>
            </w:r>
          </w:p>
        </w:tc>
      </w:tr>
      <w:tr>
        <w:trPr>
          <w:trHeight w:val="3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10.41(b)</w:t>
            </w:r>
          </w:p>
        </w:tc>
        <w:tc>
          <w:tcPr>
            <w:tcW w:w="1054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First Amendment to the Series 2009-3 Supplement dated December 8, 2009 among Avis Budget Rental Car Funding (AESOP)</w:t>
            </w:r>
          </w:p>
        </w:tc>
      </w:tr>
      <w:tr>
        <w:trPr>
          <w:trHeight w:val="216"/>
        </w:trPr>
        <w:tc>
          <w:tcPr>
            <w:tcW w:w="880" w:type="dxa"/>
            <w:vAlign w:val="bottom"/>
          </w:tcPr>
          <w:p>
            <w:pPr>
              <w:spacing w:after="0"/>
              <w:rPr>
                <w:sz w:val="18"/>
                <w:szCs w:val="18"/>
                <w:color w:val="auto"/>
              </w:rPr>
            </w:pPr>
          </w:p>
        </w:tc>
        <w:tc>
          <w:tcPr>
            <w:tcW w:w="1054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LLC, Avis Budget Car Rental, LLC, as administrator, Deutsche Bank AG, New York Branch, as administrative agent, the</w:t>
            </w:r>
          </w:p>
        </w:tc>
      </w:tr>
      <w:tr>
        <w:trPr>
          <w:trHeight w:val="216"/>
        </w:trPr>
        <w:tc>
          <w:tcPr>
            <w:tcW w:w="880" w:type="dxa"/>
            <w:vAlign w:val="bottom"/>
          </w:tcPr>
          <w:p>
            <w:pPr>
              <w:spacing w:after="0"/>
              <w:rPr>
                <w:sz w:val="18"/>
                <w:szCs w:val="18"/>
                <w:color w:val="auto"/>
              </w:rPr>
            </w:pPr>
          </w:p>
        </w:tc>
        <w:tc>
          <w:tcPr>
            <w:tcW w:w="1054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w w:val="99"/>
              </w:rPr>
              <w:t>commercial paper conduit purchasers, the funding agents and the APA Banks named therein, and The Bank of New York Mellon</w:t>
            </w:r>
          </w:p>
        </w:tc>
      </w:tr>
      <w:tr>
        <w:trPr>
          <w:trHeight w:val="228"/>
        </w:trPr>
        <w:tc>
          <w:tcPr>
            <w:tcW w:w="880" w:type="dxa"/>
            <w:vAlign w:val="bottom"/>
          </w:tcPr>
          <w:p>
            <w:pPr>
              <w:spacing w:after="0"/>
              <w:rPr>
                <w:sz w:val="19"/>
                <w:szCs w:val="19"/>
                <w:color w:val="auto"/>
              </w:rPr>
            </w:pPr>
          </w:p>
        </w:tc>
        <w:tc>
          <w:tcPr>
            <w:tcW w:w="1054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Trust Company, N.A., as trustee and Series 2009-3 Agent.</w:t>
            </w:r>
          </w:p>
        </w:tc>
      </w:tr>
      <w:tr>
        <w:trPr>
          <w:trHeight w:val="3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10.42</w:t>
            </w:r>
          </w:p>
        </w:tc>
        <w:tc>
          <w:tcPr>
            <w:tcW w:w="1054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Administration Agreement, dated as of May 11, 2006, among Budget Truck Funding, LLC, Budget Truck Rental, LLC, as</w:t>
            </w:r>
          </w:p>
        </w:tc>
      </w:tr>
      <w:tr>
        <w:trPr>
          <w:trHeight w:val="216"/>
        </w:trPr>
        <w:tc>
          <w:tcPr>
            <w:tcW w:w="880" w:type="dxa"/>
            <w:vAlign w:val="bottom"/>
          </w:tcPr>
          <w:p>
            <w:pPr>
              <w:spacing w:after="0"/>
              <w:rPr>
                <w:sz w:val="18"/>
                <w:szCs w:val="18"/>
                <w:color w:val="auto"/>
              </w:rPr>
            </w:pPr>
          </w:p>
        </w:tc>
        <w:tc>
          <w:tcPr>
            <w:tcW w:w="1054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Administrator, and The Bank of New York Trust Company, N.A., as Trustee (Incorporated by reference to Exhibit 10.16 to the</w:t>
            </w:r>
          </w:p>
        </w:tc>
      </w:tr>
      <w:tr>
        <w:trPr>
          <w:trHeight w:val="228"/>
        </w:trPr>
        <w:tc>
          <w:tcPr>
            <w:tcW w:w="880" w:type="dxa"/>
            <w:vAlign w:val="bottom"/>
          </w:tcPr>
          <w:p>
            <w:pPr>
              <w:spacing w:after="0"/>
              <w:rPr>
                <w:sz w:val="19"/>
                <w:szCs w:val="19"/>
                <w:color w:val="auto"/>
              </w:rPr>
            </w:pPr>
          </w:p>
        </w:tc>
        <w:tc>
          <w:tcPr>
            <w:tcW w:w="1054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Company’s Quarterly Report on Form 10-Q for the quarterly period ended June 30, 2006 dated, August 9, 2006).</w:t>
            </w:r>
          </w:p>
        </w:tc>
      </w:tr>
      <w:tr>
        <w:trPr>
          <w:trHeight w:val="3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10.43(a)</w:t>
            </w:r>
          </w:p>
        </w:tc>
        <w:tc>
          <w:tcPr>
            <w:tcW w:w="1054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w w:val="99"/>
              </w:rPr>
              <w:t>Master Motor Vehicle Operating Lease Agreement, dated as of May 11, 2006, among Budget Truck Funding, LLC††, as Lessor,</w:t>
            </w:r>
          </w:p>
        </w:tc>
      </w:tr>
      <w:tr>
        <w:trPr>
          <w:trHeight w:val="216"/>
        </w:trPr>
        <w:tc>
          <w:tcPr>
            <w:tcW w:w="880" w:type="dxa"/>
            <w:vAlign w:val="bottom"/>
          </w:tcPr>
          <w:p>
            <w:pPr>
              <w:spacing w:after="0"/>
              <w:rPr>
                <w:sz w:val="18"/>
                <w:szCs w:val="18"/>
                <w:color w:val="auto"/>
              </w:rPr>
            </w:pPr>
          </w:p>
        </w:tc>
        <w:tc>
          <w:tcPr>
            <w:tcW w:w="1054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Budget Truck Rental, LLC, as Administrator and as Lessee, and Avis Budget Car Rental, LLC, as Guarantor (Incorporated by</w:t>
            </w:r>
          </w:p>
        </w:tc>
      </w:tr>
      <w:tr>
        <w:trPr>
          <w:trHeight w:val="216"/>
        </w:trPr>
        <w:tc>
          <w:tcPr>
            <w:tcW w:w="880" w:type="dxa"/>
            <w:vAlign w:val="bottom"/>
          </w:tcPr>
          <w:p>
            <w:pPr>
              <w:spacing w:after="0"/>
              <w:rPr>
                <w:sz w:val="18"/>
                <w:szCs w:val="18"/>
                <w:color w:val="auto"/>
              </w:rPr>
            </w:pPr>
          </w:p>
        </w:tc>
        <w:tc>
          <w:tcPr>
            <w:tcW w:w="1054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w w:val="99"/>
              </w:rPr>
              <w:t>reference to Exhibit 10.15 to the Company’s Quarterly Report on Form 10-Q for the quarterly period ended June 30, 2006, dated</w:t>
            </w:r>
          </w:p>
        </w:tc>
      </w:tr>
      <w:tr>
        <w:trPr>
          <w:trHeight w:val="228"/>
        </w:trPr>
        <w:tc>
          <w:tcPr>
            <w:tcW w:w="880" w:type="dxa"/>
            <w:vAlign w:val="bottom"/>
          </w:tcPr>
          <w:p>
            <w:pPr>
              <w:spacing w:after="0"/>
              <w:rPr>
                <w:sz w:val="19"/>
                <w:szCs w:val="19"/>
                <w:color w:val="auto"/>
              </w:rPr>
            </w:pPr>
          </w:p>
        </w:tc>
        <w:tc>
          <w:tcPr>
            <w:tcW w:w="1054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August 9, 2006).</w:t>
            </w:r>
          </w:p>
        </w:tc>
      </w:tr>
      <w:tr>
        <w:trPr>
          <w:trHeight w:val="3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10.43(b)</w:t>
            </w:r>
          </w:p>
        </w:tc>
        <w:tc>
          <w:tcPr>
            <w:tcW w:w="1054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w w:val="99"/>
              </w:rPr>
              <w:t>Amendment No. 1 to the Master Motor Vehicle Operating Lease Agreement, dated as of February 15, 2008, among Centre Point</w:t>
            </w:r>
          </w:p>
        </w:tc>
      </w:tr>
      <w:tr>
        <w:trPr>
          <w:trHeight w:val="216"/>
        </w:trPr>
        <w:tc>
          <w:tcPr>
            <w:tcW w:w="880" w:type="dxa"/>
            <w:vAlign w:val="bottom"/>
          </w:tcPr>
          <w:p>
            <w:pPr>
              <w:spacing w:after="0"/>
              <w:rPr>
                <w:sz w:val="18"/>
                <w:szCs w:val="18"/>
                <w:color w:val="auto"/>
              </w:rPr>
            </w:pPr>
          </w:p>
        </w:tc>
        <w:tc>
          <w:tcPr>
            <w:tcW w:w="1054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Funding, LLC (formerly known as Budget Truck Funding, LLC), as Lessor, Budget Truck Rental, LLC, as Administrator and as</w:t>
            </w:r>
          </w:p>
        </w:tc>
      </w:tr>
      <w:tr>
        <w:trPr>
          <w:trHeight w:val="216"/>
        </w:trPr>
        <w:tc>
          <w:tcPr>
            <w:tcW w:w="880" w:type="dxa"/>
            <w:vAlign w:val="bottom"/>
          </w:tcPr>
          <w:p>
            <w:pPr>
              <w:spacing w:after="0"/>
              <w:rPr>
                <w:sz w:val="18"/>
                <w:szCs w:val="18"/>
                <w:color w:val="auto"/>
              </w:rPr>
            </w:pPr>
          </w:p>
        </w:tc>
        <w:tc>
          <w:tcPr>
            <w:tcW w:w="1054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w w:val="99"/>
              </w:rPr>
              <w:t>Lessee, and Avis Budget Car Rental, LLC, as Guarantor (Incorporated by reference to Exhibit 10.40(a) to the Company’s Annual</w:t>
            </w:r>
          </w:p>
        </w:tc>
      </w:tr>
      <w:tr>
        <w:trPr>
          <w:trHeight w:val="228"/>
        </w:trPr>
        <w:tc>
          <w:tcPr>
            <w:tcW w:w="880" w:type="dxa"/>
            <w:vAlign w:val="bottom"/>
          </w:tcPr>
          <w:p>
            <w:pPr>
              <w:spacing w:after="0"/>
              <w:rPr>
                <w:sz w:val="19"/>
                <w:szCs w:val="19"/>
                <w:color w:val="auto"/>
              </w:rPr>
            </w:pPr>
          </w:p>
        </w:tc>
        <w:tc>
          <w:tcPr>
            <w:tcW w:w="1054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Report on Form 10-K for the year ended December 31, 2007, dated February 29, 2008).</w:t>
            </w:r>
          </w:p>
        </w:tc>
      </w:tr>
      <w:tr>
        <w:trPr>
          <w:trHeight w:val="3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10.44(a)</w:t>
            </w:r>
          </w:p>
        </w:tc>
        <w:tc>
          <w:tcPr>
            <w:tcW w:w="1054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Base Indenture, dated as of May 11, 2006, among Budget Truck Funding, LLC††, as Issuer, and The Bank of New York Trust</w:t>
            </w:r>
          </w:p>
        </w:tc>
      </w:tr>
      <w:tr>
        <w:trPr>
          <w:trHeight w:val="216"/>
        </w:trPr>
        <w:tc>
          <w:tcPr>
            <w:tcW w:w="880" w:type="dxa"/>
            <w:vAlign w:val="bottom"/>
          </w:tcPr>
          <w:p>
            <w:pPr>
              <w:spacing w:after="0"/>
              <w:rPr>
                <w:sz w:val="18"/>
                <w:szCs w:val="18"/>
                <w:color w:val="auto"/>
              </w:rPr>
            </w:pPr>
          </w:p>
        </w:tc>
        <w:tc>
          <w:tcPr>
            <w:tcW w:w="1054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w w:val="99"/>
              </w:rPr>
              <w:t>Company, N.A., as Trustee (Incorporated by reference to Exhibit 10.13 to the Company’s Quarterly Report on Form 10-Q for the</w:t>
            </w:r>
          </w:p>
        </w:tc>
      </w:tr>
      <w:tr>
        <w:trPr>
          <w:trHeight w:val="228"/>
        </w:trPr>
        <w:tc>
          <w:tcPr>
            <w:tcW w:w="880" w:type="dxa"/>
            <w:vAlign w:val="bottom"/>
          </w:tcPr>
          <w:p>
            <w:pPr>
              <w:spacing w:after="0"/>
              <w:rPr>
                <w:sz w:val="19"/>
                <w:szCs w:val="19"/>
                <w:color w:val="auto"/>
              </w:rPr>
            </w:pPr>
          </w:p>
        </w:tc>
        <w:tc>
          <w:tcPr>
            <w:tcW w:w="1054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quarterly period ended June 30, 2006, dated August 9, 2006).</w:t>
            </w:r>
          </w:p>
        </w:tc>
      </w:tr>
      <w:tr>
        <w:trPr>
          <w:trHeight w:val="3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10.44(b)</w:t>
            </w:r>
          </w:p>
        </w:tc>
        <w:tc>
          <w:tcPr>
            <w:tcW w:w="1054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w w:val="97"/>
              </w:rPr>
              <w:t>Amendment No. 1 to the Base Indenture, dated as of May 16, 2007, among Budget Truck Funding, LLC††, as Issuer, and The Bank</w:t>
            </w:r>
          </w:p>
        </w:tc>
      </w:tr>
      <w:tr>
        <w:trPr>
          <w:trHeight w:val="216"/>
        </w:trPr>
        <w:tc>
          <w:tcPr>
            <w:tcW w:w="880" w:type="dxa"/>
            <w:vAlign w:val="bottom"/>
          </w:tcPr>
          <w:p>
            <w:pPr>
              <w:spacing w:after="0"/>
              <w:rPr>
                <w:sz w:val="18"/>
                <w:szCs w:val="18"/>
                <w:color w:val="auto"/>
              </w:rPr>
            </w:pPr>
          </w:p>
        </w:tc>
        <w:tc>
          <w:tcPr>
            <w:tcW w:w="1054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w w:val="99"/>
              </w:rPr>
              <w:t>of New York Trust Company, N.A., as Trustee (Incorporated by reference to Exhibit 10.5 to the Company’s Quarterly Report on</w:t>
            </w:r>
          </w:p>
        </w:tc>
      </w:tr>
      <w:tr>
        <w:trPr>
          <w:trHeight w:val="228"/>
        </w:trPr>
        <w:tc>
          <w:tcPr>
            <w:tcW w:w="880" w:type="dxa"/>
            <w:vAlign w:val="bottom"/>
          </w:tcPr>
          <w:p>
            <w:pPr>
              <w:spacing w:after="0"/>
              <w:rPr>
                <w:sz w:val="19"/>
                <w:szCs w:val="19"/>
                <w:color w:val="auto"/>
              </w:rPr>
            </w:pPr>
          </w:p>
        </w:tc>
        <w:tc>
          <w:tcPr>
            <w:tcW w:w="1054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Form 10-Q for the period ended June 30, 2007, dated August 8, 2007).</w:t>
            </w:r>
          </w:p>
        </w:tc>
      </w:tr>
      <w:tr>
        <w:trPr>
          <w:trHeight w:val="3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10.44(c)</w:t>
            </w:r>
          </w:p>
        </w:tc>
        <w:tc>
          <w:tcPr>
            <w:tcW w:w="1054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Amendment No. 2 to the Base Indenture, dated as of February 15, 2008, among Centre Point Funding, LLC (formerly known as</w:t>
            </w:r>
          </w:p>
        </w:tc>
      </w:tr>
      <w:tr>
        <w:trPr>
          <w:trHeight w:val="216"/>
        </w:trPr>
        <w:tc>
          <w:tcPr>
            <w:tcW w:w="880" w:type="dxa"/>
            <w:vAlign w:val="bottom"/>
          </w:tcPr>
          <w:p>
            <w:pPr>
              <w:spacing w:after="0"/>
              <w:rPr>
                <w:sz w:val="18"/>
                <w:szCs w:val="18"/>
                <w:color w:val="auto"/>
              </w:rPr>
            </w:pPr>
          </w:p>
        </w:tc>
        <w:tc>
          <w:tcPr>
            <w:tcW w:w="1054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w w:val="97"/>
              </w:rPr>
              <w:t>Budget Truck Funding, LLC), as Issuer, and The Bank of New York Trust Company, N.A., as Trustee (Incorporated by reference to</w:t>
            </w:r>
          </w:p>
        </w:tc>
      </w:tr>
      <w:tr>
        <w:trPr>
          <w:trHeight w:val="228"/>
        </w:trPr>
        <w:tc>
          <w:tcPr>
            <w:tcW w:w="880" w:type="dxa"/>
            <w:vAlign w:val="bottom"/>
          </w:tcPr>
          <w:p>
            <w:pPr>
              <w:spacing w:after="0"/>
              <w:rPr>
                <w:sz w:val="19"/>
                <w:szCs w:val="19"/>
                <w:color w:val="auto"/>
              </w:rPr>
            </w:pPr>
          </w:p>
        </w:tc>
        <w:tc>
          <w:tcPr>
            <w:tcW w:w="1054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w w:val="97"/>
              </w:rPr>
              <w:t>Exhibit 10.41(b) to the Company’s Annual Report on Form 10-K for the year ended December 31, 2007, dated February 29, 2008).</w:t>
            </w:r>
          </w:p>
        </w:tc>
      </w:tr>
      <w:tr>
        <w:trPr>
          <w:trHeight w:val="3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10.45(a)</w:t>
            </w:r>
          </w:p>
        </w:tc>
        <w:tc>
          <w:tcPr>
            <w:tcW w:w="1054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w w:val="97"/>
              </w:rPr>
              <w:t>Series 2006-1 Supplement, dated as of May 11, 2006, among Budget Truck Funding, LLC, as Issuer, Budget Truck Rental, LLC††,</w:t>
            </w:r>
          </w:p>
        </w:tc>
      </w:tr>
      <w:tr>
        <w:trPr>
          <w:trHeight w:val="216"/>
        </w:trPr>
        <w:tc>
          <w:tcPr>
            <w:tcW w:w="880" w:type="dxa"/>
            <w:vAlign w:val="bottom"/>
          </w:tcPr>
          <w:p>
            <w:pPr>
              <w:spacing w:after="0"/>
              <w:rPr>
                <w:sz w:val="18"/>
                <w:szCs w:val="18"/>
                <w:color w:val="auto"/>
              </w:rPr>
            </w:pPr>
          </w:p>
        </w:tc>
        <w:tc>
          <w:tcPr>
            <w:tcW w:w="1054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as Administrator, Deutsche Bank Securities, Inc., as Administrative Agent, certain commercial paper conduit purchasers, certain</w:t>
            </w:r>
          </w:p>
        </w:tc>
      </w:tr>
      <w:tr>
        <w:trPr>
          <w:trHeight w:val="228"/>
        </w:trPr>
        <w:tc>
          <w:tcPr>
            <w:tcW w:w="880" w:type="dxa"/>
            <w:vAlign w:val="bottom"/>
          </w:tcPr>
          <w:p>
            <w:pPr>
              <w:spacing w:after="0"/>
              <w:rPr>
                <w:sz w:val="19"/>
                <w:szCs w:val="19"/>
                <w:color w:val="auto"/>
              </w:rPr>
            </w:pPr>
          </w:p>
        </w:tc>
        <w:tc>
          <w:tcPr>
            <w:tcW w:w="1054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funding agents, certain APA banks and The Bank of New York Trust Company, N.A., as Trustee, Series 2006-1</w:t>
            </w:r>
          </w:p>
        </w:tc>
      </w:tr>
      <w:tr>
        <w:trPr>
          <w:trHeight w:val="365"/>
        </w:trPr>
        <w:tc>
          <w:tcPr>
            <w:tcW w:w="880" w:type="dxa"/>
            <w:vAlign w:val="bottom"/>
          </w:tcPr>
          <w:p>
            <w:pPr>
              <w:spacing w:after="0"/>
              <w:rPr>
                <w:sz w:val="24"/>
                <w:szCs w:val="24"/>
                <w:color w:val="auto"/>
              </w:rPr>
            </w:pPr>
          </w:p>
        </w:tc>
        <w:tc>
          <w:tcPr>
            <w:tcW w:w="10540" w:type="dxa"/>
            <w:vAlign w:val="bottom"/>
            <w:gridSpan w:val="3"/>
          </w:tcPr>
          <w:p>
            <w:pPr>
              <w:ind w:left="4700"/>
              <w:spacing w:after="0"/>
              <w:rPr>
                <w:sz w:val="20"/>
                <w:szCs w:val="20"/>
                <w:color w:val="auto"/>
              </w:rPr>
            </w:pPr>
            <w:r>
              <w:rPr>
                <w:rFonts w:ascii="Times New Roman" w:cs="Times New Roman" w:eastAsia="Times New Roman" w:hAnsi="Times New Roman"/>
                <w:sz w:val="18"/>
                <w:szCs w:val="18"/>
                <w:color w:val="auto"/>
              </w:rPr>
              <w:t>H-9</w:t>
            </w:r>
          </w:p>
        </w:tc>
      </w:tr>
    </w:tbl>
    <w:p>
      <w:pPr>
        <w:sectPr>
          <w:pgSz w:w="11900" w:h="16838" w:orient="portrait"/>
          <w:cols w:equalWidth="0" w:num="1">
            <w:col w:w="11420"/>
          </w:cols>
          <w:pgMar w:left="240" w:top="455" w:right="239" w:bottom="1440" w:gutter="0" w:footer="0" w:header="0"/>
        </w:sectPr>
      </w:pPr>
    </w:p>
    <w:bookmarkStart w:id="132" w:name="page133"/>
    <w:bookmarkEnd w:id="13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7"/>
              </w:rPr>
              <w:t>Exhibit No.</w:t>
            </w:r>
          </w:p>
        </w:tc>
        <w:tc>
          <w:tcPr>
            <w:tcW w:w="5460" w:type="dxa"/>
            <w:vAlign w:val="bottom"/>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6"/>
              </w:rPr>
              <w:t>Description</w:t>
            </w:r>
          </w:p>
        </w:tc>
        <w:tc>
          <w:tcPr>
            <w:tcW w:w="4180" w:type="dxa"/>
            <w:vAlign w:val="bottom"/>
          </w:tcPr>
          <w:p>
            <w:pPr>
              <w:spacing w:after="0"/>
              <w:rPr>
                <w:sz w:val="20"/>
                <w:szCs w:val="20"/>
                <w:color w:val="auto"/>
              </w:rPr>
            </w:pPr>
          </w:p>
        </w:tc>
      </w:tr>
      <w:tr>
        <w:trPr>
          <w:trHeight w:val="196"/>
        </w:trPr>
        <w:tc>
          <w:tcPr>
            <w:tcW w:w="880" w:type="dxa"/>
            <w:vAlign w:val="bottom"/>
          </w:tcPr>
          <w:p>
            <w:pPr>
              <w:spacing w:after="0"/>
              <w:rPr>
                <w:sz w:val="17"/>
                <w:szCs w:val="17"/>
                <w:color w:val="auto"/>
              </w:rPr>
            </w:pPr>
          </w:p>
        </w:tc>
        <w:tc>
          <w:tcPr>
            <w:tcW w:w="10520" w:type="dxa"/>
            <w:vAlign w:val="bottom"/>
            <w:gridSpan w:val="3"/>
          </w:tcPr>
          <w:p>
            <w:pPr>
              <w:ind w:left="1260"/>
              <w:spacing w:after="0" w:line="196" w:lineRule="exact"/>
              <w:rPr>
                <w:sz w:val="20"/>
                <w:szCs w:val="20"/>
                <w:color w:val="auto"/>
              </w:rPr>
            </w:pPr>
            <w:r>
              <w:rPr>
                <w:rFonts w:ascii="Times New Roman" w:cs="Times New Roman" w:eastAsia="Times New Roman" w:hAnsi="Times New Roman"/>
                <w:sz w:val="18"/>
                <w:szCs w:val="18"/>
                <w:color w:val="auto"/>
              </w:rPr>
              <w:t>Agent and Securities Intermediary, to the Base Indenture, dated as of May 11, 2006, among Budget Truck Funding, LLC††, as</w:t>
            </w:r>
          </w:p>
        </w:tc>
      </w:tr>
      <w:tr>
        <w:trPr>
          <w:trHeight w:val="216"/>
        </w:trPr>
        <w:tc>
          <w:tcPr>
            <w:tcW w:w="880" w:type="dxa"/>
            <w:vAlign w:val="bottom"/>
          </w:tcPr>
          <w:p>
            <w:pPr>
              <w:spacing w:after="0"/>
              <w:rPr>
                <w:sz w:val="18"/>
                <w:szCs w:val="18"/>
                <w:color w:val="auto"/>
              </w:rPr>
            </w:pPr>
          </w:p>
        </w:tc>
        <w:tc>
          <w:tcPr>
            <w:tcW w:w="1052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w w:val="97"/>
              </w:rPr>
              <w:t>Issuer, and The Bank of New York Trust Company, N.A., as Trustee (Incorporated by reference to Exhibit 10.14 to the Company’s</w:t>
            </w:r>
          </w:p>
        </w:tc>
      </w:tr>
      <w:tr>
        <w:trPr>
          <w:trHeight w:val="228"/>
        </w:trPr>
        <w:tc>
          <w:tcPr>
            <w:tcW w:w="880" w:type="dxa"/>
            <w:vAlign w:val="bottom"/>
          </w:tcPr>
          <w:p>
            <w:pPr>
              <w:spacing w:after="0"/>
              <w:rPr>
                <w:sz w:val="19"/>
                <w:szCs w:val="19"/>
                <w:color w:val="auto"/>
              </w:rPr>
            </w:pPr>
          </w:p>
        </w:tc>
        <w:tc>
          <w:tcPr>
            <w:tcW w:w="1052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Quarterly Report on Form 10-Q for the quarterly period ended June 30, 2006, dated August 9, 2006).</w:t>
            </w:r>
          </w:p>
        </w:tc>
      </w:tr>
      <w:tr>
        <w:trPr>
          <w:trHeight w:val="3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10.45(b)</w:t>
            </w:r>
          </w:p>
        </w:tc>
        <w:tc>
          <w:tcPr>
            <w:tcW w:w="1052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w w:val="99"/>
              </w:rPr>
              <w:t>Amendment No. 1 to the Series 2006-1 Supplement, dated as of May 16, 2007, among Budget Truck Funding, LLC††, as Issuer,</w:t>
            </w:r>
          </w:p>
        </w:tc>
      </w:tr>
      <w:tr>
        <w:trPr>
          <w:trHeight w:val="216"/>
        </w:trPr>
        <w:tc>
          <w:tcPr>
            <w:tcW w:w="880" w:type="dxa"/>
            <w:vAlign w:val="bottom"/>
          </w:tcPr>
          <w:p>
            <w:pPr>
              <w:spacing w:after="0"/>
              <w:rPr>
                <w:sz w:val="18"/>
                <w:szCs w:val="18"/>
                <w:color w:val="auto"/>
              </w:rPr>
            </w:pPr>
          </w:p>
        </w:tc>
        <w:tc>
          <w:tcPr>
            <w:tcW w:w="1052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Deutsche Bank Securities, Inc., as Administrative Agent, certain CP Conduit Purchasers, certain Funding Agents, certain APA</w:t>
            </w:r>
          </w:p>
        </w:tc>
      </w:tr>
      <w:tr>
        <w:trPr>
          <w:trHeight w:val="216"/>
        </w:trPr>
        <w:tc>
          <w:tcPr>
            <w:tcW w:w="880" w:type="dxa"/>
            <w:vAlign w:val="bottom"/>
          </w:tcPr>
          <w:p>
            <w:pPr>
              <w:spacing w:after="0"/>
              <w:rPr>
                <w:sz w:val="18"/>
                <w:szCs w:val="18"/>
                <w:color w:val="auto"/>
              </w:rPr>
            </w:pPr>
          </w:p>
        </w:tc>
        <w:tc>
          <w:tcPr>
            <w:tcW w:w="1052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w w:val="98"/>
              </w:rPr>
              <w:t>Banks and The Bank of New York Trust Company, N.A., as Trustee (Incorporated by reference to Exhibit 10.4 to the Company’s</w:t>
            </w:r>
          </w:p>
        </w:tc>
      </w:tr>
      <w:tr>
        <w:trPr>
          <w:trHeight w:val="228"/>
        </w:trPr>
        <w:tc>
          <w:tcPr>
            <w:tcW w:w="880" w:type="dxa"/>
            <w:vAlign w:val="bottom"/>
          </w:tcPr>
          <w:p>
            <w:pPr>
              <w:spacing w:after="0"/>
              <w:rPr>
                <w:sz w:val="19"/>
                <w:szCs w:val="19"/>
                <w:color w:val="auto"/>
              </w:rPr>
            </w:pPr>
          </w:p>
        </w:tc>
        <w:tc>
          <w:tcPr>
            <w:tcW w:w="1052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Quarterly Report on Form 10-Q for the period ended June 30, 2007, dated August 8, 2007).</w:t>
            </w:r>
          </w:p>
        </w:tc>
      </w:tr>
      <w:tr>
        <w:trPr>
          <w:trHeight w:val="3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10.45(c)</w:t>
            </w:r>
          </w:p>
        </w:tc>
        <w:tc>
          <w:tcPr>
            <w:tcW w:w="1052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Extension Letter (related to the Series 2006-1 Supplement, dated as of May 11, 2006), dated as of May 10, 2007, from Budget</w:t>
            </w:r>
          </w:p>
        </w:tc>
      </w:tr>
      <w:tr>
        <w:trPr>
          <w:trHeight w:val="216"/>
        </w:trPr>
        <w:tc>
          <w:tcPr>
            <w:tcW w:w="880" w:type="dxa"/>
            <w:vAlign w:val="bottom"/>
          </w:tcPr>
          <w:p>
            <w:pPr>
              <w:spacing w:after="0"/>
              <w:rPr>
                <w:sz w:val="18"/>
                <w:szCs w:val="18"/>
                <w:color w:val="auto"/>
              </w:rPr>
            </w:pPr>
          </w:p>
        </w:tc>
        <w:tc>
          <w:tcPr>
            <w:tcW w:w="1052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w w:val="98"/>
              </w:rPr>
              <w:t>Truck Funding, LLC††, as Issuer (Incorporated by reference to Exhibit 10.3 to the Company’s Quarterly Report on Form 10-Q for</w:t>
            </w:r>
          </w:p>
        </w:tc>
      </w:tr>
      <w:tr>
        <w:trPr>
          <w:trHeight w:val="228"/>
        </w:trPr>
        <w:tc>
          <w:tcPr>
            <w:tcW w:w="880" w:type="dxa"/>
            <w:vAlign w:val="bottom"/>
          </w:tcPr>
          <w:p>
            <w:pPr>
              <w:spacing w:after="0"/>
              <w:rPr>
                <w:sz w:val="19"/>
                <w:szCs w:val="19"/>
                <w:color w:val="auto"/>
              </w:rPr>
            </w:pPr>
          </w:p>
        </w:tc>
        <w:tc>
          <w:tcPr>
            <w:tcW w:w="1052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the period ended June 30, 2007, dated August 8, 2007).</w:t>
            </w:r>
          </w:p>
        </w:tc>
      </w:tr>
      <w:tr>
        <w:trPr>
          <w:trHeight w:val="3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10.45(d)</w:t>
            </w:r>
          </w:p>
        </w:tc>
        <w:tc>
          <w:tcPr>
            <w:tcW w:w="1052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w w:val="99"/>
              </w:rPr>
              <w:t>Amendment No. 2 to the Series 2006-1 Supplement, dated as of February 15, 2008, among Centre Point Funding, LLC (formerly</w:t>
            </w:r>
          </w:p>
        </w:tc>
      </w:tr>
      <w:tr>
        <w:trPr>
          <w:trHeight w:val="216"/>
        </w:trPr>
        <w:tc>
          <w:tcPr>
            <w:tcW w:w="880" w:type="dxa"/>
            <w:vAlign w:val="bottom"/>
          </w:tcPr>
          <w:p>
            <w:pPr>
              <w:spacing w:after="0"/>
              <w:rPr>
                <w:sz w:val="18"/>
                <w:szCs w:val="18"/>
                <w:color w:val="auto"/>
              </w:rPr>
            </w:pPr>
          </w:p>
        </w:tc>
        <w:tc>
          <w:tcPr>
            <w:tcW w:w="1052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known as Budget Truck Funding, LLC), as Issuer, Deutsche Bank Securities, Inc., as Administrative Agent, certain CP Conduit</w:t>
            </w:r>
          </w:p>
        </w:tc>
      </w:tr>
      <w:tr>
        <w:trPr>
          <w:trHeight w:val="216"/>
        </w:trPr>
        <w:tc>
          <w:tcPr>
            <w:tcW w:w="880" w:type="dxa"/>
            <w:vAlign w:val="bottom"/>
          </w:tcPr>
          <w:p>
            <w:pPr>
              <w:spacing w:after="0"/>
              <w:rPr>
                <w:sz w:val="18"/>
                <w:szCs w:val="18"/>
                <w:color w:val="auto"/>
              </w:rPr>
            </w:pPr>
          </w:p>
        </w:tc>
        <w:tc>
          <w:tcPr>
            <w:tcW w:w="1052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w w:val="96"/>
              </w:rPr>
              <w:t>Purchasers, certain Funding Agents, certain APA Banks and The Bank of New York Trust Company, N.A., as Trustee (Incorporated</w:t>
            </w:r>
          </w:p>
        </w:tc>
      </w:tr>
      <w:tr>
        <w:trPr>
          <w:trHeight w:val="216"/>
        </w:trPr>
        <w:tc>
          <w:tcPr>
            <w:tcW w:w="880" w:type="dxa"/>
            <w:vAlign w:val="bottom"/>
          </w:tcPr>
          <w:p>
            <w:pPr>
              <w:spacing w:after="0"/>
              <w:rPr>
                <w:sz w:val="18"/>
                <w:szCs w:val="18"/>
                <w:color w:val="auto"/>
              </w:rPr>
            </w:pPr>
          </w:p>
        </w:tc>
        <w:tc>
          <w:tcPr>
            <w:tcW w:w="1052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by reference to Exhibit 10.42(c) to the Company’s Annual Report on Form 10-K for the year ended December 31, 2007, dated</w:t>
            </w:r>
          </w:p>
        </w:tc>
      </w:tr>
      <w:tr>
        <w:trPr>
          <w:trHeight w:val="228"/>
        </w:trPr>
        <w:tc>
          <w:tcPr>
            <w:tcW w:w="880" w:type="dxa"/>
            <w:vAlign w:val="bottom"/>
          </w:tcPr>
          <w:p>
            <w:pPr>
              <w:spacing w:after="0"/>
              <w:rPr>
                <w:sz w:val="19"/>
                <w:szCs w:val="19"/>
                <w:color w:val="auto"/>
              </w:rPr>
            </w:pPr>
          </w:p>
        </w:tc>
        <w:tc>
          <w:tcPr>
            <w:tcW w:w="1052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February 29, 2008).</w:t>
            </w:r>
          </w:p>
        </w:tc>
      </w:tr>
      <w:tr>
        <w:trPr>
          <w:trHeight w:val="3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10.45(e)</w:t>
            </w:r>
          </w:p>
        </w:tc>
        <w:tc>
          <w:tcPr>
            <w:tcW w:w="1052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w w:val="99"/>
              </w:rPr>
              <w:t>Amendment No. 3 to the Series 2006-1 Supplement, dated as of February 15, 2008, among Centre Point Funding, LLC (formerly</w:t>
            </w:r>
          </w:p>
        </w:tc>
      </w:tr>
      <w:tr>
        <w:trPr>
          <w:trHeight w:val="216"/>
        </w:trPr>
        <w:tc>
          <w:tcPr>
            <w:tcW w:w="880" w:type="dxa"/>
            <w:vAlign w:val="bottom"/>
          </w:tcPr>
          <w:p>
            <w:pPr>
              <w:spacing w:after="0"/>
              <w:rPr>
                <w:sz w:val="18"/>
                <w:szCs w:val="18"/>
                <w:color w:val="auto"/>
              </w:rPr>
            </w:pPr>
          </w:p>
        </w:tc>
        <w:tc>
          <w:tcPr>
            <w:tcW w:w="1052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known as Budget Truck Funding, LLC), as Issuer, Deutsche Bank Securities, Inc., as Administrative Agent, certain CP conduit</w:t>
            </w:r>
          </w:p>
        </w:tc>
      </w:tr>
      <w:tr>
        <w:trPr>
          <w:trHeight w:val="216"/>
        </w:trPr>
        <w:tc>
          <w:tcPr>
            <w:tcW w:w="880" w:type="dxa"/>
            <w:vAlign w:val="bottom"/>
          </w:tcPr>
          <w:p>
            <w:pPr>
              <w:spacing w:after="0"/>
              <w:rPr>
                <w:sz w:val="18"/>
                <w:szCs w:val="18"/>
                <w:color w:val="auto"/>
              </w:rPr>
            </w:pPr>
          </w:p>
        </w:tc>
        <w:tc>
          <w:tcPr>
            <w:tcW w:w="1052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w w:val="96"/>
              </w:rPr>
              <w:t>Purchasers, certain Funding Agents, certain APA Banks and The Bank of New York Trust Company, N.A., as Trustee (Incorporated</w:t>
            </w:r>
          </w:p>
        </w:tc>
      </w:tr>
      <w:tr>
        <w:trPr>
          <w:trHeight w:val="216"/>
        </w:trPr>
        <w:tc>
          <w:tcPr>
            <w:tcW w:w="880" w:type="dxa"/>
            <w:vAlign w:val="bottom"/>
          </w:tcPr>
          <w:p>
            <w:pPr>
              <w:spacing w:after="0"/>
              <w:rPr>
                <w:sz w:val="18"/>
                <w:szCs w:val="18"/>
                <w:color w:val="auto"/>
              </w:rPr>
            </w:pPr>
          </w:p>
        </w:tc>
        <w:tc>
          <w:tcPr>
            <w:tcW w:w="1052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w w:val="98"/>
              </w:rPr>
              <w:t>by reference to Exhibit 10.3 to the Company’s Quarterly Report on Form 10-Q for the quarterly period ended June 30, 2008 dated</w:t>
            </w:r>
          </w:p>
        </w:tc>
      </w:tr>
      <w:tr>
        <w:trPr>
          <w:trHeight w:val="228"/>
        </w:trPr>
        <w:tc>
          <w:tcPr>
            <w:tcW w:w="880" w:type="dxa"/>
            <w:vAlign w:val="bottom"/>
          </w:tcPr>
          <w:p>
            <w:pPr>
              <w:spacing w:after="0"/>
              <w:rPr>
                <w:sz w:val="19"/>
                <w:szCs w:val="19"/>
                <w:color w:val="auto"/>
              </w:rPr>
            </w:pPr>
          </w:p>
        </w:tc>
        <w:tc>
          <w:tcPr>
            <w:tcW w:w="1052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August 7, 2008).</w:t>
            </w:r>
          </w:p>
        </w:tc>
      </w:tr>
      <w:tr>
        <w:trPr>
          <w:trHeight w:val="3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10.45(f)</w:t>
            </w:r>
          </w:p>
        </w:tc>
        <w:tc>
          <w:tcPr>
            <w:tcW w:w="1052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w w:val="98"/>
              </w:rPr>
              <w:t>Amendment No. 4 to the Series 2006-1 Supplement, dated as of December 23, 2008, among Centre Point Funding, LLC (formerly</w:t>
            </w:r>
          </w:p>
        </w:tc>
      </w:tr>
      <w:tr>
        <w:trPr>
          <w:trHeight w:val="216"/>
        </w:trPr>
        <w:tc>
          <w:tcPr>
            <w:tcW w:w="880" w:type="dxa"/>
            <w:vAlign w:val="bottom"/>
          </w:tcPr>
          <w:p>
            <w:pPr>
              <w:spacing w:after="0"/>
              <w:rPr>
                <w:sz w:val="18"/>
                <w:szCs w:val="18"/>
                <w:color w:val="auto"/>
              </w:rPr>
            </w:pPr>
          </w:p>
        </w:tc>
        <w:tc>
          <w:tcPr>
            <w:tcW w:w="1052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known as Budget Truck Funding, LLC), as Issuer, Deutsche Bank Securities, Inc., as Administrative Agent, certain CP conduit</w:t>
            </w:r>
          </w:p>
        </w:tc>
      </w:tr>
      <w:tr>
        <w:trPr>
          <w:trHeight w:val="216"/>
        </w:trPr>
        <w:tc>
          <w:tcPr>
            <w:tcW w:w="880" w:type="dxa"/>
            <w:vAlign w:val="bottom"/>
          </w:tcPr>
          <w:p>
            <w:pPr>
              <w:spacing w:after="0"/>
              <w:rPr>
                <w:sz w:val="18"/>
                <w:szCs w:val="18"/>
                <w:color w:val="auto"/>
              </w:rPr>
            </w:pPr>
          </w:p>
        </w:tc>
        <w:tc>
          <w:tcPr>
            <w:tcW w:w="1052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Purchasers, certain Funding Agents, certain APA Banks and The Bank of New York Mellon Trust Company, N.A., as Trustee</w:t>
            </w:r>
          </w:p>
        </w:tc>
      </w:tr>
      <w:tr>
        <w:trPr>
          <w:trHeight w:val="216"/>
        </w:trPr>
        <w:tc>
          <w:tcPr>
            <w:tcW w:w="880" w:type="dxa"/>
            <w:vAlign w:val="bottom"/>
          </w:tcPr>
          <w:p>
            <w:pPr>
              <w:spacing w:after="0"/>
              <w:rPr>
                <w:sz w:val="18"/>
                <w:szCs w:val="18"/>
                <w:color w:val="auto"/>
              </w:rPr>
            </w:pPr>
          </w:p>
        </w:tc>
        <w:tc>
          <w:tcPr>
            <w:tcW w:w="1052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(Incorporated by reference to Exhibit 10.41(f) to the Company’s Annual Report on Form 10-K for the year ended December 31,</w:t>
            </w:r>
          </w:p>
        </w:tc>
      </w:tr>
      <w:tr>
        <w:trPr>
          <w:trHeight w:val="228"/>
        </w:trPr>
        <w:tc>
          <w:tcPr>
            <w:tcW w:w="880" w:type="dxa"/>
            <w:vAlign w:val="bottom"/>
          </w:tcPr>
          <w:p>
            <w:pPr>
              <w:spacing w:after="0"/>
              <w:rPr>
                <w:sz w:val="19"/>
                <w:szCs w:val="19"/>
                <w:color w:val="auto"/>
              </w:rPr>
            </w:pPr>
          </w:p>
        </w:tc>
        <w:tc>
          <w:tcPr>
            <w:tcW w:w="546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2008).</w:t>
            </w:r>
          </w:p>
        </w:tc>
        <w:tc>
          <w:tcPr>
            <w:tcW w:w="880" w:type="dxa"/>
            <w:vAlign w:val="bottom"/>
          </w:tcPr>
          <w:p>
            <w:pPr>
              <w:spacing w:after="0"/>
              <w:rPr>
                <w:sz w:val="19"/>
                <w:szCs w:val="19"/>
                <w:color w:val="auto"/>
              </w:rPr>
            </w:pPr>
          </w:p>
        </w:tc>
        <w:tc>
          <w:tcPr>
            <w:tcW w:w="4180" w:type="dxa"/>
            <w:vAlign w:val="bottom"/>
          </w:tcPr>
          <w:p>
            <w:pPr>
              <w:spacing w:after="0"/>
              <w:rPr>
                <w:sz w:val="19"/>
                <w:szCs w:val="19"/>
                <w:color w:val="auto"/>
              </w:rPr>
            </w:pPr>
          </w:p>
        </w:tc>
      </w:tr>
      <w:tr>
        <w:trPr>
          <w:trHeight w:val="3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10.45(g)</w:t>
            </w:r>
          </w:p>
        </w:tc>
        <w:tc>
          <w:tcPr>
            <w:tcW w:w="1052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w w:val="99"/>
              </w:rPr>
              <w:t>Amendment No. 5 to the Series 2006-1 Supplement, dated as of August 21, 2009, between Centre Point Funding, LLC, as Issuer,</w:t>
            </w:r>
          </w:p>
        </w:tc>
      </w:tr>
      <w:tr>
        <w:trPr>
          <w:trHeight w:val="216"/>
        </w:trPr>
        <w:tc>
          <w:tcPr>
            <w:tcW w:w="880" w:type="dxa"/>
            <w:vAlign w:val="bottom"/>
          </w:tcPr>
          <w:p>
            <w:pPr>
              <w:spacing w:after="0"/>
              <w:rPr>
                <w:sz w:val="18"/>
                <w:szCs w:val="18"/>
                <w:color w:val="auto"/>
              </w:rPr>
            </w:pPr>
          </w:p>
        </w:tc>
        <w:tc>
          <w:tcPr>
            <w:tcW w:w="1052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w w:val="99"/>
              </w:rPr>
              <w:t>Budget Truck Rental, LLC, as Administrator, Deutsche Bank Securities, Inc., Riverside Funding LLC, Deutsche Bank AG, New</w:t>
            </w:r>
          </w:p>
        </w:tc>
      </w:tr>
      <w:tr>
        <w:trPr>
          <w:trHeight w:val="216"/>
        </w:trPr>
        <w:tc>
          <w:tcPr>
            <w:tcW w:w="880" w:type="dxa"/>
            <w:vAlign w:val="bottom"/>
          </w:tcPr>
          <w:p>
            <w:pPr>
              <w:spacing w:after="0"/>
              <w:rPr>
                <w:sz w:val="18"/>
                <w:szCs w:val="18"/>
                <w:color w:val="auto"/>
              </w:rPr>
            </w:pPr>
          </w:p>
        </w:tc>
        <w:tc>
          <w:tcPr>
            <w:tcW w:w="1052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w w:val="99"/>
              </w:rPr>
              <w:t>York Branch, Sheffield Receivables Corporation, Barclays Bank PLC and The Bank of New York Mellon Trust Company, N.A.</w:t>
            </w:r>
          </w:p>
        </w:tc>
      </w:tr>
      <w:tr>
        <w:trPr>
          <w:trHeight w:val="216"/>
        </w:trPr>
        <w:tc>
          <w:tcPr>
            <w:tcW w:w="880" w:type="dxa"/>
            <w:vAlign w:val="bottom"/>
          </w:tcPr>
          <w:p>
            <w:pPr>
              <w:spacing w:after="0"/>
              <w:rPr>
                <w:sz w:val="18"/>
                <w:szCs w:val="18"/>
                <w:color w:val="auto"/>
              </w:rPr>
            </w:pPr>
          </w:p>
        </w:tc>
        <w:tc>
          <w:tcPr>
            <w:tcW w:w="1052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(f/k/a The Bank of New York Trust Company, N.A.), in its capacity as Trustee (Incorporated by reference to Exhibit 10.3 to the</w:t>
            </w:r>
          </w:p>
        </w:tc>
      </w:tr>
      <w:tr>
        <w:trPr>
          <w:trHeight w:val="228"/>
        </w:trPr>
        <w:tc>
          <w:tcPr>
            <w:tcW w:w="880" w:type="dxa"/>
            <w:vAlign w:val="bottom"/>
          </w:tcPr>
          <w:p>
            <w:pPr>
              <w:spacing w:after="0"/>
              <w:rPr>
                <w:sz w:val="19"/>
                <w:szCs w:val="19"/>
                <w:color w:val="auto"/>
              </w:rPr>
            </w:pPr>
          </w:p>
        </w:tc>
        <w:tc>
          <w:tcPr>
            <w:tcW w:w="1052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Company’s Quarterly Report on Form 10-Q for the quarter ended September 30, 2009).</w:t>
            </w:r>
          </w:p>
        </w:tc>
      </w:tr>
      <w:tr>
        <w:trPr>
          <w:trHeight w:val="3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10.46(a)</w:t>
            </w:r>
          </w:p>
        </w:tc>
        <w:tc>
          <w:tcPr>
            <w:tcW w:w="1052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w w:val="98"/>
              </w:rPr>
              <w:t>Asset and Stock Purchase Agreement by and among Budget Group, Inc. and certain of its Subsidiaries, Cendant Corporation* and</w:t>
            </w:r>
          </w:p>
        </w:tc>
      </w:tr>
      <w:tr>
        <w:trPr>
          <w:trHeight w:val="216"/>
        </w:trPr>
        <w:tc>
          <w:tcPr>
            <w:tcW w:w="880" w:type="dxa"/>
            <w:vAlign w:val="bottom"/>
          </w:tcPr>
          <w:p>
            <w:pPr>
              <w:spacing w:after="0"/>
              <w:rPr>
                <w:sz w:val="18"/>
                <w:szCs w:val="18"/>
                <w:color w:val="auto"/>
              </w:rPr>
            </w:pPr>
          </w:p>
        </w:tc>
        <w:tc>
          <w:tcPr>
            <w:tcW w:w="1052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Cherokee Acquisition Corporation dated as of August 22, 2002 (Incorporated by reference to Exhibit 10.71 to the Company’s</w:t>
            </w:r>
          </w:p>
        </w:tc>
      </w:tr>
      <w:tr>
        <w:trPr>
          <w:trHeight w:val="228"/>
        </w:trPr>
        <w:tc>
          <w:tcPr>
            <w:tcW w:w="880" w:type="dxa"/>
            <w:vAlign w:val="bottom"/>
          </w:tcPr>
          <w:p>
            <w:pPr>
              <w:spacing w:after="0"/>
              <w:rPr>
                <w:sz w:val="19"/>
                <w:szCs w:val="19"/>
                <w:color w:val="auto"/>
              </w:rPr>
            </w:pPr>
          </w:p>
        </w:tc>
        <w:tc>
          <w:tcPr>
            <w:tcW w:w="1052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Annual Report on Form 10-K/A for the year ended December 31, 2001 dated November 4, 2002).</w:t>
            </w:r>
          </w:p>
        </w:tc>
      </w:tr>
      <w:tr>
        <w:trPr>
          <w:trHeight w:val="3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10.46(b)</w:t>
            </w:r>
          </w:p>
        </w:tc>
        <w:tc>
          <w:tcPr>
            <w:tcW w:w="1052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First Amendment to Asset and Stock Purchase Agreement by and among Budget Group, Inc. and certain of its Subsidiaries,</w:t>
            </w:r>
          </w:p>
        </w:tc>
      </w:tr>
      <w:tr>
        <w:trPr>
          <w:trHeight w:val="216"/>
        </w:trPr>
        <w:tc>
          <w:tcPr>
            <w:tcW w:w="880" w:type="dxa"/>
            <w:vAlign w:val="bottom"/>
          </w:tcPr>
          <w:p>
            <w:pPr>
              <w:spacing w:after="0"/>
              <w:rPr>
                <w:sz w:val="18"/>
                <w:szCs w:val="18"/>
                <w:color w:val="auto"/>
              </w:rPr>
            </w:pPr>
          </w:p>
        </w:tc>
        <w:tc>
          <w:tcPr>
            <w:tcW w:w="1052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w w:val="97"/>
              </w:rPr>
              <w:t>Cendant Corporation* and Cherokee Acquisition Corporation dated as of September 10, 2002 (Incorporated by reference to Exhibit</w:t>
            </w:r>
          </w:p>
        </w:tc>
      </w:tr>
      <w:tr>
        <w:trPr>
          <w:trHeight w:val="228"/>
        </w:trPr>
        <w:tc>
          <w:tcPr>
            <w:tcW w:w="880" w:type="dxa"/>
            <w:vAlign w:val="bottom"/>
          </w:tcPr>
          <w:p>
            <w:pPr>
              <w:spacing w:after="0"/>
              <w:rPr>
                <w:sz w:val="19"/>
                <w:szCs w:val="19"/>
                <w:color w:val="auto"/>
              </w:rPr>
            </w:pPr>
          </w:p>
        </w:tc>
        <w:tc>
          <w:tcPr>
            <w:tcW w:w="1052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10.72 to the Company’s Annual Report on Form 10-K/A for the year ended December 31, 2001 dated November 4, 2002).</w:t>
            </w:r>
          </w:p>
        </w:tc>
      </w:tr>
      <w:tr>
        <w:trPr>
          <w:trHeight w:val="365"/>
        </w:trPr>
        <w:tc>
          <w:tcPr>
            <w:tcW w:w="880" w:type="dxa"/>
            <w:vAlign w:val="bottom"/>
          </w:tcPr>
          <w:p>
            <w:pPr>
              <w:spacing w:after="0"/>
              <w:rPr>
                <w:sz w:val="24"/>
                <w:szCs w:val="24"/>
                <w:color w:val="auto"/>
              </w:rPr>
            </w:pPr>
          </w:p>
        </w:tc>
        <w:tc>
          <w:tcPr>
            <w:tcW w:w="10520" w:type="dxa"/>
            <w:vAlign w:val="bottom"/>
            <w:gridSpan w:val="3"/>
          </w:tcPr>
          <w:p>
            <w:pPr>
              <w:ind w:left="4660"/>
              <w:spacing w:after="0"/>
              <w:rPr>
                <w:sz w:val="20"/>
                <w:szCs w:val="20"/>
                <w:color w:val="auto"/>
              </w:rPr>
            </w:pPr>
            <w:r>
              <w:rPr>
                <w:rFonts w:ascii="Times New Roman" w:cs="Times New Roman" w:eastAsia="Times New Roman" w:hAnsi="Times New Roman"/>
                <w:sz w:val="18"/>
                <w:szCs w:val="18"/>
                <w:color w:val="auto"/>
              </w:rPr>
              <w:t>H-10</w:t>
            </w:r>
          </w:p>
        </w:tc>
      </w:tr>
    </w:tbl>
    <w:p>
      <w:pPr>
        <w:sectPr>
          <w:pgSz w:w="11900" w:h="16838" w:orient="portrait"/>
          <w:cols w:equalWidth="0" w:num="1">
            <w:col w:w="11400"/>
          </w:cols>
          <w:pgMar w:left="240" w:top="455" w:right="259" w:bottom="1440" w:gutter="0" w:footer="0" w:header="0"/>
        </w:sectPr>
      </w:pPr>
    </w:p>
    <w:bookmarkStart w:id="133" w:name="page134"/>
    <w:bookmarkEnd w:id="13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7"/>
              </w:rPr>
              <w:t>Exhibit No.</w:t>
            </w:r>
          </w:p>
        </w:tc>
        <w:tc>
          <w:tcPr>
            <w:tcW w:w="5460" w:type="dxa"/>
            <w:vAlign w:val="bottom"/>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6"/>
              </w:rPr>
              <w:t>Description</w:t>
            </w:r>
          </w:p>
        </w:tc>
        <w:tc>
          <w:tcPr>
            <w:tcW w:w="4200" w:type="dxa"/>
            <w:vAlign w:val="bottom"/>
          </w:tcPr>
          <w:p>
            <w:pPr>
              <w:spacing w:after="0"/>
              <w:rPr>
                <w:sz w:val="20"/>
                <w:szCs w:val="20"/>
                <w:color w:val="auto"/>
              </w:rPr>
            </w:pPr>
          </w:p>
        </w:tc>
      </w:tr>
      <w:tr>
        <w:trPr>
          <w:trHeight w:val="197"/>
        </w:trPr>
        <w:tc>
          <w:tcPr>
            <w:tcW w:w="880" w:type="dxa"/>
            <w:vAlign w:val="bottom"/>
          </w:tcPr>
          <w:p>
            <w:pPr>
              <w:spacing w:after="0" w:line="197" w:lineRule="exact"/>
              <w:rPr>
                <w:sz w:val="20"/>
                <w:szCs w:val="20"/>
                <w:color w:val="auto"/>
              </w:rPr>
            </w:pPr>
            <w:r>
              <w:rPr>
                <w:rFonts w:ascii="Times New Roman" w:cs="Times New Roman" w:eastAsia="Times New Roman" w:hAnsi="Times New Roman"/>
                <w:sz w:val="18"/>
                <w:szCs w:val="18"/>
                <w:color w:val="auto"/>
              </w:rPr>
              <w:t>10.47</w:t>
            </w:r>
          </w:p>
        </w:tc>
        <w:tc>
          <w:tcPr>
            <w:tcW w:w="5460" w:type="dxa"/>
            <w:vAlign w:val="bottom"/>
          </w:tcPr>
          <w:p>
            <w:pPr>
              <w:ind w:left="1260"/>
              <w:spacing w:after="0" w:line="197" w:lineRule="exact"/>
              <w:rPr>
                <w:sz w:val="20"/>
                <w:szCs w:val="20"/>
                <w:color w:val="auto"/>
              </w:rPr>
            </w:pPr>
            <w:r>
              <w:rPr>
                <w:rFonts w:ascii="Times New Roman" w:cs="Times New Roman" w:eastAsia="Times New Roman" w:hAnsi="Times New Roman"/>
                <w:sz w:val="18"/>
                <w:szCs w:val="18"/>
                <w:color w:val="auto"/>
                <w:w w:val="96"/>
              </w:rPr>
              <w:t>Separation Agreement, dated as of January 31, 2005, by and</w:t>
            </w:r>
          </w:p>
        </w:tc>
        <w:tc>
          <w:tcPr>
            <w:tcW w:w="5080" w:type="dxa"/>
            <w:vAlign w:val="bottom"/>
            <w:gridSpan w:val="2"/>
          </w:tcPr>
          <w:p>
            <w:pPr>
              <w:ind w:left="80"/>
              <w:spacing w:after="0" w:line="197" w:lineRule="exact"/>
              <w:rPr>
                <w:sz w:val="20"/>
                <w:szCs w:val="20"/>
                <w:color w:val="auto"/>
              </w:rPr>
            </w:pPr>
            <w:r>
              <w:rPr>
                <w:rFonts w:ascii="Times New Roman" w:cs="Times New Roman" w:eastAsia="Times New Roman" w:hAnsi="Times New Roman"/>
                <w:sz w:val="18"/>
                <w:szCs w:val="18"/>
                <w:color w:val="auto"/>
                <w:w w:val="97"/>
              </w:rPr>
              <w:t>between Cendant Corporation* and PHH Corporation (Incorporated by</w:t>
            </w:r>
          </w:p>
        </w:tc>
      </w:tr>
      <w:tr>
        <w:trPr>
          <w:trHeight w:val="228"/>
        </w:trPr>
        <w:tc>
          <w:tcPr>
            <w:tcW w:w="880" w:type="dxa"/>
            <w:vAlign w:val="bottom"/>
          </w:tcPr>
          <w:p>
            <w:pPr>
              <w:spacing w:after="0"/>
              <w:rPr>
                <w:sz w:val="19"/>
                <w:szCs w:val="19"/>
                <w:color w:val="auto"/>
              </w:rPr>
            </w:pPr>
          </w:p>
        </w:tc>
        <w:tc>
          <w:tcPr>
            <w:tcW w:w="1054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reference to Exhibit 10.3 to the Company’s Current Report on Form 8-K dated February 4, 2005).</w:t>
            </w:r>
          </w:p>
        </w:tc>
      </w:tr>
      <w:tr>
        <w:trPr>
          <w:trHeight w:val="3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10.48</w:t>
            </w:r>
          </w:p>
        </w:tc>
        <w:tc>
          <w:tcPr>
            <w:tcW w:w="1054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w w:val="97"/>
              </w:rPr>
              <w:t>Tax Sharing Agreement, dated as of January 31, 2005, by and among Cendant Corporation*, PHH Corporation and certain affiliates</w:t>
            </w:r>
          </w:p>
        </w:tc>
      </w:tr>
      <w:tr>
        <w:trPr>
          <w:trHeight w:val="216"/>
        </w:trPr>
        <w:tc>
          <w:tcPr>
            <w:tcW w:w="880" w:type="dxa"/>
            <w:vAlign w:val="bottom"/>
          </w:tcPr>
          <w:p>
            <w:pPr>
              <w:spacing w:after="0"/>
              <w:rPr>
                <w:sz w:val="18"/>
                <w:szCs w:val="18"/>
                <w:color w:val="auto"/>
              </w:rPr>
            </w:pPr>
          </w:p>
        </w:tc>
        <w:tc>
          <w:tcPr>
            <w:tcW w:w="1054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w w:val="97"/>
              </w:rPr>
              <w:t>of PHH Corporation named therein (Incorporated by reference to Exhibit 10.4 to the Company’s Current Report on Form 8-K dated</w:t>
            </w:r>
          </w:p>
        </w:tc>
      </w:tr>
      <w:tr>
        <w:trPr>
          <w:trHeight w:val="228"/>
        </w:trPr>
        <w:tc>
          <w:tcPr>
            <w:tcW w:w="880" w:type="dxa"/>
            <w:vAlign w:val="bottom"/>
          </w:tcPr>
          <w:p>
            <w:pPr>
              <w:spacing w:after="0"/>
              <w:rPr>
                <w:sz w:val="19"/>
                <w:szCs w:val="19"/>
                <w:color w:val="auto"/>
              </w:rPr>
            </w:pPr>
          </w:p>
        </w:tc>
        <w:tc>
          <w:tcPr>
            <w:tcW w:w="1054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February 4, 2005). †††</w:t>
            </w:r>
          </w:p>
        </w:tc>
      </w:tr>
      <w:tr>
        <w:trPr>
          <w:trHeight w:val="3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10.49</w:t>
            </w:r>
          </w:p>
        </w:tc>
        <w:tc>
          <w:tcPr>
            <w:tcW w:w="1054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Cendant Corporation* Officer Personal Financial Services Policy (Incorporated by reference to Exhibit 10.3 of the Company’s</w:t>
            </w:r>
          </w:p>
        </w:tc>
      </w:tr>
      <w:tr>
        <w:trPr>
          <w:trHeight w:val="228"/>
        </w:trPr>
        <w:tc>
          <w:tcPr>
            <w:tcW w:w="880" w:type="dxa"/>
            <w:vAlign w:val="bottom"/>
          </w:tcPr>
          <w:p>
            <w:pPr>
              <w:spacing w:after="0"/>
              <w:rPr>
                <w:sz w:val="19"/>
                <w:szCs w:val="19"/>
                <w:color w:val="auto"/>
              </w:rPr>
            </w:pPr>
          </w:p>
        </w:tc>
        <w:tc>
          <w:tcPr>
            <w:tcW w:w="1054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Current Report on Form 8-K dated January 26, 2005).</w:t>
            </w:r>
          </w:p>
        </w:tc>
      </w:tr>
      <w:tr>
        <w:trPr>
          <w:trHeight w:val="3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10.50</w:t>
            </w:r>
          </w:p>
        </w:tc>
        <w:tc>
          <w:tcPr>
            <w:tcW w:w="1054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w w:val="98"/>
              </w:rPr>
              <w:t>Form of TRAC Participation Agreement (Incorporated by reference to Exhibit 10.1 to the Company’s Current Report on Form 8-K</w:t>
            </w:r>
          </w:p>
        </w:tc>
      </w:tr>
      <w:tr>
        <w:trPr>
          <w:trHeight w:val="228"/>
        </w:trPr>
        <w:tc>
          <w:tcPr>
            <w:tcW w:w="880" w:type="dxa"/>
            <w:vAlign w:val="bottom"/>
          </w:tcPr>
          <w:p>
            <w:pPr>
              <w:spacing w:after="0"/>
              <w:rPr>
                <w:sz w:val="19"/>
                <w:szCs w:val="19"/>
                <w:color w:val="auto"/>
              </w:rPr>
            </w:pPr>
          </w:p>
        </w:tc>
        <w:tc>
          <w:tcPr>
            <w:tcW w:w="1054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dated May 26, 2005).</w:t>
            </w:r>
          </w:p>
        </w:tc>
      </w:tr>
      <w:tr>
        <w:trPr>
          <w:trHeight w:val="3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10.51</w:t>
            </w:r>
          </w:p>
        </w:tc>
        <w:tc>
          <w:tcPr>
            <w:tcW w:w="1054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Form of TRAC Lease (Incorporated by reference to Exhibit 10.2 to the Company’s Current Report on Form 8-K dated May 26,</w:t>
            </w:r>
          </w:p>
        </w:tc>
      </w:tr>
      <w:tr>
        <w:trPr>
          <w:trHeight w:val="228"/>
        </w:trPr>
        <w:tc>
          <w:tcPr>
            <w:tcW w:w="880" w:type="dxa"/>
            <w:vAlign w:val="bottom"/>
          </w:tcPr>
          <w:p>
            <w:pPr>
              <w:spacing w:after="0"/>
              <w:rPr>
                <w:sz w:val="19"/>
                <w:szCs w:val="19"/>
                <w:color w:val="auto"/>
              </w:rPr>
            </w:pPr>
          </w:p>
        </w:tc>
        <w:tc>
          <w:tcPr>
            <w:tcW w:w="546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2005).</w:t>
            </w:r>
          </w:p>
        </w:tc>
        <w:tc>
          <w:tcPr>
            <w:tcW w:w="880" w:type="dxa"/>
            <w:vAlign w:val="bottom"/>
          </w:tcPr>
          <w:p>
            <w:pPr>
              <w:spacing w:after="0"/>
              <w:rPr>
                <w:sz w:val="19"/>
                <w:szCs w:val="19"/>
                <w:color w:val="auto"/>
              </w:rPr>
            </w:pPr>
          </w:p>
        </w:tc>
        <w:tc>
          <w:tcPr>
            <w:tcW w:w="4200" w:type="dxa"/>
            <w:vAlign w:val="bottom"/>
          </w:tcPr>
          <w:p>
            <w:pPr>
              <w:spacing w:after="0"/>
              <w:rPr>
                <w:sz w:val="19"/>
                <w:szCs w:val="19"/>
                <w:color w:val="auto"/>
              </w:rPr>
            </w:pPr>
          </w:p>
        </w:tc>
      </w:tr>
      <w:tr>
        <w:trPr>
          <w:trHeight w:val="3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10.52</w:t>
            </w:r>
          </w:p>
        </w:tc>
        <w:tc>
          <w:tcPr>
            <w:tcW w:w="1054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w w:val="98"/>
              </w:rPr>
              <w:t>Form of TRAC Guaranty (Incorporated by reference to Exhibit 10.3 to the Company’s Current Report on Form 8-K dated May 26,</w:t>
            </w:r>
          </w:p>
        </w:tc>
      </w:tr>
      <w:tr>
        <w:trPr>
          <w:trHeight w:val="228"/>
        </w:trPr>
        <w:tc>
          <w:tcPr>
            <w:tcW w:w="880" w:type="dxa"/>
            <w:vAlign w:val="bottom"/>
          </w:tcPr>
          <w:p>
            <w:pPr>
              <w:spacing w:after="0"/>
              <w:rPr>
                <w:sz w:val="19"/>
                <w:szCs w:val="19"/>
                <w:color w:val="auto"/>
              </w:rPr>
            </w:pPr>
          </w:p>
        </w:tc>
        <w:tc>
          <w:tcPr>
            <w:tcW w:w="546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2005).</w:t>
            </w:r>
          </w:p>
        </w:tc>
        <w:tc>
          <w:tcPr>
            <w:tcW w:w="880" w:type="dxa"/>
            <w:vAlign w:val="bottom"/>
          </w:tcPr>
          <w:p>
            <w:pPr>
              <w:spacing w:after="0"/>
              <w:rPr>
                <w:sz w:val="19"/>
                <w:szCs w:val="19"/>
                <w:color w:val="auto"/>
              </w:rPr>
            </w:pPr>
          </w:p>
        </w:tc>
        <w:tc>
          <w:tcPr>
            <w:tcW w:w="4200" w:type="dxa"/>
            <w:vAlign w:val="bottom"/>
          </w:tcPr>
          <w:p>
            <w:pPr>
              <w:spacing w:after="0"/>
              <w:rPr>
                <w:sz w:val="19"/>
                <w:szCs w:val="19"/>
                <w:color w:val="auto"/>
              </w:rPr>
            </w:pPr>
          </w:p>
        </w:tc>
      </w:tr>
      <w:tr>
        <w:trPr>
          <w:trHeight w:val="3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10.53(a)</w:t>
            </w:r>
          </w:p>
        </w:tc>
        <w:tc>
          <w:tcPr>
            <w:tcW w:w="1054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w w:val="98"/>
              </w:rPr>
              <w:t>WTH Funding Limited Partnership Fourth Amended and Restated Limited Partnership Agreement among Aviscar Inc., Budgetcar</w:t>
            </w:r>
          </w:p>
        </w:tc>
      </w:tr>
      <w:tr>
        <w:trPr>
          <w:trHeight w:val="216"/>
        </w:trPr>
        <w:tc>
          <w:tcPr>
            <w:tcW w:w="880" w:type="dxa"/>
            <w:vAlign w:val="bottom"/>
          </w:tcPr>
          <w:p>
            <w:pPr>
              <w:spacing w:after="0"/>
              <w:rPr>
                <w:sz w:val="18"/>
                <w:szCs w:val="18"/>
                <w:color w:val="auto"/>
              </w:rPr>
            </w:pPr>
          </w:p>
        </w:tc>
        <w:tc>
          <w:tcPr>
            <w:tcW w:w="1054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Inc., as general partners and BNY Trust Company of Canada, in its capacity as trustee of STARS Trust and Montreal Trust</w:t>
            </w:r>
          </w:p>
        </w:tc>
      </w:tr>
      <w:tr>
        <w:trPr>
          <w:trHeight w:val="216"/>
        </w:trPr>
        <w:tc>
          <w:tcPr>
            <w:tcW w:w="880" w:type="dxa"/>
            <w:vAlign w:val="bottom"/>
          </w:tcPr>
          <w:p>
            <w:pPr>
              <w:spacing w:after="0"/>
              <w:rPr>
                <w:sz w:val="18"/>
                <w:szCs w:val="18"/>
                <w:color w:val="auto"/>
              </w:rPr>
            </w:pPr>
          </w:p>
        </w:tc>
        <w:tc>
          <w:tcPr>
            <w:tcW w:w="1054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w w:val="99"/>
              </w:rPr>
              <w:t>Company of Canada, in its capacity as trustee of Bay Street Funding Trust, as limited partners dated April 20, 2005 (Incorporated</w:t>
            </w:r>
          </w:p>
        </w:tc>
      </w:tr>
      <w:tr>
        <w:trPr>
          <w:trHeight w:val="216"/>
        </w:trPr>
        <w:tc>
          <w:tcPr>
            <w:tcW w:w="880" w:type="dxa"/>
            <w:vAlign w:val="bottom"/>
          </w:tcPr>
          <w:p>
            <w:pPr>
              <w:spacing w:after="0"/>
              <w:rPr>
                <w:sz w:val="18"/>
                <w:szCs w:val="18"/>
                <w:color w:val="auto"/>
              </w:rPr>
            </w:pPr>
          </w:p>
        </w:tc>
        <w:tc>
          <w:tcPr>
            <w:tcW w:w="1054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w w:val="98"/>
              </w:rPr>
              <w:t>by reference to Exhibit 10.2 to the Company’s Quarterly Report on Form 10-Q for the quarterly period ended June 30, 2005 dated</w:t>
            </w:r>
          </w:p>
        </w:tc>
      </w:tr>
      <w:tr>
        <w:trPr>
          <w:trHeight w:val="228"/>
        </w:trPr>
        <w:tc>
          <w:tcPr>
            <w:tcW w:w="880" w:type="dxa"/>
            <w:vAlign w:val="bottom"/>
          </w:tcPr>
          <w:p>
            <w:pPr>
              <w:spacing w:after="0"/>
              <w:rPr>
                <w:sz w:val="19"/>
                <w:szCs w:val="19"/>
                <w:color w:val="auto"/>
              </w:rPr>
            </w:pPr>
          </w:p>
        </w:tc>
        <w:tc>
          <w:tcPr>
            <w:tcW w:w="1054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August 2, 2005).</w:t>
            </w:r>
          </w:p>
        </w:tc>
      </w:tr>
      <w:tr>
        <w:trPr>
          <w:trHeight w:val="3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10.53(b)</w:t>
            </w:r>
          </w:p>
        </w:tc>
        <w:tc>
          <w:tcPr>
            <w:tcW w:w="1054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Amending Agreement No. 1 to the Fourth Amended and Restated Limited Partnership Agreement among Aviscar Inc. and</w:t>
            </w:r>
          </w:p>
        </w:tc>
      </w:tr>
      <w:tr>
        <w:trPr>
          <w:trHeight w:val="216"/>
        </w:trPr>
        <w:tc>
          <w:tcPr>
            <w:tcW w:w="880" w:type="dxa"/>
            <w:vAlign w:val="bottom"/>
          </w:tcPr>
          <w:p>
            <w:pPr>
              <w:spacing w:after="0"/>
              <w:rPr>
                <w:sz w:val="18"/>
                <w:szCs w:val="18"/>
                <w:color w:val="auto"/>
              </w:rPr>
            </w:pPr>
          </w:p>
        </w:tc>
        <w:tc>
          <w:tcPr>
            <w:tcW w:w="1054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Budgetcar Inc., as general partners and BNY Trust Company of Canada, in its capacity as trustee of STARS Trust and Montreal</w:t>
            </w:r>
          </w:p>
        </w:tc>
      </w:tr>
      <w:tr>
        <w:trPr>
          <w:trHeight w:val="216"/>
        </w:trPr>
        <w:tc>
          <w:tcPr>
            <w:tcW w:w="880" w:type="dxa"/>
            <w:vAlign w:val="bottom"/>
          </w:tcPr>
          <w:p>
            <w:pPr>
              <w:spacing w:after="0"/>
              <w:rPr>
                <w:sz w:val="18"/>
                <w:szCs w:val="18"/>
                <w:color w:val="auto"/>
              </w:rPr>
            </w:pPr>
          </w:p>
        </w:tc>
        <w:tc>
          <w:tcPr>
            <w:tcW w:w="1054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w w:val="99"/>
              </w:rPr>
              <w:t>Trust Company of Canada, in its capacity as trustee of Bay Street Funding Trust, as limited partners (Incorporated by reference to</w:t>
            </w:r>
          </w:p>
        </w:tc>
      </w:tr>
      <w:tr>
        <w:trPr>
          <w:trHeight w:val="228"/>
        </w:trPr>
        <w:tc>
          <w:tcPr>
            <w:tcW w:w="880" w:type="dxa"/>
            <w:vAlign w:val="bottom"/>
          </w:tcPr>
          <w:p>
            <w:pPr>
              <w:spacing w:after="0"/>
              <w:rPr>
                <w:sz w:val="19"/>
                <w:szCs w:val="19"/>
                <w:color w:val="auto"/>
              </w:rPr>
            </w:pPr>
          </w:p>
        </w:tc>
        <w:tc>
          <w:tcPr>
            <w:tcW w:w="1054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Exhibit 10.1 to the Company’s Current Report on Form 8-K dated December 20, 2006).</w:t>
            </w:r>
          </w:p>
        </w:tc>
      </w:tr>
      <w:tr>
        <w:trPr>
          <w:trHeight w:val="3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10.53(c)</w:t>
            </w:r>
          </w:p>
        </w:tc>
        <w:tc>
          <w:tcPr>
            <w:tcW w:w="1054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Amending Agreement No. 2 to the Fourth Amended and Restated Limited Partnership Agreement among Aviscar Inc. and</w:t>
            </w:r>
          </w:p>
        </w:tc>
      </w:tr>
      <w:tr>
        <w:trPr>
          <w:trHeight w:val="216"/>
        </w:trPr>
        <w:tc>
          <w:tcPr>
            <w:tcW w:w="880" w:type="dxa"/>
            <w:vAlign w:val="bottom"/>
          </w:tcPr>
          <w:p>
            <w:pPr>
              <w:spacing w:after="0"/>
              <w:rPr>
                <w:sz w:val="18"/>
                <w:szCs w:val="18"/>
                <w:color w:val="auto"/>
              </w:rPr>
            </w:pPr>
          </w:p>
        </w:tc>
        <w:tc>
          <w:tcPr>
            <w:tcW w:w="1054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Budgetcar Inc., as general partners and BNY Trust Company of Canada, in its capacity as trustee of STARS Trust and Montreal</w:t>
            </w:r>
          </w:p>
        </w:tc>
      </w:tr>
      <w:tr>
        <w:trPr>
          <w:trHeight w:val="216"/>
        </w:trPr>
        <w:tc>
          <w:tcPr>
            <w:tcW w:w="880" w:type="dxa"/>
            <w:vAlign w:val="bottom"/>
          </w:tcPr>
          <w:p>
            <w:pPr>
              <w:spacing w:after="0"/>
              <w:rPr>
                <w:sz w:val="18"/>
                <w:szCs w:val="18"/>
                <w:color w:val="auto"/>
              </w:rPr>
            </w:pPr>
          </w:p>
        </w:tc>
        <w:tc>
          <w:tcPr>
            <w:tcW w:w="1054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w w:val="99"/>
              </w:rPr>
              <w:t>Trust Company of Canada, in its capacity as trustee of Bay Street Funding Trust, as limited partners (Incorporated by reference to</w:t>
            </w:r>
          </w:p>
        </w:tc>
      </w:tr>
      <w:tr>
        <w:trPr>
          <w:trHeight w:val="228"/>
        </w:trPr>
        <w:tc>
          <w:tcPr>
            <w:tcW w:w="880" w:type="dxa"/>
            <w:vAlign w:val="bottom"/>
          </w:tcPr>
          <w:p>
            <w:pPr>
              <w:spacing w:after="0"/>
              <w:rPr>
                <w:sz w:val="19"/>
                <w:szCs w:val="19"/>
                <w:color w:val="auto"/>
              </w:rPr>
            </w:pPr>
          </w:p>
        </w:tc>
        <w:tc>
          <w:tcPr>
            <w:tcW w:w="1054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Exhibit 10.2 to the Company’s Current Report on Form 8-K dated December 20, 2006).</w:t>
            </w:r>
          </w:p>
        </w:tc>
      </w:tr>
      <w:tr>
        <w:trPr>
          <w:trHeight w:val="3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10.53(d)</w:t>
            </w:r>
          </w:p>
        </w:tc>
        <w:tc>
          <w:tcPr>
            <w:tcW w:w="1054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Amending Agreement No. 3 to the Fourth Amended and Restated Limited Partnership Agreement among Aviscar Inc. and</w:t>
            </w:r>
          </w:p>
        </w:tc>
      </w:tr>
      <w:tr>
        <w:trPr>
          <w:trHeight w:val="216"/>
        </w:trPr>
        <w:tc>
          <w:tcPr>
            <w:tcW w:w="880" w:type="dxa"/>
            <w:vAlign w:val="bottom"/>
          </w:tcPr>
          <w:p>
            <w:pPr>
              <w:spacing w:after="0"/>
              <w:rPr>
                <w:sz w:val="18"/>
                <w:szCs w:val="18"/>
                <w:color w:val="auto"/>
              </w:rPr>
            </w:pPr>
          </w:p>
        </w:tc>
        <w:tc>
          <w:tcPr>
            <w:tcW w:w="1054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Budgetcar Inc., as general partners and BNY Trust Company of Canada, in its capacity as trustee of STARS Trust and Montreal</w:t>
            </w:r>
          </w:p>
        </w:tc>
      </w:tr>
      <w:tr>
        <w:trPr>
          <w:trHeight w:val="216"/>
        </w:trPr>
        <w:tc>
          <w:tcPr>
            <w:tcW w:w="880" w:type="dxa"/>
            <w:vAlign w:val="bottom"/>
          </w:tcPr>
          <w:p>
            <w:pPr>
              <w:spacing w:after="0"/>
              <w:rPr>
                <w:sz w:val="18"/>
                <w:szCs w:val="18"/>
                <w:color w:val="auto"/>
              </w:rPr>
            </w:pPr>
          </w:p>
        </w:tc>
        <w:tc>
          <w:tcPr>
            <w:tcW w:w="1054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w w:val="99"/>
              </w:rPr>
              <w:t>Trust Company of Canada, in its capacity as trustee of Bay Street Funding Trust, as limited partners (Incorporated by reference to</w:t>
            </w:r>
          </w:p>
        </w:tc>
      </w:tr>
      <w:tr>
        <w:trPr>
          <w:trHeight w:val="228"/>
        </w:trPr>
        <w:tc>
          <w:tcPr>
            <w:tcW w:w="880" w:type="dxa"/>
            <w:vAlign w:val="bottom"/>
          </w:tcPr>
          <w:p>
            <w:pPr>
              <w:spacing w:after="0"/>
              <w:rPr>
                <w:sz w:val="19"/>
                <w:szCs w:val="19"/>
                <w:color w:val="auto"/>
              </w:rPr>
            </w:pPr>
          </w:p>
        </w:tc>
        <w:tc>
          <w:tcPr>
            <w:tcW w:w="1054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Exhibit 10.3 to the Company’s Current Report on Form 8-K dated December 20, 2006).</w:t>
            </w:r>
          </w:p>
        </w:tc>
      </w:tr>
      <w:tr>
        <w:trPr>
          <w:trHeight w:val="3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10.53(e)</w:t>
            </w:r>
          </w:p>
        </w:tc>
        <w:tc>
          <w:tcPr>
            <w:tcW w:w="1054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Amending Agreement No. 4 to the Fourth Amended and Restated Limited Partnership Agreement among Aviscar Inc. and</w:t>
            </w:r>
          </w:p>
        </w:tc>
      </w:tr>
      <w:tr>
        <w:trPr>
          <w:trHeight w:val="216"/>
        </w:trPr>
        <w:tc>
          <w:tcPr>
            <w:tcW w:w="880" w:type="dxa"/>
            <w:vAlign w:val="bottom"/>
          </w:tcPr>
          <w:p>
            <w:pPr>
              <w:spacing w:after="0"/>
              <w:rPr>
                <w:sz w:val="18"/>
                <w:szCs w:val="18"/>
                <w:color w:val="auto"/>
              </w:rPr>
            </w:pPr>
          </w:p>
        </w:tc>
        <w:tc>
          <w:tcPr>
            <w:tcW w:w="1054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Budgetcar Inc., as general partners and BNY Trust Company of Canada, in its capacity as trustee of STARS Trust and Montreal</w:t>
            </w:r>
          </w:p>
        </w:tc>
      </w:tr>
      <w:tr>
        <w:trPr>
          <w:trHeight w:val="216"/>
        </w:trPr>
        <w:tc>
          <w:tcPr>
            <w:tcW w:w="880" w:type="dxa"/>
            <w:vAlign w:val="bottom"/>
          </w:tcPr>
          <w:p>
            <w:pPr>
              <w:spacing w:after="0"/>
              <w:rPr>
                <w:sz w:val="18"/>
                <w:szCs w:val="18"/>
                <w:color w:val="auto"/>
              </w:rPr>
            </w:pPr>
          </w:p>
        </w:tc>
        <w:tc>
          <w:tcPr>
            <w:tcW w:w="1054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w w:val="99"/>
              </w:rPr>
              <w:t>Trust Company of Canada, in its capacity as trustee of Bay Street Funding Trust, as limited partners (Incorporated by reference to</w:t>
            </w:r>
          </w:p>
        </w:tc>
      </w:tr>
      <w:tr>
        <w:trPr>
          <w:trHeight w:val="228"/>
        </w:trPr>
        <w:tc>
          <w:tcPr>
            <w:tcW w:w="880" w:type="dxa"/>
            <w:vAlign w:val="bottom"/>
          </w:tcPr>
          <w:p>
            <w:pPr>
              <w:spacing w:after="0"/>
              <w:rPr>
                <w:sz w:val="19"/>
                <w:szCs w:val="19"/>
                <w:color w:val="auto"/>
              </w:rPr>
            </w:pPr>
          </w:p>
        </w:tc>
        <w:tc>
          <w:tcPr>
            <w:tcW w:w="1054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w w:val="97"/>
              </w:rPr>
              <w:t>Exhibit 10.50(d) to the Company’s Annual Report on Form 10-K for the year ended December 31, 2007, dated February 29, 2008).</w:t>
            </w:r>
          </w:p>
        </w:tc>
      </w:tr>
      <w:tr>
        <w:trPr>
          <w:trHeight w:val="365"/>
        </w:trPr>
        <w:tc>
          <w:tcPr>
            <w:tcW w:w="880" w:type="dxa"/>
            <w:vAlign w:val="bottom"/>
          </w:tcPr>
          <w:p>
            <w:pPr>
              <w:spacing w:after="0"/>
              <w:rPr>
                <w:sz w:val="24"/>
                <w:szCs w:val="24"/>
                <w:color w:val="auto"/>
              </w:rPr>
            </w:pPr>
          </w:p>
        </w:tc>
        <w:tc>
          <w:tcPr>
            <w:tcW w:w="10540" w:type="dxa"/>
            <w:vAlign w:val="bottom"/>
            <w:gridSpan w:val="3"/>
          </w:tcPr>
          <w:p>
            <w:pPr>
              <w:ind w:left="4660"/>
              <w:spacing w:after="0"/>
              <w:rPr>
                <w:sz w:val="20"/>
                <w:szCs w:val="20"/>
                <w:color w:val="auto"/>
              </w:rPr>
            </w:pPr>
            <w:r>
              <w:rPr>
                <w:rFonts w:ascii="Times New Roman" w:cs="Times New Roman" w:eastAsia="Times New Roman" w:hAnsi="Times New Roman"/>
                <w:sz w:val="18"/>
                <w:szCs w:val="18"/>
                <w:color w:val="auto"/>
              </w:rPr>
              <w:t>H-11</w:t>
            </w:r>
          </w:p>
        </w:tc>
      </w:tr>
    </w:tbl>
    <w:p>
      <w:pPr>
        <w:sectPr>
          <w:pgSz w:w="11900" w:h="16838" w:orient="portrait"/>
          <w:cols w:equalWidth="0" w:num="1">
            <w:col w:w="11420"/>
          </w:cols>
          <w:pgMar w:left="240" w:top="455" w:right="239" w:bottom="1440" w:gutter="0" w:footer="0" w:header="0"/>
        </w:sectPr>
      </w:pPr>
    </w:p>
    <w:bookmarkStart w:id="134" w:name="page135"/>
    <w:bookmarkEnd w:id="13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7"/>
              </w:rPr>
              <w:t>Exhibit No.</w:t>
            </w:r>
          </w:p>
        </w:tc>
        <w:tc>
          <w:tcPr>
            <w:tcW w:w="5460" w:type="dxa"/>
            <w:vAlign w:val="bottom"/>
          </w:tcPr>
          <w:p>
            <w:pPr>
              <w:spacing w:after="0"/>
              <w:rPr>
                <w:sz w:val="20"/>
                <w:szCs w:val="20"/>
                <w:color w:val="auto"/>
              </w:rPr>
            </w:pPr>
          </w:p>
        </w:tc>
        <w:tc>
          <w:tcPr>
            <w:tcW w:w="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w w:val="96"/>
              </w:rPr>
              <w:t>Description</w:t>
            </w:r>
          </w:p>
        </w:tc>
        <w:tc>
          <w:tcPr>
            <w:tcW w:w="4160" w:type="dxa"/>
            <w:vAlign w:val="bottom"/>
          </w:tcPr>
          <w:p>
            <w:pPr>
              <w:spacing w:after="0"/>
              <w:rPr>
                <w:sz w:val="20"/>
                <w:szCs w:val="20"/>
                <w:color w:val="auto"/>
              </w:rPr>
            </w:pPr>
          </w:p>
        </w:tc>
      </w:tr>
      <w:tr>
        <w:trPr>
          <w:trHeight w:val="196"/>
        </w:trPr>
        <w:tc>
          <w:tcPr>
            <w:tcW w:w="8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10.53(f)</w:t>
            </w:r>
          </w:p>
        </w:tc>
        <w:tc>
          <w:tcPr>
            <w:tcW w:w="10520" w:type="dxa"/>
            <w:vAlign w:val="bottom"/>
            <w:gridSpan w:val="3"/>
          </w:tcPr>
          <w:p>
            <w:pPr>
              <w:ind w:left="1280"/>
              <w:spacing w:after="0" w:line="196" w:lineRule="exact"/>
              <w:rPr>
                <w:sz w:val="20"/>
                <w:szCs w:val="20"/>
                <w:color w:val="auto"/>
              </w:rPr>
            </w:pPr>
            <w:r>
              <w:rPr>
                <w:rFonts w:ascii="Times New Roman" w:cs="Times New Roman" w:eastAsia="Times New Roman" w:hAnsi="Times New Roman"/>
                <w:sz w:val="18"/>
                <w:szCs w:val="18"/>
                <w:color w:val="auto"/>
              </w:rPr>
              <w:t>Amending Agreement No. 5 to the Fourth Amended and Restated Limited Partnership Agreement among Aviscar Inc. and</w:t>
            </w:r>
          </w:p>
        </w:tc>
      </w:tr>
      <w:tr>
        <w:trPr>
          <w:trHeight w:val="216"/>
        </w:trPr>
        <w:tc>
          <w:tcPr>
            <w:tcW w:w="880" w:type="dxa"/>
            <w:vAlign w:val="bottom"/>
          </w:tcPr>
          <w:p>
            <w:pPr>
              <w:spacing w:after="0"/>
              <w:rPr>
                <w:sz w:val="18"/>
                <w:szCs w:val="18"/>
                <w:color w:val="auto"/>
              </w:rPr>
            </w:pPr>
          </w:p>
        </w:tc>
        <w:tc>
          <w:tcPr>
            <w:tcW w:w="10520" w:type="dxa"/>
            <w:vAlign w:val="bottom"/>
            <w:gridSpan w:val="3"/>
          </w:tcPr>
          <w:p>
            <w:pPr>
              <w:ind w:left="1280"/>
              <w:spacing w:after="0"/>
              <w:rPr>
                <w:sz w:val="20"/>
                <w:szCs w:val="20"/>
                <w:color w:val="auto"/>
              </w:rPr>
            </w:pPr>
            <w:r>
              <w:rPr>
                <w:rFonts w:ascii="Times New Roman" w:cs="Times New Roman" w:eastAsia="Times New Roman" w:hAnsi="Times New Roman"/>
                <w:sz w:val="18"/>
                <w:szCs w:val="18"/>
                <w:color w:val="auto"/>
                <w:w w:val="99"/>
              </w:rPr>
              <w:t>Budgetcar Inc., as general partners and BNY Trust Company of Canada, in its capacity as trustee of STARS Trust and Montreal</w:t>
            </w:r>
          </w:p>
        </w:tc>
      </w:tr>
      <w:tr>
        <w:trPr>
          <w:trHeight w:val="216"/>
        </w:trPr>
        <w:tc>
          <w:tcPr>
            <w:tcW w:w="880" w:type="dxa"/>
            <w:vAlign w:val="bottom"/>
          </w:tcPr>
          <w:p>
            <w:pPr>
              <w:spacing w:after="0"/>
              <w:rPr>
                <w:sz w:val="18"/>
                <w:szCs w:val="18"/>
                <w:color w:val="auto"/>
              </w:rPr>
            </w:pPr>
          </w:p>
        </w:tc>
        <w:tc>
          <w:tcPr>
            <w:tcW w:w="10520" w:type="dxa"/>
            <w:vAlign w:val="bottom"/>
            <w:gridSpan w:val="3"/>
          </w:tcPr>
          <w:p>
            <w:pPr>
              <w:ind w:left="1280"/>
              <w:spacing w:after="0"/>
              <w:rPr>
                <w:sz w:val="20"/>
                <w:szCs w:val="20"/>
                <w:color w:val="auto"/>
              </w:rPr>
            </w:pPr>
            <w:r>
              <w:rPr>
                <w:rFonts w:ascii="Times New Roman" w:cs="Times New Roman" w:eastAsia="Times New Roman" w:hAnsi="Times New Roman"/>
                <w:sz w:val="18"/>
                <w:szCs w:val="18"/>
                <w:color w:val="auto"/>
                <w:w w:val="98"/>
              </w:rPr>
              <w:t>Trust Company of Canada, in its capacity as trustee of Bay Street Funding Trust, as limited partners (Incorporated by reference to</w:t>
            </w:r>
          </w:p>
        </w:tc>
      </w:tr>
      <w:tr>
        <w:trPr>
          <w:trHeight w:val="228"/>
        </w:trPr>
        <w:tc>
          <w:tcPr>
            <w:tcW w:w="880" w:type="dxa"/>
            <w:vAlign w:val="bottom"/>
          </w:tcPr>
          <w:p>
            <w:pPr>
              <w:spacing w:after="0"/>
              <w:rPr>
                <w:sz w:val="19"/>
                <w:szCs w:val="19"/>
                <w:color w:val="auto"/>
              </w:rPr>
            </w:pPr>
          </w:p>
        </w:tc>
        <w:tc>
          <w:tcPr>
            <w:tcW w:w="10520" w:type="dxa"/>
            <w:vAlign w:val="bottom"/>
            <w:gridSpan w:val="3"/>
          </w:tcPr>
          <w:p>
            <w:pPr>
              <w:ind w:left="1280"/>
              <w:spacing w:after="0"/>
              <w:rPr>
                <w:sz w:val="20"/>
                <w:szCs w:val="20"/>
                <w:color w:val="auto"/>
              </w:rPr>
            </w:pPr>
            <w:r>
              <w:rPr>
                <w:rFonts w:ascii="Times New Roman" w:cs="Times New Roman" w:eastAsia="Times New Roman" w:hAnsi="Times New Roman"/>
                <w:sz w:val="18"/>
                <w:szCs w:val="18"/>
                <w:color w:val="auto"/>
                <w:w w:val="97"/>
              </w:rPr>
              <w:t>Exhibit 10.50(e) to the Company’s Annual Report on Form 10-K for the year ended December 31, 2007, dated February 29, 2008).</w:t>
            </w:r>
          </w:p>
        </w:tc>
      </w:tr>
      <w:tr>
        <w:trPr>
          <w:trHeight w:val="3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10.53(g)</w:t>
            </w:r>
          </w:p>
        </w:tc>
        <w:tc>
          <w:tcPr>
            <w:tcW w:w="10520" w:type="dxa"/>
            <w:vAlign w:val="bottom"/>
            <w:gridSpan w:val="3"/>
          </w:tcPr>
          <w:p>
            <w:pPr>
              <w:ind w:left="1280"/>
              <w:spacing w:after="0"/>
              <w:rPr>
                <w:sz w:val="20"/>
                <w:szCs w:val="20"/>
                <w:color w:val="auto"/>
              </w:rPr>
            </w:pPr>
            <w:r>
              <w:rPr>
                <w:rFonts w:ascii="Times New Roman" w:cs="Times New Roman" w:eastAsia="Times New Roman" w:hAnsi="Times New Roman"/>
                <w:sz w:val="18"/>
                <w:szCs w:val="18"/>
                <w:color w:val="auto"/>
              </w:rPr>
              <w:t>Amending Agreement No. 6 to the Fourth Amended and Restated Limited Partnership Agreement among Aviscar Inc. and</w:t>
            </w:r>
          </w:p>
        </w:tc>
      </w:tr>
      <w:tr>
        <w:trPr>
          <w:trHeight w:val="216"/>
        </w:trPr>
        <w:tc>
          <w:tcPr>
            <w:tcW w:w="880" w:type="dxa"/>
            <w:vAlign w:val="bottom"/>
          </w:tcPr>
          <w:p>
            <w:pPr>
              <w:spacing w:after="0"/>
              <w:rPr>
                <w:sz w:val="18"/>
                <w:szCs w:val="18"/>
                <w:color w:val="auto"/>
              </w:rPr>
            </w:pPr>
          </w:p>
        </w:tc>
        <w:tc>
          <w:tcPr>
            <w:tcW w:w="10520" w:type="dxa"/>
            <w:vAlign w:val="bottom"/>
            <w:gridSpan w:val="3"/>
          </w:tcPr>
          <w:p>
            <w:pPr>
              <w:ind w:left="1280"/>
              <w:spacing w:after="0"/>
              <w:rPr>
                <w:sz w:val="20"/>
                <w:szCs w:val="20"/>
                <w:color w:val="auto"/>
              </w:rPr>
            </w:pPr>
            <w:r>
              <w:rPr>
                <w:rFonts w:ascii="Times New Roman" w:cs="Times New Roman" w:eastAsia="Times New Roman" w:hAnsi="Times New Roman"/>
                <w:sz w:val="18"/>
                <w:szCs w:val="18"/>
                <w:color w:val="auto"/>
                <w:w w:val="99"/>
              </w:rPr>
              <w:t>Budgetcar Inc., as general partners and BNY Trust Company of Canada, in its capacity as trustee of STARS Trust and Montreal</w:t>
            </w:r>
          </w:p>
        </w:tc>
      </w:tr>
      <w:tr>
        <w:trPr>
          <w:trHeight w:val="216"/>
        </w:trPr>
        <w:tc>
          <w:tcPr>
            <w:tcW w:w="880" w:type="dxa"/>
            <w:vAlign w:val="bottom"/>
          </w:tcPr>
          <w:p>
            <w:pPr>
              <w:spacing w:after="0"/>
              <w:rPr>
                <w:sz w:val="18"/>
                <w:szCs w:val="18"/>
                <w:color w:val="auto"/>
              </w:rPr>
            </w:pPr>
          </w:p>
        </w:tc>
        <w:tc>
          <w:tcPr>
            <w:tcW w:w="10520" w:type="dxa"/>
            <w:vAlign w:val="bottom"/>
            <w:gridSpan w:val="3"/>
          </w:tcPr>
          <w:p>
            <w:pPr>
              <w:ind w:left="1280"/>
              <w:spacing w:after="0"/>
              <w:rPr>
                <w:sz w:val="20"/>
                <w:szCs w:val="20"/>
                <w:color w:val="auto"/>
              </w:rPr>
            </w:pPr>
            <w:r>
              <w:rPr>
                <w:rFonts w:ascii="Times New Roman" w:cs="Times New Roman" w:eastAsia="Times New Roman" w:hAnsi="Times New Roman"/>
                <w:sz w:val="18"/>
                <w:szCs w:val="18"/>
                <w:color w:val="auto"/>
                <w:w w:val="98"/>
              </w:rPr>
              <w:t>Trust Company of Canada, in its capacity as trustee of Bay Street Funding Trust, as limited partners (Incorporated by reference to</w:t>
            </w:r>
          </w:p>
        </w:tc>
      </w:tr>
      <w:tr>
        <w:trPr>
          <w:trHeight w:val="228"/>
        </w:trPr>
        <w:tc>
          <w:tcPr>
            <w:tcW w:w="880" w:type="dxa"/>
            <w:vAlign w:val="bottom"/>
          </w:tcPr>
          <w:p>
            <w:pPr>
              <w:spacing w:after="0"/>
              <w:rPr>
                <w:sz w:val="19"/>
                <w:szCs w:val="19"/>
                <w:color w:val="auto"/>
              </w:rPr>
            </w:pPr>
          </w:p>
        </w:tc>
        <w:tc>
          <w:tcPr>
            <w:tcW w:w="10520" w:type="dxa"/>
            <w:vAlign w:val="bottom"/>
            <w:gridSpan w:val="3"/>
          </w:tcPr>
          <w:p>
            <w:pPr>
              <w:ind w:left="1280"/>
              <w:spacing w:after="0"/>
              <w:rPr>
                <w:sz w:val="20"/>
                <w:szCs w:val="20"/>
                <w:color w:val="auto"/>
              </w:rPr>
            </w:pPr>
            <w:r>
              <w:rPr>
                <w:rFonts w:ascii="Times New Roman" w:cs="Times New Roman" w:eastAsia="Times New Roman" w:hAnsi="Times New Roman"/>
                <w:sz w:val="18"/>
                <w:szCs w:val="18"/>
                <w:color w:val="auto"/>
                <w:w w:val="97"/>
              </w:rPr>
              <w:t>Exhibit 10.2 to the Company’s Quarterly Report on Form 10-Q for the quarterly period ended March 31, 2008 dated May 7, 2008).</w:t>
            </w:r>
          </w:p>
        </w:tc>
      </w:tr>
      <w:tr>
        <w:trPr>
          <w:trHeight w:val="3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10.53(h)</w:t>
            </w:r>
          </w:p>
        </w:tc>
        <w:tc>
          <w:tcPr>
            <w:tcW w:w="10520" w:type="dxa"/>
            <w:vAlign w:val="bottom"/>
            <w:gridSpan w:val="3"/>
          </w:tcPr>
          <w:p>
            <w:pPr>
              <w:ind w:left="1280"/>
              <w:spacing w:after="0"/>
              <w:rPr>
                <w:sz w:val="20"/>
                <w:szCs w:val="20"/>
                <w:color w:val="auto"/>
              </w:rPr>
            </w:pPr>
            <w:r>
              <w:rPr>
                <w:rFonts w:ascii="Times New Roman" w:cs="Times New Roman" w:eastAsia="Times New Roman" w:hAnsi="Times New Roman"/>
                <w:sz w:val="18"/>
                <w:szCs w:val="18"/>
                <w:color w:val="auto"/>
              </w:rPr>
              <w:t>Amending Agreement No. 7 to the Fourth Amended and Restated Limited Partnership Agreement among Aviscar Inc. and</w:t>
            </w:r>
          </w:p>
        </w:tc>
      </w:tr>
      <w:tr>
        <w:trPr>
          <w:trHeight w:val="216"/>
        </w:trPr>
        <w:tc>
          <w:tcPr>
            <w:tcW w:w="880" w:type="dxa"/>
            <w:vAlign w:val="bottom"/>
          </w:tcPr>
          <w:p>
            <w:pPr>
              <w:spacing w:after="0"/>
              <w:rPr>
                <w:sz w:val="18"/>
                <w:szCs w:val="18"/>
                <w:color w:val="auto"/>
              </w:rPr>
            </w:pPr>
          </w:p>
        </w:tc>
        <w:tc>
          <w:tcPr>
            <w:tcW w:w="10520" w:type="dxa"/>
            <w:vAlign w:val="bottom"/>
            <w:gridSpan w:val="3"/>
          </w:tcPr>
          <w:p>
            <w:pPr>
              <w:ind w:left="1280"/>
              <w:spacing w:after="0"/>
              <w:rPr>
                <w:sz w:val="20"/>
                <w:szCs w:val="20"/>
                <w:color w:val="auto"/>
              </w:rPr>
            </w:pPr>
            <w:r>
              <w:rPr>
                <w:rFonts w:ascii="Times New Roman" w:cs="Times New Roman" w:eastAsia="Times New Roman" w:hAnsi="Times New Roman"/>
                <w:sz w:val="18"/>
                <w:szCs w:val="18"/>
                <w:color w:val="auto"/>
                <w:w w:val="99"/>
              </w:rPr>
              <w:t>Budgetcar Inc., as general partners and BNY Trust Company of Canada, in its capacity as trustee of STARS Trust and Montreal</w:t>
            </w:r>
          </w:p>
        </w:tc>
      </w:tr>
      <w:tr>
        <w:trPr>
          <w:trHeight w:val="216"/>
        </w:trPr>
        <w:tc>
          <w:tcPr>
            <w:tcW w:w="880" w:type="dxa"/>
            <w:vAlign w:val="bottom"/>
          </w:tcPr>
          <w:p>
            <w:pPr>
              <w:spacing w:after="0"/>
              <w:rPr>
                <w:sz w:val="18"/>
                <w:szCs w:val="18"/>
                <w:color w:val="auto"/>
              </w:rPr>
            </w:pPr>
          </w:p>
        </w:tc>
        <w:tc>
          <w:tcPr>
            <w:tcW w:w="10520" w:type="dxa"/>
            <w:vAlign w:val="bottom"/>
            <w:gridSpan w:val="3"/>
          </w:tcPr>
          <w:p>
            <w:pPr>
              <w:ind w:left="1280"/>
              <w:spacing w:after="0"/>
              <w:rPr>
                <w:sz w:val="20"/>
                <w:szCs w:val="20"/>
                <w:color w:val="auto"/>
              </w:rPr>
            </w:pPr>
            <w:r>
              <w:rPr>
                <w:rFonts w:ascii="Times New Roman" w:cs="Times New Roman" w:eastAsia="Times New Roman" w:hAnsi="Times New Roman"/>
                <w:sz w:val="18"/>
                <w:szCs w:val="18"/>
                <w:color w:val="auto"/>
                <w:w w:val="98"/>
              </w:rPr>
              <w:t>Trust Company of Canada, in its capacity as trustee of Bay Street Funding Trust, as limited partners (Incorporated by reference to</w:t>
            </w:r>
          </w:p>
        </w:tc>
      </w:tr>
      <w:tr>
        <w:trPr>
          <w:trHeight w:val="228"/>
        </w:trPr>
        <w:tc>
          <w:tcPr>
            <w:tcW w:w="880" w:type="dxa"/>
            <w:vAlign w:val="bottom"/>
          </w:tcPr>
          <w:p>
            <w:pPr>
              <w:spacing w:after="0"/>
              <w:rPr>
                <w:sz w:val="19"/>
                <w:szCs w:val="19"/>
                <w:color w:val="auto"/>
              </w:rPr>
            </w:pPr>
          </w:p>
        </w:tc>
        <w:tc>
          <w:tcPr>
            <w:tcW w:w="10520" w:type="dxa"/>
            <w:vAlign w:val="bottom"/>
            <w:gridSpan w:val="3"/>
          </w:tcPr>
          <w:p>
            <w:pPr>
              <w:ind w:left="1280"/>
              <w:spacing w:after="0"/>
              <w:rPr>
                <w:sz w:val="20"/>
                <w:szCs w:val="20"/>
                <w:color w:val="auto"/>
              </w:rPr>
            </w:pPr>
            <w:r>
              <w:rPr>
                <w:rFonts w:ascii="Times New Roman" w:cs="Times New Roman" w:eastAsia="Times New Roman" w:hAnsi="Times New Roman"/>
                <w:sz w:val="18"/>
                <w:szCs w:val="18"/>
                <w:color w:val="auto"/>
                <w:w w:val="97"/>
              </w:rPr>
              <w:t>Exhibit 10.3 to the Company’s Quarterly Report on Form 10-Q for the quarterly period ended March 31, 2008 dated May 7, 2008).</w:t>
            </w:r>
          </w:p>
        </w:tc>
      </w:tr>
      <w:tr>
        <w:trPr>
          <w:trHeight w:val="3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10.53(i)</w:t>
            </w:r>
          </w:p>
        </w:tc>
        <w:tc>
          <w:tcPr>
            <w:tcW w:w="10520" w:type="dxa"/>
            <w:vAlign w:val="bottom"/>
            <w:gridSpan w:val="3"/>
          </w:tcPr>
          <w:p>
            <w:pPr>
              <w:ind w:left="1280"/>
              <w:spacing w:after="0"/>
              <w:rPr>
                <w:sz w:val="20"/>
                <w:szCs w:val="20"/>
                <w:color w:val="auto"/>
              </w:rPr>
            </w:pPr>
            <w:r>
              <w:rPr>
                <w:rFonts w:ascii="Times New Roman" w:cs="Times New Roman" w:eastAsia="Times New Roman" w:hAnsi="Times New Roman"/>
                <w:sz w:val="18"/>
                <w:szCs w:val="18"/>
                <w:color w:val="auto"/>
              </w:rPr>
              <w:t>Amending Agreement No. 8 to the Fourth Amended and Restated Limited Partnership Agreement among Aviscar Inc. and</w:t>
            </w:r>
          </w:p>
        </w:tc>
      </w:tr>
      <w:tr>
        <w:trPr>
          <w:trHeight w:val="216"/>
        </w:trPr>
        <w:tc>
          <w:tcPr>
            <w:tcW w:w="880" w:type="dxa"/>
            <w:vAlign w:val="bottom"/>
          </w:tcPr>
          <w:p>
            <w:pPr>
              <w:spacing w:after="0"/>
              <w:rPr>
                <w:sz w:val="18"/>
                <w:szCs w:val="18"/>
                <w:color w:val="auto"/>
              </w:rPr>
            </w:pPr>
          </w:p>
        </w:tc>
        <w:tc>
          <w:tcPr>
            <w:tcW w:w="10520" w:type="dxa"/>
            <w:vAlign w:val="bottom"/>
            <w:gridSpan w:val="3"/>
          </w:tcPr>
          <w:p>
            <w:pPr>
              <w:ind w:left="1280"/>
              <w:spacing w:after="0"/>
              <w:rPr>
                <w:sz w:val="20"/>
                <w:szCs w:val="20"/>
                <w:color w:val="auto"/>
              </w:rPr>
            </w:pPr>
            <w:r>
              <w:rPr>
                <w:rFonts w:ascii="Times New Roman" w:cs="Times New Roman" w:eastAsia="Times New Roman" w:hAnsi="Times New Roman"/>
                <w:sz w:val="18"/>
                <w:szCs w:val="18"/>
                <w:color w:val="auto"/>
                <w:w w:val="99"/>
              </w:rPr>
              <w:t>Budgetcar Inc., as general partners and BNY Trust Company of Canada, in its capacity as trustee of STARS Trust and Montreal</w:t>
            </w:r>
          </w:p>
        </w:tc>
      </w:tr>
      <w:tr>
        <w:trPr>
          <w:trHeight w:val="216"/>
        </w:trPr>
        <w:tc>
          <w:tcPr>
            <w:tcW w:w="880" w:type="dxa"/>
            <w:vAlign w:val="bottom"/>
          </w:tcPr>
          <w:p>
            <w:pPr>
              <w:spacing w:after="0"/>
              <w:rPr>
                <w:sz w:val="18"/>
                <w:szCs w:val="18"/>
                <w:color w:val="auto"/>
              </w:rPr>
            </w:pPr>
          </w:p>
        </w:tc>
        <w:tc>
          <w:tcPr>
            <w:tcW w:w="10520" w:type="dxa"/>
            <w:vAlign w:val="bottom"/>
            <w:gridSpan w:val="3"/>
          </w:tcPr>
          <w:p>
            <w:pPr>
              <w:ind w:left="1280"/>
              <w:spacing w:after="0"/>
              <w:rPr>
                <w:sz w:val="20"/>
                <w:szCs w:val="20"/>
                <w:color w:val="auto"/>
              </w:rPr>
            </w:pPr>
            <w:r>
              <w:rPr>
                <w:rFonts w:ascii="Times New Roman" w:cs="Times New Roman" w:eastAsia="Times New Roman" w:hAnsi="Times New Roman"/>
                <w:sz w:val="18"/>
                <w:szCs w:val="18"/>
                <w:color w:val="auto"/>
                <w:w w:val="98"/>
              </w:rPr>
              <w:t>Trust Company of Canada, in its capacity as trustee of Bay Street Funding Trust, as limited partners (Incorporated by reference to</w:t>
            </w:r>
          </w:p>
        </w:tc>
      </w:tr>
      <w:tr>
        <w:trPr>
          <w:trHeight w:val="228"/>
        </w:trPr>
        <w:tc>
          <w:tcPr>
            <w:tcW w:w="880" w:type="dxa"/>
            <w:vAlign w:val="bottom"/>
          </w:tcPr>
          <w:p>
            <w:pPr>
              <w:spacing w:after="0"/>
              <w:rPr>
                <w:sz w:val="19"/>
                <w:szCs w:val="19"/>
                <w:color w:val="auto"/>
              </w:rPr>
            </w:pPr>
          </w:p>
        </w:tc>
        <w:tc>
          <w:tcPr>
            <w:tcW w:w="10520" w:type="dxa"/>
            <w:vAlign w:val="bottom"/>
            <w:gridSpan w:val="3"/>
          </w:tcPr>
          <w:p>
            <w:pPr>
              <w:ind w:left="1280"/>
              <w:spacing w:after="0"/>
              <w:rPr>
                <w:sz w:val="20"/>
                <w:szCs w:val="20"/>
                <w:color w:val="auto"/>
              </w:rPr>
            </w:pPr>
            <w:r>
              <w:rPr>
                <w:rFonts w:ascii="Times New Roman" w:cs="Times New Roman" w:eastAsia="Times New Roman" w:hAnsi="Times New Roman"/>
                <w:sz w:val="18"/>
                <w:szCs w:val="18"/>
                <w:color w:val="auto"/>
                <w:w w:val="97"/>
              </w:rPr>
              <w:t>Exhibit 10.2 to the Company’s Quarterly Report on Form 10-Q for the quarterly period ended June 30, 2008 dated August 7, 2008).</w:t>
            </w:r>
          </w:p>
        </w:tc>
      </w:tr>
      <w:tr>
        <w:trPr>
          <w:trHeight w:val="3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10.53(j)</w:t>
            </w:r>
          </w:p>
        </w:tc>
        <w:tc>
          <w:tcPr>
            <w:tcW w:w="10520" w:type="dxa"/>
            <w:vAlign w:val="bottom"/>
            <w:gridSpan w:val="3"/>
          </w:tcPr>
          <w:p>
            <w:pPr>
              <w:ind w:left="1280"/>
              <w:spacing w:after="0"/>
              <w:rPr>
                <w:sz w:val="20"/>
                <w:szCs w:val="20"/>
                <w:color w:val="auto"/>
              </w:rPr>
            </w:pPr>
            <w:r>
              <w:rPr>
                <w:rFonts w:ascii="Times New Roman" w:cs="Times New Roman" w:eastAsia="Times New Roman" w:hAnsi="Times New Roman"/>
                <w:sz w:val="18"/>
                <w:szCs w:val="18"/>
                <w:color w:val="auto"/>
              </w:rPr>
              <w:t>Amending Agreement No. 9 to the Fourth Amended and Restated Limited Partnership Agreement among Aviscar Inc. and</w:t>
            </w:r>
          </w:p>
        </w:tc>
      </w:tr>
      <w:tr>
        <w:trPr>
          <w:trHeight w:val="216"/>
        </w:trPr>
        <w:tc>
          <w:tcPr>
            <w:tcW w:w="880" w:type="dxa"/>
            <w:vAlign w:val="bottom"/>
          </w:tcPr>
          <w:p>
            <w:pPr>
              <w:spacing w:after="0"/>
              <w:rPr>
                <w:sz w:val="18"/>
                <w:szCs w:val="18"/>
                <w:color w:val="auto"/>
              </w:rPr>
            </w:pPr>
          </w:p>
        </w:tc>
        <w:tc>
          <w:tcPr>
            <w:tcW w:w="10520" w:type="dxa"/>
            <w:vAlign w:val="bottom"/>
            <w:gridSpan w:val="3"/>
          </w:tcPr>
          <w:p>
            <w:pPr>
              <w:ind w:left="1280"/>
              <w:spacing w:after="0"/>
              <w:rPr>
                <w:sz w:val="20"/>
                <w:szCs w:val="20"/>
                <w:color w:val="auto"/>
              </w:rPr>
            </w:pPr>
            <w:r>
              <w:rPr>
                <w:rFonts w:ascii="Times New Roman" w:cs="Times New Roman" w:eastAsia="Times New Roman" w:hAnsi="Times New Roman"/>
                <w:sz w:val="18"/>
                <w:szCs w:val="18"/>
                <w:color w:val="auto"/>
                <w:w w:val="99"/>
              </w:rPr>
              <w:t>Budgetcar Inc., as general partners and BNY Trust Company of Canada, in its capacity as trustee of STARS Trust and Montreal</w:t>
            </w:r>
          </w:p>
        </w:tc>
      </w:tr>
      <w:tr>
        <w:trPr>
          <w:trHeight w:val="216"/>
        </w:trPr>
        <w:tc>
          <w:tcPr>
            <w:tcW w:w="880" w:type="dxa"/>
            <w:vAlign w:val="bottom"/>
          </w:tcPr>
          <w:p>
            <w:pPr>
              <w:spacing w:after="0"/>
              <w:rPr>
                <w:sz w:val="18"/>
                <w:szCs w:val="18"/>
                <w:color w:val="auto"/>
              </w:rPr>
            </w:pPr>
          </w:p>
        </w:tc>
        <w:tc>
          <w:tcPr>
            <w:tcW w:w="10520" w:type="dxa"/>
            <w:vAlign w:val="bottom"/>
            <w:gridSpan w:val="3"/>
          </w:tcPr>
          <w:p>
            <w:pPr>
              <w:ind w:left="1280"/>
              <w:spacing w:after="0"/>
              <w:rPr>
                <w:sz w:val="20"/>
                <w:szCs w:val="20"/>
                <w:color w:val="auto"/>
              </w:rPr>
            </w:pPr>
            <w:r>
              <w:rPr>
                <w:rFonts w:ascii="Times New Roman" w:cs="Times New Roman" w:eastAsia="Times New Roman" w:hAnsi="Times New Roman"/>
                <w:sz w:val="18"/>
                <w:szCs w:val="18"/>
                <w:color w:val="auto"/>
                <w:w w:val="98"/>
              </w:rPr>
              <w:t>Trust Company of Canada, in its capacity as trustee of Bay Street Funding Trust, as limited partners (Incorporated by reference to</w:t>
            </w:r>
          </w:p>
        </w:tc>
      </w:tr>
      <w:tr>
        <w:trPr>
          <w:trHeight w:val="228"/>
        </w:trPr>
        <w:tc>
          <w:tcPr>
            <w:tcW w:w="880" w:type="dxa"/>
            <w:vAlign w:val="bottom"/>
          </w:tcPr>
          <w:p>
            <w:pPr>
              <w:spacing w:after="0"/>
              <w:rPr>
                <w:sz w:val="19"/>
                <w:szCs w:val="19"/>
                <w:color w:val="auto"/>
              </w:rPr>
            </w:pPr>
          </w:p>
        </w:tc>
        <w:tc>
          <w:tcPr>
            <w:tcW w:w="10520" w:type="dxa"/>
            <w:vAlign w:val="bottom"/>
            <w:gridSpan w:val="3"/>
          </w:tcPr>
          <w:p>
            <w:pPr>
              <w:ind w:left="1280"/>
              <w:spacing w:after="0"/>
              <w:rPr>
                <w:sz w:val="20"/>
                <w:szCs w:val="20"/>
                <w:color w:val="auto"/>
              </w:rPr>
            </w:pPr>
            <w:r>
              <w:rPr>
                <w:rFonts w:ascii="Times New Roman" w:cs="Times New Roman" w:eastAsia="Times New Roman" w:hAnsi="Times New Roman"/>
                <w:sz w:val="18"/>
                <w:szCs w:val="18"/>
                <w:color w:val="auto"/>
              </w:rPr>
              <w:t>Exhibit 10.49(j) to the Company’s Annual Report on Form 10-K for the year ended December 31, 2008).</w:t>
            </w:r>
          </w:p>
        </w:tc>
      </w:tr>
      <w:tr>
        <w:trPr>
          <w:trHeight w:val="3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10.53(k)</w:t>
            </w:r>
          </w:p>
        </w:tc>
        <w:tc>
          <w:tcPr>
            <w:tcW w:w="10520" w:type="dxa"/>
            <w:vAlign w:val="bottom"/>
            <w:gridSpan w:val="3"/>
          </w:tcPr>
          <w:p>
            <w:pPr>
              <w:ind w:left="1280"/>
              <w:spacing w:after="0"/>
              <w:rPr>
                <w:sz w:val="20"/>
                <w:szCs w:val="20"/>
                <w:color w:val="auto"/>
              </w:rPr>
            </w:pPr>
            <w:r>
              <w:rPr>
                <w:rFonts w:ascii="Times New Roman" w:cs="Times New Roman" w:eastAsia="Times New Roman" w:hAnsi="Times New Roman"/>
                <w:sz w:val="18"/>
                <w:szCs w:val="18"/>
                <w:color w:val="auto"/>
              </w:rPr>
              <w:t>Amending Agreement No. 10 to the Fourth Amended and Restated Limited Partnership Agreement among Aviscar, Inc. and</w:t>
            </w:r>
          </w:p>
        </w:tc>
      </w:tr>
      <w:tr>
        <w:trPr>
          <w:trHeight w:val="216"/>
        </w:trPr>
        <w:tc>
          <w:tcPr>
            <w:tcW w:w="880" w:type="dxa"/>
            <w:vAlign w:val="bottom"/>
          </w:tcPr>
          <w:p>
            <w:pPr>
              <w:spacing w:after="0"/>
              <w:rPr>
                <w:sz w:val="18"/>
                <w:szCs w:val="18"/>
                <w:color w:val="auto"/>
              </w:rPr>
            </w:pPr>
          </w:p>
        </w:tc>
        <w:tc>
          <w:tcPr>
            <w:tcW w:w="10520" w:type="dxa"/>
            <w:vAlign w:val="bottom"/>
            <w:gridSpan w:val="3"/>
          </w:tcPr>
          <w:p>
            <w:pPr>
              <w:ind w:left="1280"/>
              <w:spacing w:after="0"/>
              <w:rPr>
                <w:sz w:val="20"/>
                <w:szCs w:val="20"/>
                <w:color w:val="auto"/>
              </w:rPr>
            </w:pPr>
            <w:r>
              <w:rPr>
                <w:rFonts w:ascii="Times New Roman" w:cs="Times New Roman" w:eastAsia="Times New Roman" w:hAnsi="Times New Roman"/>
                <w:sz w:val="18"/>
                <w:szCs w:val="18"/>
                <w:color w:val="auto"/>
                <w:w w:val="99"/>
              </w:rPr>
              <w:t>Budgetcar, Inc., as general partners and BNY Trust Company of Canada, in its capacity as trustee of STARS Trust and Montreal</w:t>
            </w:r>
          </w:p>
        </w:tc>
      </w:tr>
      <w:tr>
        <w:trPr>
          <w:trHeight w:val="216"/>
        </w:trPr>
        <w:tc>
          <w:tcPr>
            <w:tcW w:w="880" w:type="dxa"/>
            <w:vAlign w:val="bottom"/>
          </w:tcPr>
          <w:p>
            <w:pPr>
              <w:spacing w:after="0"/>
              <w:rPr>
                <w:sz w:val="18"/>
                <w:szCs w:val="18"/>
                <w:color w:val="auto"/>
              </w:rPr>
            </w:pPr>
          </w:p>
        </w:tc>
        <w:tc>
          <w:tcPr>
            <w:tcW w:w="10520" w:type="dxa"/>
            <w:vAlign w:val="bottom"/>
            <w:gridSpan w:val="3"/>
          </w:tcPr>
          <w:p>
            <w:pPr>
              <w:ind w:left="1280"/>
              <w:spacing w:after="0"/>
              <w:rPr>
                <w:sz w:val="20"/>
                <w:szCs w:val="20"/>
                <w:color w:val="auto"/>
              </w:rPr>
            </w:pPr>
            <w:r>
              <w:rPr>
                <w:rFonts w:ascii="Times New Roman" w:cs="Times New Roman" w:eastAsia="Times New Roman" w:hAnsi="Times New Roman"/>
                <w:sz w:val="18"/>
                <w:szCs w:val="18"/>
                <w:color w:val="auto"/>
                <w:w w:val="98"/>
              </w:rPr>
              <w:t>Trust Company of Canada, in its capacity as trustee of Bay Street Funding Trust, as limited partners (Incorporated by reference to</w:t>
            </w:r>
          </w:p>
        </w:tc>
      </w:tr>
      <w:tr>
        <w:trPr>
          <w:trHeight w:val="228"/>
        </w:trPr>
        <w:tc>
          <w:tcPr>
            <w:tcW w:w="880" w:type="dxa"/>
            <w:vAlign w:val="bottom"/>
          </w:tcPr>
          <w:p>
            <w:pPr>
              <w:spacing w:after="0"/>
              <w:rPr>
                <w:sz w:val="19"/>
                <w:szCs w:val="19"/>
                <w:color w:val="auto"/>
              </w:rPr>
            </w:pPr>
          </w:p>
        </w:tc>
        <w:tc>
          <w:tcPr>
            <w:tcW w:w="10520" w:type="dxa"/>
            <w:vAlign w:val="bottom"/>
            <w:gridSpan w:val="3"/>
          </w:tcPr>
          <w:p>
            <w:pPr>
              <w:ind w:left="1280"/>
              <w:spacing w:after="0"/>
              <w:rPr>
                <w:sz w:val="20"/>
                <w:szCs w:val="20"/>
                <w:color w:val="auto"/>
              </w:rPr>
            </w:pPr>
            <w:r>
              <w:rPr>
                <w:rFonts w:ascii="Times New Roman" w:cs="Times New Roman" w:eastAsia="Times New Roman" w:hAnsi="Times New Roman"/>
                <w:sz w:val="18"/>
                <w:szCs w:val="18"/>
                <w:color w:val="auto"/>
              </w:rPr>
              <w:t>Exhibit 10.1 to the Company’s Quarterly Report on Form 10-Q for the quarter ended March 31, 2009).</w:t>
            </w:r>
          </w:p>
        </w:tc>
      </w:tr>
      <w:tr>
        <w:trPr>
          <w:trHeight w:val="3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10.53(l)</w:t>
            </w:r>
          </w:p>
        </w:tc>
        <w:tc>
          <w:tcPr>
            <w:tcW w:w="10520" w:type="dxa"/>
            <w:vAlign w:val="bottom"/>
            <w:gridSpan w:val="3"/>
          </w:tcPr>
          <w:p>
            <w:pPr>
              <w:ind w:left="1280"/>
              <w:spacing w:after="0"/>
              <w:rPr>
                <w:sz w:val="20"/>
                <w:szCs w:val="20"/>
                <w:color w:val="auto"/>
              </w:rPr>
            </w:pPr>
            <w:r>
              <w:rPr>
                <w:rFonts w:ascii="Times New Roman" w:cs="Times New Roman" w:eastAsia="Times New Roman" w:hAnsi="Times New Roman"/>
                <w:sz w:val="18"/>
                <w:szCs w:val="18"/>
                <w:color w:val="auto"/>
              </w:rPr>
              <w:t>Amending Agreement No. 11 to the Fourth Amended and Restated Limited Partnership Agreement among Aviscar, Inc. and</w:t>
            </w:r>
          </w:p>
        </w:tc>
      </w:tr>
      <w:tr>
        <w:trPr>
          <w:trHeight w:val="216"/>
        </w:trPr>
        <w:tc>
          <w:tcPr>
            <w:tcW w:w="880" w:type="dxa"/>
            <w:vAlign w:val="bottom"/>
          </w:tcPr>
          <w:p>
            <w:pPr>
              <w:spacing w:after="0"/>
              <w:rPr>
                <w:sz w:val="18"/>
                <w:szCs w:val="18"/>
                <w:color w:val="auto"/>
              </w:rPr>
            </w:pPr>
          </w:p>
        </w:tc>
        <w:tc>
          <w:tcPr>
            <w:tcW w:w="10520" w:type="dxa"/>
            <w:vAlign w:val="bottom"/>
            <w:gridSpan w:val="3"/>
          </w:tcPr>
          <w:p>
            <w:pPr>
              <w:ind w:left="1280"/>
              <w:spacing w:after="0"/>
              <w:rPr>
                <w:sz w:val="20"/>
                <w:szCs w:val="20"/>
                <w:color w:val="auto"/>
              </w:rPr>
            </w:pPr>
            <w:r>
              <w:rPr>
                <w:rFonts w:ascii="Times New Roman" w:cs="Times New Roman" w:eastAsia="Times New Roman" w:hAnsi="Times New Roman"/>
                <w:sz w:val="18"/>
                <w:szCs w:val="18"/>
                <w:color w:val="auto"/>
                <w:w w:val="99"/>
              </w:rPr>
              <w:t>Budgetcar, Inc., as general partners and BNY Trust Company of Canada, in its capacity as trustee of STARS Trust and Montreal</w:t>
            </w:r>
          </w:p>
        </w:tc>
      </w:tr>
      <w:tr>
        <w:trPr>
          <w:trHeight w:val="228"/>
        </w:trPr>
        <w:tc>
          <w:tcPr>
            <w:tcW w:w="880" w:type="dxa"/>
            <w:vAlign w:val="bottom"/>
          </w:tcPr>
          <w:p>
            <w:pPr>
              <w:spacing w:after="0"/>
              <w:rPr>
                <w:sz w:val="19"/>
                <w:szCs w:val="19"/>
                <w:color w:val="auto"/>
              </w:rPr>
            </w:pPr>
          </w:p>
        </w:tc>
        <w:tc>
          <w:tcPr>
            <w:tcW w:w="10520" w:type="dxa"/>
            <w:vAlign w:val="bottom"/>
            <w:gridSpan w:val="3"/>
          </w:tcPr>
          <w:p>
            <w:pPr>
              <w:ind w:left="1280"/>
              <w:spacing w:after="0"/>
              <w:rPr>
                <w:sz w:val="20"/>
                <w:szCs w:val="20"/>
                <w:color w:val="auto"/>
              </w:rPr>
            </w:pPr>
            <w:r>
              <w:rPr>
                <w:rFonts w:ascii="Times New Roman" w:cs="Times New Roman" w:eastAsia="Times New Roman" w:hAnsi="Times New Roman"/>
                <w:sz w:val="18"/>
                <w:szCs w:val="18"/>
                <w:color w:val="auto"/>
              </w:rPr>
              <w:t>Trust Company of Canada, in its capacity as trustee of Bay Street Funding Trust, as limited partners.</w:t>
            </w:r>
          </w:p>
        </w:tc>
      </w:tr>
      <w:tr>
        <w:trPr>
          <w:trHeight w:val="3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10.54</w:t>
            </w:r>
          </w:p>
        </w:tc>
        <w:tc>
          <w:tcPr>
            <w:tcW w:w="10520" w:type="dxa"/>
            <w:vAlign w:val="bottom"/>
            <w:gridSpan w:val="3"/>
          </w:tcPr>
          <w:p>
            <w:pPr>
              <w:ind w:left="1280"/>
              <w:spacing w:after="0"/>
              <w:rPr>
                <w:sz w:val="20"/>
                <w:szCs w:val="20"/>
                <w:color w:val="auto"/>
              </w:rPr>
            </w:pPr>
            <w:r>
              <w:rPr>
                <w:rFonts w:ascii="Times New Roman" w:cs="Times New Roman" w:eastAsia="Times New Roman" w:hAnsi="Times New Roman"/>
                <w:sz w:val="18"/>
                <w:szCs w:val="18"/>
                <w:color w:val="auto"/>
                <w:w w:val="97"/>
              </w:rPr>
              <w:t>Parent Guaranty of Avis Budget Car Rental, LLC to BNY Trust Company of Canada, in its capacity as trustee of STARS Trust and</w:t>
            </w:r>
          </w:p>
        </w:tc>
      </w:tr>
      <w:tr>
        <w:trPr>
          <w:trHeight w:val="216"/>
        </w:trPr>
        <w:tc>
          <w:tcPr>
            <w:tcW w:w="880" w:type="dxa"/>
            <w:vAlign w:val="bottom"/>
          </w:tcPr>
          <w:p>
            <w:pPr>
              <w:spacing w:after="0"/>
              <w:rPr>
                <w:sz w:val="18"/>
                <w:szCs w:val="18"/>
                <w:color w:val="auto"/>
              </w:rPr>
            </w:pPr>
          </w:p>
        </w:tc>
        <w:tc>
          <w:tcPr>
            <w:tcW w:w="10520" w:type="dxa"/>
            <w:vAlign w:val="bottom"/>
            <w:gridSpan w:val="3"/>
          </w:tcPr>
          <w:p>
            <w:pPr>
              <w:ind w:left="1280"/>
              <w:spacing w:after="0"/>
              <w:rPr>
                <w:sz w:val="20"/>
                <w:szCs w:val="20"/>
                <w:color w:val="auto"/>
              </w:rPr>
            </w:pPr>
            <w:r>
              <w:rPr>
                <w:rFonts w:ascii="Times New Roman" w:cs="Times New Roman" w:eastAsia="Times New Roman" w:hAnsi="Times New Roman"/>
                <w:sz w:val="18"/>
                <w:szCs w:val="18"/>
                <w:color w:val="auto"/>
              </w:rPr>
              <w:t>Montreal Trust Company of Canada, in its capacity as trustee of Bay Street Funding Trust, as limited partners (Incorporated by</w:t>
            </w:r>
          </w:p>
        </w:tc>
      </w:tr>
      <w:tr>
        <w:trPr>
          <w:trHeight w:val="228"/>
        </w:trPr>
        <w:tc>
          <w:tcPr>
            <w:tcW w:w="880" w:type="dxa"/>
            <w:vAlign w:val="bottom"/>
          </w:tcPr>
          <w:p>
            <w:pPr>
              <w:spacing w:after="0"/>
              <w:rPr>
                <w:sz w:val="19"/>
                <w:szCs w:val="19"/>
                <w:color w:val="auto"/>
              </w:rPr>
            </w:pPr>
          </w:p>
        </w:tc>
        <w:tc>
          <w:tcPr>
            <w:tcW w:w="10520" w:type="dxa"/>
            <w:vAlign w:val="bottom"/>
            <w:gridSpan w:val="3"/>
          </w:tcPr>
          <w:p>
            <w:pPr>
              <w:ind w:left="1280"/>
              <w:spacing w:after="0"/>
              <w:rPr>
                <w:sz w:val="20"/>
                <w:szCs w:val="20"/>
                <w:color w:val="auto"/>
              </w:rPr>
            </w:pPr>
            <w:r>
              <w:rPr>
                <w:rFonts w:ascii="Times New Roman" w:cs="Times New Roman" w:eastAsia="Times New Roman" w:hAnsi="Times New Roman"/>
                <w:sz w:val="18"/>
                <w:szCs w:val="18"/>
                <w:color w:val="auto"/>
              </w:rPr>
              <w:t>reference to Exhibit 10.4 to the Company’s Current Report on Form 8-K dated December 20, 2006).</w:t>
            </w:r>
          </w:p>
        </w:tc>
      </w:tr>
      <w:tr>
        <w:trPr>
          <w:trHeight w:val="3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10.55(a)</w:t>
            </w:r>
          </w:p>
        </w:tc>
        <w:tc>
          <w:tcPr>
            <w:tcW w:w="10520" w:type="dxa"/>
            <w:vAlign w:val="bottom"/>
            <w:gridSpan w:val="3"/>
          </w:tcPr>
          <w:p>
            <w:pPr>
              <w:ind w:left="1280"/>
              <w:spacing w:after="0"/>
              <w:rPr>
                <w:sz w:val="20"/>
                <w:szCs w:val="20"/>
                <w:color w:val="auto"/>
              </w:rPr>
            </w:pPr>
            <w:r>
              <w:rPr>
                <w:rFonts w:ascii="Times New Roman" w:cs="Times New Roman" w:eastAsia="Times New Roman" w:hAnsi="Times New Roman"/>
                <w:sz w:val="18"/>
                <w:szCs w:val="18"/>
                <w:color w:val="auto"/>
                <w:w w:val="97"/>
              </w:rPr>
              <w:t>Credit Agreement, dated as of April 19, 2006, among Avis Budget Holdings, LLC and Avis Budget Car Rental, LLC, as Borrower,</w:t>
            </w:r>
          </w:p>
        </w:tc>
      </w:tr>
      <w:tr>
        <w:trPr>
          <w:trHeight w:val="228"/>
        </w:trPr>
        <w:tc>
          <w:tcPr>
            <w:tcW w:w="880" w:type="dxa"/>
            <w:vAlign w:val="bottom"/>
          </w:tcPr>
          <w:p>
            <w:pPr>
              <w:spacing w:after="0"/>
              <w:rPr>
                <w:sz w:val="19"/>
                <w:szCs w:val="19"/>
                <w:color w:val="auto"/>
              </w:rPr>
            </w:pPr>
          </w:p>
        </w:tc>
        <w:tc>
          <w:tcPr>
            <w:tcW w:w="10520" w:type="dxa"/>
            <w:vAlign w:val="bottom"/>
            <w:gridSpan w:val="3"/>
          </w:tcPr>
          <w:p>
            <w:pPr>
              <w:ind w:left="1280"/>
              <w:spacing w:after="0"/>
              <w:rPr>
                <w:sz w:val="20"/>
                <w:szCs w:val="20"/>
                <w:color w:val="auto"/>
              </w:rPr>
            </w:pPr>
            <w:r>
              <w:rPr>
                <w:rFonts w:ascii="Times New Roman" w:cs="Times New Roman" w:eastAsia="Times New Roman" w:hAnsi="Times New Roman"/>
                <w:sz w:val="18"/>
                <w:szCs w:val="18"/>
                <w:color w:val="auto"/>
              </w:rPr>
              <w:t>the lenders referred to therein, JPMorgan Chase Bank,</w:t>
            </w:r>
          </w:p>
        </w:tc>
      </w:tr>
      <w:tr>
        <w:trPr>
          <w:trHeight w:val="365"/>
        </w:trPr>
        <w:tc>
          <w:tcPr>
            <w:tcW w:w="880" w:type="dxa"/>
            <w:vAlign w:val="bottom"/>
          </w:tcPr>
          <w:p>
            <w:pPr>
              <w:spacing w:after="0"/>
              <w:rPr>
                <w:sz w:val="24"/>
                <w:szCs w:val="24"/>
                <w:color w:val="auto"/>
              </w:rPr>
            </w:pPr>
          </w:p>
        </w:tc>
        <w:tc>
          <w:tcPr>
            <w:tcW w:w="10520" w:type="dxa"/>
            <w:vAlign w:val="bottom"/>
            <w:gridSpan w:val="3"/>
          </w:tcPr>
          <w:p>
            <w:pPr>
              <w:ind w:left="4660"/>
              <w:spacing w:after="0"/>
              <w:rPr>
                <w:sz w:val="20"/>
                <w:szCs w:val="20"/>
                <w:color w:val="auto"/>
              </w:rPr>
            </w:pPr>
            <w:r>
              <w:rPr>
                <w:rFonts w:ascii="Times New Roman" w:cs="Times New Roman" w:eastAsia="Times New Roman" w:hAnsi="Times New Roman"/>
                <w:sz w:val="18"/>
                <w:szCs w:val="18"/>
                <w:color w:val="auto"/>
              </w:rPr>
              <w:t>H-12</w:t>
            </w:r>
          </w:p>
        </w:tc>
      </w:tr>
    </w:tbl>
    <w:p>
      <w:pPr>
        <w:sectPr>
          <w:pgSz w:w="11900" w:h="16838" w:orient="portrait"/>
          <w:cols w:equalWidth="0" w:num="1">
            <w:col w:w="11400"/>
          </w:cols>
          <w:pgMar w:left="240" w:top="455" w:right="259" w:bottom="1440" w:gutter="0" w:footer="0" w:header="0"/>
        </w:sectPr>
      </w:pPr>
    </w:p>
    <w:bookmarkStart w:id="135" w:name="page136"/>
    <w:bookmarkEnd w:id="13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7"/>
              </w:rPr>
              <w:t>Exhibit No.</w:t>
            </w:r>
          </w:p>
        </w:tc>
        <w:tc>
          <w:tcPr>
            <w:tcW w:w="5460" w:type="dxa"/>
            <w:vAlign w:val="bottom"/>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6"/>
              </w:rPr>
              <w:t>Description</w:t>
            </w:r>
          </w:p>
        </w:tc>
        <w:tc>
          <w:tcPr>
            <w:tcW w:w="4180" w:type="dxa"/>
            <w:vAlign w:val="bottom"/>
          </w:tcPr>
          <w:p>
            <w:pPr>
              <w:spacing w:after="0"/>
              <w:rPr>
                <w:sz w:val="20"/>
                <w:szCs w:val="20"/>
                <w:color w:val="auto"/>
              </w:rPr>
            </w:pPr>
          </w:p>
        </w:tc>
      </w:tr>
      <w:tr>
        <w:trPr>
          <w:trHeight w:val="196"/>
        </w:trPr>
        <w:tc>
          <w:tcPr>
            <w:tcW w:w="880" w:type="dxa"/>
            <w:vAlign w:val="bottom"/>
          </w:tcPr>
          <w:p>
            <w:pPr>
              <w:spacing w:after="0"/>
              <w:rPr>
                <w:sz w:val="17"/>
                <w:szCs w:val="17"/>
                <w:color w:val="auto"/>
              </w:rPr>
            </w:pPr>
          </w:p>
        </w:tc>
        <w:tc>
          <w:tcPr>
            <w:tcW w:w="10520" w:type="dxa"/>
            <w:vAlign w:val="bottom"/>
            <w:gridSpan w:val="3"/>
          </w:tcPr>
          <w:p>
            <w:pPr>
              <w:ind w:left="1260"/>
              <w:spacing w:after="0" w:line="196" w:lineRule="exact"/>
              <w:rPr>
                <w:sz w:val="20"/>
                <w:szCs w:val="20"/>
                <w:color w:val="auto"/>
              </w:rPr>
            </w:pPr>
            <w:r>
              <w:rPr>
                <w:rFonts w:ascii="Times New Roman" w:cs="Times New Roman" w:eastAsia="Times New Roman" w:hAnsi="Times New Roman"/>
                <w:sz w:val="18"/>
                <w:szCs w:val="18"/>
                <w:color w:val="auto"/>
                <w:w w:val="99"/>
              </w:rPr>
              <w:t>N.A., as Administrative Agent, Deutsche Bank Securities Inc., as Syndication Agent, Bank of America, N.A., Calyon New York</w:t>
            </w:r>
          </w:p>
        </w:tc>
      </w:tr>
      <w:tr>
        <w:trPr>
          <w:trHeight w:val="216"/>
        </w:trPr>
        <w:tc>
          <w:tcPr>
            <w:tcW w:w="880" w:type="dxa"/>
            <w:vAlign w:val="bottom"/>
          </w:tcPr>
          <w:p>
            <w:pPr>
              <w:spacing w:after="0"/>
              <w:rPr>
                <w:sz w:val="18"/>
                <w:szCs w:val="18"/>
                <w:color w:val="auto"/>
              </w:rPr>
            </w:pPr>
          </w:p>
        </w:tc>
        <w:tc>
          <w:tcPr>
            <w:tcW w:w="1052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w w:val="97"/>
              </w:rPr>
              <w:t>Branch and Citicorp USA, Inc., as Documentation Agents, and Wachovia Bank, National Association, as Co-Documentation Agent</w:t>
            </w:r>
          </w:p>
        </w:tc>
      </w:tr>
      <w:tr>
        <w:trPr>
          <w:trHeight w:val="228"/>
        </w:trPr>
        <w:tc>
          <w:tcPr>
            <w:tcW w:w="880" w:type="dxa"/>
            <w:vAlign w:val="bottom"/>
          </w:tcPr>
          <w:p>
            <w:pPr>
              <w:spacing w:after="0"/>
              <w:rPr>
                <w:sz w:val="19"/>
                <w:szCs w:val="19"/>
                <w:color w:val="auto"/>
              </w:rPr>
            </w:pPr>
          </w:p>
        </w:tc>
        <w:tc>
          <w:tcPr>
            <w:tcW w:w="1052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(Incorporated by reference to Exhibit 10.2 to the Company’s Current Report on Form 8-K dated April 21, 2006).</w:t>
            </w:r>
          </w:p>
        </w:tc>
      </w:tr>
      <w:tr>
        <w:trPr>
          <w:trHeight w:val="3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10.55(b)</w:t>
            </w:r>
          </w:p>
        </w:tc>
        <w:tc>
          <w:tcPr>
            <w:tcW w:w="1052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First Amendment, dated December 23, 2008 to the Credit Agreement dated as of April 19, 2006 among Avis Budget Holdings,</w:t>
            </w:r>
          </w:p>
        </w:tc>
      </w:tr>
      <w:tr>
        <w:trPr>
          <w:trHeight w:val="216"/>
        </w:trPr>
        <w:tc>
          <w:tcPr>
            <w:tcW w:w="880" w:type="dxa"/>
            <w:vAlign w:val="bottom"/>
          </w:tcPr>
          <w:p>
            <w:pPr>
              <w:spacing w:after="0"/>
              <w:rPr>
                <w:sz w:val="18"/>
                <w:szCs w:val="18"/>
                <w:color w:val="auto"/>
              </w:rPr>
            </w:pPr>
          </w:p>
        </w:tc>
        <w:tc>
          <w:tcPr>
            <w:tcW w:w="1052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LLC, Avis Budget Car Rental, LLC, the subsidiary borrowers from time to time parties thereto, the several lenders from time to</w:t>
            </w:r>
          </w:p>
        </w:tc>
      </w:tr>
      <w:tr>
        <w:trPr>
          <w:trHeight w:val="216"/>
        </w:trPr>
        <w:tc>
          <w:tcPr>
            <w:tcW w:w="880" w:type="dxa"/>
            <w:vAlign w:val="bottom"/>
          </w:tcPr>
          <w:p>
            <w:pPr>
              <w:spacing w:after="0"/>
              <w:rPr>
                <w:sz w:val="18"/>
                <w:szCs w:val="18"/>
                <w:color w:val="auto"/>
              </w:rPr>
            </w:pPr>
          </w:p>
        </w:tc>
        <w:tc>
          <w:tcPr>
            <w:tcW w:w="1052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w w:val="97"/>
              </w:rPr>
              <w:t>time parties thereto, Bank of America, N.A., Calyon New York Branch and Citicorp USA, Inc., as documentation agents, Wachovia</w:t>
            </w:r>
          </w:p>
        </w:tc>
      </w:tr>
      <w:tr>
        <w:trPr>
          <w:trHeight w:val="216"/>
        </w:trPr>
        <w:tc>
          <w:tcPr>
            <w:tcW w:w="880" w:type="dxa"/>
            <w:vAlign w:val="bottom"/>
          </w:tcPr>
          <w:p>
            <w:pPr>
              <w:spacing w:after="0"/>
              <w:rPr>
                <w:sz w:val="18"/>
                <w:szCs w:val="18"/>
                <w:color w:val="auto"/>
              </w:rPr>
            </w:pPr>
          </w:p>
        </w:tc>
        <w:tc>
          <w:tcPr>
            <w:tcW w:w="1052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w w:val="98"/>
              </w:rPr>
              <w:t>Bank, National Association, as co-documentation agent, Deutsche Bank Securities Inc. as syndication agent and JPMorgan Chase</w:t>
            </w:r>
          </w:p>
        </w:tc>
      </w:tr>
      <w:tr>
        <w:trPr>
          <w:trHeight w:val="216"/>
        </w:trPr>
        <w:tc>
          <w:tcPr>
            <w:tcW w:w="880" w:type="dxa"/>
            <w:vAlign w:val="bottom"/>
          </w:tcPr>
          <w:p>
            <w:pPr>
              <w:spacing w:after="0"/>
              <w:rPr>
                <w:sz w:val="18"/>
                <w:szCs w:val="18"/>
                <w:color w:val="auto"/>
              </w:rPr>
            </w:pPr>
          </w:p>
        </w:tc>
        <w:tc>
          <w:tcPr>
            <w:tcW w:w="1052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Bank, N.A., as administrative agent (Incorporated by reference to Exhibit 10.1 to the Company’s Current Report on Form 8-K</w:t>
            </w:r>
          </w:p>
        </w:tc>
      </w:tr>
      <w:tr>
        <w:trPr>
          <w:trHeight w:val="228"/>
        </w:trPr>
        <w:tc>
          <w:tcPr>
            <w:tcW w:w="880" w:type="dxa"/>
            <w:vAlign w:val="bottom"/>
          </w:tcPr>
          <w:p>
            <w:pPr>
              <w:spacing w:after="0"/>
              <w:rPr>
                <w:sz w:val="19"/>
                <w:szCs w:val="19"/>
                <w:color w:val="auto"/>
              </w:rPr>
            </w:pPr>
          </w:p>
        </w:tc>
        <w:tc>
          <w:tcPr>
            <w:tcW w:w="1052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dated December 24, 2008).</w:t>
            </w:r>
          </w:p>
        </w:tc>
      </w:tr>
      <w:tr>
        <w:trPr>
          <w:trHeight w:val="3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10.56</w:t>
            </w:r>
          </w:p>
        </w:tc>
        <w:tc>
          <w:tcPr>
            <w:tcW w:w="1052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Amended and Restated Guarantee and Collateral Agreement, dated as of December 23, 2008, made by each of the signatories</w:t>
            </w:r>
          </w:p>
        </w:tc>
      </w:tr>
      <w:tr>
        <w:trPr>
          <w:trHeight w:val="216"/>
        </w:trPr>
        <w:tc>
          <w:tcPr>
            <w:tcW w:w="880" w:type="dxa"/>
            <w:vAlign w:val="bottom"/>
          </w:tcPr>
          <w:p>
            <w:pPr>
              <w:spacing w:after="0"/>
              <w:rPr>
                <w:sz w:val="18"/>
                <w:szCs w:val="18"/>
                <w:color w:val="auto"/>
              </w:rPr>
            </w:pPr>
          </w:p>
        </w:tc>
        <w:tc>
          <w:tcPr>
            <w:tcW w:w="1052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thereto in favor of JPMorgan Chase Bank, N.A., as administrative agent (Incorporated by reference to Exhibit 10.2 to the</w:t>
            </w:r>
          </w:p>
        </w:tc>
      </w:tr>
      <w:tr>
        <w:trPr>
          <w:trHeight w:val="228"/>
        </w:trPr>
        <w:tc>
          <w:tcPr>
            <w:tcW w:w="880" w:type="dxa"/>
            <w:vAlign w:val="bottom"/>
          </w:tcPr>
          <w:p>
            <w:pPr>
              <w:spacing w:after="0"/>
              <w:rPr>
                <w:sz w:val="19"/>
                <w:szCs w:val="19"/>
                <w:color w:val="auto"/>
              </w:rPr>
            </w:pPr>
          </w:p>
        </w:tc>
        <w:tc>
          <w:tcPr>
            <w:tcW w:w="1052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Company’s Current Report on Form 8-K dated December 24, 2008).</w:t>
            </w:r>
          </w:p>
        </w:tc>
      </w:tr>
      <w:tr>
        <w:trPr>
          <w:trHeight w:val="3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10.57</w:t>
            </w:r>
          </w:p>
        </w:tc>
        <w:tc>
          <w:tcPr>
            <w:tcW w:w="1052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w w:val="97"/>
              </w:rPr>
              <w:t>Purchase Agreement, dated as of June 30, 2006, by and among the Company, Travelport Inc. and TDS Investor LLC (Incorporated</w:t>
            </w:r>
          </w:p>
        </w:tc>
      </w:tr>
      <w:tr>
        <w:trPr>
          <w:trHeight w:val="228"/>
        </w:trPr>
        <w:tc>
          <w:tcPr>
            <w:tcW w:w="880" w:type="dxa"/>
            <w:vAlign w:val="bottom"/>
          </w:tcPr>
          <w:p>
            <w:pPr>
              <w:spacing w:after="0"/>
              <w:rPr>
                <w:sz w:val="19"/>
                <w:szCs w:val="19"/>
                <w:color w:val="auto"/>
              </w:rPr>
            </w:pPr>
          </w:p>
        </w:tc>
        <w:tc>
          <w:tcPr>
            <w:tcW w:w="1052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by reference to Exhibit 10.1 to the Company’s Current Report on Form 8-K dated June 30, 2006).</w:t>
            </w:r>
          </w:p>
        </w:tc>
      </w:tr>
      <w:tr>
        <w:trPr>
          <w:trHeight w:val="3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10.58</w:t>
            </w:r>
          </w:p>
        </w:tc>
        <w:tc>
          <w:tcPr>
            <w:tcW w:w="1052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Transition Services Agreement among Cendant Corporation*, Realogy Corporation, Wyndham Worldwide Corporation and</w:t>
            </w:r>
          </w:p>
        </w:tc>
      </w:tr>
      <w:tr>
        <w:trPr>
          <w:trHeight w:val="216"/>
        </w:trPr>
        <w:tc>
          <w:tcPr>
            <w:tcW w:w="880" w:type="dxa"/>
            <w:vAlign w:val="bottom"/>
          </w:tcPr>
          <w:p>
            <w:pPr>
              <w:spacing w:after="0"/>
              <w:rPr>
                <w:sz w:val="18"/>
                <w:szCs w:val="18"/>
                <w:color w:val="auto"/>
              </w:rPr>
            </w:pPr>
          </w:p>
        </w:tc>
        <w:tc>
          <w:tcPr>
            <w:tcW w:w="1052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w w:val="97"/>
              </w:rPr>
              <w:t>Travelport Inc., dated as of July 27, 2006 (Incorporated by reference to Exhibit 10.1 to the Company’s Current Report on Form 8-K</w:t>
            </w:r>
          </w:p>
        </w:tc>
      </w:tr>
      <w:tr>
        <w:trPr>
          <w:trHeight w:val="228"/>
        </w:trPr>
        <w:tc>
          <w:tcPr>
            <w:tcW w:w="880" w:type="dxa"/>
            <w:vAlign w:val="bottom"/>
          </w:tcPr>
          <w:p>
            <w:pPr>
              <w:spacing w:after="0"/>
              <w:rPr>
                <w:sz w:val="19"/>
                <w:szCs w:val="19"/>
                <w:color w:val="auto"/>
              </w:rPr>
            </w:pPr>
          </w:p>
        </w:tc>
        <w:tc>
          <w:tcPr>
            <w:tcW w:w="1052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dated August 1, 2006).</w:t>
            </w:r>
          </w:p>
        </w:tc>
      </w:tr>
      <w:tr>
        <w:trPr>
          <w:trHeight w:val="3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10.59(a)</w:t>
            </w:r>
          </w:p>
        </w:tc>
        <w:tc>
          <w:tcPr>
            <w:tcW w:w="1052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Tax Sharing Agreement among Cendant Corporation*, Realogy Corporation, Wyndham Worldwide Corporation and Travelport</w:t>
            </w:r>
          </w:p>
        </w:tc>
      </w:tr>
      <w:tr>
        <w:trPr>
          <w:trHeight w:val="216"/>
        </w:trPr>
        <w:tc>
          <w:tcPr>
            <w:tcW w:w="880" w:type="dxa"/>
            <w:vAlign w:val="bottom"/>
          </w:tcPr>
          <w:p>
            <w:pPr>
              <w:spacing w:after="0"/>
              <w:rPr>
                <w:sz w:val="18"/>
                <w:szCs w:val="18"/>
                <w:color w:val="auto"/>
              </w:rPr>
            </w:pPr>
          </w:p>
        </w:tc>
        <w:tc>
          <w:tcPr>
            <w:tcW w:w="1052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Inc., dated as of July 28, 2006 (Incorporated by reference to Exhibit 10.1 to the Company’s Current Report on Form 8-K dated</w:t>
            </w:r>
          </w:p>
        </w:tc>
      </w:tr>
      <w:tr>
        <w:trPr>
          <w:trHeight w:val="228"/>
        </w:trPr>
        <w:tc>
          <w:tcPr>
            <w:tcW w:w="880" w:type="dxa"/>
            <w:vAlign w:val="bottom"/>
          </w:tcPr>
          <w:p>
            <w:pPr>
              <w:spacing w:after="0"/>
              <w:rPr>
                <w:sz w:val="19"/>
                <w:szCs w:val="19"/>
                <w:color w:val="auto"/>
              </w:rPr>
            </w:pPr>
          </w:p>
        </w:tc>
        <w:tc>
          <w:tcPr>
            <w:tcW w:w="1052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August 1, 2006).</w:t>
            </w:r>
          </w:p>
        </w:tc>
      </w:tr>
      <w:tr>
        <w:trPr>
          <w:trHeight w:val="3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10.59(b)</w:t>
            </w:r>
          </w:p>
        </w:tc>
        <w:tc>
          <w:tcPr>
            <w:tcW w:w="1052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w w:val="97"/>
              </w:rPr>
              <w:t>Amendment to the Tax Sharing Agreement, dated July 28, 2006, among Avis Budget Group, Inc., Realogy Corporation, Wyndham</w:t>
            </w:r>
          </w:p>
        </w:tc>
      </w:tr>
      <w:tr>
        <w:trPr>
          <w:trHeight w:val="216"/>
        </w:trPr>
        <w:tc>
          <w:tcPr>
            <w:tcW w:w="880" w:type="dxa"/>
            <w:vAlign w:val="bottom"/>
          </w:tcPr>
          <w:p>
            <w:pPr>
              <w:spacing w:after="0"/>
              <w:rPr>
                <w:sz w:val="18"/>
                <w:szCs w:val="18"/>
                <w:color w:val="auto"/>
              </w:rPr>
            </w:pPr>
          </w:p>
        </w:tc>
        <w:tc>
          <w:tcPr>
            <w:tcW w:w="1052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w w:val="97"/>
              </w:rPr>
              <w:t>Worldwide Corporation and Travelport Inc. (Incorporated by reference to Exhibit 10.4 to the Company’s Quarterly Report on Form</w:t>
            </w:r>
          </w:p>
        </w:tc>
      </w:tr>
      <w:tr>
        <w:trPr>
          <w:trHeight w:val="228"/>
        </w:trPr>
        <w:tc>
          <w:tcPr>
            <w:tcW w:w="880" w:type="dxa"/>
            <w:vAlign w:val="bottom"/>
          </w:tcPr>
          <w:p>
            <w:pPr>
              <w:spacing w:after="0"/>
              <w:rPr>
                <w:sz w:val="19"/>
                <w:szCs w:val="19"/>
                <w:color w:val="auto"/>
              </w:rPr>
            </w:pPr>
          </w:p>
        </w:tc>
        <w:tc>
          <w:tcPr>
            <w:tcW w:w="1052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10-Q for the quarterly period ended June 30, 2008 dated August 7, 2008).</w:t>
            </w:r>
          </w:p>
        </w:tc>
      </w:tr>
      <w:tr>
        <w:trPr>
          <w:trHeight w:val="3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10.60</w:t>
            </w:r>
          </w:p>
        </w:tc>
        <w:tc>
          <w:tcPr>
            <w:tcW w:w="1052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Agreement dated as of December 1, 2008 between Avis Budget Car Rental, LLC and General Motors††† (Incorporated by</w:t>
            </w:r>
          </w:p>
        </w:tc>
      </w:tr>
      <w:tr>
        <w:trPr>
          <w:trHeight w:val="228"/>
        </w:trPr>
        <w:tc>
          <w:tcPr>
            <w:tcW w:w="880" w:type="dxa"/>
            <w:vAlign w:val="bottom"/>
          </w:tcPr>
          <w:p>
            <w:pPr>
              <w:spacing w:after="0"/>
              <w:rPr>
                <w:sz w:val="19"/>
                <w:szCs w:val="19"/>
                <w:color w:val="auto"/>
              </w:rPr>
            </w:pPr>
          </w:p>
        </w:tc>
        <w:tc>
          <w:tcPr>
            <w:tcW w:w="1052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reference to Exhibit 10.1 to the Company’s Current Report on Form 8-K dated December 8, 2008).</w:t>
            </w:r>
          </w:p>
        </w:tc>
      </w:tr>
      <w:tr>
        <w:trPr>
          <w:trHeight w:val="3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10.61</w:t>
            </w:r>
          </w:p>
        </w:tc>
        <w:tc>
          <w:tcPr>
            <w:tcW w:w="1052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w w:val="99"/>
              </w:rPr>
              <w:t>Supply and Feature Agreement dated October 30, 2007, by and among Ford Motor Company, Avis Budget Car Rental, LLC and</w:t>
            </w:r>
          </w:p>
        </w:tc>
      </w:tr>
      <w:tr>
        <w:trPr>
          <w:trHeight w:val="216"/>
        </w:trPr>
        <w:tc>
          <w:tcPr>
            <w:tcW w:w="880" w:type="dxa"/>
            <w:vAlign w:val="bottom"/>
          </w:tcPr>
          <w:p>
            <w:pPr>
              <w:spacing w:after="0"/>
              <w:rPr>
                <w:sz w:val="18"/>
                <w:szCs w:val="18"/>
                <w:color w:val="auto"/>
              </w:rPr>
            </w:pPr>
          </w:p>
        </w:tc>
        <w:tc>
          <w:tcPr>
            <w:tcW w:w="1052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w w:val="98"/>
              </w:rPr>
              <w:t>AESOP Leasing L.P. (Incorporated by reference to Exhibit 10.4 to the Company’s Quarterly Report on Form 10-Q for the quarter</w:t>
            </w:r>
          </w:p>
        </w:tc>
      </w:tr>
      <w:tr>
        <w:trPr>
          <w:trHeight w:val="228"/>
        </w:trPr>
        <w:tc>
          <w:tcPr>
            <w:tcW w:w="880" w:type="dxa"/>
            <w:vAlign w:val="bottom"/>
          </w:tcPr>
          <w:p>
            <w:pPr>
              <w:spacing w:after="0"/>
              <w:rPr>
                <w:sz w:val="19"/>
                <w:szCs w:val="19"/>
                <w:color w:val="auto"/>
              </w:rPr>
            </w:pPr>
          </w:p>
        </w:tc>
        <w:tc>
          <w:tcPr>
            <w:tcW w:w="1052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ended September 30, 2009). †††</w:t>
            </w:r>
          </w:p>
        </w:tc>
      </w:tr>
      <w:tr>
        <w:trPr>
          <w:trHeight w:val="3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10.62</w:t>
            </w:r>
          </w:p>
        </w:tc>
        <w:tc>
          <w:tcPr>
            <w:tcW w:w="1052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w w:val="98"/>
              </w:rPr>
              <w:t>Avis Budget Car Rental 2010 Model Year Program Letter dated August 28, 2009 between Avis Budget Car Rental, LLC and Ford</w:t>
            </w:r>
          </w:p>
        </w:tc>
      </w:tr>
      <w:tr>
        <w:trPr>
          <w:trHeight w:val="216"/>
        </w:trPr>
        <w:tc>
          <w:tcPr>
            <w:tcW w:w="880" w:type="dxa"/>
            <w:vAlign w:val="bottom"/>
          </w:tcPr>
          <w:p>
            <w:pPr>
              <w:spacing w:after="0"/>
              <w:rPr>
                <w:sz w:val="18"/>
                <w:szCs w:val="18"/>
                <w:color w:val="auto"/>
              </w:rPr>
            </w:pPr>
          </w:p>
        </w:tc>
        <w:tc>
          <w:tcPr>
            <w:tcW w:w="1052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Motor Company (Incorporated by reference to Exhibit 10.1 to the Company’s Current Report on Form 8-K dated September 2,</w:t>
            </w:r>
          </w:p>
        </w:tc>
      </w:tr>
      <w:tr>
        <w:trPr>
          <w:trHeight w:val="228"/>
        </w:trPr>
        <w:tc>
          <w:tcPr>
            <w:tcW w:w="880" w:type="dxa"/>
            <w:vAlign w:val="bottom"/>
          </w:tcPr>
          <w:p>
            <w:pPr>
              <w:spacing w:after="0"/>
              <w:rPr>
                <w:sz w:val="19"/>
                <w:szCs w:val="19"/>
                <w:color w:val="auto"/>
              </w:rPr>
            </w:pPr>
          </w:p>
        </w:tc>
        <w:tc>
          <w:tcPr>
            <w:tcW w:w="1052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2009). †††</w:t>
            </w:r>
          </w:p>
        </w:tc>
      </w:tr>
      <w:tr>
        <w:trPr>
          <w:trHeight w:val="3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10.63(a)</w:t>
            </w:r>
          </w:p>
        </w:tc>
        <w:tc>
          <w:tcPr>
            <w:tcW w:w="1052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w w:val="97"/>
              </w:rPr>
              <w:t>Purchase Agreement by and among Cendant Corporation*, Affinity Acquisition, Inc. and Affinity Acquisition Holdings, Inc. dated</w:t>
            </w:r>
          </w:p>
        </w:tc>
      </w:tr>
      <w:tr>
        <w:trPr>
          <w:trHeight w:val="216"/>
        </w:trPr>
        <w:tc>
          <w:tcPr>
            <w:tcW w:w="880" w:type="dxa"/>
            <w:vAlign w:val="bottom"/>
          </w:tcPr>
          <w:p>
            <w:pPr>
              <w:spacing w:after="0"/>
              <w:rPr>
                <w:sz w:val="18"/>
                <w:szCs w:val="18"/>
                <w:color w:val="auto"/>
              </w:rPr>
            </w:pPr>
          </w:p>
        </w:tc>
        <w:tc>
          <w:tcPr>
            <w:tcW w:w="1052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w w:val="98"/>
              </w:rPr>
              <w:t>as of July 26, 2005 (Incorporated by reference to Exhibit 10.2 to the Company’s Quarterly Report on Form 10-Q for the quarterly</w:t>
            </w:r>
          </w:p>
        </w:tc>
      </w:tr>
      <w:tr>
        <w:trPr>
          <w:trHeight w:val="228"/>
        </w:trPr>
        <w:tc>
          <w:tcPr>
            <w:tcW w:w="880" w:type="dxa"/>
            <w:vAlign w:val="bottom"/>
          </w:tcPr>
          <w:p>
            <w:pPr>
              <w:spacing w:after="0"/>
              <w:rPr>
                <w:sz w:val="19"/>
                <w:szCs w:val="19"/>
                <w:color w:val="auto"/>
              </w:rPr>
            </w:pPr>
          </w:p>
        </w:tc>
        <w:tc>
          <w:tcPr>
            <w:tcW w:w="1052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period ended September 30, 2005 dated November 2, 2005).</w:t>
            </w:r>
          </w:p>
        </w:tc>
      </w:tr>
      <w:tr>
        <w:trPr>
          <w:trHeight w:val="3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10.63(b)</w:t>
            </w:r>
          </w:p>
        </w:tc>
        <w:tc>
          <w:tcPr>
            <w:tcW w:w="1052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Amendment No. 1 dated as of October 17, 2005 to the Purchase Agreement dated as of July 26, 2005 by and among Cendant</w:t>
            </w:r>
          </w:p>
        </w:tc>
      </w:tr>
      <w:tr>
        <w:trPr>
          <w:trHeight w:val="228"/>
        </w:trPr>
        <w:tc>
          <w:tcPr>
            <w:tcW w:w="880" w:type="dxa"/>
            <w:vAlign w:val="bottom"/>
          </w:tcPr>
          <w:p>
            <w:pPr>
              <w:spacing w:after="0"/>
              <w:rPr>
                <w:sz w:val="19"/>
                <w:szCs w:val="19"/>
                <w:color w:val="auto"/>
              </w:rPr>
            </w:pPr>
          </w:p>
        </w:tc>
        <w:tc>
          <w:tcPr>
            <w:tcW w:w="1052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Corporation*, Affinity Acquisition, Inc. (now known as Affinion</w:t>
            </w:r>
          </w:p>
        </w:tc>
      </w:tr>
      <w:tr>
        <w:trPr>
          <w:trHeight w:val="365"/>
        </w:trPr>
        <w:tc>
          <w:tcPr>
            <w:tcW w:w="880" w:type="dxa"/>
            <w:vAlign w:val="bottom"/>
          </w:tcPr>
          <w:p>
            <w:pPr>
              <w:spacing w:after="0"/>
              <w:rPr>
                <w:sz w:val="24"/>
                <w:szCs w:val="24"/>
                <w:color w:val="auto"/>
              </w:rPr>
            </w:pPr>
          </w:p>
        </w:tc>
        <w:tc>
          <w:tcPr>
            <w:tcW w:w="10520" w:type="dxa"/>
            <w:vAlign w:val="bottom"/>
            <w:gridSpan w:val="3"/>
          </w:tcPr>
          <w:p>
            <w:pPr>
              <w:ind w:left="4660"/>
              <w:spacing w:after="0"/>
              <w:rPr>
                <w:sz w:val="20"/>
                <w:szCs w:val="20"/>
                <w:color w:val="auto"/>
              </w:rPr>
            </w:pPr>
            <w:r>
              <w:rPr>
                <w:rFonts w:ascii="Times New Roman" w:cs="Times New Roman" w:eastAsia="Times New Roman" w:hAnsi="Times New Roman"/>
                <w:sz w:val="18"/>
                <w:szCs w:val="18"/>
                <w:color w:val="auto"/>
              </w:rPr>
              <w:t>H-13</w:t>
            </w:r>
          </w:p>
        </w:tc>
      </w:tr>
    </w:tbl>
    <w:p>
      <w:pPr>
        <w:sectPr>
          <w:pgSz w:w="11900" w:h="16838" w:orient="portrait"/>
          <w:cols w:equalWidth="0" w:num="1">
            <w:col w:w="11400"/>
          </w:cols>
          <w:pgMar w:left="240" w:top="455" w:right="259" w:bottom="1440" w:gutter="0" w:footer="0" w:header="0"/>
        </w:sectPr>
      </w:pPr>
    </w:p>
    <w:bookmarkStart w:id="136" w:name="page137"/>
    <w:bookmarkEnd w:id="13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7"/>
              </w:rPr>
              <w:t>Exhibit No.</w:t>
            </w:r>
          </w:p>
        </w:tc>
        <w:tc>
          <w:tcPr>
            <w:tcW w:w="5460" w:type="dxa"/>
            <w:vAlign w:val="bottom"/>
          </w:tcPr>
          <w:p>
            <w:pPr>
              <w:spacing w:after="0"/>
              <w:rPr>
                <w:sz w:val="20"/>
                <w:szCs w:val="20"/>
                <w:color w:val="auto"/>
              </w:rPr>
            </w:pPr>
          </w:p>
        </w:tc>
        <w:tc>
          <w:tcPr>
            <w:tcW w:w="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w w:val="96"/>
              </w:rPr>
              <w:t>Description</w:t>
            </w:r>
          </w:p>
        </w:tc>
        <w:tc>
          <w:tcPr>
            <w:tcW w:w="4160" w:type="dxa"/>
            <w:vAlign w:val="bottom"/>
          </w:tcPr>
          <w:p>
            <w:pPr>
              <w:spacing w:after="0"/>
              <w:rPr>
                <w:sz w:val="20"/>
                <w:szCs w:val="20"/>
                <w:color w:val="auto"/>
              </w:rPr>
            </w:pPr>
          </w:p>
        </w:tc>
      </w:tr>
      <w:tr>
        <w:trPr>
          <w:trHeight w:val="197"/>
        </w:trPr>
        <w:tc>
          <w:tcPr>
            <w:tcW w:w="880" w:type="dxa"/>
            <w:vAlign w:val="bottom"/>
          </w:tcPr>
          <w:p>
            <w:pPr>
              <w:spacing w:after="0"/>
              <w:rPr>
                <w:sz w:val="17"/>
                <w:szCs w:val="17"/>
                <w:color w:val="auto"/>
              </w:rPr>
            </w:pPr>
          </w:p>
        </w:tc>
        <w:tc>
          <w:tcPr>
            <w:tcW w:w="5460" w:type="dxa"/>
            <w:vAlign w:val="bottom"/>
          </w:tcPr>
          <w:p>
            <w:pPr>
              <w:ind w:left="1280"/>
              <w:spacing w:after="0" w:line="197" w:lineRule="exact"/>
              <w:rPr>
                <w:sz w:val="20"/>
                <w:szCs w:val="20"/>
                <w:color w:val="auto"/>
              </w:rPr>
            </w:pPr>
            <w:r>
              <w:rPr>
                <w:rFonts w:ascii="Times New Roman" w:cs="Times New Roman" w:eastAsia="Times New Roman" w:hAnsi="Times New Roman"/>
                <w:sz w:val="18"/>
                <w:szCs w:val="18"/>
                <w:color w:val="auto"/>
                <w:w w:val="99"/>
              </w:rPr>
              <w:t>Group, Inc.) and Affinity Acquisition Holdings, Inc. (now</w:t>
            </w:r>
          </w:p>
        </w:tc>
        <w:tc>
          <w:tcPr>
            <w:tcW w:w="5060" w:type="dxa"/>
            <w:vAlign w:val="bottom"/>
            <w:gridSpan w:val="2"/>
          </w:tcPr>
          <w:p>
            <w:pPr>
              <w:spacing w:after="0" w:line="197" w:lineRule="exact"/>
              <w:rPr>
                <w:sz w:val="20"/>
                <w:szCs w:val="20"/>
                <w:color w:val="auto"/>
              </w:rPr>
            </w:pPr>
            <w:r>
              <w:rPr>
                <w:rFonts w:ascii="Times New Roman" w:cs="Times New Roman" w:eastAsia="Times New Roman" w:hAnsi="Times New Roman"/>
                <w:sz w:val="18"/>
                <w:szCs w:val="18"/>
                <w:color w:val="auto"/>
                <w:w w:val="98"/>
              </w:rPr>
              <w:t>known as Affinion Group Holdings, Inc.) (Incorporated by reference to</w:t>
            </w:r>
          </w:p>
        </w:tc>
      </w:tr>
      <w:tr>
        <w:trPr>
          <w:trHeight w:val="216"/>
        </w:trPr>
        <w:tc>
          <w:tcPr>
            <w:tcW w:w="880" w:type="dxa"/>
            <w:vAlign w:val="bottom"/>
          </w:tcPr>
          <w:p>
            <w:pPr>
              <w:spacing w:after="0"/>
              <w:rPr>
                <w:sz w:val="18"/>
                <w:szCs w:val="18"/>
                <w:color w:val="auto"/>
              </w:rPr>
            </w:pPr>
          </w:p>
        </w:tc>
        <w:tc>
          <w:tcPr>
            <w:tcW w:w="10520" w:type="dxa"/>
            <w:vAlign w:val="bottom"/>
            <w:gridSpan w:val="3"/>
          </w:tcPr>
          <w:p>
            <w:pPr>
              <w:ind w:left="1280"/>
              <w:spacing w:after="0"/>
              <w:rPr>
                <w:sz w:val="20"/>
                <w:szCs w:val="20"/>
                <w:color w:val="auto"/>
              </w:rPr>
            </w:pPr>
            <w:r>
              <w:rPr>
                <w:rFonts w:ascii="Times New Roman" w:cs="Times New Roman" w:eastAsia="Times New Roman" w:hAnsi="Times New Roman"/>
                <w:sz w:val="18"/>
                <w:szCs w:val="18"/>
                <w:color w:val="auto"/>
                <w:w w:val="97"/>
              </w:rPr>
              <w:t>Exhibit 10.3 to the Company’s Quarterly Report on Form 10-Q for the quarterly period ended September 30, 2005 dated November</w:t>
            </w:r>
          </w:p>
        </w:tc>
      </w:tr>
      <w:tr>
        <w:trPr>
          <w:trHeight w:val="228"/>
        </w:trPr>
        <w:tc>
          <w:tcPr>
            <w:tcW w:w="880" w:type="dxa"/>
            <w:vAlign w:val="bottom"/>
          </w:tcPr>
          <w:p>
            <w:pPr>
              <w:spacing w:after="0"/>
              <w:rPr>
                <w:sz w:val="19"/>
                <w:szCs w:val="19"/>
                <w:color w:val="auto"/>
              </w:rPr>
            </w:pPr>
          </w:p>
        </w:tc>
        <w:tc>
          <w:tcPr>
            <w:tcW w:w="546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2, 2005).</w:t>
            </w:r>
          </w:p>
        </w:tc>
        <w:tc>
          <w:tcPr>
            <w:tcW w:w="900" w:type="dxa"/>
            <w:vAlign w:val="bottom"/>
          </w:tcPr>
          <w:p>
            <w:pPr>
              <w:spacing w:after="0"/>
              <w:rPr>
                <w:sz w:val="19"/>
                <w:szCs w:val="19"/>
                <w:color w:val="auto"/>
              </w:rPr>
            </w:pPr>
          </w:p>
        </w:tc>
        <w:tc>
          <w:tcPr>
            <w:tcW w:w="4160" w:type="dxa"/>
            <w:vAlign w:val="bottom"/>
          </w:tcPr>
          <w:p>
            <w:pPr>
              <w:spacing w:after="0"/>
              <w:rPr>
                <w:sz w:val="19"/>
                <w:szCs w:val="19"/>
                <w:color w:val="auto"/>
              </w:rPr>
            </w:pPr>
          </w:p>
        </w:tc>
      </w:tr>
      <w:tr>
        <w:trPr>
          <w:trHeight w:val="3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10.64</w:t>
            </w:r>
          </w:p>
        </w:tc>
        <w:tc>
          <w:tcPr>
            <w:tcW w:w="10520" w:type="dxa"/>
            <w:vAlign w:val="bottom"/>
            <w:gridSpan w:val="3"/>
          </w:tcPr>
          <w:p>
            <w:pPr>
              <w:ind w:left="1280"/>
              <w:spacing w:after="0"/>
              <w:rPr>
                <w:sz w:val="20"/>
                <w:szCs w:val="20"/>
                <w:color w:val="auto"/>
              </w:rPr>
            </w:pPr>
            <w:r>
              <w:rPr>
                <w:rFonts w:ascii="Times New Roman" w:cs="Times New Roman" w:eastAsia="Times New Roman" w:hAnsi="Times New Roman"/>
                <w:sz w:val="18"/>
                <w:szCs w:val="18"/>
                <w:color w:val="auto"/>
                <w:w w:val="99"/>
              </w:rPr>
              <w:t>Trademark License Agreement between Wizard Co. Inc. and Avis Europe plc (Incorporated by reference to Exhibit 10.60 to the</w:t>
            </w:r>
          </w:p>
        </w:tc>
      </w:tr>
      <w:tr>
        <w:trPr>
          <w:trHeight w:val="228"/>
        </w:trPr>
        <w:tc>
          <w:tcPr>
            <w:tcW w:w="880" w:type="dxa"/>
            <w:vAlign w:val="bottom"/>
          </w:tcPr>
          <w:p>
            <w:pPr>
              <w:spacing w:after="0"/>
              <w:rPr>
                <w:sz w:val="19"/>
                <w:szCs w:val="19"/>
                <w:color w:val="auto"/>
              </w:rPr>
            </w:pPr>
          </w:p>
        </w:tc>
        <w:tc>
          <w:tcPr>
            <w:tcW w:w="10520" w:type="dxa"/>
            <w:vAlign w:val="bottom"/>
            <w:gridSpan w:val="3"/>
          </w:tcPr>
          <w:p>
            <w:pPr>
              <w:ind w:left="1280"/>
              <w:spacing w:after="0"/>
              <w:rPr>
                <w:sz w:val="20"/>
                <w:szCs w:val="20"/>
                <w:color w:val="auto"/>
              </w:rPr>
            </w:pPr>
            <w:r>
              <w:rPr>
                <w:rFonts w:ascii="Times New Roman" w:cs="Times New Roman" w:eastAsia="Times New Roman" w:hAnsi="Times New Roman"/>
                <w:sz w:val="18"/>
                <w:szCs w:val="18"/>
                <w:color w:val="auto"/>
              </w:rPr>
              <w:t>Company’s Annual Report on Form 10-K for the year ended December 31, 2007, dated February 29, 2008).</w:t>
            </w:r>
          </w:p>
        </w:tc>
      </w:tr>
      <w:tr>
        <w:trPr>
          <w:trHeight w:val="3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10.65</w:t>
            </w:r>
          </w:p>
        </w:tc>
        <w:tc>
          <w:tcPr>
            <w:tcW w:w="10520" w:type="dxa"/>
            <w:vAlign w:val="bottom"/>
            <w:gridSpan w:val="3"/>
          </w:tcPr>
          <w:p>
            <w:pPr>
              <w:ind w:left="1280"/>
              <w:spacing w:after="0"/>
              <w:rPr>
                <w:sz w:val="20"/>
                <w:szCs w:val="20"/>
                <w:color w:val="auto"/>
              </w:rPr>
            </w:pPr>
            <w:r>
              <w:rPr>
                <w:rFonts w:ascii="Times New Roman" w:cs="Times New Roman" w:eastAsia="Times New Roman" w:hAnsi="Times New Roman"/>
                <w:sz w:val="18"/>
                <w:szCs w:val="18"/>
                <w:color w:val="auto"/>
              </w:rPr>
              <w:t>System License Agreement between Avis Rent A Car System, Inc. and Avis Europe plc</w:t>
            </w:r>
          </w:p>
        </w:tc>
      </w:tr>
      <w:tr>
        <w:trPr>
          <w:trHeight w:val="216"/>
        </w:trPr>
        <w:tc>
          <w:tcPr>
            <w:tcW w:w="880" w:type="dxa"/>
            <w:vAlign w:val="bottom"/>
          </w:tcPr>
          <w:p>
            <w:pPr>
              <w:spacing w:after="0"/>
              <w:rPr>
                <w:sz w:val="18"/>
                <w:szCs w:val="18"/>
                <w:color w:val="auto"/>
              </w:rPr>
            </w:pPr>
          </w:p>
        </w:tc>
        <w:tc>
          <w:tcPr>
            <w:tcW w:w="10520" w:type="dxa"/>
            <w:vAlign w:val="bottom"/>
            <w:gridSpan w:val="3"/>
          </w:tcPr>
          <w:p>
            <w:pPr>
              <w:ind w:left="1280"/>
              <w:spacing w:after="0"/>
              <w:rPr>
                <w:sz w:val="20"/>
                <w:szCs w:val="20"/>
                <w:color w:val="auto"/>
              </w:rPr>
            </w:pPr>
            <w:r>
              <w:rPr>
                <w:rFonts w:ascii="Times New Roman" w:cs="Times New Roman" w:eastAsia="Times New Roman" w:hAnsi="Times New Roman"/>
                <w:sz w:val="18"/>
                <w:szCs w:val="18"/>
                <w:color w:val="auto"/>
                <w:w w:val="97"/>
              </w:rPr>
              <w:t>(Incorporated by reference to Exhibit 10.61 to the Company’s Annual Report on Form 10-K for the year ended December 31, 2007,</w:t>
            </w:r>
          </w:p>
        </w:tc>
      </w:tr>
      <w:tr>
        <w:trPr>
          <w:trHeight w:val="228"/>
        </w:trPr>
        <w:tc>
          <w:tcPr>
            <w:tcW w:w="880" w:type="dxa"/>
            <w:vAlign w:val="bottom"/>
          </w:tcPr>
          <w:p>
            <w:pPr>
              <w:spacing w:after="0"/>
              <w:rPr>
                <w:sz w:val="19"/>
                <w:szCs w:val="19"/>
                <w:color w:val="auto"/>
              </w:rPr>
            </w:pPr>
          </w:p>
        </w:tc>
        <w:tc>
          <w:tcPr>
            <w:tcW w:w="10520" w:type="dxa"/>
            <w:vAlign w:val="bottom"/>
            <w:gridSpan w:val="3"/>
          </w:tcPr>
          <w:p>
            <w:pPr>
              <w:ind w:left="1280"/>
              <w:spacing w:after="0"/>
              <w:rPr>
                <w:sz w:val="20"/>
                <w:szCs w:val="20"/>
                <w:color w:val="auto"/>
              </w:rPr>
            </w:pPr>
            <w:r>
              <w:rPr>
                <w:rFonts w:ascii="Times New Roman" w:cs="Times New Roman" w:eastAsia="Times New Roman" w:hAnsi="Times New Roman"/>
                <w:sz w:val="18"/>
                <w:szCs w:val="18"/>
                <w:color w:val="auto"/>
              </w:rPr>
              <w:t>dated February 29, 2008).</w:t>
            </w:r>
          </w:p>
        </w:tc>
      </w:tr>
      <w:tr>
        <w:trPr>
          <w:trHeight w:val="325"/>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10.66</w:t>
            </w:r>
          </w:p>
        </w:tc>
        <w:tc>
          <w:tcPr>
            <w:tcW w:w="10520" w:type="dxa"/>
            <w:vAlign w:val="bottom"/>
            <w:gridSpan w:val="3"/>
          </w:tcPr>
          <w:p>
            <w:pPr>
              <w:ind w:left="1280"/>
              <w:spacing w:after="0"/>
              <w:rPr>
                <w:sz w:val="20"/>
                <w:szCs w:val="20"/>
                <w:color w:val="auto"/>
              </w:rPr>
            </w:pPr>
            <w:r>
              <w:rPr>
                <w:rFonts w:ascii="Times New Roman" w:cs="Times New Roman" w:eastAsia="Times New Roman" w:hAnsi="Times New Roman"/>
                <w:sz w:val="18"/>
                <w:szCs w:val="18"/>
                <w:color w:val="auto"/>
              </w:rPr>
              <w:t>Purchase Agreement dated as of October 7, 2009, by and among Avis Budget Group, Inc. and J.P. Morgan Securities Inc.,</w:t>
            </w:r>
          </w:p>
        </w:tc>
      </w:tr>
      <w:tr>
        <w:trPr>
          <w:trHeight w:val="216"/>
        </w:trPr>
        <w:tc>
          <w:tcPr>
            <w:tcW w:w="880" w:type="dxa"/>
            <w:vAlign w:val="bottom"/>
          </w:tcPr>
          <w:p>
            <w:pPr>
              <w:spacing w:after="0"/>
              <w:rPr>
                <w:sz w:val="18"/>
                <w:szCs w:val="18"/>
                <w:color w:val="auto"/>
              </w:rPr>
            </w:pPr>
          </w:p>
        </w:tc>
        <w:tc>
          <w:tcPr>
            <w:tcW w:w="10520" w:type="dxa"/>
            <w:vAlign w:val="bottom"/>
            <w:gridSpan w:val="3"/>
          </w:tcPr>
          <w:p>
            <w:pPr>
              <w:ind w:left="1280"/>
              <w:spacing w:after="0"/>
              <w:rPr>
                <w:sz w:val="20"/>
                <w:szCs w:val="20"/>
                <w:color w:val="auto"/>
              </w:rPr>
            </w:pPr>
            <w:r>
              <w:rPr>
                <w:rFonts w:ascii="Times New Roman" w:cs="Times New Roman" w:eastAsia="Times New Roman" w:hAnsi="Times New Roman"/>
                <w:sz w:val="18"/>
                <w:szCs w:val="18"/>
                <w:color w:val="auto"/>
              </w:rPr>
              <w:t>Citigroup Global Markets Inc., Merrill Lynch, Pierce, Fenner &amp; Smith Incorporated, Barclays Capital Inc. and Deutsche Bank</w:t>
            </w:r>
          </w:p>
        </w:tc>
      </w:tr>
      <w:tr>
        <w:trPr>
          <w:trHeight w:val="228"/>
        </w:trPr>
        <w:tc>
          <w:tcPr>
            <w:tcW w:w="880" w:type="dxa"/>
            <w:vAlign w:val="bottom"/>
          </w:tcPr>
          <w:p>
            <w:pPr>
              <w:spacing w:after="0"/>
              <w:rPr>
                <w:sz w:val="19"/>
                <w:szCs w:val="19"/>
                <w:color w:val="auto"/>
              </w:rPr>
            </w:pPr>
          </w:p>
        </w:tc>
        <w:tc>
          <w:tcPr>
            <w:tcW w:w="10520" w:type="dxa"/>
            <w:vAlign w:val="bottom"/>
            <w:gridSpan w:val="3"/>
          </w:tcPr>
          <w:p>
            <w:pPr>
              <w:ind w:left="1280"/>
              <w:spacing w:after="0"/>
              <w:rPr>
                <w:sz w:val="20"/>
                <w:szCs w:val="20"/>
                <w:color w:val="auto"/>
              </w:rPr>
            </w:pPr>
            <w:r>
              <w:rPr>
                <w:rFonts w:ascii="Times New Roman" w:cs="Times New Roman" w:eastAsia="Times New Roman" w:hAnsi="Times New Roman"/>
                <w:sz w:val="18"/>
                <w:szCs w:val="18"/>
                <w:color w:val="auto"/>
                <w:w w:val="98"/>
              </w:rPr>
              <w:t>Securities Inc. (Incorporated by reference to Exhibit 10.1 to the Company’s Current Report on Form 8-K dated October 13, 2009).</w:t>
            </w:r>
          </w:p>
        </w:tc>
      </w:tr>
      <w:tr>
        <w:trPr>
          <w:trHeight w:val="3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10.67(a)</w:t>
            </w:r>
          </w:p>
        </w:tc>
        <w:tc>
          <w:tcPr>
            <w:tcW w:w="10520" w:type="dxa"/>
            <w:vAlign w:val="bottom"/>
            <w:gridSpan w:val="3"/>
          </w:tcPr>
          <w:p>
            <w:pPr>
              <w:ind w:left="1280"/>
              <w:spacing w:after="0"/>
              <w:rPr>
                <w:sz w:val="20"/>
                <w:szCs w:val="20"/>
                <w:color w:val="auto"/>
              </w:rPr>
            </w:pPr>
            <w:r>
              <w:rPr>
                <w:rFonts w:ascii="Times New Roman" w:cs="Times New Roman" w:eastAsia="Times New Roman" w:hAnsi="Times New Roman"/>
                <w:sz w:val="18"/>
                <w:szCs w:val="18"/>
                <w:color w:val="auto"/>
              </w:rPr>
              <w:t>Convertible Bond Hedging Transaction Confirmation dated October 7, 2009, by and between Avis Budget Group, Inc. and</w:t>
            </w:r>
          </w:p>
        </w:tc>
      </w:tr>
      <w:tr>
        <w:trPr>
          <w:trHeight w:val="216"/>
        </w:trPr>
        <w:tc>
          <w:tcPr>
            <w:tcW w:w="880" w:type="dxa"/>
            <w:vAlign w:val="bottom"/>
          </w:tcPr>
          <w:p>
            <w:pPr>
              <w:spacing w:after="0"/>
              <w:rPr>
                <w:sz w:val="18"/>
                <w:szCs w:val="18"/>
                <w:color w:val="auto"/>
              </w:rPr>
            </w:pPr>
          </w:p>
        </w:tc>
        <w:tc>
          <w:tcPr>
            <w:tcW w:w="10520" w:type="dxa"/>
            <w:vAlign w:val="bottom"/>
            <w:gridSpan w:val="3"/>
          </w:tcPr>
          <w:p>
            <w:pPr>
              <w:ind w:left="1280"/>
              <w:spacing w:after="0"/>
              <w:rPr>
                <w:sz w:val="20"/>
                <w:szCs w:val="20"/>
                <w:color w:val="auto"/>
              </w:rPr>
            </w:pPr>
            <w:r>
              <w:rPr>
                <w:rFonts w:ascii="Times New Roman" w:cs="Times New Roman" w:eastAsia="Times New Roman" w:hAnsi="Times New Roman"/>
                <w:sz w:val="18"/>
                <w:szCs w:val="18"/>
                <w:color w:val="auto"/>
              </w:rPr>
              <w:t>JPMorgan Chase Bank, National Association (Incorporated by reference to Exhibit 10.2(a) to the Company’s Current Report on</w:t>
            </w:r>
          </w:p>
        </w:tc>
      </w:tr>
      <w:tr>
        <w:trPr>
          <w:trHeight w:val="228"/>
        </w:trPr>
        <w:tc>
          <w:tcPr>
            <w:tcW w:w="880" w:type="dxa"/>
            <w:vAlign w:val="bottom"/>
          </w:tcPr>
          <w:p>
            <w:pPr>
              <w:spacing w:after="0"/>
              <w:rPr>
                <w:sz w:val="19"/>
                <w:szCs w:val="19"/>
                <w:color w:val="auto"/>
              </w:rPr>
            </w:pPr>
          </w:p>
        </w:tc>
        <w:tc>
          <w:tcPr>
            <w:tcW w:w="10520" w:type="dxa"/>
            <w:vAlign w:val="bottom"/>
            <w:gridSpan w:val="3"/>
          </w:tcPr>
          <w:p>
            <w:pPr>
              <w:ind w:left="1280"/>
              <w:spacing w:after="0"/>
              <w:rPr>
                <w:sz w:val="20"/>
                <w:szCs w:val="20"/>
                <w:color w:val="auto"/>
              </w:rPr>
            </w:pPr>
            <w:r>
              <w:rPr>
                <w:rFonts w:ascii="Times New Roman" w:cs="Times New Roman" w:eastAsia="Times New Roman" w:hAnsi="Times New Roman"/>
                <w:sz w:val="18"/>
                <w:szCs w:val="18"/>
                <w:color w:val="auto"/>
              </w:rPr>
              <w:t>Form 8-K dated October 13, 2009).</w:t>
            </w:r>
          </w:p>
        </w:tc>
      </w:tr>
      <w:tr>
        <w:trPr>
          <w:trHeight w:val="3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10.67(b)</w:t>
            </w:r>
          </w:p>
        </w:tc>
        <w:tc>
          <w:tcPr>
            <w:tcW w:w="10520" w:type="dxa"/>
            <w:vAlign w:val="bottom"/>
            <w:gridSpan w:val="3"/>
          </w:tcPr>
          <w:p>
            <w:pPr>
              <w:ind w:left="1280"/>
              <w:spacing w:after="0"/>
              <w:rPr>
                <w:sz w:val="20"/>
                <w:szCs w:val="20"/>
                <w:color w:val="auto"/>
              </w:rPr>
            </w:pPr>
            <w:r>
              <w:rPr>
                <w:rFonts w:ascii="Times New Roman" w:cs="Times New Roman" w:eastAsia="Times New Roman" w:hAnsi="Times New Roman"/>
                <w:sz w:val="18"/>
                <w:szCs w:val="18"/>
                <w:color w:val="auto"/>
              </w:rPr>
              <w:t>Convertible Bond Hedging Transaction Confirmation dated October 7, 2009, by and between Avis Budget Group, Inc. and</w:t>
            </w:r>
          </w:p>
        </w:tc>
      </w:tr>
      <w:tr>
        <w:trPr>
          <w:trHeight w:val="216"/>
        </w:trPr>
        <w:tc>
          <w:tcPr>
            <w:tcW w:w="880" w:type="dxa"/>
            <w:vAlign w:val="bottom"/>
          </w:tcPr>
          <w:p>
            <w:pPr>
              <w:spacing w:after="0"/>
              <w:rPr>
                <w:sz w:val="18"/>
                <w:szCs w:val="18"/>
                <w:color w:val="auto"/>
              </w:rPr>
            </w:pPr>
          </w:p>
        </w:tc>
        <w:tc>
          <w:tcPr>
            <w:tcW w:w="10520" w:type="dxa"/>
            <w:vAlign w:val="bottom"/>
            <w:gridSpan w:val="3"/>
          </w:tcPr>
          <w:p>
            <w:pPr>
              <w:ind w:left="1280"/>
              <w:spacing w:after="0"/>
              <w:rPr>
                <w:sz w:val="20"/>
                <w:szCs w:val="20"/>
                <w:color w:val="auto"/>
              </w:rPr>
            </w:pPr>
            <w:r>
              <w:rPr>
                <w:rFonts w:ascii="Times New Roman" w:cs="Times New Roman" w:eastAsia="Times New Roman" w:hAnsi="Times New Roman"/>
                <w:sz w:val="18"/>
                <w:szCs w:val="18"/>
                <w:color w:val="auto"/>
                <w:w w:val="99"/>
              </w:rPr>
              <w:t>Barclays Capital Inc. (Incorporated by reference to Exhibit 10.2(b) to the Company’s Current Report on Form 8-K dated October</w:t>
            </w:r>
          </w:p>
        </w:tc>
      </w:tr>
      <w:tr>
        <w:trPr>
          <w:trHeight w:val="228"/>
        </w:trPr>
        <w:tc>
          <w:tcPr>
            <w:tcW w:w="880" w:type="dxa"/>
            <w:vAlign w:val="bottom"/>
          </w:tcPr>
          <w:p>
            <w:pPr>
              <w:spacing w:after="0"/>
              <w:rPr>
                <w:sz w:val="19"/>
                <w:szCs w:val="19"/>
                <w:color w:val="auto"/>
              </w:rPr>
            </w:pPr>
          </w:p>
        </w:tc>
        <w:tc>
          <w:tcPr>
            <w:tcW w:w="546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13, 2009).</w:t>
            </w:r>
          </w:p>
        </w:tc>
        <w:tc>
          <w:tcPr>
            <w:tcW w:w="900" w:type="dxa"/>
            <w:vAlign w:val="bottom"/>
          </w:tcPr>
          <w:p>
            <w:pPr>
              <w:spacing w:after="0"/>
              <w:rPr>
                <w:sz w:val="19"/>
                <w:szCs w:val="19"/>
                <w:color w:val="auto"/>
              </w:rPr>
            </w:pPr>
          </w:p>
        </w:tc>
        <w:tc>
          <w:tcPr>
            <w:tcW w:w="4160" w:type="dxa"/>
            <w:vAlign w:val="bottom"/>
          </w:tcPr>
          <w:p>
            <w:pPr>
              <w:spacing w:after="0"/>
              <w:rPr>
                <w:sz w:val="19"/>
                <w:szCs w:val="19"/>
                <w:color w:val="auto"/>
              </w:rPr>
            </w:pPr>
          </w:p>
        </w:tc>
      </w:tr>
      <w:tr>
        <w:trPr>
          <w:trHeight w:val="3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10.67(c)</w:t>
            </w:r>
          </w:p>
        </w:tc>
        <w:tc>
          <w:tcPr>
            <w:tcW w:w="10520" w:type="dxa"/>
            <w:vAlign w:val="bottom"/>
            <w:gridSpan w:val="3"/>
          </w:tcPr>
          <w:p>
            <w:pPr>
              <w:ind w:left="1280"/>
              <w:spacing w:after="0"/>
              <w:rPr>
                <w:sz w:val="20"/>
                <w:szCs w:val="20"/>
                <w:color w:val="auto"/>
              </w:rPr>
            </w:pPr>
            <w:r>
              <w:rPr>
                <w:rFonts w:ascii="Times New Roman" w:cs="Times New Roman" w:eastAsia="Times New Roman" w:hAnsi="Times New Roman"/>
                <w:sz w:val="18"/>
                <w:szCs w:val="18"/>
                <w:color w:val="auto"/>
              </w:rPr>
              <w:t>Convertible Bond Hedging Transaction Confirmation dated October 7, 2009, by and between Avis Budget Group, Inc. and</w:t>
            </w:r>
          </w:p>
        </w:tc>
      </w:tr>
      <w:tr>
        <w:trPr>
          <w:trHeight w:val="216"/>
        </w:trPr>
        <w:tc>
          <w:tcPr>
            <w:tcW w:w="880" w:type="dxa"/>
            <w:vAlign w:val="bottom"/>
          </w:tcPr>
          <w:p>
            <w:pPr>
              <w:spacing w:after="0"/>
              <w:rPr>
                <w:sz w:val="18"/>
                <w:szCs w:val="18"/>
                <w:color w:val="auto"/>
              </w:rPr>
            </w:pPr>
          </w:p>
        </w:tc>
        <w:tc>
          <w:tcPr>
            <w:tcW w:w="10520" w:type="dxa"/>
            <w:vAlign w:val="bottom"/>
            <w:gridSpan w:val="3"/>
          </w:tcPr>
          <w:p>
            <w:pPr>
              <w:ind w:left="1280"/>
              <w:spacing w:after="0"/>
              <w:rPr>
                <w:sz w:val="20"/>
                <w:szCs w:val="20"/>
                <w:color w:val="auto"/>
              </w:rPr>
            </w:pPr>
            <w:r>
              <w:rPr>
                <w:rFonts w:ascii="Times New Roman" w:cs="Times New Roman" w:eastAsia="Times New Roman" w:hAnsi="Times New Roman"/>
                <w:sz w:val="18"/>
                <w:szCs w:val="18"/>
                <w:color w:val="auto"/>
                <w:w w:val="98"/>
              </w:rPr>
              <w:t>Deutsche Bank AG, London Branch (Incorporated by reference to Exhibit 10.2(c) to the Company’s Current Report on Form 8-K</w:t>
            </w:r>
          </w:p>
        </w:tc>
      </w:tr>
      <w:tr>
        <w:trPr>
          <w:trHeight w:val="228"/>
        </w:trPr>
        <w:tc>
          <w:tcPr>
            <w:tcW w:w="880" w:type="dxa"/>
            <w:vAlign w:val="bottom"/>
          </w:tcPr>
          <w:p>
            <w:pPr>
              <w:spacing w:after="0"/>
              <w:rPr>
                <w:sz w:val="19"/>
                <w:szCs w:val="19"/>
                <w:color w:val="auto"/>
              </w:rPr>
            </w:pPr>
          </w:p>
        </w:tc>
        <w:tc>
          <w:tcPr>
            <w:tcW w:w="10520" w:type="dxa"/>
            <w:vAlign w:val="bottom"/>
            <w:gridSpan w:val="3"/>
          </w:tcPr>
          <w:p>
            <w:pPr>
              <w:ind w:left="1280"/>
              <w:spacing w:after="0"/>
              <w:rPr>
                <w:sz w:val="20"/>
                <w:szCs w:val="20"/>
                <w:color w:val="auto"/>
              </w:rPr>
            </w:pPr>
            <w:r>
              <w:rPr>
                <w:rFonts w:ascii="Times New Roman" w:cs="Times New Roman" w:eastAsia="Times New Roman" w:hAnsi="Times New Roman"/>
                <w:sz w:val="18"/>
                <w:szCs w:val="18"/>
                <w:color w:val="auto"/>
              </w:rPr>
              <w:t>dated October 13, 2009).</w:t>
            </w:r>
          </w:p>
        </w:tc>
      </w:tr>
      <w:tr>
        <w:trPr>
          <w:trHeight w:val="3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10.67(d)</w:t>
            </w:r>
          </w:p>
        </w:tc>
        <w:tc>
          <w:tcPr>
            <w:tcW w:w="10520" w:type="dxa"/>
            <w:vAlign w:val="bottom"/>
            <w:gridSpan w:val="3"/>
          </w:tcPr>
          <w:p>
            <w:pPr>
              <w:ind w:left="1280"/>
              <w:spacing w:after="0"/>
              <w:rPr>
                <w:sz w:val="20"/>
                <w:szCs w:val="20"/>
                <w:color w:val="auto"/>
              </w:rPr>
            </w:pPr>
            <w:r>
              <w:rPr>
                <w:rFonts w:ascii="Times New Roman" w:cs="Times New Roman" w:eastAsia="Times New Roman" w:hAnsi="Times New Roman"/>
                <w:sz w:val="18"/>
                <w:szCs w:val="18"/>
                <w:color w:val="auto"/>
              </w:rPr>
              <w:t>Convertible Bond Hedging Transaction Confirmation dated October 7, 2009, by and between Avis Budget Group, Inc. and</w:t>
            </w:r>
          </w:p>
        </w:tc>
      </w:tr>
      <w:tr>
        <w:trPr>
          <w:trHeight w:val="216"/>
        </w:trPr>
        <w:tc>
          <w:tcPr>
            <w:tcW w:w="880" w:type="dxa"/>
            <w:vAlign w:val="bottom"/>
          </w:tcPr>
          <w:p>
            <w:pPr>
              <w:spacing w:after="0"/>
              <w:rPr>
                <w:sz w:val="18"/>
                <w:szCs w:val="18"/>
                <w:color w:val="auto"/>
              </w:rPr>
            </w:pPr>
          </w:p>
        </w:tc>
        <w:tc>
          <w:tcPr>
            <w:tcW w:w="10520" w:type="dxa"/>
            <w:vAlign w:val="bottom"/>
            <w:gridSpan w:val="3"/>
          </w:tcPr>
          <w:p>
            <w:pPr>
              <w:ind w:left="1280"/>
              <w:spacing w:after="0"/>
              <w:rPr>
                <w:sz w:val="20"/>
                <w:szCs w:val="20"/>
                <w:color w:val="auto"/>
              </w:rPr>
            </w:pPr>
            <w:r>
              <w:rPr>
                <w:rFonts w:ascii="Times New Roman" w:cs="Times New Roman" w:eastAsia="Times New Roman" w:hAnsi="Times New Roman"/>
                <w:sz w:val="18"/>
                <w:szCs w:val="18"/>
                <w:color w:val="auto"/>
                <w:w w:val="97"/>
              </w:rPr>
              <w:t>Wachovia Bank, National Association (Incorporated by reference to Exhibit 10.2(d) to the Company’s Current Report on Form 8-K</w:t>
            </w:r>
          </w:p>
        </w:tc>
      </w:tr>
      <w:tr>
        <w:trPr>
          <w:trHeight w:val="228"/>
        </w:trPr>
        <w:tc>
          <w:tcPr>
            <w:tcW w:w="880" w:type="dxa"/>
            <w:vAlign w:val="bottom"/>
          </w:tcPr>
          <w:p>
            <w:pPr>
              <w:spacing w:after="0"/>
              <w:rPr>
                <w:sz w:val="19"/>
                <w:szCs w:val="19"/>
                <w:color w:val="auto"/>
              </w:rPr>
            </w:pPr>
          </w:p>
        </w:tc>
        <w:tc>
          <w:tcPr>
            <w:tcW w:w="10520" w:type="dxa"/>
            <w:vAlign w:val="bottom"/>
            <w:gridSpan w:val="3"/>
          </w:tcPr>
          <w:p>
            <w:pPr>
              <w:ind w:left="1280"/>
              <w:spacing w:after="0"/>
              <w:rPr>
                <w:sz w:val="20"/>
                <w:szCs w:val="20"/>
                <w:color w:val="auto"/>
              </w:rPr>
            </w:pPr>
            <w:r>
              <w:rPr>
                <w:rFonts w:ascii="Times New Roman" w:cs="Times New Roman" w:eastAsia="Times New Roman" w:hAnsi="Times New Roman"/>
                <w:sz w:val="18"/>
                <w:szCs w:val="18"/>
                <w:color w:val="auto"/>
              </w:rPr>
              <w:t>dated October 13, 2009).</w:t>
            </w:r>
          </w:p>
        </w:tc>
      </w:tr>
      <w:tr>
        <w:trPr>
          <w:trHeight w:val="3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10.67(e)</w:t>
            </w:r>
          </w:p>
        </w:tc>
        <w:tc>
          <w:tcPr>
            <w:tcW w:w="10520" w:type="dxa"/>
            <w:vAlign w:val="bottom"/>
            <w:gridSpan w:val="3"/>
          </w:tcPr>
          <w:p>
            <w:pPr>
              <w:ind w:left="1280"/>
              <w:spacing w:after="0"/>
              <w:rPr>
                <w:sz w:val="20"/>
                <w:szCs w:val="20"/>
                <w:color w:val="auto"/>
              </w:rPr>
            </w:pPr>
            <w:r>
              <w:rPr>
                <w:rFonts w:ascii="Times New Roman" w:cs="Times New Roman" w:eastAsia="Times New Roman" w:hAnsi="Times New Roman"/>
                <w:sz w:val="18"/>
                <w:szCs w:val="18"/>
                <w:color w:val="auto"/>
                <w:w w:val="97"/>
              </w:rPr>
              <w:t>Convertible Bond Hedging Transaction Confirmation dated October 7, 2009, by and between Avis Budget Group, Inc. and Bank of</w:t>
            </w:r>
          </w:p>
        </w:tc>
      </w:tr>
      <w:tr>
        <w:trPr>
          <w:trHeight w:val="216"/>
        </w:trPr>
        <w:tc>
          <w:tcPr>
            <w:tcW w:w="880" w:type="dxa"/>
            <w:vAlign w:val="bottom"/>
          </w:tcPr>
          <w:p>
            <w:pPr>
              <w:spacing w:after="0"/>
              <w:rPr>
                <w:sz w:val="18"/>
                <w:szCs w:val="18"/>
                <w:color w:val="auto"/>
              </w:rPr>
            </w:pPr>
          </w:p>
        </w:tc>
        <w:tc>
          <w:tcPr>
            <w:tcW w:w="10520" w:type="dxa"/>
            <w:vAlign w:val="bottom"/>
            <w:gridSpan w:val="3"/>
          </w:tcPr>
          <w:p>
            <w:pPr>
              <w:ind w:left="1280"/>
              <w:spacing w:after="0"/>
              <w:rPr>
                <w:sz w:val="20"/>
                <w:szCs w:val="20"/>
                <w:color w:val="auto"/>
              </w:rPr>
            </w:pPr>
            <w:r>
              <w:rPr>
                <w:rFonts w:ascii="Times New Roman" w:cs="Times New Roman" w:eastAsia="Times New Roman" w:hAnsi="Times New Roman"/>
                <w:sz w:val="18"/>
                <w:szCs w:val="18"/>
                <w:color w:val="auto"/>
              </w:rPr>
              <w:t>America, N.A. (Incorporated by reference to Exhibit 10.2(e) to the Company’s Current Report on Form 8-K dated October 13,</w:t>
            </w:r>
          </w:p>
        </w:tc>
      </w:tr>
      <w:tr>
        <w:trPr>
          <w:trHeight w:val="228"/>
        </w:trPr>
        <w:tc>
          <w:tcPr>
            <w:tcW w:w="880" w:type="dxa"/>
            <w:vAlign w:val="bottom"/>
          </w:tcPr>
          <w:p>
            <w:pPr>
              <w:spacing w:after="0"/>
              <w:rPr>
                <w:sz w:val="19"/>
                <w:szCs w:val="19"/>
                <w:color w:val="auto"/>
              </w:rPr>
            </w:pPr>
          </w:p>
        </w:tc>
        <w:tc>
          <w:tcPr>
            <w:tcW w:w="546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2009).</w:t>
            </w:r>
          </w:p>
        </w:tc>
        <w:tc>
          <w:tcPr>
            <w:tcW w:w="900" w:type="dxa"/>
            <w:vAlign w:val="bottom"/>
          </w:tcPr>
          <w:p>
            <w:pPr>
              <w:spacing w:after="0"/>
              <w:rPr>
                <w:sz w:val="19"/>
                <w:szCs w:val="19"/>
                <w:color w:val="auto"/>
              </w:rPr>
            </w:pPr>
          </w:p>
        </w:tc>
        <w:tc>
          <w:tcPr>
            <w:tcW w:w="4160" w:type="dxa"/>
            <w:vAlign w:val="bottom"/>
          </w:tcPr>
          <w:p>
            <w:pPr>
              <w:spacing w:after="0"/>
              <w:rPr>
                <w:sz w:val="19"/>
                <w:szCs w:val="19"/>
                <w:color w:val="auto"/>
              </w:rPr>
            </w:pPr>
          </w:p>
        </w:tc>
      </w:tr>
      <w:tr>
        <w:trPr>
          <w:trHeight w:val="3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10.68(a)</w:t>
            </w:r>
          </w:p>
        </w:tc>
        <w:tc>
          <w:tcPr>
            <w:tcW w:w="10520" w:type="dxa"/>
            <w:vAlign w:val="bottom"/>
            <w:gridSpan w:val="3"/>
          </w:tcPr>
          <w:p>
            <w:pPr>
              <w:ind w:left="1280"/>
              <w:spacing w:after="0"/>
              <w:rPr>
                <w:sz w:val="20"/>
                <w:szCs w:val="20"/>
                <w:color w:val="auto"/>
              </w:rPr>
            </w:pPr>
            <w:r>
              <w:rPr>
                <w:rFonts w:ascii="Times New Roman" w:cs="Times New Roman" w:eastAsia="Times New Roman" w:hAnsi="Times New Roman"/>
                <w:sz w:val="18"/>
                <w:szCs w:val="18"/>
                <w:color w:val="auto"/>
                <w:w w:val="97"/>
              </w:rPr>
              <w:t>Confirmation of Additional Warrants dated October 7, 2009, by and between Avis Budget Group, Inc. and JPMorgan Chase Bank,</w:t>
            </w:r>
          </w:p>
        </w:tc>
      </w:tr>
      <w:tr>
        <w:trPr>
          <w:trHeight w:val="216"/>
        </w:trPr>
        <w:tc>
          <w:tcPr>
            <w:tcW w:w="880" w:type="dxa"/>
            <w:vAlign w:val="bottom"/>
          </w:tcPr>
          <w:p>
            <w:pPr>
              <w:spacing w:after="0"/>
              <w:rPr>
                <w:sz w:val="18"/>
                <w:szCs w:val="18"/>
                <w:color w:val="auto"/>
              </w:rPr>
            </w:pPr>
          </w:p>
        </w:tc>
        <w:tc>
          <w:tcPr>
            <w:tcW w:w="10520" w:type="dxa"/>
            <w:vAlign w:val="bottom"/>
            <w:gridSpan w:val="3"/>
          </w:tcPr>
          <w:p>
            <w:pPr>
              <w:ind w:left="1280"/>
              <w:spacing w:after="0"/>
              <w:rPr>
                <w:sz w:val="20"/>
                <w:szCs w:val="20"/>
                <w:color w:val="auto"/>
              </w:rPr>
            </w:pPr>
            <w:r>
              <w:rPr>
                <w:rFonts w:ascii="Times New Roman" w:cs="Times New Roman" w:eastAsia="Times New Roman" w:hAnsi="Times New Roman"/>
                <w:sz w:val="18"/>
                <w:szCs w:val="18"/>
                <w:color w:val="auto"/>
                <w:w w:val="99"/>
              </w:rPr>
              <w:t>National Association (Incorporated by reference to Exhibit 10.3(a) to the Company’s Current Report on Form 8-K dated October</w:t>
            </w:r>
          </w:p>
        </w:tc>
      </w:tr>
      <w:tr>
        <w:trPr>
          <w:trHeight w:val="228"/>
        </w:trPr>
        <w:tc>
          <w:tcPr>
            <w:tcW w:w="880" w:type="dxa"/>
            <w:vAlign w:val="bottom"/>
          </w:tcPr>
          <w:p>
            <w:pPr>
              <w:spacing w:after="0"/>
              <w:rPr>
                <w:sz w:val="19"/>
                <w:szCs w:val="19"/>
                <w:color w:val="auto"/>
              </w:rPr>
            </w:pPr>
          </w:p>
        </w:tc>
        <w:tc>
          <w:tcPr>
            <w:tcW w:w="546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13, 2009).</w:t>
            </w:r>
          </w:p>
        </w:tc>
        <w:tc>
          <w:tcPr>
            <w:tcW w:w="900" w:type="dxa"/>
            <w:vAlign w:val="bottom"/>
          </w:tcPr>
          <w:p>
            <w:pPr>
              <w:spacing w:after="0"/>
              <w:rPr>
                <w:sz w:val="19"/>
                <w:szCs w:val="19"/>
                <w:color w:val="auto"/>
              </w:rPr>
            </w:pPr>
          </w:p>
        </w:tc>
        <w:tc>
          <w:tcPr>
            <w:tcW w:w="4160" w:type="dxa"/>
            <w:vAlign w:val="bottom"/>
          </w:tcPr>
          <w:p>
            <w:pPr>
              <w:spacing w:after="0"/>
              <w:rPr>
                <w:sz w:val="19"/>
                <w:szCs w:val="19"/>
                <w:color w:val="auto"/>
              </w:rPr>
            </w:pPr>
          </w:p>
        </w:tc>
      </w:tr>
      <w:tr>
        <w:trPr>
          <w:trHeight w:val="3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10.68(b)</w:t>
            </w:r>
          </w:p>
        </w:tc>
        <w:tc>
          <w:tcPr>
            <w:tcW w:w="10520" w:type="dxa"/>
            <w:vAlign w:val="bottom"/>
            <w:gridSpan w:val="3"/>
          </w:tcPr>
          <w:p>
            <w:pPr>
              <w:ind w:left="1280"/>
              <w:spacing w:after="0"/>
              <w:rPr>
                <w:sz w:val="20"/>
                <w:szCs w:val="20"/>
                <w:color w:val="auto"/>
              </w:rPr>
            </w:pPr>
            <w:r>
              <w:rPr>
                <w:rFonts w:ascii="Times New Roman" w:cs="Times New Roman" w:eastAsia="Times New Roman" w:hAnsi="Times New Roman"/>
                <w:sz w:val="18"/>
                <w:szCs w:val="18"/>
                <w:color w:val="auto"/>
                <w:w w:val="99"/>
              </w:rPr>
              <w:t>Confirmation of Additional Warrants dated October 7, 2009, by and between Avis Budget Group, Inc. and Barclays Capital Inc.</w:t>
            </w:r>
          </w:p>
        </w:tc>
      </w:tr>
      <w:tr>
        <w:trPr>
          <w:trHeight w:val="228"/>
        </w:trPr>
        <w:tc>
          <w:tcPr>
            <w:tcW w:w="880" w:type="dxa"/>
            <w:vAlign w:val="bottom"/>
          </w:tcPr>
          <w:p>
            <w:pPr>
              <w:spacing w:after="0"/>
              <w:rPr>
                <w:sz w:val="19"/>
                <w:szCs w:val="19"/>
                <w:color w:val="auto"/>
              </w:rPr>
            </w:pPr>
          </w:p>
        </w:tc>
        <w:tc>
          <w:tcPr>
            <w:tcW w:w="10520" w:type="dxa"/>
            <w:vAlign w:val="bottom"/>
            <w:gridSpan w:val="3"/>
          </w:tcPr>
          <w:p>
            <w:pPr>
              <w:ind w:left="1280"/>
              <w:spacing w:after="0"/>
              <w:rPr>
                <w:sz w:val="20"/>
                <w:szCs w:val="20"/>
                <w:color w:val="auto"/>
              </w:rPr>
            </w:pPr>
            <w:r>
              <w:rPr>
                <w:rFonts w:ascii="Times New Roman" w:cs="Times New Roman" w:eastAsia="Times New Roman" w:hAnsi="Times New Roman"/>
                <w:sz w:val="18"/>
                <w:szCs w:val="18"/>
                <w:color w:val="auto"/>
              </w:rPr>
              <w:t>(Incorporated by reference to Exhibit 10.3(b) to the Company’s Current Report on Form 8-K dated October 13, 2009).</w:t>
            </w:r>
          </w:p>
        </w:tc>
      </w:tr>
      <w:tr>
        <w:trPr>
          <w:trHeight w:val="3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10.68(c)</w:t>
            </w:r>
          </w:p>
        </w:tc>
        <w:tc>
          <w:tcPr>
            <w:tcW w:w="10520" w:type="dxa"/>
            <w:vAlign w:val="bottom"/>
            <w:gridSpan w:val="3"/>
          </w:tcPr>
          <w:p>
            <w:pPr>
              <w:ind w:left="1280"/>
              <w:spacing w:after="0"/>
              <w:rPr>
                <w:sz w:val="20"/>
                <w:szCs w:val="20"/>
                <w:color w:val="auto"/>
              </w:rPr>
            </w:pPr>
            <w:r>
              <w:rPr>
                <w:rFonts w:ascii="Times New Roman" w:cs="Times New Roman" w:eastAsia="Times New Roman" w:hAnsi="Times New Roman"/>
                <w:sz w:val="18"/>
                <w:szCs w:val="18"/>
                <w:color w:val="auto"/>
              </w:rPr>
              <w:t>Confirmation of Additional Warrants dated October 7, 2009, by and between Avis Budget Group, Inc. and Deutsche Bank AG,</w:t>
            </w:r>
          </w:p>
        </w:tc>
      </w:tr>
      <w:tr>
        <w:trPr>
          <w:trHeight w:val="216"/>
        </w:trPr>
        <w:tc>
          <w:tcPr>
            <w:tcW w:w="880" w:type="dxa"/>
            <w:vAlign w:val="bottom"/>
          </w:tcPr>
          <w:p>
            <w:pPr>
              <w:spacing w:after="0"/>
              <w:rPr>
                <w:sz w:val="18"/>
                <w:szCs w:val="18"/>
                <w:color w:val="auto"/>
              </w:rPr>
            </w:pPr>
          </w:p>
        </w:tc>
        <w:tc>
          <w:tcPr>
            <w:tcW w:w="10520" w:type="dxa"/>
            <w:vAlign w:val="bottom"/>
            <w:gridSpan w:val="3"/>
          </w:tcPr>
          <w:p>
            <w:pPr>
              <w:ind w:left="1280"/>
              <w:spacing w:after="0"/>
              <w:rPr>
                <w:sz w:val="20"/>
                <w:szCs w:val="20"/>
                <w:color w:val="auto"/>
              </w:rPr>
            </w:pPr>
            <w:r>
              <w:rPr>
                <w:rFonts w:ascii="Times New Roman" w:cs="Times New Roman" w:eastAsia="Times New Roman" w:hAnsi="Times New Roman"/>
                <w:sz w:val="18"/>
                <w:szCs w:val="18"/>
                <w:color w:val="auto"/>
              </w:rPr>
              <w:t>London Branch (Incorporated by reference to Exhibit 10.3(c) to the Company’s Current Report on Form 8-K dated October 13,</w:t>
            </w:r>
          </w:p>
        </w:tc>
      </w:tr>
      <w:tr>
        <w:trPr>
          <w:trHeight w:val="228"/>
        </w:trPr>
        <w:tc>
          <w:tcPr>
            <w:tcW w:w="880" w:type="dxa"/>
            <w:vAlign w:val="bottom"/>
          </w:tcPr>
          <w:p>
            <w:pPr>
              <w:spacing w:after="0"/>
              <w:rPr>
                <w:sz w:val="19"/>
                <w:szCs w:val="19"/>
                <w:color w:val="auto"/>
              </w:rPr>
            </w:pPr>
          </w:p>
        </w:tc>
        <w:tc>
          <w:tcPr>
            <w:tcW w:w="546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2009).</w:t>
            </w:r>
          </w:p>
        </w:tc>
        <w:tc>
          <w:tcPr>
            <w:tcW w:w="900" w:type="dxa"/>
            <w:vAlign w:val="bottom"/>
          </w:tcPr>
          <w:p>
            <w:pPr>
              <w:spacing w:after="0"/>
              <w:rPr>
                <w:sz w:val="19"/>
                <w:szCs w:val="19"/>
                <w:color w:val="auto"/>
              </w:rPr>
            </w:pPr>
          </w:p>
        </w:tc>
        <w:tc>
          <w:tcPr>
            <w:tcW w:w="4160" w:type="dxa"/>
            <w:vAlign w:val="bottom"/>
          </w:tcPr>
          <w:p>
            <w:pPr>
              <w:spacing w:after="0"/>
              <w:rPr>
                <w:sz w:val="19"/>
                <w:szCs w:val="19"/>
                <w:color w:val="auto"/>
              </w:rPr>
            </w:pPr>
          </w:p>
        </w:tc>
      </w:tr>
      <w:tr>
        <w:trPr>
          <w:trHeight w:val="3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10.68(d)</w:t>
            </w:r>
          </w:p>
        </w:tc>
        <w:tc>
          <w:tcPr>
            <w:tcW w:w="10520" w:type="dxa"/>
            <w:vAlign w:val="bottom"/>
            <w:gridSpan w:val="3"/>
          </w:tcPr>
          <w:p>
            <w:pPr>
              <w:ind w:left="1280"/>
              <w:spacing w:after="0"/>
              <w:rPr>
                <w:sz w:val="20"/>
                <w:szCs w:val="20"/>
                <w:color w:val="auto"/>
              </w:rPr>
            </w:pPr>
            <w:r>
              <w:rPr>
                <w:rFonts w:ascii="Times New Roman" w:cs="Times New Roman" w:eastAsia="Times New Roman" w:hAnsi="Times New Roman"/>
                <w:sz w:val="18"/>
                <w:szCs w:val="18"/>
                <w:color w:val="auto"/>
              </w:rPr>
              <w:t>Confirmation of Additional Warrants dated October 7, 2009, by and between Avis Budget Group, Inc. and Wachovia Bank,</w:t>
            </w:r>
          </w:p>
        </w:tc>
      </w:tr>
      <w:tr>
        <w:trPr>
          <w:trHeight w:val="216"/>
        </w:trPr>
        <w:tc>
          <w:tcPr>
            <w:tcW w:w="880" w:type="dxa"/>
            <w:vAlign w:val="bottom"/>
          </w:tcPr>
          <w:p>
            <w:pPr>
              <w:spacing w:after="0"/>
              <w:rPr>
                <w:sz w:val="18"/>
                <w:szCs w:val="18"/>
                <w:color w:val="auto"/>
              </w:rPr>
            </w:pPr>
          </w:p>
        </w:tc>
        <w:tc>
          <w:tcPr>
            <w:tcW w:w="10520" w:type="dxa"/>
            <w:vAlign w:val="bottom"/>
            <w:gridSpan w:val="3"/>
          </w:tcPr>
          <w:p>
            <w:pPr>
              <w:ind w:left="1280"/>
              <w:spacing w:after="0"/>
              <w:rPr>
                <w:sz w:val="20"/>
                <w:szCs w:val="20"/>
                <w:color w:val="auto"/>
              </w:rPr>
            </w:pPr>
            <w:r>
              <w:rPr>
                <w:rFonts w:ascii="Times New Roman" w:cs="Times New Roman" w:eastAsia="Times New Roman" w:hAnsi="Times New Roman"/>
                <w:sz w:val="18"/>
                <w:szCs w:val="18"/>
                <w:color w:val="auto"/>
                <w:w w:val="99"/>
              </w:rPr>
              <w:t>National Association (Incorporated by reference to Exhibit 10.3(d) to the Company’s Current Report on Form 8-K dated October</w:t>
            </w:r>
          </w:p>
        </w:tc>
      </w:tr>
      <w:tr>
        <w:trPr>
          <w:trHeight w:val="228"/>
        </w:trPr>
        <w:tc>
          <w:tcPr>
            <w:tcW w:w="880" w:type="dxa"/>
            <w:vAlign w:val="bottom"/>
          </w:tcPr>
          <w:p>
            <w:pPr>
              <w:spacing w:after="0"/>
              <w:rPr>
                <w:sz w:val="19"/>
                <w:szCs w:val="19"/>
                <w:color w:val="auto"/>
              </w:rPr>
            </w:pPr>
          </w:p>
        </w:tc>
        <w:tc>
          <w:tcPr>
            <w:tcW w:w="546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13, 2009).</w:t>
            </w:r>
          </w:p>
        </w:tc>
        <w:tc>
          <w:tcPr>
            <w:tcW w:w="900" w:type="dxa"/>
            <w:vAlign w:val="bottom"/>
          </w:tcPr>
          <w:p>
            <w:pPr>
              <w:spacing w:after="0"/>
              <w:rPr>
                <w:sz w:val="19"/>
                <w:szCs w:val="19"/>
                <w:color w:val="auto"/>
              </w:rPr>
            </w:pPr>
          </w:p>
        </w:tc>
        <w:tc>
          <w:tcPr>
            <w:tcW w:w="4160" w:type="dxa"/>
            <w:vAlign w:val="bottom"/>
          </w:tcPr>
          <w:p>
            <w:pPr>
              <w:spacing w:after="0"/>
              <w:rPr>
                <w:sz w:val="19"/>
                <w:szCs w:val="19"/>
                <w:color w:val="auto"/>
              </w:rPr>
            </w:pPr>
          </w:p>
        </w:tc>
      </w:tr>
      <w:tr>
        <w:trPr>
          <w:trHeight w:val="3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10.68(e)</w:t>
            </w:r>
          </w:p>
        </w:tc>
        <w:tc>
          <w:tcPr>
            <w:tcW w:w="10520" w:type="dxa"/>
            <w:vAlign w:val="bottom"/>
            <w:gridSpan w:val="3"/>
          </w:tcPr>
          <w:p>
            <w:pPr>
              <w:ind w:left="1280"/>
              <w:spacing w:after="0"/>
              <w:rPr>
                <w:sz w:val="20"/>
                <w:szCs w:val="20"/>
                <w:color w:val="auto"/>
              </w:rPr>
            </w:pPr>
            <w:r>
              <w:rPr>
                <w:rFonts w:ascii="Times New Roman" w:cs="Times New Roman" w:eastAsia="Times New Roman" w:hAnsi="Times New Roman"/>
                <w:sz w:val="18"/>
                <w:szCs w:val="18"/>
                <w:color w:val="auto"/>
                <w:w w:val="98"/>
              </w:rPr>
              <w:t>Confirmation of Additional Warrants dated October 7, 2009, by and between Avis Budget Group, Inc. and Bank of America, N.A.</w:t>
            </w:r>
          </w:p>
        </w:tc>
      </w:tr>
      <w:tr>
        <w:trPr>
          <w:trHeight w:val="228"/>
        </w:trPr>
        <w:tc>
          <w:tcPr>
            <w:tcW w:w="880" w:type="dxa"/>
            <w:vAlign w:val="bottom"/>
          </w:tcPr>
          <w:p>
            <w:pPr>
              <w:spacing w:after="0"/>
              <w:rPr>
                <w:sz w:val="19"/>
                <w:szCs w:val="19"/>
                <w:color w:val="auto"/>
              </w:rPr>
            </w:pPr>
          </w:p>
        </w:tc>
        <w:tc>
          <w:tcPr>
            <w:tcW w:w="10520" w:type="dxa"/>
            <w:vAlign w:val="bottom"/>
            <w:gridSpan w:val="3"/>
          </w:tcPr>
          <w:p>
            <w:pPr>
              <w:ind w:left="1280"/>
              <w:spacing w:after="0"/>
              <w:rPr>
                <w:sz w:val="20"/>
                <w:szCs w:val="20"/>
                <w:color w:val="auto"/>
              </w:rPr>
            </w:pPr>
            <w:r>
              <w:rPr>
                <w:rFonts w:ascii="Times New Roman" w:cs="Times New Roman" w:eastAsia="Times New Roman" w:hAnsi="Times New Roman"/>
                <w:sz w:val="18"/>
                <w:szCs w:val="18"/>
                <w:color w:val="auto"/>
              </w:rPr>
              <w:t>(Incorporated by reference to Exhibit 10.3(e) to the Company’s Current Report on Form 8-K dated October 13, 2009).</w:t>
            </w:r>
          </w:p>
        </w:tc>
      </w:tr>
      <w:tr>
        <w:trPr>
          <w:trHeight w:val="365"/>
        </w:trPr>
        <w:tc>
          <w:tcPr>
            <w:tcW w:w="880" w:type="dxa"/>
            <w:vAlign w:val="bottom"/>
          </w:tcPr>
          <w:p>
            <w:pPr>
              <w:spacing w:after="0"/>
              <w:rPr>
                <w:sz w:val="24"/>
                <w:szCs w:val="24"/>
                <w:color w:val="auto"/>
              </w:rPr>
            </w:pPr>
          </w:p>
        </w:tc>
        <w:tc>
          <w:tcPr>
            <w:tcW w:w="10520" w:type="dxa"/>
            <w:vAlign w:val="bottom"/>
            <w:gridSpan w:val="3"/>
          </w:tcPr>
          <w:p>
            <w:pPr>
              <w:ind w:left="4660"/>
              <w:spacing w:after="0"/>
              <w:rPr>
                <w:sz w:val="20"/>
                <w:szCs w:val="20"/>
                <w:color w:val="auto"/>
              </w:rPr>
            </w:pPr>
            <w:r>
              <w:rPr>
                <w:rFonts w:ascii="Times New Roman" w:cs="Times New Roman" w:eastAsia="Times New Roman" w:hAnsi="Times New Roman"/>
                <w:sz w:val="18"/>
                <w:szCs w:val="18"/>
                <w:color w:val="auto"/>
              </w:rPr>
              <w:t>H-14</w:t>
            </w:r>
          </w:p>
        </w:tc>
      </w:tr>
    </w:tbl>
    <w:p>
      <w:pPr>
        <w:sectPr>
          <w:pgSz w:w="11900" w:h="16838" w:orient="portrait"/>
          <w:cols w:equalWidth="0" w:num="1">
            <w:col w:w="11400"/>
          </w:cols>
          <w:pgMar w:left="240" w:top="455" w:right="259" w:bottom="1440" w:gutter="0" w:footer="0" w:header="0"/>
        </w:sectPr>
      </w:pPr>
    </w:p>
    <w:bookmarkStart w:id="137" w:name="page138"/>
    <w:bookmarkEnd w:id="13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7"/>
              </w:rPr>
              <w:t>Exhibit No.</w:t>
            </w:r>
          </w:p>
        </w:tc>
        <w:tc>
          <w:tcPr>
            <w:tcW w:w="5460" w:type="dxa"/>
            <w:vAlign w:val="bottom"/>
          </w:tcPr>
          <w:p>
            <w:pPr>
              <w:spacing w:after="0"/>
              <w:rPr>
                <w:sz w:val="20"/>
                <w:szCs w:val="20"/>
                <w:color w:val="auto"/>
              </w:rPr>
            </w:pPr>
          </w:p>
        </w:tc>
        <w:tc>
          <w:tcPr>
            <w:tcW w:w="50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97"/>
        </w:trPr>
        <w:tc>
          <w:tcPr>
            <w:tcW w:w="880" w:type="dxa"/>
            <w:vAlign w:val="bottom"/>
            <w:tcBorders>
              <w:top w:val="single" w:sz="8" w:color="auto"/>
            </w:tcBorders>
          </w:tcPr>
          <w:p>
            <w:pPr>
              <w:spacing w:after="0" w:line="197" w:lineRule="exact"/>
              <w:rPr>
                <w:sz w:val="20"/>
                <w:szCs w:val="20"/>
                <w:color w:val="auto"/>
              </w:rPr>
            </w:pPr>
            <w:r>
              <w:rPr>
                <w:rFonts w:ascii="Times New Roman" w:cs="Times New Roman" w:eastAsia="Times New Roman" w:hAnsi="Times New Roman"/>
                <w:sz w:val="18"/>
                <w:szCs w:val="18"/>
                <w:color w:val="auto"/>
              </w:rPr>
              <w:t>10.69(a)</w:t>
            </w:r>
          </w:p>
        </w:tc>
        <w:tc>
          <w:tcPr>
            <w:tcW w:w="5460" w:type="dxa"/>
            <w:vAlign w:val="bottom"/>
          </w:tcPr>
          <w:p>
            <w:pPr>
              <w:ind w:left="1280"/>
              <w:spacing w:after="0" w:line="197" w:lineRule="exact"/>
              <w:rPr>
                <w:sz w:val="20"/>
                <w:szCs w:val="20"/>
                <w:color w:val="auto"/>
              </w:rPr>
            </w:pPr>
            <w:r>
              <w:rPr>
                <w:rFonts w:ascii="Times New Roman" w:cs="Times New Roman" w:eastAsia="Times New Roman" w:hAnsi="Times New Roman"/>
                <w:sz w:val="18"/>
                <w:szCs w:val="18"/>
                <w:color w:val="auto"/>
                <w:w w:val="96"/>
              </w:rPr>
              <w:t>Convertible Bond Hedging Transaction Confirmation dated</w:t>
            </w:r>
          </w:p>
        </w:tc>
        <w:tc>
          <w:tcPr>
            <w:tcW w:w="900" w:type="dxa"/>
            <w:vAlign w:val="bottom"/>
            <w:tcBorders>
              <w:top w:val="single" w:sz="8" w:color="auto"/>
            </w:tcBorders>
          </w:tcPr>
          <w:p>
            <w:pPr>
              <w:ind w:left="40"/>
              <w:spacing w:after="0" w:line="197" w:lineRule="exact"/>
              <w:rPr>
                <w:sz w:val="20"/>
                <w:szCs w:val="20"/>
                <w:color w:val="auto"/>
              </w:rPr>
            </w:pPr>
            <w:r>
              <w:rPr>
                <w:rFonts w:ascii="Times New Roman" w:cs="Times New Roman" w:eastAsia="Times New Roman" w:hAnsi="Times New Roman"/>
                <w:sz w:val="18"/>
                <w:szCs w:val="18"/>
                <w:color w:val="auto"/>
              </w:rPr>
              <w:t>October 9,</w:t>
            </w:r>
          </w:p>
        </w:tc>
        <w:tc>
          <w:tcPr>
            <w:tcW w:w="4160" w:type="dxa"/>
            <w:vAlign w:val="bottom"/>
          </w:tcPr>
          <w:p>
            <w:pPr>
              <w:spacing w:after="0" w:line="197" w:lineRule="exact"/>
              <w:rPr>
                <w:sz w:val="20"/>
                <w:szCs w:val="20"/>
                <w:color w:val="auto"/>
              </w:rPr>
            </w:pPr>
            <w:r>
              <w:rPr>
                <w:rFonts w:ascii="Times New Roman" w:cs="Times New Roman" w:eastAsia="Times New Roman" w:hAnsi="Times New Roman"/>
                <w:sz w:val="18"/>
                <w:szCs w:val="18"/>
                <w:color w:val="auto"/>
              </w:rPr>
              <w:t>2009, by and between Avis Budget Group, Inc. and</w:t>
            </w:r>
          </w:p>
        </w:tc>
      </w:tr>
      <w:tr>
        <w:trPr>
          <w:trHeight w:val="216"/>
        </w:trPr>
        <w:tc>
          <w:tcPr>
            <w:tcW w:w="880" w:type="dxa"/>
            <w:vAlign w:val="bottom"/>
          </w:tcPr>
          <w:p>
            <w:pPr>
              <w:spacing w:after="0"/>
              <w:rPr>
                <w:sz w:val="18"/>
                <w:szCs w:val="18"/>
                <w:color w:val="auto"/>
              </w:rPr>
            </w:pPr>
          </w:p>
        </w:tc>
        <w:tc>
          <w:tcPr>
            <w:tcW w:w="10520" w:type="dxa"/>
            <w:vAlign w:val="bottom"/>
            <w:gridSpan w:val="3"/>
          </w:tcPr>
          <w:p>
            <w:pPr>
              <w:ind w:left="1280"/>
              <w:spacing w:after="0"/>
              <w:rPr>
                <w:sz w:val="20"/>
                <w:szCs w:val="20"/>
                <w:color w:val="auto"/>
              </w:rPr>
            </w:pPr>
            <w:r>
              <w:rPr>
                <w:rFonts w:ascii="Times New Roman" w:cs="Times New Roman" w:eastAsia="Times New Roman" w:hAnsi="Times New Roman"/>
                <w:sz w:val="18"/>
                <w:szCs w:val="18"/>
                <w:color w:val="auto"/>
              </w:rPr>
              <w:t>JPMorgan Chase Bank, National Association (Incorporated by reference to Exhibit 10.4(a) to the Company’s Current Report on</w:t>
            </w:r>
          </w:p>
        </w:tc>
      </w:tr>
      <w:tr>
        <w:trPr>
          <w:trHeight w:val="228"/>
        </w:trPr>
        <w:tc>
          <w:tcPr>
            <w:tcW w:w="880" w:type="dxa"/>
            <w:vAlign w:val="bottom"/>
          </w:tcPr>
          <w:p>
            <w:pPr>
              <w:spacing w:after="0"/>
              <w:rPr>
                <w:sz w:val="19"/>
                <w:szCs w:val="19"/>
                <w:color w:val="auto"/>
              </w:rPr>
            </w:pPr>
          </w:p>
        </w:tc>
        <w:tc>
          <w:tcPr>
            <w:tcW w:w="10520" w:type="dxa"/>
            <w:vAlign w:val="bottom"/>
            <w:gridSpan w:val="3"/>
          </w:tcPr>
          <w:p>
            <w:pPr>
              <w:ind w:left="1280"/>
              <w:spacing w:after="0"/>
              <w:rPr>
                <w:sz w:val="20"/>
                <w:szCs w:val="20"/>
                <w:color w:val="auto"/>
              </w:rPr>
            </w:pPr>
            <w:r>
              <w:rPr>
                <w:rFonts w:ascii="Times New Roman" w:cs="Times New Roman" w:eastAsia="Times New Roman" w:hAnsi="Times New Roman"/>
                <w:sz w:val="18"/>
                <w:szCs w:val="18"/>
                <w:color w:val="auto"/>
              </w:rPr>
              <w:t>Form 8-K dated October 13, 2009).</w:t>
            </w:r>
          </w:p>
        </w:tc>
      </w:tr>
      <w:tr>
        <w:trPr>
          <w:trHeight w:val="3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10.69(b)</w:t>
            </w:r>
          </w:p>
        </w:tc>
        <w:tc>
          <w:tcPr>
            <w:tcW w:w="10520" w:type="dxa"/>
            <w:vAlign w:val="bottom"/>
            <w:gridSpan w:val="3"/>
          </w:tcPr>
          <w:p>
            <w:pPr>
              <w:ind w:left="1280"/>
              <w:spacing w:after="0"/>
              <w:rPr>
                <w:sz w:val="20"/>
                <w:szCs w:val="20"/>
                <w:color w:val="auto"/>
              </w:rPr>
            </w:pPr>
            <w:r>
              <w:rPr>
                <w:rFonts w:ascii="Times New Roman" w:cs="Times New Roman" w:eastAsia="Times New Roman" w:hAnsi="Times New Roman"/>
                <w:sz w:val="18"/>
                <w:szCs w:val="18"/>
                <w:color w:val="auto"/>
              </w:rPr>
              <w:t>Convertible Bond Hedging Transaction Confirmation dated October 9, 2009, by and between Avis Budget Group, Inc. and</w:t>
            </w:r>
          </w:p>
        </w:tc>
      </w:tr>
      <w:tr>
        <w:trPr>
          <w:trHeight w:val="216"/>
        </w:trPr>
        <w:tc>
          <w:tcPr>
            <w:tcW w:w="880" w:type="dxa"/>
            <w:vAlign w:val="bottom"/>
          </w:tcPr>
          <w:p>
            <w:pPr>
              <w:spacing w:after="0"/>
              <w:rPr>
                <w:sz w:val="18"/>
                <w:szCs w:val="18"/>
                <w:color w:val="auto"/>
              </w:rPr>
            </w:pPr>
          </w:p>
        </w:tc>
        <w:tc>
          <w:tcPr>
            <w:tcW w:w="10520" w:type="dxa"/>
            <w:vAlign w:val="bottom"/>
            <w:gridSpan w:val="3"/>
          </w:tcPr>
          <w:p>
            <w:pPr>
              <w:ind w:left="1280"/>
              <w:spacing w:after="0"/>
              <w:rPr>
                <w:sz w:val="20"/>
                <w:szCs w:val="20"/>
                <w:color w:val="auto"/>
              </w:rPr>
            </w:pPr>
            <w:r>
              <w:rPr>
                <w:rFonts w:ascii="Times New Roman" w:cs="Times New Roman" w:eastAsia="Times New Roman" w:hAnsi="Times New Roman"/>
                <w:sz w:val="18"/>
                <w:szCs w:val="18"/>
                <w:color w:val="auto"/>
                <w:w w:val="99"/>
              </w:rPr>
              <w:t>Barclays Capital Inc. (Incorporated by reference to Exhibit 10.4(b) to the Company’s Current Report on Form 8-K dated October</w:t>
            </w:r>
          </w:p>
        </w:tc>
      </w:tr>
      <w:tr>
        <w:trPr>
          <w:trHeight w:val="228"/>
        </w:trPr>
        <w:tc>
          <w:tcPr>
            <w:tcW w:w="880" w:type="dxa"/>
            <w:vAlign w:val="bottom"/>
          </w:tcPr>
          <w:p>
            <w:pPr>
              <w:spacing w:after="0"/>
              <w:rPr>
                <w:sz w:val="19"/>
                <w:szCs w:val="19"/>
                <w:color w:val="auto"/>
              </w:rPr>
            </w:pPr>
          </w:p>
        </w:tc>
        <w:tc>
          <w:tcPr>
            <w:tcW w:w="546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13, 2009).</w:t>
            </w:r>
          </w:p>
        </w:tc>
        <w:tc>
          <w:tcPr>
            <w:tcW w:w="900" w:type="dxa"/>
            <w:vAlign w:val="bottom"/>
          </w:tcPr>
          <w:p>
            <w:pPr>
              <w:spacing w:after="0"/>
              <w:rPr>
                <w:sz w:val="19"/>
                <w:szCs w:val="19"/>
                <w:color w:val="auto"/>
              </w:rPr>
            </w:pPr>
          </w:p>
        </w:tc>
        <w:tc>
          <w:tcPr>
            <w:tcW w:w="4160" w:type="dxa"/>
            <w:vAlign w:val="bottom"/>
          </w:tcPr>
          <w:p>
            <w:pPr>
              <w:spacing w:after="0"/>
              <w:rPr>
                <w:sz w:val="19"/>
                <w:szCs w:val="19"/>
                <w:color w:val="auto"/>
              </w:rPr>
            </w:pPr>
          </w:p>
        </w:tc>
      </w:tr>
      <w:tr>
        <w:trPr>
          <w:trHeight w:val="3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10.69(c)</w:t>
            </w:r>
          </w:p>
        </w:tc>
        <w:tc>
          <w:tcPr>
            <w:tcW w:w="10520" w:type="dxa"/>
            <w:vAlign w:val="bottom"/>
            <w:gridSpan w:val="3"/>
          </w:tcPr>
          <w:p>
            <w:pPr>
              <w:ind w:left="1280"/>
              <w:spacing w:after="0"/>
              <w:rPr>
                <w:sz w:val="20"/>
                <w:szCs w:val="20"/>
                <w:color w:val="auto"/>
              </w:rPr>
            </w:pPr>
            <w:r>
              <w:rPr>
                <w:rFonts w:ascii="Times New Roman" w:cs="Times New Roman" w:eastAsia="Times New Roman" w:hAnsi="Times New Roman"/>
                <w:sz w:val="18"/>
                <w:szCs w:val="18"/>
                <w:color w:val="auto"/>
              </w:rPr>
              <w:t>Convertible Bond Hedging Transaction Confirmation dated October 9, 2009, by and between Avis Budget Group, Inc. and</w:t>
            </w:r>
          </w:p>
        </w:tc>
      </w:tr>
      <w:tr>
        <w:trPr>
          <w:trHeight w:val="216"/>
        </w:trPr>
        <w:tc>
          <w:tcPr>
            <w:tcW w:w="880" w:type="dxa"/>
            <w:vAlign w:val="bottom"/>
          </w:tcPr>
          <w:p>
            <w:pPr>
              <w:spacing w:after="0"/>
              <w:rPr>
                <w:sz w:val="18"/>
                <w:szCs w:val="18"/>
                <w:color w:val="auto"/>
              </w:rPr>
            </w:pPr>
          </w:p>
        </w:tc>
        <w:tc>
          <w:tcPr>
            <w:tcW w:w="10520" w:type="dxa"/>
            <w:vAlign w:val="bottom"/>
            <w:gridSpan w:val="3"/>
          </w:tcPr>
          <w:p>
            <w:pPr>
              <w:ind w:left="1280"/>
              <w:spacing w:after="0"/>
              <w:rPr>
                <w:sz w:val="20"/>
                <w:szCs w:val="20"/>
                <w:color w:val="auto"/>
              </w:rPr>
            </w:pPr>
            <w:r>
              <w:rPr>
                <w:rFonts w:ascii="Times New Roman" w:cs="Times New Roman" w:eastAsia="Times New Roman" w:hAnsi="Times New Roman"/>
                <w:sz w:val="18"/>
                <w:szCs w:val="18"/>
                <w:color w:val="auto"/>
                <w:w w:val="98"/>
              </w:rPr>
              <w:t>Deutsche Bank AG, London Branch (Incorporated by reference to Exhibit 10.4(c) to the Company’s Current Report on Form 8-K</w:t>
            </w:r>
          </w:p>
        </w:tc>
      </w:tr>
      <w:tr>
        <w:trPr>
          <w:trHeight w:val="228"/>
        </w:trPr>
        <w:tc>
          <w:tcPr>
            <w:tcW w:w="880" w:type="dxa"/>
            <w:vAlign w:val="bottom"/>
          </w:tcPr>
          <w:p>
            <w:pPr>
              <w:spacing w:after="0"/>
              <w:rPr>
                <w:sz w:val="19"/>
                <w:szCs w:val="19"/>
                <w:color w:val="auto"/>
              </w:rPr>
            </w:pPr>
          </w:p>
        </w:tc>
        <w:tc>
          <w:tcPr>
            <w:tcW w:w="10520" w:type="dxa"/>
            <w:vAlign w:val="bottom"/>
            <w:gridSpan w:val="3"/>
          </w:tcPr>
          <w:p>
            <w:pPr>
              <w:ind w:left="1280"/>
              <w:spacing w:after="0"/>
              <w:rPr>
                <w:sz w:val="20"/>
                <w:szCs w:val="20"/>
                <w:color w:val="auto"/>
              </w:rPr>
            </w:pPr>
            <w:r>
              <w:rPr>
                <w:rFonts w:ascii="Times New Roman" w:cs="Times New Roman" w:eastAsia="Times New Roman" w:hAnsi="Times New Roman"/>
                <w:sz w:val="18"/>
                <w:szCs w:val="18"/>
                <w:color w:val="auto"/>
              </w:rPr>
              <w:t>dated October 13, 2009).</w:t>
            </w:r>
          </w:p>
        </w:tc>
      </w:tr>
      <w:tr>
        <w:trPr>
          <w:trHeight w:val="3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10.69(d)</w:t>
            </w:r>
          </w:p>
        </w:tc>
        <w:tc>
          <w:tcPr>
            <w:tcW w:w="10520" w:type="dxa"/>
            <w:vAlign w:val="bottom"/>
            <w:gridSpan w:val="3"/>
          </w:tcPr>
          <w:p>
            <w:pPr>
              <w:ind w:left="1280"/>
              <w:spacing w:after="0"/>
              <w:rPr>
                <w:sz w:val="20"/>
                <w:szCs w:val="20"/>
                <w:color w:val="auto"/>
              </w:rPr>
            </w:pPr>
            <w:r>
              <w:rPr>
                <w:rFonts w:ascii="Times New Roman" w:cs="Times New Roman" w:eastAsia="Times New Roman" w:hAnsi="Times New Roman"/>
                <w:sz w:val="18"/>
                <w:szCs w:val="18"/>
                <w:color w:val="auto"/>
              </w:rPr>
              <w:t>Convertible Bond Hedging Transaction Confirmation dated October 9, 2009, by and between Avis Budget Group, Inc. and</w:t>
            </w:r>
          </w:p>
        </w:tc>
      </w:tr>
      <w:tr>
        <w:trPr>
          <w:trHeight w:val="216"/>
        </w:trPr>
        <w:tc>
          <w:tcPr>
            <w:tcW w:w="880" w:type="dxa"/>
            <w:vAlign w:val="bottom"/>
          </w:tcPr>
          <w:p>
            <w:pPr>
              <w:spacing w:after="0"/>
              <w:rPr>
                <w:sz w:val="18"/>
                <w:szCs w:val="18"/>
                <w:color w:val="auto"/>
              </w:rPr>
            </w:pPr>
          </w:p>
        </w:tc>
        <w:tc>
          <w:tcPr>
            <w:tcW w:w="10520" w:type="dxa"/>
            <w:vAlign w:val="bottom"/>
            <w:gridSpan w:val="3"/>
          </w:tcPr>
          <w:p>
            <w:pPr>
              <w:ind w:left="1280"/>
              <w:spacing w:after="0"/>
              <w:rPr>
                <w:sz w:val="20"/>
                <w:szCs w:val="20"/>
                <w:color w:val="auto"/>
              </w:rPr>
            </w:pPr>
            <w:r>
              <w:rPr>
                <w:rFonts w:ascii="Times New Roman" w:cs="Times New Roman" w:eastAsia="Times New Roman" w:hAnsi="Times New Roman"/>
                <w:sz w:val="18"/>
                <w:szCs w:val="18"/>
                <w:color w:val="auto"/>
                <w:w w:val="97"/>
              </w:rPr>
              <w:t>Wachovia Bank, National Association (Incorporated by reference to Exhibit 10.4(d) to the Company’s Current Report on Form 8-K</w:t>
            </w:r>
          </w:p>
        </w:tc>
      </w:tr>
      <w:tr>
        <w:trPr>
          <w:trHeight w:val="228"/>
        </w:trPr>
        <w:tc>
          <w:tcPr>
            <w:tcW w:w="880" w:type="dxa"/>
            <w:vAlign w:val="bottom"/>
          </w:tcPr>
          <w:p>
            <w:pPr>
              <w:spacing w:after="0"/>
              <w:rPr>
                <w:sz w:val="19"/>
                <w:szCs w:val="19"/>
                <w:color w:val="auto"/>
              </w:rPr>
            </w:pPr>
          </w:p>
        </w:tc>
        <w:tc>
          <w:tcPr>
            <w:tcW w:w="10520" w:type="dxa"/>
            <w:vAlign w:val="bottom"/>
            <w:gridSpan w:val="3"/>
          </w:tcPr>
          <w:p>
            <w:pPr>
              <w:ind w:left="1280"/>
              <w:spacing w:after="0"/>
              <w:rPr>
                <w:sz w:val="20"/>
                <w:szCs w:val="20"/>
                <w:color w:val="auto"/>
              </w:rPr>
            </w:pPr>
            <w:r>
              <w:rPr>
                <w:rFonts w:ascii="Times New Roman" w:cs="Times New Roman" w:eastAsia="Times New Roman" w:hAnsi="Times New Roman"/>
                <w:sz w:val="18"/>
                <w:szCs w:val="18"/>
                <w:color w:val="auto"/>
              </w:rPr>
              <w:t>dated October 13, 2009).</w:t>
            </w:r>
          </w:p>
        </w:tc>
      </w:tr>
      <w:tr>
        <w:trPr>
          <w:trHeight w:val="3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10.69(e)</w:t>
            </w:r>
          </w:p>
        </w:tc>
        <w:tc>
          <w:tcPr>
            <w:tcW w:w="10520" w:type="dxa"/>
            <w:vAlign w:val="bottom"/>
            <w:gridSpan w:val="3"/>
          </w:tcPr>
          <w:p>
            <w:pPr>
              <w:ind w:left="1280"/>
              <w:spacing w:after="0"/>
              <w:rPr>
                <w:sz w:val="20"/>
                <w:szCs w:val="20"/>
                <w:color w:val="auto"/>
              </w:rPr>
            </w:pPr>
            <w:r>
              <w:rPr>
                <w:rFonts w:ascii="Times New Roman" w:cs="Times New Roman" w:eastAsia="Times New Roman" w:hAnsi="Times New Roman"/>
                <w:sz w:val="18"/>
                <w:szCs w:val="18"/>
                <w:color w:val="auto"/>
                <w:w w:val="97"/>
              </w:rPr>
              <w:t>Convertible Bond Hedging Transaction Confirmation dated October 9, 2009, by and between Avis Budget Group, Inc. and Bank of</w:t>
            </w:r>
          </w:p>
        </w:tc>
      </w:tr>
      <w:tr>
        <w:trPr>
          <w:trHeight w:val="216"/>
        </w:trPr>
        <w:tc>
          <w:tcPr>
            <w:tcW w:w="880" w:type="dxa"/>
            <w:vAlign w:val="bottom"/>
          </w:tcPr>
          <w:p>
            <w:pPr>
              <w:spacing w:after="0"/>
              <w:rPr>
                <w:sz w:val="18"/>
                <w:szCs w:val="18"/>
                <w:color w:val="auto"/>
              </w:rPr>
            </w:pPr>
          </w:p>
        </w:tc>
        <w:tc>
          <w:tcPr>
            <w:tcW w:w="10520" w:type="dxa"/>
            <w:vAlign w:val="bottom"/>
            <w:gridSpan w:val="3"/>
          </w:tcPr>
          <w:p>
            <w:pPr>
              <w:ind w:left="1280"/>
              <w:spacing w:after="0"/>
              <w:rPr>
                <w:sz w:val="20"/>
                <w:szCs w:val="20"/>
                <w:color w:val="auto"/>
              </w:rPr>
            </w:pPr>
            <w:r>
              <w:rPr>
                <w:rFonts w:ascii="Times New Roman" w:cs="Times New Roman" w:eastAsia="Times New Roman" w:hAnsi="Times New Roman"/>
                <w:sz w:val="18"/>
                <w:szCs w:val="18"/>
                <w:color w:val="auto"/>
              </w:rPr>
              <w:t>America, N.A. (Incorporated by reference to Exhibit 10.4(e) to the Company’s Current Report on Form 8-K dated October 13,</w:t>
            </w:r>
          </w:p>
        </w:tc>
      </w:tr>
      <w:tr>
        <w:trPr>
          <w:trHeight w:val="228"/>
        </w:trPr>
        <w:tc>
          <w:tcPr>
            <w:tcW w:w="880" w:type="dxa"/>
            <w:vAlign w:val="bottom"/>
          </w:tcPr>
          <w:p>
            <w:pPr>
              <w:spacing w:after="0"/>
              <w:rPr>
                <w:sz w:val="19"/>
                <w:szCs w:val="19"/>
                <w:color w:val="auto"/>
              </w:rPr>
            </w:pPr>
          </w:p>
        </w:tc>
        <w:tc>
          <w:tcPr>
            <w:tcW w:w="546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2009).</w:t>
            </w:r>
          </w:p>
        </w:tc>
        <w:tc>
          <w:tcPr>
            <w:tcW w:w="900" w:type="dxa"/>
            <w:vAlign w:val="bottom"/>
          </w:tcPr>
          <w:p>
            <w:pPr>
              <w:spacing w:after="0"/>
              <w:rPr>
                <w:sz w:val="19"/>
                <w:szCs w:val="19"/>
                <w:color w:val="auto"/>
              </w:rPr>
            </w:pPr>
          </w:p>
        </w:tc>
        <w:tc>
          <w:tcPr>
            <w:tcW w:w="4160" w:type="dxa"/>
            <w:vAlign w:val="bottom"/>
          </w:tcPr>
          <w:p>
            <w:pPr>
              <w:spacing w:after="0"/>
              <w:rPr>
                <w:sz w:val="19"/>
                <w:szCs w:val="19"/>
                <w:color w:val="auto"/>
              </w:rPr>
            </w:pPr>
          </w:p>
        </w:tc>
      </w:tr>
      <w:tr>
        <w:trPr>
          <w:trHeight w:val="3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10.70(a)</w:t>
            </w:r>
          </w:p>
        </w:tc>
        <w:tc>
          <w:tcPr>
            <w:tcW w:w="10520" w:type="dxa"/>
            <w:vAlign w:val="bottom"/>
            <w:gridSpan w:val="3"/>
          </w:tcPr>
          <w:p>
            <w:pPr>
              <w:ind w:left="1280"/>
              <w:spacing w:after="0"/>
              <w:rPr>
                <w:sz w:val="20"/>
                <w:szCs w:val="20"/>
                <w:color w:val="auto"/>
              </w:rPr>
            </w:pPr>
            <w:r>
              <w:rPr>
                <w:rFonts w:ascii="Times New Roman" w:cs="Times New Roman" w:eastAsia="Times New Roman" w:hAnsi="Times New Roman"/>
                <w:sz w:val="18"/>
                <w:szCs w:val="18"/>
                <w:color w:val="auto"/>
                <w:w w:val="97"/>
              </w:rPr>
              <w:t>Confirmation of Additional Warrants dated October 9, 2009, by and between Avis Budget Group, Inc. and JPMorgan Chase Bank,</w:t>
            </w:r>
          </w:p>
        </w:tc>
      </w:tr>
      <w:tr>
        <w:trPr>
          <w:trHeight w:val="216"/>
        </w:trPr>
        <w:tc>
          <w:tcPr>
            <w:tcW w:w="880" w:type="dxa"/>
            <w:vAlign w:val="bottom"/>
          </w:tcPr>
          <w:p>
            <w:pPr>
              <w:spacing w:after="0"/>
              <w:rPr>
                <w:sz w:val="18"/>
                <w:szCs w:val="18"/>
                <w:color w:val="auto"/>
              </w:rPr>
            </w:pPr>
          </w:p>
        </w:tc>
        <w:tc>
          <w:tcPr>
            <w:tcW w:w="10520" w:type="dxa"/>
            <w:vAlign w:val="bottom"/>
            <w:gridSpan w:val="3"/>
          </w:tcPr>
          <w:p>
            <w:pPr>
              <w:ind w:left="1280"/>
              <w:spacing w:after="0"/>
              <w:rPr>
                <w:sz w:val="20"/>
                <w:szCs w:val="20"/>
                <w:color w:val="auto"/>
              </w:rPr>
            </w:pPr>
            <w:r>
              <w:rPr>
                <w:rFonts w:ascii="Times New Roman" w:cs="Times New Roman" w:eastAsia="Times New Roman" w:hAnsi="Times New Roman"/>
                <w:sz w:val="18"/>
                <w:szCs w:val="18"/>
                <w:color w:val="auto"/>
                <w:w w:val="99"/>
              </w:rPr>
              <w:t>National Association (Incorporated by reference to Exhibit 10.5(a) to the Company’s Current Report on Form 8-K dated October</w:t>
            </w:r>
          </w:p>
        </w:tc>
      </w:tr>
      <w:tr>
        <w:trPr>
          <w:trHeight w:val="228"/>
        </w:trPr>
        <w:tc>
          <w:tcPr>
            <w:tcW w:w="880" w:type="dxa"/>
            <w:vAlign w:val="bottom"/>
          </w:tcPr>
          <w:p>
            <w:pPr>
              <w:spacing w:after="0"/>
              <w:rPr>
                <w:sz w:val="19"/>
                <w:szCs w:val="19"/>
                <w:color w:val="auto"/>
              </w:rPr>
            </w:pPr>
          </w:p>
        </w:tc>
        <w:tc>
          <w:tcPr>
            <w:tcW w:w="546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13, 2009).</w:t>
            </w:r>
          </w:p>
        </w:tc>
        <w:tc>
          <w:tcPr>
            <w:tcW w:w="900" w:type="dxa"/>
            <w:vAlign w:val="bottom"/>
          </w:tcPr>
          <w:p>
            <w:pPr>
              <w:spacing w:after="0"/>
              <w:rPr>
                <w:sz w:val="19"/>
                <w:szCs w:val="19"/>
                <w:color w:val="auto"/>
              </w:rPr>
            </w:pPr>
          </w:p>
        </w:tc>
        <w:tc>
          <w:tcPr>
            <w:tcW w:w="4160" w:type="dxa"/>
            <w:vAlign w:val="bottom"/>
          </w:tcPr>
          <w:p>
            <w:pPr>
              <w:spacing w:after="0"/>
              <w:rPr>
                <w:sz w:val="19"/>
                <w:szCs w:val="19"/>
                <w:color w:val="auto"/>
              </w:rPr>
            </w:pPr>
          </w:p>
        </w:tc>
      </w:tr>
      <w:tr>
        <w:trPr>
          <w:trHeight w:val="3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10.70(b)</w:t>
            </w:r>
          </w:p>
        </w:tc>
        <w:tc>
          <w:tcPr>
            <w:tcW w:w="10520" w:type="dxa"/>
            <w:vAlign w:val="bottom"/>
            <w:gridSpan w:val="3"/>
          </w:tcPr>
          <w:p>
            <w:pPr>
              <w:ind w:left="1280"/>
              <w:spacing w:after="0"/>
              <w:rPr>
                <w:sz w:val="20"/>
                <w:szCs w:val="20"/>
                <w:color w:val="auto"/>
              </w:rPr>
            </w:pPr>
            <w:r>
              <w:rPr>
                <w:rFonts w:ascii="Times New Roman" w:cs="Times New Roman" w:eastAsia="Times New Roman" w:hAnsi="Times New Roman"/>
                <w:sz w:val="18"/>
                <w:szCs w:val="18"/>
                <w:color w:val="auto"/>
                <w:w w:val="99"/>
              </w:rPr>
              <w:t>Confirmation of Additional Warrants dated October 9, 2009, by and between Avis Budget Group, Inc. and Barclays Capital Inc.</w:t>
            </w:r>
          </w:p>
        </w:tc>
      </w:tr>
      <w:tr>
        <w:trPr>
          <w:trHeight w:val="228"/>
        </w:trPr>
        <w:tc>
          <w:tcPr>
            <w:tcW w:w="880" w:type="dxa"/>
            <w:vAlign w:val="bottom"/>
          </w:tcPr>
          <w:p>
            <w:pPr>
              <w:spacing w:after="0"/>
              <w:rPr>
                <w:sz w:val="19"/>
                <w:szCs w:val="19"/>
                <w:color w:val="auto"/>
              </w:rPr>
            </w:pPr>
          </w:p>
        </w:tc>
        <w:tc>
          <w:tcPr>
            <w:tcW w:w="10520" w:type="dxa"/>
            <w:vAlign w:val="bottom"/>
            <w:gridSpan w:val="3"/>
          </w:tcPr>
          <w:p>
            <w:pPr>
              <w:ind w:left="1280"/>
              <w:spacing w:after="0"/>
              <w:rPr>
                <w:sz w:val="20"/>
                <w:szCs w:val="20"/>
                <w:color w:val="auto"/>
              </w:rPr>
            </w:pPr>
            <w:r>
              <w:rPr>
                <w:rFonts w:ascii="Times New Roman" w:cs="Times New Roman" w:eastAsia="Times New Roman" w:hAnsi="Times New Roman"/>
                <w:sz w:val="18"/>
                <w:szCs w:val="18"/>
                <w:color w:val="auto"/>
              </w:rPr>
              <w:t>(Incorporated by reference to Exhibit 10.5(b) to the Company’s Current Report on Form 8-K dated October 13, 2009).</w:t>
            </w:r>
          </w:p>
        </w:tc>
      </w:tr>
      <w:tr>
        <w:trPr>
          <w:trHeight w:val="3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10.70(c)</w:t>
            </w:r>
          </w:p>
        </w:tc>
        <w:tc>
          <w:tcPr>
            <w:tcW w:w="10520" w:type="dxa"/>
            <w:vAlign w:val="bottom"/>
            <w:gridSpan w:val="3"/>
          </w:tcPr>
          <w:p>
            <w:pPr>
              <w:ind w:left="1280"/>
              <w:spacing w:after="0"/>
              <w:rPr>
                <w:sz w:val="20"/>
                <w:szCs w:val="20"/>
                <w:color w:val="auto"/>
              </w:rPr>
            </w:pPr>
            <w:r>
              <w:rPr>
                <w:rFonts w:ascii="Times New Roman" w:cs="Times New Roman" w:eastAsia="Times New Roman" w:hAnsi="Times New Roman"/>
                <w:sz w:val="18"/>
                <w:szCs w:val="18"/>
                <w:color w:val="auto"/>
              </w:rPr>
              <w:t>Confirmation of Additional Warrants dated October 9, 2009, by and between Avis Budget Group, Inc. and Deutsche Bank AG,</w:t>
            </w:r>
          </w:p>
        </w:tc>
      </w:tr>
      <w:tr>
        <w:trPr>
          <w:trHeight w:val="216"/>
        </w:trPr>
        <w:tc>
          <w:tcPr>
            <w:tcW w:w="880" w:type="dxa"/>
            <w:vAlign w:val="bottom"/>
          </w:tcPr>
          <w:p>
            <w:pPr>
              <w:spacing w:after="0"/>
              <w:rPr>
                <w:sz w:val="18"/>
                <w:szCs w:val="18"/>
                <w:color w:val="auto"/>
              </w:rPr>
            </w:pPr>
          </w:p>
        </w:tc>
        <w:tc>
          <w:tcPr>
            <w:tcW w:w="10520" w:type="dxa"/>
            <w:vAlign w:val="bottom"/>
            <w:gridSpan w:val="3"/>
          </w:tcPr>
          <w:p>
            <w:pPr>
              <w:ind w:left="1280"/>
              <w:spacing w:after="0"/>
              <w:rPr>
                <w:sz w:val="20"/>
                <w:szCs w:val="20"/>
                <w:color w:val="auto"/>
              </w:rPr>
            </w:pPr>
            <w:r>
              <w:rPr>
                <w:rFonts w:ascii="Times New Roman" w:cs="Times New Roman" w:eastAsia="Times New Roman" w:hAnsi="Times New Roman"/>
                <w:sz w:val="18"/>
                <w:szCs w:val="18"/>
                <w:color w:val="auto"/>
              </w:rPr>
              <w:t>London Branch (Incorporated by reference to Exhibit 10.5(c) to the Company’s Current Report on Form 8-K dated October 13,</w:t>
            </w:r>
          </w:p>
        </w:tc>
      </w:tr>
      <w:tr>
        <w:trPr>
          <w:trHeight w:val="228"/>
        </w:trPr>
        <w:tc>
          <w:tcPr>
            <w:tcW w:w="880" w:type="dxa"/>
            <w:vAlign w:val="bottom"/>
          </w:tcPr>
          <w:p>
            <w:pPr>
              <w:spacing w:after="0"/>
              <w:rPr>
                <w:sz w:val="19"/>
                <w:szCs w:val="19"/>
                <w:color w:val="auto"/>
              </w:rPr>
            </w:pPr>
          </w:p>
        </w:tc>
        <w:tc>
          <w:tcPr>
            <w:tcW w:w="546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2009).</w:t>
            </w:r>
          </w:p>
        </w:tc>
        <w:tc>
          <w:tcPr>
            <w:tcW w:w="900" w:type="dxa"/>
            <w:vAlign w:val="bottom"/>
          </w:tcPr>
          <w:p>
            <w:pPr>
              <w:spacing w:after="0"/>
              <w:rPr>
                <w:sz w:val="19"/>
                <w:szCs w:val="19"/>
                <w:color w:val="auto"/>
              </w:rPr>
            </w:pPr>
          </w:p>
        </w:tc>
        <w:tc>
          <w:tcPr>
            <w:tcW w:w="4160" w:type="dxa"/>
            <w:vAlign w:val="bottom"/>
          </w:tcPr>
          <w:p>
            <w:pPr>
              <w:spacing w:after="0"/>
              <w:rPr>
                <w:sz w:val="19"/>
                <w:szCs w:val="19"/>
                <w:color w:val="auto"/>
              </w:rPr>
            </w:pPr>
          </w:p>
        </w:tc>
      </w:tr>
      <w:tr>
        <w:trPr>
          <w:trHeight w:val="3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10.70(d)</w:t>
            </w:r>
          </w:p>
        </w:tc>
        <w:tc>
          <w:tcPr>
            <w:tcW w:w="10520" w:type="dxa"/>
            <w:vAlign w:val="bottom"/>
            <w:gridSpan w:val="3"/>
          </w:tcPr>
          <w:p>
            <w:pPr>
              <w:ind w:left="1280"/>
              <w:spacing w:after="0"/>
              <w:rPr>
                <w:sz w:val="20"/>
                <w:szCs w:val="20"/>
                <w:color w:val="auto"/>
              </w:rPr>
            </w:pPr>
            <w:r>
              <w:rPr>
                <w:rFonts w:ascii="Times New Roman" w:cs="Times New Roman" w:eastAsia="Times New Roman" w:hAnsi="Times New Roman"/>
                <w:sz w:val="18"/>
                <w:szCs w:val="18"/>
                <w:color w:val="auto"/>
              </w:rPr>
              <w:t>Confirmation of Additional Warrants dated October 9, 2009, by and between Avis Budget Group, Inc. and Wachovia Bank,</w:t>
            </w:r>
          </w:p>
        </w:tc>
      </w:tr>
      <w:tr>
        <w:trPr>
          <w:trHeight w:val="216"/>
        </w:trPr>
        <w:tc>
          <w:tcPr>
            <w:tcW w:w="880" w:type="dxa"/>
            <w:vAlign w:val="bottom"/>
          </w:tcPr>
          <w:p>
            <w:pPr>
              <w:spacing w:after="0"/>
              <w:rPr>
                <w:sz w:val="18"/>
                <w:szCs w:val="18"/>
                <w:color w:val="auto"/>
              </w:rPr>
            </w:pPr>
          </w:p>
        </w:tc>
        <w:tc>
          <w:tcPr>
            <w:tcW w:w="10520" w:type="dxa"/>
            <w:vAlign w:val="bottom"/>
            <w:gridSpan w:val="3"/>
          </w:tcPr>
          <w:p>
            <w:pPr>
              <w:ind w:left="1280"/>
              <w:spacing w:after="0"/>
              <w:rPr>
                <w:sz w:val="20"/>
                <w:szCs w:val="20"/>
                <w:color w:val="auto"/>
              </w:rPr>
            </w:pPr>
            <w:r>
              <w:rPr>
                <w:rFonts w:ascii="Times New Roman" w:cs="Times New Roman" w:eastAsia="Times New Roman" w:hAnsi="Times New Roman"/>
                <w:sz w:val="18"/>
                <w:szCs w:val="18"/>
                <w:color w:val="auto"/>
                <w:w w:val="99"/>
              </w:rPr>
              <w:t>National Association (Incorporated by reference to Exhibit 10.5(d) to the Company’s Current Report on Form 8-K dated October</w:t>
            </w:r>
          </w:p>
        </w:tc>
      </w:tr>
      <w:tr>
        <w:trPr>
          <w:trHeight w:val="228"/>
        </w:trPr>
        <w:tc>
          <w:tcPr>
            <w:tcW w:w="880" w:type="dxa"/>
            <w:vAlign w:val="bottom"/>
          </w:tcPr>
          <w:p>
            <w:pPr>
              <w:spacing w:after="0"/>
              <w:rPr>
                <w:sz w:val="19"/>
                <w:szCs w:val="19"/>
                <w:color w:val="auto"/>
              </w:rPr>
            </w:pPr>
          </w:p>
        </w:tc>
        <w:tc>
          <w:tcPr>
            <w:tcW w:w="546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13, 2009).</w:t>
            </w:r>
          </w:p>
        </w:tc>
        <w:tc>
          <w:tcPr>
            <w:tcW w:w="900" w:type="dxa"/>
            <w:vAlign w:val="bottom"/>
          </w:tcPr>
          <w:p>
            <w:pPr>
              <w:spacing w:after="0"/>
              <w:rPr>
                <w:sz w:val="19"/>
                <w:szCs w:val="19"/>
                <w:color w:val="auto"/>
              </w:rPr>
            </w:pPr>
          </w:p>
        </w:tc>
        <w:tc>
          <w:tcPr>
            <w:tcW w:w="4160" w:type="dxa"/>
            <w:vAlign w:val="bottom"/>
          </w:tcPr>
          <w:p>
            <w:pPr>
              <w:spacing w:after="0"/>
              <w:rPr>
                <w:sz w:val="19"/>
                <w:szCs w:val="19"/>
                <w:color w:val="auto"/>
              </w:rPr>
            </w:pPr>
          </w:p>
        </w:tc>
      </w:tr>
      <w:tr>
        <w:trPr>
          <w:trHeight w:val="3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10.70(e)</w:t>
            </w:r>
          </w:p>
        </w:tc>
        <w:tc>
          <w:tcPr>
            <w:tcW w:w="10520" w:type="dxa"/>
            <w:vAlign w:val="bottom"/>
            <w:gridSpan w:val="3"/>
          </w:tcPr>
          <w:p>
            <w:pPr>
              <w:ind w:left="1280"/>
              <w:spacing w:after="0"/>
              <w:rPr>
                <w:sz w:val="20"/>
                <w:szCs w:val="20"/>
                <w:color w:val="auto"/>
              </w:rPr>
            </w:pPr>
            <w:r>
              <w:rPr>
                <w:rFonts w:ascii="Times New Roman" w:cs="Times New Roman" w:eastAsia="Times New Roman" w:hAnsi="Times New Roman"/>
                <w:sz w:val="18"/>
                <w:szCs w:val="18"/>
                <w:color w:val="auto"/>
                <w:w w:val="98"/>
              </w:rPr>
              <w:t>Confirmation of Additional Warrants dated October 9, 2009, by and between Avis Budget Group, Inc. and Bank of America, N.A.</w:t>
            </w:r>
          </w:p>
        </w:tc>
      </w:tr>
      <w:tr>
        <w:trPr>
          <w:trHeight w:val="228"/>
        </w:trPr>
        <w:tc>
          <w:tcPr>
            <w:tcW w:w="880" w:type="dxa"/>
            <w:vAlign w:val="bottom"/>
          </w:tcPr>
          <w:p>
            <w:pPr>
              <w:spacing w:after="0"/>
              <w:rPr>
                <w:sz w:val="19"/>
                <w:szCs w:val="19"/>
                <w:color w:val="auto"/>
              </w:rPr>
            </w:pPr>
          </w:p>
        </w:tc>
        <w:tc>
          <w:tcPr>
            <w:tcW w:w="10520" w:type="dxa"/>
            <w:vAlign w:val="bottom"/>
            <w:gridSpan w:val="3"/>
          </w:tcPr>
          <w:p>
            <w:pPr>
              <w:ind w:left="1280"/>
              <w:spacing w:after="0"/>
              <w:rPr>
                <w:sz w:val="20"/>
                <w:szCs w:val="20"/>
                <w:color w:val="auto"/>
              </w:rPr>
            </w:pPr>
            <w:r>
              <w:rPr>
                <w:rFonts w:ascii="Times New Roman" w:cs="Times New Roman" w:eastAsia="Times New Roman" w:hAnsi="Times New Roman"/>
                <w:sz w:val="18"/>
                <w:szCs w:val="18"/>
                <w:color w:val="auto"/>
              </w:rPr>
              <w:t>(Incorporated by reference to Exhibit 10.5(e) to the Company’s Current Report on Form 8-K dated October 13, 2009).</w:t>
            </w:r>
          </w:p>
        </w:tc>
      </w:tr>
      <w:tr>
        <w:trPr>
          <w:trHeight w:val="32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12</w:t>
            </w:r>
          </w:p>
        </w:tc>
        <w:tc>
          <w:tcPr>
            <w:tcW w:w="10520" w:type="dxa"/>
            <w:vAlign w:val="bottom"/>
            <w:gridSpan w:val="3"/>
          </w:tcPr>
          <w:p>
            <w:pPr>
              <w:ind w:left="1280"/>
              <w:spacing w:after="0"/>
              <w:rPr>
                <w:sz w:val="20"/>
                <w:szCs w:val="20"/>
                <w:color w:val="auto"/>
              </w:rPr>
            </w:pPr>
            <w:r>
              <w:rPr>
                <w:rFonts w:ascii="Times New Roman" w:cs="Times New Roman" w:eastAsia="Times New Roman" w:hAnsi="Times New Roman"/>
                <w:sz w:val="18"/>
                <w:szCs w:val="18"/>
                <w:color w:val="auto"/>
              </w:rPr>
              <w:t>Statement Re: Computation of Ratio of Earnings to Fixed Charges.</w:t>
            </w:r>
          </w:p>
        </w:tc>
      </w:tr>
      <w:tr>
        <w:trPr>
          <w:trHeight w:val="32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21</w:t>
            </w:r>
          </w:p>
        </w:tc>
        <w:tc>
          <w:tcPr>
            <w:tcW w:w="10520" w:type="dxa"/>
            <w:vAlign w:val="bottom"/>
            <w:gridSpan w:val="3"/>
          </w:tcPr>
          <w:p>
            <w:pPr>
              <w:ind w:left="1280"/>
              <w:spacing w:after="0"/>
              <w:rPr>
                <w:sz w:val="20"/>
                <w:szCs w:val="20"/>
                <w:color w:val="auto"/>
              </w:rPr>
            </w:pPr>
            <w:r>
              <w:rPr>
                <w:rFonts w:ascii="Times New Roman" w:cs="Times New Roman" w:eastAsia="Times New Roman" w:hAnsi="Times New Roman"/>
                <w:sz w:val="18"/>
                <w:szCs w:val="18"/>
                <w:color w:val="auto"/>
              </w:rPr>
              <w:t>Subsidiaries of Registrant.</w:t>
            </w:r>
          </w:p>
        </w:tc>
      </w:tr>
      <w:tr>
        <w:trPr>
          <w:trHeight w:val="32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23</w:t>
            </w:r>
          </w:p>
        </w:tc>
        <w:tc>
          <w:tcPr>
            <w:tcW w:w="10520" w:type="dxa"/>
            <w:vAlign w:val="bottom"/>
            <w:gridSpan w:val="3"/>
          </w:tcPr>
          <w:p>
            <w:pPr>
              <w:ind w:left="1280"/>
              <w:spacing w:after="0"/>
              <w:rPr>
                <w:sz w:val="20"/>
                <w:szCs w:val="20"/>
                <w:color w:val="auto"/>
              </w:rPr>
            </w:pPr>
            <w:r>
              <w:rPr>
                <w:rFonts w:ascii="Times New Roman" w:cs="Times New Roman" w:eastAsia="Times New Roman" w:hAnsi="Times New Roman"/>
                <w:sz w:val="18"/>
                <w:szCs w:val="18"/>
                <w:color w:val="auto"/>
              </w:rPr>
              <w:t>Consent of Independent Registered Public Accounting Firm.</w:t>
            </w:r>
          </w:p>
        </w:tc>
      </w:tr>
      <w:tr>
        <w:trPr>
          <w:trHeight w:val="3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10520" w:type="dxa"/>
            <w:vAlign w:val="bottom"/>
            <w:gridSpan w:val="3"/>
          </w:tcPr>
          <w:p>
            <w:pPr>
              <w:ind w:left="1280"/>
              <w:spacing w:after="0"/>
              <w:rPr>
                <w:sz w:val="20"/>
                <w:szCs w:val="20"/>
                <w:color w:val="auto"/>
              </w:rPr>
            </w:pPr>
            <w:r>
              <w:rPr>
                <w:rFonts w:ascii="Times New Roman" w:cs="Times New Roman" w:eastAsia="Times New Roman" w:hAnsi="Times New Roman"/>
                <w:sz w:val="18"/>
                <w:szCs w:val="18"/>
                <w:color w:val="auto"/>
              </w:rPr>
              <w:t>Certification of Chief Executive Officer Pursuant to Rules 13(a)-14(a) and 15(d)-14(a)</w:t>
            </w:r>
          </w:p>
        </w:tc>
      </w:tr>
      <w:tr>
        <w:trPr>
          <w:trHeight w:val="228"/>
        </w:trPr>
        <w:tc>
          <w:tcPr>
            <w:tcW w:w="880" w:type="dxa"/>
            <w:vAlign w:val="bottom"/>
          </w:tcPr>
          <w:p>
            <w:pPr>
              <w:spacing w:after="0"/>
              <w:rPr>
                <w:sz w:val="19"/>
                <w:szCs w:val="19"/>
                <w:color w:val="auto"/>
              </w:rPr>
            </w:pPr>
          </w:p>
        </w:tc>
        <w:tc>
          <w:tcPr>
            <w:tcW w:w="10520" w:type="dxa"/>
            <w:vAlign w:val="bottom"/>
            <w:gridSpan w:val="3"/>
          </w:tcPr>
          <w:p>
            <w:pPr>
              <w:ind w:left="1280"/>
              <w:spacing w:after="0"/>
              <w:rPr>
                <w:sz w:val="20"/>
                <w:szCs w:val="20"/>
                <w:color w:val="auto"/>
              </w:rPr>
            </w:pPr>
            <w:r>
              <w:rPr>
                <w:rFonts w:ascii="Times New Roman" w:cs="Times New Roman" w:eastAsia="Times New Roman" w:hAnsi="Times New Roman"/>
                <w:sz w:val="18"/>
                <w:szCs w:val="18"/>
                <w:color w:val="auto"/>
              </w:rPr>
              <w:t>Promulgated Under the Securities Exchange Act of 1934, as amended.</w:t>
            </w:r>
          </w:p>
        </w:tc>
      </w:tr>
      <w:tr>
        <w:trPr>
          <w:trHeight w:val="325"/>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10520" w:type="dxa"/>
            <w:vAlign w:val="bottom"/>
            <w:gridSpan w:val="3"/>
          </w:tcPr>
          <w:p>
            <w:pPr>
              <w:ind w:left="1280"/>
              <w:spacing w:after="0"/>
              <w:rPr>
                <w:sz w:val="20"/>
                <w:szCs w:val="20"/>
                <w:color w:val="auto"/>
              </w:rPr>
            </w:pPr>
            <w:r>
              <w:rPr>
                <w:rFonts w:ascii="Times New Roman" w:cs="Times New Roman" w:eastAsia="Times New Roman" w:hAnsi="Times New Roman"/>
                <w:sz w:val="18"/>
                <w:szCs w:val="18"/>
                <w:color w:val="auto"/>
              </w:rPr>
              <w:t>Certification of Chief Financial Officer Pursuant to Rules 13(a)-14(a) and 15(d)-14(a)</w:t>
            </w:r>
          </w:p>
        </w:tc>
      </w:tr>
      <w:tr>
        <w:trPr>
          <w:trHeight w:val="228"/>
        </w:trPr>
        <w:tc>
          <w:tcPr>
            <w:tcW w:w="880" w:type="dxa"/>
            <w:vAlign w:val="bottom"/>
          </w:tcPr>
          <w:p>
            <w:pPr>
              <w:spacing w:after="0"/>
              <w:rPr>
                <w:sz w:val="19"/>
                <w:szCs w:val="19"/>
                <w:color w:val="auto"/>
              </w:rPr>
            </w:pPr>
          </w:p>
        </w:tc>
        <w:tc>
          <w:tcPr>
            <w:tcW w:w="10520" w:type="dxa"/>
            <w:vAlign w:val="bottom"/>
            <w:gridSpan w:val="3"/>
          </w:tcPr>
          <w:p>
            <w:pPr>
              <w:ind w:left="1280"/>
              <w:spacing w:after="0"/>
              <w:rPr>
                <w:sz w:val="20"/>
                <w:szCs w:val="20"/>
                <w:color w:val="auto"/>
              </w:rPr>
            </w:pPr>
            <w:r>
              <w:rPr>
                <w:rFonts w:ascii="Times New Roman" w:cs="Times New Roman" w:eastAsia="Times New Roman" w:hAnsi="Times New Roman"/>
                <w:sz w:val="18"/>
                <w:szCs w:val="18"/>
                <w:color w:val="auto"/>
              </w:rPr>
              <w:t>Promulgated Under the Securities Exchange Act of 1934, as amended.</w:t>
            </w:r>
          </w:p>
        </w:tc>
      </w:tr>
      <w:tr>
        <w:trPr>
          <w:trHeight w:val="338"/>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10520" w:type="dxa"/>
            <w:vAlign w:val="bottom"/>
            <w:gridSpan w:val="3"/>
          </w:tcPr>
          <w:p>
            <w:pPr>
              <w:ind w:left="1280"/>
              <w:spacing w:after="0"/>
              <w:rPr>
                <w:sz w:val="20"/>
                <w:szCs w:val="20"/>
                <w:color w:val="auto"/>
              </w:rPr>
            </w:pPr>
            <w:r>
              <w:rPr>
                <w:rFonts w:ascii="Times New Roman" w:cs="Times New Roman" w:eastAsia="Times New Roman" w:hAnsi="Times New Roman"/>
                <w:sz w:val="18"/>
                <w:szCs w:val="18"/>
                <w:color w:val="auto"/>
              </w:rPr>
              <w:t>Certifications Pursuant to 18 U.S.C. Section 1350, as Adopted Pursuant to Section 906 of the Sarbanes-Oxley Act of 2002.</w:t>
            </w:r>
          </w:p>
        </w:tc>
      </w:tr>
    </w:tbl>
    <w:p>
      <w:pPr>
        <w:spacing w:after="0" w:line="69" w:lineRule="exact"/>
        <w:rPr>
          <w:sz w:val="20"/>
          <w:szCs w:val="20"/>
          <w:color w:val="auto"/>
        </w:rPr>
      </w:pPr>
    </w:p>
    <w:p>
      <w:pPr>
        <w:ind w:left="580" w:hanging="572"/>
        <w:spacing w:after="0"/>
        <w:tabs>
          <w:tab w:leader="none" w:pos="5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Cendant Corporation is now known as Avis Budget Group, Inc.</w:t>
      </w:r>
    </w:p>
    <w:p>
      <w:pPr>
        <w:spacing w:after="0" w:line="21" w:lineRule="exact"/>
        <w:rPr>
          <w:sz w:val="20"/>
          <w:szCs w:val="20"/>
          <w:color w:val="auto"/>
        </w:rPr>
      </w:pPr>
    </w:p>
    <w:p>
      <w:pPr>
        <w:ind w:left="5540" w:right="1360" w:hanging="5532"/>
        <w:spacing w:after="0" w:line="433" w:lineRule="auto"/>
        <w:tabs>
          <w:tab w:leader="none" w:pos="582"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Cendant Car Rental Group, LLC (formerly known as Cendant Car Rental Group, Inc.) is now known as Avis Budget Car Rental, LLC. H-15</w:t>
      </w:r>
    </w:p>
    <w:p>
      <w:pPr>
        <w:sectPr>
          <w:pgSz w:w="11900" w:h="16838" w:orient="portrait"/>
          <w:cols w:equalWidth="0" w:num="1">
            <w:col w:w="11400"/>
          </w:cols>
          <w:pgMar w:left="240" w:top="455" w:right="259" w:bottom="1440" w:gutter="0" w:footer="0" w:header="0"/>
        </w:sectPr>
      </w:pPr>
    </w:p>
    <w:bookmarkStart w:id="138" w:name="page139"/>
    <w:bookmarkEnd w:id="13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580" w:right="100" w:hanging="572"/>
        <w:spacing w:after="0" w:line="257" w:lineRule="auto"/>
        <w:tabs>
          <w:tab w:leader="none" w:pos="58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Cendant Rental Car Funding (AESOP) LLC, formerly known as AESOP Funding II L.L.C, is now known as Avis Budget Rental Car Funding (AESOP) LLC.</w:t>
      </w:r>
    </w:p>
    <w:p>
      <w:pPr>
        <w:spacing w:after="0" w:line="1" w:lineRule="exact"/>
        <w:rPr>
          <w:rFonts w:ascii="Times New Roman" w:cs="Times New Roman" w:eastAsia="Times New Roman" w:hAnsi="Times New Roman"/>
          <w:sz w:val="18"/>
          <w:szCs w:val="18"/>
          <w:color w:val="auto"/>
        </w:rPr>
      </w:pPr>
    </w:p>
    <w:p>
      <w:pPr>
        <w:ind w:left="580" w:hanging="572"/>
        <w:spacing w:after="0"/>
        <w:tabs>
          <w:tab w:leader="none" w:pos="5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Avis Rent A Car System, Inc. is now known as Avis Rent A Car System, LLC.</w:t>
      </w:r>
    </w:p>
    <w:p>
      <w:pPr>
        <w:spacing w:after="0" w:line="9" w:lineRule="exact"/>
        <w:rPr>
          <w:rFonts w:ascii="Times New Roman" w:cs="Times New Roman" w:eastAsia="Times New Roman" w:hAnsi="Times New Roman"/>
          <w:sz w:val="18"/>
          <w:szCs w:val="18"/>
          <w:color w:val="auto"/>
        </w:rPr>
      </w:pPr>
    </w:p>
    <w:p>
      <w:pPr>
        <w:ind w:left="580" w:hanging="572"/>
        <w:spacing w:after="0"/>
        <w:tabs>
          <w:tab w:leader="none" w:pos="5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Avis Group Holdings, Inc. is now known as Avis Group Holdings, LLC.</w:t>
      </w:r>
    </w:p>
    <w:p>
      <w:pPr>
        <w:spacing w:after="0" w:line="9" w:lineRule="exact"/>
        <w:rPr>
          <w:sz w:val="20"/>
          <w:szCs w:val="20"/>
          <w:color w:val="auto"/>
        </w:rPr>
      </w:pPr>
    </w:p>
    <w:p>
      <w:pPr>
        <w:ind w:left="580" w:hanging="572"/>
        <w:spacing w:after="0"/>
        <w:tabs>
          <w:tab w:leader="none" w:pos="5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Denotes management contract or compensatory plan.</w:t>
      </w:r>
    </w:p>
    <w:p>
      <w:pPr>
        <w:spacing w:after="0" w:line="9" w:lineRule="exact"/>
        <w:rPr>
          <w:sz w:val="20"/>
          <w:szCs w:val="20"/>
          <w:color w:val="auto"/>
        </w:rPr>
      </w:pPr>
    </w:p>
    <w:p>
      <w:pPr>
        <w:ind w:left="580" w:hanging="572"/>
        <w:spacing w:after="0"/>
        <w:tabs>
          <w:tab w:leader="none" w:pos="5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Budget Truck Funding, LLC is now known as Centre Point Funding, LLC.</w:t>
      </w:r>
    </w:p>
    <w:p>
      <w:pPr>
        <w:spacing w:after="0" w:line="9" w:lineRule="exact"/>
        <w:rPr>
          <w:sz w:val="20"/>
          <w:szCs w:val="20"/>
          <w:color w:val="auto"/>
        </w:rPr>
      </w:pPr>
    </w:p>
    <w:p>
      <w:pPr>
        <w:ind w:left="580" w:hanging="572"/>
        <w:spacing w:after="0" w:line="261" w:lineRule="auto"/>
        <w:tabs>
          <w:tab w:leader="none" w:pos="58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Confidential treatment has been requested for certain portions of this Exhibit pursuant to Rule 24b-2 of the Securities Exchange Act of 1934, as amended, which portions have been omitted and filed separately with the Securities and Exchange Commission.</w:t>
      </w:r>
    </w:p>
    <w:p>
      <w:pPr>
        <w:spacing w:after="0" w:line="11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H-16</w:t>
      </w:r>
    </w:p>
    <w:p>
      <w:pPr>
        <w:sectPr>
          <w:pgSz w:w="11900" w:h="16838" w:orient="portrait"/>
          <w:cols w:equalWidth="0" w:num="1">
            <w:col w:w="11380"/>
          </w:cols>
          <w:pgMar w:left="240" w:top="455" w:right="279" w:bottom="1440" w:gutter="0" w:footer="0" w:header="0"/>
        </w:sectPr>
      </w:pPr>
    </w:p>
    <w:bookmarkStart w:id="139" w:name="page140"/>
    <w:bookmarkEnd w:id="139"/>
    <w:p>
      <w:pPr>
        <w:jc w:val="right"/>
        <w:spacing w:after="0"/>
        <w:rPr>
          <w:sz w:val="20"/>
          <w:szCs w:val="20"/>
          <w:color w:val="auto"/>
        </w:rPr>
      </w:pPr>
      <w:r>
        <w:rPr>
          <w:rFonts w:ascii="Times New Roman" w:cs="Times New Roman" w:eastAsia="Times New Roman" w:hAnsi="Times New Roman"/>
          <w:sz w:val="18"/>
          <w:szCs w:val="18"/>
          <w:b w:val="1"/>
          <w:bCs w:val="1"/>
          <w:color w:val="auto"/>
        </w:rPr>
        <w:t>Exhibit 4.1(d)</w:t>
      </w:r>
    </w:p>
    <w:p>
      <w:pPr>
        <w:spacing w:after="0" w:line="9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EXECUTION COPY</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THIRD SUPPLEMENTAL INDENTURE</w:t>
      </w:r>
    </w:p>
    <w:p>
      <w:pPr>
        <w:spacing w:after="0" w:line="173" w:lineRule="exact"/>
        <w:rPr>
          <w:sz w:val="20"/>
          <w:szCs w:val="20"/>
          <w:color w:val="auto"/>
        </w:rPr>
      </w:pPr>
    </w:p>
    <w:p>
      <w:pPr>
        <w:ind w:right="100" w:firstLine="456"/>
        <w:spacing w:after="0" w:line="258" w:lineRule="auto"/>
        <w:rPr>
          <w:sz w:val="20"/>
          <w:szCs w:val="20"/>
          <w:color w:val="auto"/>
        </w:rPr>
      </w:pPr>
      <w:r>
        <w:rPr>
          <w:rFonts w:ascii="Times New Roman" w:cs="Times New Roman" w:eastAsia="Times New Roman" w:hAnsi="Times New Roman"/>
          <w:sz w:val="18"/>
          <w:szCs w:val="18"/>
          <w:color w:val="auto"/>
        </w:rPr>
        <w:t>THIRD SUPPLEMENTAL INDENTURE, dated as of November 5, 2009 (this “</w:t>
      </w:r>
      <w:r>
        <w:rPr>
          <w:rFonts w:ascii="Times New Roman" w:cs="Times New Roman" w:eastAsia="Times New Roman" w:hAnsi="Times New Roman"/>
          <w:sz w:val="18"/>
          <w:szCs w:val="18"/>
          <w:u w:val="single" w:color="auto"/>
          <w:color w:val="auto"/>
        </w:rPr>
        <w:t>Supplemental Indenture</w:t>
      </w:r>
      <w:r>
        <w:rPr>
          <w:rFonts w:ascii="Times New Roman" w:cs="Times New Roman" w:eastAsia="Times New Roman" w:hAnsi="Times New Roman"/>
          <w:sz w:val="18"/>
          <w:szCs w:val="18"/>
          <w:color w:val="auto"/>
        </w:rPr>
        <w:t>”), by and among Avis Budget Car Rental, LLC, a Delaware limited liability company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Avis Budget Finance, Inc., a Delaware corporation (“</w:t>
      </w:r>
      <w:r>
        <w:rPr>
          <w:rFonts w:ascii="Times New Roman" w:cs="Times New Roman" w:eastAsia="Times New Roman" w:hAnsi="Times New Roman"/>
          <w:sz w:val="18"/>
          <w:szCs w:val="18"/>
          <w:u w:val="single" w:color="auto"/>
          <w:color w:val="auto"/>
        </w:rPr>
        <w:t>Finance</w:t>
      </w:r>
      <w:r>
        <w:rPr>
          <w:rFonts w:ascii="Times New Roman" w:cs="Times New Roman" w:eastAsia="Times New Roman" w:hAnsi="Times New Roman"/>
          <w:sz w:val="18"/>
          <w:szCs w:val="18"/>
          <w:color w:val="auto"/>
        </w:rPr>
        <w:t>” and, together with the Company, the “</w:t>
      </w:r>
      <w:r>
        <w:rPr>
          <w:rFonts w:ascii="Times New Roman" w:cs="Times New Roman" w:eastAsia="Times New Roman" w:hAnsi="Times New Roman"/>
          <w:sz w:val="18"/>
          <w:szCs w:val="18"/>
          <w:u w:val="single" w:color="auto"/>
          <w:color w:val="auto"/>
        </w:rPr>
        <w:t>Issuers</w:t>
      </w:r>
      <w:r>
        <w:rPr>
          <w:rFonts w:ascii="Times New Roman" w:cs="Times New Roman" w:eastAsia="Times New Roman" w:hAnsi="Times New Roman"/>
          <w:sz w:val="18"/>
          <w:szCs w:val="18"/>
          <w:color w:val="auto"/>
        </w:rPr>
        <w:t>”), the Guarantors from time to time parties hereto (the “</w:t>
      </w:r>
      <w:r>
        <w:rPr>
          <w:rFonts w:ascii="Times New Roman" w:cs="Times New Roman" w:eastAsia="Times New Roman" w:hAnsi="Times New Roman"/>
          <w:sz w:val="18"/>
          <w:szCs w:val="18"/>
          <w:u w:val="single" w:color="auto"/>
          <w:color w:val="auto"/>
        </w:rPr>
        <w:t>Guarantors</w:t>
      </w:r>
      <w:r>
        <w:rPr>
          <w:rFonts w:ascii="Times New Roman" w:cs="Times New Roman" w:eastAsia="Times New Roman" w:hAnsi="Times New Roman"/>
          <w:sz w:val="18"/>
          <w:szCs w:val="18"/>
          <w:color w:val="auto"/>
        </w:rPr>
        <w:t>”), and The Bank of Nova Scotia Trust Company of New York, as Trustee (the “</w:t>
      </w:r>
      <w:r>
        <w:rPr>
          <w:rFonts w:ascii="Times New Roman" w:cs="Times New Roman" w:eastAsia="Times New Roman" w:hAnsi="Times New Roman"/>
          <w:sz w:val="18"/>
          <w:szCs w:val="18"/>
          <w:u w:val="single" w:color="auto"/>
          <w:color w:val="auto"/>
        </w:rPr>
        <w:t>Trustee</w:t>
      </w:r>
      <w:r>
        <w:rPr>
          <w:rFonts w:ascii="Times New Roman" w:cs="Times New Roman" w:eastAsia="Times New Roman" w:hAnsi="Times New Roman"/>
          <w:sz w:val="18"/>
          <w:szCs w:val="18"/>
          <w:color w:val="auto"/>
        </w:rPr>
        <w:t>”). Capitalized terms used herein without definition shall have the meanings assigned to them in the Base Indenture (as defined below).</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RECITALS:</w:t>
      </w:r>
    </w:p>
    <w:p>
      <w:pPr>
        <w:spacing w:after="0" w:line="171" w:lineRule="exact"/>
        <w:rPr>
          <w:sz w:val="20"/>
          <w:szCs w:val="20"/>
          <w:color w:val="auto"/>
        </w:rPr>
      </w:pPr>
    </w:p>
    <w:p>
      <w:pPr>
        <w:ind w:right="200" w:firstLine="456"/>
        <w:spacing w:after="0" w:line="258" w:lineRule="auto"/>
        <w:rPr>
          <w:sz w:val="20"/>
          <w:szCs w:val="20"/>
          <w:color w:val="auto"/>
        </w:rPr>
      </w:pPr>
      <w:r>
        <w:rPr>
          <w:rFonts w:ascii="Times New Roman" w:cs="Times New Roman" w:eastAsia="Times New Roman" w:hAnsi="Times New Roman"/>
          <w:sz w:val="18"/>
          <w:szCs w:val="18"/>
          <w:color w:val="auto"/>
        </w:rPr>
        <w:t>WHEREAS, the Issuers, the Guarantors and the Trustee have heretofore become parties to the Indenture, dated as of April 19, 2006, providing for the issuance of Floating Rate Senior Notes due 2014, 7.625% Senior Notes due 2014 and 7.75% Senior Notes due 2016 of the Issuers (the “</w:t>
      </w:r>
      <w:r>
        <w:rPr>
          <w:rFonts w:ascii="Times New Roman" w:cs="Times New Roman" w:eastAsia="Times New Roman" w:hAnsi="Times New Roman"/>
          <w:sz w:val="18"/>
          <w:szCs w:val="18"/>
          <w:u w:val="single" w:color="auto"/>
          <w:color w:val="auto"/>
        </w:rPr>
        <w:t>Base Indenture</w:t>
      </w:r>
      <w:r>
        <w:rPr>
          <w:rFonts w:ascii="Times New Roman" w:cs="Times New Roman" w:eastAsia="Times New Roman" w:hAnsi="Times New Roman"/>
          <w:sz w:val="18"/>
          <w:szCs w:val="18"/>
          <w:color w:val="auto"/>
        </w:rPr>
        <w:t>”), as supplemented by a Supplemental Indenture, dated as of February 8, 2007 and a Second Supplemental Indenture, dated as of January 28, 2009 (so supplemented and as may be further amended, supplemented, waived or otherwise modified to the date hereof, the “</w:t>
      </w:r>
      <w:r>
        <w:rPr>
          <w:rFonts w:ascii="Times New Roman" w:cs="Times New Roman" w:eastAsia="Times New Roman" w:hAnsi="Times New Roman"/>
          <w:sz w:val="18"/>
          <w:szCs w:val="18"/>
          <w:u w:val="single" w:color="auto"/>
          <w:color w:val="auto"/>
        </w:rPr>
        <w:t>Indenture</w:t>
      </w:r>
      <w:r>
        <w:rPr>
          <w:rFonts w:ascii="Times New Roman" w:cs="Times New Roman" w:eastAsia="Times New Roman" w:hAnsi="Times New Roman"/>
          <w:sz w:val="18"/>
          <w:szCs w:val="18"/>
          <w:color w:val="auto"/>
        </w:rPr>
        <w:t>”);</w:t>
      </w:r>
    </w:p>
    <w:p>
      <w:pPr>
        <w:spacing w:after="0" w:line="13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WHEREAS, the Issuers and Guarantors wish to amend the Indenture to modify Section 1303 thereof, relating to release of the Guarantees;</w:t>
      </w:r>
    </w:p>
    <w:p>
      <w:pPr>
        <w:spacing w:after="0" w:line="171" w:lineRule="exact"/>
        <w:rPr>
          <w:sz w:val="20"/>
          <w:szCs w:val="20"/>
          <w:color w:val="auto"/>
        </w:rPr>
      </w:pPr>
    </w:p>
    <w:p>
      <w:pPr>
        <w:ind w:right="740" w:firstLine="456"/>
        <w:spacing w:after="0" w:line="275" w:lineRule="auto"/>
        <w:rPr>
          <w:sz w:val="20"/>
          <w:szCs w:val="20"/>
          <w:color w:val="auto"/>
        </w:rPr>
      </w:pPr>
      <w:r>
        <w:rPr>
          <w:rFonts w:ascii="Times New Roman" w:cs="Times New Roman" w:eastAsia="Times New Roman" w:hAnsi="Times New Roman"/>
          <w:sz w:val="18"/>
          <w:szCs w:val="18"/>
          <w:color w:val="auto"/>
        </w:rPr>
        <w:t>WHEREAS, all conditions and requirements necessary to make this Third Supplemental Indenture a valid and binding agreement have been duly performed and complied with; and</w:t>
      </w:r>
    </w:p>
    <w:p>
      <w:pPr>
        <w:spacing w:after="0" w:line="120" w:lineRule="exact"/>
        <w:rPr>
          <w:sz w:val="20"/>
          <w:szCs w:val="20"/>
          <w:color w:val="auto"/>
        </w:rPr>
      </w:pPr>
    </w:p>
    <w:p>
      <w:pPr>
        <w:ind w:right="120" w:firstLine="456"/>
        <w:spacing w:after="0" w:line="275" w:lineRule="auto"/>
        <w:rPr>
          <w:sz w:val="20"/>
          <w:szCs w:val="20"/>
          <w:color w:val="auto"/>
        </w:rPr>
      </w:pPr>
      <w:r>
        <w:rPr>
          <w:rFonts w:ascii="Times New Roman" w:cs="Times New Roman" w:eastAsia="Times New Roman" w:hAnsi="Times New Roman"/>
          <w:sz w:val="18"/>
          <w:szCs w:val="18"/>
          <w:color w:val="auto"/>
        </w:rPr>
        <w:t>WHEREAS, pursuant to Section 901 of the Indenture, the parties hereto are authorized to execute and deliver this Third Supplemental Indenture to amend the Indenture, without the consent of any Holder;</w:t>
      </w:r>
    </w:p>
    <w:p>
      <w:pPr>
        <w:spacing w:after="0" w:line="120" w:lineRule="exact"/>
        <w:rPr>
          <w:sz w:val="20"/>
          <w:szCs w:val="20"/>
          <w:color w:val="auto"/>
        </w:rPr>
      </w:pPr>
    </w:p>
    <w:p>
      <w:pPr>
        <w:jc w:val="center"/>
        <w:ind w:right="80"/>
        <w:spacing w:after="0" w:line="339" w:lineRule="auto"/>
        <w:rPr>
          <w:sz w:val="20"/>
          <w:szCs w:val="20"/>
          <w:color w:val="auto"/>
        </w:rPr>
      </w:pPr>
      <w:r>
        <w:rPr>
          <w:rFonts w:ascii="Times New Roman" w:cs="Times New Roman" w:eastAsia="Times New Roman" w:hAnsi="Times New Roman"/>
          <w:sz w:val="16"/>
          <w:szCs w:val="16"/>
          <w:color w:val="auto"/>
        </w:rPr>
        <w:t>NOW THEREFORE, in consideration of the foregoing and for other good and valuable consideration, the receipt and sufficiency of which is hereby acknowledged, the Issuers, each Guarantor and the Trustee mutually covenant and agree, for the equal and ratable benefit of the Holders of the Notes, as follows:</w:t>
      </w:r>
    </w:p>
    <w:p>
      <w:pPr>
        <w:spacing w:after="0" w:line="156"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color w:val="auto"/>
        </w:rPr>
        <w:t>ARTICLE I — AMENDMENT</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SECTION 1.01. AMENDMENT TO SECTION 1303 OF THE INDENTURE.</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Section 1303 of the Indenture is amended in its entirety to read as follows:</w:t>
      </w:r>
    </w:p>
    <w:p>
      <w:pPr>
        <w:spacing w:after="0" w:line="90" w:lineRule="exact"/>
        <w:rPr>
          <w:sz w:val="20"/>
          <w:szCs w:val="20"/>
          <w:color w:val="auto"/>
        </w:rPr>
      </w:pPr>
    </w:p>
    <w:p>
      <w:pPr>
        <w:jc w:val="both"/>
        <w:ind w:left="460" w:right="360" w:firstLine="438"/>
        <w:spacing w:after="0" w:line="258" w:lineRule="auto"/>
        <w:rPr>
          <w:sz w:val="20"/>
          <w:szCs w:val="20"/>
          <w:color w:val="auto"/>
        </w:rPr>
      </w:pPr>
      <w:r>
        <w:rPr>
          <w:rFonts w:ascii="Times New Roman" w:cs="Times New Roman" w:eastAsia="Times New Roman" w:hAnsi="Times New Roman"/>
          <w:sz w:val="18"/>
          <w:szCs w:val="18"/>
          <w:color w:val="auto"/>
        </w:rPr>
        <w:t xml:space="preserve">“Section 1303. </w:t>
      </w:r>
      <w:r>
        <w:rPr>
          <w:rFonts w:ascii="Times New Roman" w:cs="Times New Roman" w:eastAsia="Times New Roman" w:hAnsi="Times New Roman"/>
          <w:sz w:val="18"/>
          <w:szCs w:val="18"/>
          <w:u w:val="single" w:color="auto"/>
          <w:color w:val="auto"/>
        </w:rPr>
        <w:t>Release of Guarantees</w:t>
      </w:r>
      <w:r>
        <w:rPr>
          <w:rFonts w:ascii="Times New Roman" w:cs="Times New Roman" w:eastAsia="Times New Roman" w:hAnsi="Times New Roman"/>
          <w:sz w:val="18"/>
          <w:szCs w:val="18"/>
          <w:color w:val="auto"/>
        </w:rPr>
        <w:t>. Notwithstanding the provisions of Section 1302, a Guarantee will be subject to termination and discharge under the circumstances described in this Section 1303. A Guarantor will automatically and unconditionally be released from all obligations under its Guarantee, and such Guarantee shall thereupon terminate and be discharged and of no further force or effect, (i) in the case of a Subsidiary Guarantor, concurrently with such</w:t>
      </w:r>
    </w:p>
    <w:p>
      <w:pPr>
        <w:sectPr>
          <w:pgSz w:w="11900" w:h="16838" w:orient="portrait"/>
          <w:cols w:equalWidth="0" w:num="1">
            <w:col w:w="11420"/>
          </w:cols>
          <w:pgMar w:left="240" w:top="123" w:right="239" w:bottom="1440" w:gutter="0" w:footer="0" w:header="0"/>
        </w:sectPr>
      </w:pPr>
    </w:p>
    <w:bookmarkStart w:id="140" w:name="page141"/>
    <w:bookmarkEnd w:id="140"/>
    <w:p>
      <w:pPr>
        <w:ind w:left="460"/>
        <w:spacing w:after="0" w:line="286"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Subsidiary Guarantor becoming an Unrestricted Subsidiary or concurrently with any direct or indirect sale or disposition (by merger or otherwise) of any Subsidiary Guarantor or any interest therein not prohibited by the terms of this Indenture (including Section 411 and Section 501) by the Company or a Restricted Subsidiary, following which such Subsidiary Guarantor is no longer a Restricted Subsidiary of the Company, (ii) at any time that such Guarantor is released from all of its obligations under all of its Guarantees of payment by the Company of any Indebtedness of the Company under the Senior Credit Facility (it being understood that a release subject to contingent reinstatement is still a release, and that if any such Guarantee is so reinstated, such Guarantee shall also be reinstated), provided that the release of obligations described in this clause (ii) shall not apply to Avis Budget Group, Inc., (iii) upon the merger or consolidation of any Guarantor with and into the Company or another Guarantor that is the surviving Person in such merger or consolidation, or upon the liquidation of such Guarantor following or contemporaneously with the transfer of all of its assets to the Company or another Guarantor, provided that the release of obligations described in this clause (iii) shall not apply to Avis Budget Group, Inc., (iv) upon legal or covenant defeasance of the Company’s obligations, or satisfaction and discharge of this Indenture, or (v) subject to Section 1302(b), upon payment in full of all monetary obligations of the Company under this indenture and the Notes, whether for principal of or interest on the Notes, expenses, indemnification or otherwise. In addition, the Company will have the right, upon 30 days’ notice to the Trustee, to cause any Subsidiary Guarantor that has not guaranteed payment by the Company of any Indebtedness of the Company under the Senior Credit Facility to be unconditionally released from all obligations under its Subsidiary Guarantee, and such Subsidiary Guarantee shall thereupon terminate and be discharged and of no further force or effect.”</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II — MISCELLANEOUS</w:t>
      </w:r>
    </w:p>
    <w:p>
      <w:pPr>
        <w:spacing w:after="0" w:line="171" w:lineRule="exact"/>
        <w:rPr>
          <w:sz w:val="20"/>
          <w:szCs w:val="20"/>
          <w:color w:val="auto"/>
        </w:rPr>
      </w:pPr>
    </w:p>
    <w:p>
      <w:pPr>
        <w:jc w:val="both"/>
        <w:ind w:right="60" w:firstLine="456"/>
        <w:spacing w:after="0" w:line="262" w:lineRule="auto"/>
        <w:rPr>
          <w:sz w:val="20"/>
          <w:szCs w:val="20"/>
          <w:color w:val="auto"/>
        </w:rPr>
      </w:pPr>
      <w:r>
        <w:rPr>
          <w:rFonts w:ascii="Times New Roman" w:cs="Times New Roman" w:eastAsia="Times New Roman" w:hAnsi="Times New Roman"/>
          <w:sz w:val="18"/>
          <w:szCs w:val="18"/>
          <w:color w:val="auto"/>
        </w:rPr>
        <w:t>SECTION 2.01. EFFECT OF SUPPLEMENTAL INDENTURE. From and after the effective date of this Third Supplemental Indenture, the Indenture and the Notes shall be supplemented in accordance herewith, and this Third Supplemental Indenture shall form a part of the Indenture and the Notes for all purposes, and every Holder of Notes heretofore or hereafter authenticated and delivered under the Indenture shall be bound thereby.</w:t>
      </w:r>
    </w:p>
    <w:p>
      <w:pPr>
        <w:spacing w:after="0" w:line="132" w:lineRule="exact"/>
        <w:rPr>
          <w:sz w:val="20"/>
          <w:szCs w:val="20"/>
          <w:color w:val="auto"/>
        </w:rPr>
      </w:pPr>
    </w:p>
    <w:p>
      <w:pPr>
        <w:ind w:right="440" w:firstLine="456"/>
        <w:spacing w:after="0" w:line="310" w:lineRule="auto"/>
        <w:rPr>
          <w:sz w:val="20"/>
          <w:szCs w:val="20"/>
          <w:color w:val="auto"/>
        </w:rPr>
      </w:pPr>
      <w:r>
        <w:rPr>
          <w:rFonts w:ascii="Times New Roman" w:cs="Times New Roman" w:eastAsia="Times New Roman" w:hAnsi="Times New Roman"/>
          <w:sz w:val="16"/>
          <w:szCs w:val="16"/>
          <w:color w:val="auto"/>
        </w:rPr>
        <w:t>SECTION 2.02. REFERENCES TO SUPPLEMENTAL INDENTURE. Any and all notices, requests, certificates and other instruments executed and delivered after the execution and delivery of this Third Supplemental Indenture may refer to the Indenture without making specific reference to this Third Supplemental Indenture, but nevertheless all such references shall include this Third Supplemental Indenture unless the context requires otherwise.</w:t>
      </w:r>
    </w:p>
    <w:p>
      <w:pPr>
        <w:spacing w:after="0" w:line="97" w:lineRule="exact"/>
        <w:rPr>
          <w:sz w:val="20"/>
          <w:szCs w:val="20"/>
          <w:color w:val="auto"/>
        </w:rPr>
      </w:pPr>
    </w:p>
    <w:p>
      <w:pPr>
        <w:ind w:right="140" w:firstLine="456"/>
        <w:spacing w:after="0" w:line="310" w:lineRule="auto"/>
        <w:rPr>
          <w:sz w:val="20"/>
          <w:szCs w:val="20"/>
          <w:color w:val="auto"/>
        </w:rPr>
      </w:pPr>
      <w:r>
        <w:rPr>
          <w:rFonts w:ascii="Times New Roman" w:cs="Times New Roman" w:eastAsia="Times New Roman" w:hAnsi="Times New Roman"/>
          <w:sz w:val="16"/>
          <w:szCs w:val="16"/>
          <w:color w:val="auto"/>
        </w:rPr>
        <w:t>SECTION 2.03. GOVERNING LAW. THIS THIRD SUPPLEMENTAL INDENTURE SHALL BE GOVERNED BY AND CONSTRUED IN ACCORDANCE WITH THE LAWS OF THE STATE OF NEW YORK. THE TRUSTEE, THE COMPANY, ANY OTHER OBLIGOR IN RESPECT OF THE NOTES AND (BY THEIR ACCEPTANCE OF THE NOTES) THE HOLDERS AGREE TO SUBMIT TO THE JURISDICTION OF ANY UNITED STATES</w:t>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00"/>
          </w:cols>
          <w:pgMar w:left="240" w:top="274" w:right="259" w:bottom="1440" w:gutter="0" w:footer="0" w:header="0"/>
        </w:sectPr>
      </w:pPr>
    </w:p>
    <w:bookmarkStart w:id="141" w:name="page142"/>
    <w:bookmarkEnd w:id="141"/>
    <w:p>
      <w:pPr>
        <w:ind w:right="160"/>
        <w:spacing w:after="0" w:line="27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FEDERAL OR STATE COURT LOCATED IN THE BOROUGH OF MANHATTAN, IN THE CITY OF NEW YORK, IN ANY ACTION OR PROCEEDING ARISING OUT OF OR RELATING TO THIS THIRD SUPPLEMENTAL INDENTURE.</w:t>
      </w:r>
    </w:p>
    <w:p>
      <w:pPr>
        <w:spacing w:after="0" w:line="120" w:lineRule="exact"/>
        <w:rPr>
          <w:sz w:val="20"/>
          <w:szCs w:val="20"/>
          <w:color w:val="auto"/>
        </w:rPr>
      </w:pPr>
    </w:p>
    <w:p>
      <w:pPr>
        <w:ind w:right="100" w:firstLine="456"/>
        <w:spacing w:after="0" w:line="258" w:lineRule="auto"/>
        <w:rPr>
          <w:sz w:val="20"/>
          <w:szCs w:val="20"/>
          <w:color w:val="auto"/>
        </w:rPr>
      </w:pPr>
      <w:r>
        <w:rPr>
          <w:rFonts w:ascii="Times New Roman" w:cs="Times New Roman" w:eastAsia="Times New Roman" w:hAnsi="Times New Roman"/>
          <w:sz w:val="18"/>
          <w:szCs w:val="18"/>
          <w:color w:val="auto"/>
        </w:rPr>
        <w:t>SECTION 2.04. RATIFICATION OF INDENTURE; SUPPLEMENTAL INDENTURES PART OF INDENTURE. Except as expressly amended hereby, the Indenture is in all respects ratified and confirmed and all the terms, conditions and provisions thereof shall remain in full force and effect. This Third Supplemental Indenture shall form a part of the Indenture for all purposes, and every Holder of Notes heretofore or hereafter authenticated and delivered shall be bound hereby.</w:t>
      </w:r>
    </w:p>
    <w:p>
      <w:pPr>
        <w:spacing w:after="0" w:line="136" w:lineRule="exact"/>
        <w:rPr>
          <w:sz w:val="20"/>
          <w:szCs w:val="20"/>
          <w:color w:val="auto"/>
        </w:rPr>
      </w:pPr>
    </w:p>
    <w:p>
      <w:pPr>
        <w:ind w:right="60" w:firstLine="456"/>
        <w:spacing w:after="0" w:line="258" w:lineRule="auto"/>
        <w:rPr>
          <w:sz w:val="20"/>
          <w:szCs w:val="20"/>
          <w:color w:val="auto"/>
        </w:rPr>
      </w:pPr>
      <w:r>
        <w:rPr>
          <w:rFonts w:ascii="Times New Roman" w:cs="Times New Roman" w:eastAsia="Times New Roman" w:hAnsi="Times New Roman"/>
          <w:sz w:val="18"/>
          <w:szCs w:val="18"/>
          <w:color w:val="auto"/>
        </w:rPr>
        <w:t>SECTION 2.05. TRUSTEE. The Trustee accepts the trusts created by the Indenture, as amended and supplemented by this Third Supplemental Indenture, and agrees to perform the same upon the terms and conditions of the Indenture, as amended and supplemented by this Third Supplemental Indenture. The Trustee makes no representation or warranty as to the validity or sufficiency of this Third Supplemental Indenture or as to the accuracy of the recitals to this Third Supplemental Indenture.</w:t>
      </w:r>
    </w:p>
    <w:p>
      <w:pPr>
        <w:spacing w:after="0" w:line="136" w:lineRule="exact"/>
        <w:rPr>
          <w:sz w:val="20"/>
          <w:szCs w:val="20"/>
          <w:color w:val="auto"/>
        </w:rPr>
      </w:pPr>
    </w:p>
    <w:p>
      <w:pPr>
        <w:ind w:right="160" w:firstLine="456"/>
        <w:spacing w:after="0" w:line="339" w:lineRule="auto"/>
        <w:rPr>
          <w:sz w:val="20"/>
          <w:szCs w:val="20"/>
          <w:color w:val="auto"/>
        </w:rPr>
      </w:pPr>
      <w:r>
        <w:rPr>
          <w:rFonts w:ascii="Times New Roman" w:cs="Times New Roman" w:eastAsia="Times New Roman" w:hAnsi="Times New Roman"/>
          <w:sz w:val="16"/>
          <w:szCs w:val="16"/>
          <w:color w:val="auto"/>
        </w:rPr>
        <w:t>SECTION 2.06. SEVERABILITY. If any court of competent jurisdiction shall determine that any provision in this Third Supplemental Indenture shall be invalid, illegal or unenforceable, the validity, legality and enforceability of the remaining provisions shall not in any way be affected or impaired thereby.</w:t>
      </w:r>
    </w:p>
    <w:p>
      <w:pPr>
        <w:spacing w:after="0" w:line="74" w:lineRule="exact"/>
        <w:rPr>
          <w:sz w:val="20"/>
          <w:szCs w:val="20"/>
          <w:color w:val="auto"/>
        </w:rPr>
      </w:pPr>
    </w:p>
    <w:p>
      <w:pPr>
        <w:ind w:firstLine="456"/>
        <w:spacing w:after="0" w:line="275" w:lineRule="auto"/>
        <w:rPr>
          <w:sz w:val="20"/>
          <w:szCs w:val="20"/>
          <w:color w:val="auto"/>
        </w:rPr>
      </w:pPr>
      <w:r>
        <w:rPr>
          <w:rFonts w:ascii="Times New Roman" w:cs="Times New Roman" w:eastAsia="Times New Roman" w:hAnsi="Times New Roman"/>
          <w:sz w:val="18"/>
          <w:szCs w:val="18"/>
          <w:color w:val="auto"/>
        </w:rPr>
        <w:t>SECTION 2.07. HEADINGS. The Article and Section headings of this Third Supplemental Indenture have been inserted for convenience of reference only, are not to be considered a part of this Third Supplemental Indenture and shall in no way modify or restrict any of the terms or provisions hereof.</w:t>
      </w:r>
    </w:p>
    <w:p>
      <w:pPr>
        <w:spacing w:after="0" w:line="120" w:lineRule="exact"/>
        <w:rPr>
          <w:sz w:val="20"/>
          <w:szCs w:val="20"/>
          <w:color w:val="auto"/>
        </w:rPr>
      </w:pPr>
    </w:p>
    <w:p>
      <w:pPr>
        <w:ind w:right="40" w:firstLine="456"/>
        <w:spacing w:after="0" w:line="262" w:lineRule="auto"/>
        <w:rPr>
          <w:sz w:val="20"/>
          <w:szCs w:val="20"/>
          <w:color w:val="auto"/>
        </w:rPr>
      </w:pPr>
      <w:r>
        <w:rPr>
          <w:rFonts w:ascii="Times New Roman" w:cs="Times New Roman" w:eastAsia="Times New Roman" w:hAnsi="Times New Roman"/>
          <w:sz w:val="18"/>
          <w:szCs w:val="18"/>
          <w:color w:val="auto"/>
        </w:rPr>
        <w:t>SECTION 2.08. BENEFITS OF THIRD SUPPLEMENTAL INDENTURE. Nothing in this Third Supplemental Indenture or the Notes, express or implied, shall give to any Person, other than the parties hereto and thereto and their successors hereunder and thereunder and the Holders of the Notes any benefit of any legal or equitable right, remedy or claim under the Indenture, this Third Supplemental Indenture or the Notes.</w:t>
      </w:r>
    </w:p>
    <w:p>
      <w:pPr>
        <w:spacing w:after="0" w:line="132" w:lineRule="exact"/>
        <w:rPr>
          <w:sz w:val="20"/>
          <w:szCs w:val="20"/>
          <w:color w:val="auto"/>
        </w:rPr>
      </w:pPr>
    </w:p>
    <w:p>
      <w:pPr>
        <w:ind w:right="200" w:firstLine="456"/>
        <w:spacing w:after="0" w:line="262" w:lineRule="auto"/>
        <w:rPr>
          <w:sz w:val="20"/>
          <w:szCs w:val="20"/>
          <w:color w:val="auto"/>
        </w:rPr>
      </w:pPr>
      <w:r>
        <w:rPr>
          <w:rFonts w:ascii="Times New Roman" w:cs="Times New Roman" w:eastAsia="Times New Roman" w:hAnsi="Times New Roman"/>
          <w:sz w:val="18"/>
          <w:szCs w:val="18"/>
          <w:color w:val="auto"/>
        </w:rPr>
        <w:t>SECTION 2.09. SUCCESSORS AND ASSIGNS. All agreements by the Issuers and the Guarantors in this Third Supplemental Indenture shall bind their respective successors and assigns, whether or not so expressed. All agreements by the Trustee in this Third Supplemental Indenture shall bind its successors, whether or not so expressed.</w:t>
      </w:r>
    </w:p>
    <w:p>
      <w:pPr>
        <w:spacing w:after="0" w:line="132" w:lineRule="exact"/>
        <w:rPr>
          <w:sz w:val="20"/>
          <w:szCs w:val="20"/>
          <w:color w:val="auto"/>
        </w:rPr>
      </w:pPr>
    </w:p>
    <w:p>
      <w:pPr>
        <w:ind w:right="320" w:firstLine="456"/>
        <w:spacing w:after="0" w:line="275" w:lineRule="auto"/>
        <w:rPr>
          <w:sz w:val="20"/>
          <w:szCs w:val="20"/>
          <w:color w:val="auto"/>
        </w:rPr>
      </w:pPr>
      <w:r>
        <w:rPr>
          <w:rFonts w:ascii="Times New Roman" w:cs="Times New Roman" w:eastAsia="Times New Roman" w:hAnsi="Times New Roman"/>
          <w:sz w:val="18"/>
          <w:szCs w:val="18"/>
          <w:color w:val="auto"/>
        </w:rPr>
        <w:t>SECTION 2.10. COUNTERPART ORIGINALS. This Third Supplemental Indenture may be executed in any number of counterparts, and each of such counterparts shall for all purposes be deemed to be an original, but all of such counterparts shall together constitute one and the same instrument.</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20"/>
          </w:cols>
          <w:pgMar w:left="240" w:top="274" w:right="23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hereto have caused this Third Supplemental Indenture to be duly executed as of the date first written above.</w:t>
      </w:r>
    </w:p>
    <w:p>
      <w:pPr>
        <w:spacing w:after="0" w:line="235"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8"/>
          <w:szCs w:val="18"/>
          <w:color w:val="auto"/>
        </w:rPr>
        <w:t>AVIS BUDGET CAR RENTAL, LLC</w:t>
      </w:r>
    </w:p>
    <w:p>
      <w:pPr>
        <w:spacing w:after="0" w:line="21"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8"/>
          <w:szCs w:val="18"/>
          <w:color w:val="auto"/>
        </w:rPr>
        <w:t>AVIS BUDGET FINANCE, INC.</w:t>
      </w:r>
    </w:p>
    <w:p>
      <w:pPr>
        <w:spacing w:after="0" w:line="9"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8"/>
          <w:szCs w:val="18"/>
          <w:color w:val="auto"/>
        </w:rPr>
        <w:t>AVIS BUDGET HOLDINGS, LLC</w:t>
      </w:r>
    </w:p>
    <w:p>
      <w:pPr>
        <w:spacing w:after="0" w:line="9"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8"/>
          <w:szCs w:val="18"/>
          <w:color w:val="auto"/>
        </w:rPr>
        <w:t>AVIS ASIA AND PACIFIC, LIMITED</w:t>
      </w:r>
    </w:p>
    <w:p>
      <w:pPr>
        <w:spacing w:after="0" w:line="9"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8"/>
          <w:szCs w:val="18"/>
          <w:color w:val="auto"/>
        </w:rPr>
        <w:t>AVIS CAR RENTAL GROUP, LLC</w:t>
      </w:r>
    </w:p>
    <w:p>
      <w:pPr>
        <w:spacing w:after="0" w:line="9"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8"/>
          <w:szCs w:val="18"/>
          <w:color w:val="auto"/>
        </w:rPr>
        <w:t>AVIS CARIBBEAN, LIMITED</w:t>
      </w:r>
    </w:p>
    <w:p>
      <w:pPr>
        <w:spacing w:after="0" w:line="9"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8"/>
          <w:szCs w:val="18"/>
          <w:color w:val="auto"/>
        </w:rPr>
        <w:t>AVIS ENTERPRISES, INC.</w:t>
      </w:r>
    </w:p>
    <w:p>
      <w:pPr>
        <w:spacing w:after="0" w:line="9"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8"/>
          <w:szCs w:val="18"/>
          <w:color w:val="auto"/>
        </w:rPr>
        <w:t>AVIS GROUP HOLDINGS, LLC</w:t>
      </w:r>
    </w:p>
    <w:p>
      <w:pPr>
        <w:spacing w:after="0" w:line="9"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8"/>
          <w:szCs w:val="18"/>
          <w:color w:val="auto"/>
        </w:rPr>
        <w:t>AVIS INTERNATIONAL, LTD.</w:t>
      </w:r>
    </w:p>
    <w:p>
      <w:pPr>
        <w:spacing w:after="0" w:line="9"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8"/>
          <w:szCs w:val="18"/>
          <w:color w:val="auto"/>
        </w:rPr>
        <w:t>AVIS LEASING CORPORATION</w:t>
      </w:r>
    </w:p>
    <w:p>
      <w:pPr>
        <w:spacing w:after="0" w:line="9"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8"/>
          <w:szCs w:val="18"/>
          <w:color w:val="auto"/>
        </w:rPr>
        <w:t>AVIS RENT A CAR SYSTEM, LLC</w:t>
      </w:r>
    </w:p>
    <w:p>
      <w:pPr>
        <w:spacing w:after="0" w:line="9"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8"/>
          <w:szCs w:val="18"/>
          <w:color w:val="auto"/>
        </w:rPr>
        <w:t>PF CLAIMS MANAGEMENT, LTD.</w:t>
      </w:r>
    </w:p>
    <w:p>
      <w:pPr>
        <w:spacing w:after="0" w:line="9"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8"/>
          <w:szCs w:val="18"/>
          <w:color w:val="auto"/>
        </w:rPr>
        <w:t>WIZARD CO., INC.</w:t>
      </w:r>
    </w:p>
    <w:p>
      <w:pPr>
        <w:spacing w:after="0" w:line="9"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8"/>
          <w:szCs w:val="18"/>
          <w:color w:val="auto"/>
        </w:rPr>
        <w:t>AB CAR RENTAL SERVICES, INC.</w:t>
      </w:r>
    </w:p>
    <w:p>
      <w:pPr>
        <w:spacing w:after="0" w:line="9"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8"/>
          <w:szCs w:val="18"/>
          <w:color w:val="auto"/>
        </w:rPr>
        <w:t>ARACS LLC</w:t>
      </w:r>
    </w:p>
    <w:p>
      <w:pPr>
        <w:spacing w:after="0" w:line="9"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8"/>
          <w:szCs w:val="18"/>
          <w:color w:val="auto"/>
        </w:rPr>
        <w:t>AVIS OPERATIONS, LLC</w:t>
      </w:r>
    </w:p>
    <w:p>
      <w:pPr>
        <w:spacing w:after="0" w:line="9"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8"/>
          <w:szCs w:val="18"/>
          <w:color w:val="auto"/>
        </w:rPr>
        <w:t>PR HOLDCO, INC.</w:t>
      </w:r>
    </w:p>
    <w:p>
      <w:pPr>
        <w:spacing w:after="0" w:line="213"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8"/>
          <w:szCs w:val="18"/>
          <w:color w:val="auto"/>
        </w:rPr>
        <w:t>By:  /s/ David Calabria</w:t>
      </w:r>
    </w:p>
    <w:p>
      <w:pPr>
        <w:spacing w:after="0" w:line="23"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Name: David Calabria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4241165</wp:posOffset>
            </wp:positionH>
            <wp:positionV relativeFrom="paragraph">
              <wp:posOffset>-130175</wp:posOffset>
            </wp:positionV>
            <wp:extent cx="2718435"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1"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Title:  Assistant Treasurer</w:t>
      </w:r>
    </w:p>
    <w:p>
      <w:pPr>
        <w:spacing w:after="0" w:line="213"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8"/>
          <w:szCs w:val="18"/>
          <w:color w:val="auto"/>
        </w:rPr>
        <w:t>AVIS BUDGET GROUP, INC.</w:t>
      </w:r>
    </w:p>
    <w:p>
      <w:pPr>
        <w:spacing w:after="0" w:line="21"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8"/>
          <w:szCs w:val="18"/>
          <w:color w:val="auto"/>
        </w:rPr>
        <w:t>BGI LEASING, INC.</w:t>
      </w:r>
    </w:p>
    <w:p>
      <w:pPr>
        <w:spacing w:after="0" w:line="9"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8"/>
          <w:szCs w:val="18"/>
          <w:color w:val="auto"/>
        </w:rPr>
        <w:t>BUDGET RENT A CAR SYSTEM, INC.</w:t>
      </w:r>
    </w:p>
    <w:p>
      <w:pPr>
        <w:spacing w:after="0" w:line="9"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8"/>
          <w:szCs w:val="18"/>
          <w:color w:val="auto"/>
        </w:rPr>
        <w:t>BUDGET TRUCK RENTAL LLC</w:t>
      </w:r>
    </w:p>
    <w:p>
      <w:pPr>
        <w:spacing w:after="0" w:line="9"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8"/>
          <w:szCs w:val="18"/>
          <w:color w:val="auto"/>
        </w:rPr>
        <w:t>RUNABOUT, LLC</w:t>
      </w:r>
    </w:p>
    <w:p>
      <w:pPr>
        <w:spacing w:after="0" w:line="9"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8"/>
          <w:szCs w:val="18"/>
          <w:color w:val="auto"/>
        </w:rPr>
        <w:t>WIZARD SERVICES, INC.</w:t>
      </w:r>
    </w:p>
    <w:p>
      <w:pPr>
        <w:spacing w:after="0" w:line="213"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8"/>
          <w:szCs w:val="18"/>
          <w:color w:val="auto"/>
        </w:rPr>
        <w:t>By:  /s/ David B. Wyshner</w:t>
      </w:r>
    </w:p>
    <w:p>
      <w:pPr>
        <w:spacing w:after="0" w:line="23"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8"/>
          <w:szCs w:val="18"/>
          <w:color w:val="auto"/>
        </w:rPr>
        <w:t>Name: David B. Wyshner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4241165</wp:posOffset>
            </wp:positionH>
            <wp:positionV relativeFrom="paragraph">
              <wp:posOffset>-130175</wp:posOffset>
            </wp:positionV>
            <wp:extent cx="2718435"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1"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8"/>
          <w:szCs w:val="18"/>
          <w:color w:val="auto"/>
        </w:rPr>
        <w:t>Title:  Executive Vice President and Chief Financial</w:t>
      </w:r>
    </w:p>
    <w:p>
      <w:pPr>
        <w:spacing w:after="0" w:line="9" w:lineRule="exact"/>
        <w:rPr>
          <w:sz w:val="20"/>
          <w:szCs w:val="20"/>
          <w:color w:val="auto"/>
        </w:rPr>
      </w:pPr>
    </w:p>
    <w:p>
      <w:pPr>
        <w:ind w:left="6920"/>
        <w:spacing w:after="0"/>
        <w:rPr>
          <w:sz w:val="20"/>
          <w:szCs w:val="20"/>
          <w:color w:val="auto"/>
        </w:rPr>
      </w:pPr>
      <w:r>
        <w:rPr>
          <w:rFonts w:ascii="Times New Roman" w:cs="Times New Roman" w:eastAsia="Times New Roman" w:hAnsi="Times New Roman"/>
          <w:sz w:val="18"/>
          <w:szCs w:val="18"/>
          <w:color w:val="auto"/>
        </w:rPr>
        <w:t>Officer</w:t>
      </w:r>
    </w:p>
    <w:p>
      <w:pPr>
        <w:spacing w:after="0" w:line="17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i w:val="1"/>
          <w:iCs w:val="1"/>
          <w:color w:val="auto"/>
        </w:rPr>
        <w:t>Signature Page to Third Supplemental Indenture</w:t>
      </w:r>
    </w:p>
    <w:p>
      <w:pPr>
        <w:spacing w:after="0" w:line="16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280"/>
          </w:cols>
          <w:pgMar w:left="700" w:top="274" w:right="919" w:bottom="1440" w:gutter="0" w:footer="0" w:header="0"/>
        </w:sectPr>
      </w:pPr>
    </w:p>
    <w:bookmarkStart w:id="143" w:name="page144"/>
    <w:bookmarkEnd w:id="143"/>
    <w:p>
      <w:pPr>
        <w:jc w:val="right"/>
        <w:ind w:right="39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BANK OF NOVA SCOTIA TRUST</w:t>
      </w:r>
    </w:p>
    <w:p>
      <w:pPr>
        <w:spacing w:after="0" w:line="21"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6"/>
          <w:szCs w:val="16"/>
          <w:color w:val="auto"/>
        </w:rPr>
        <w:t>COMPANY OF NEW YORK, as Trustee</w:t>
      </w:r>
    </w:p>
    <w:p>
      <w:pPr>
        <w:spacing w:after="0" w:line="249"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By:  /s/ Warren Goshine</w:t>
      </w:r>
    </w:p>
    <w:p>
      <w:pPr>
        <w:spacing w:after="0" w:line="23"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Name: Warren Goshine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3771265</wp:posOffset>
            </wp:positionH>
            <wp:positionV relativeFrom="paragraph">
              <wp:posOffset>-130175</wp:posOffset>
            </wp:positionV>
            <wp:extent cx="2718435"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1"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Title: Authorized Officer</w:t>
      </w:r>
    </w:p>
    <w:p>
      <w:pPr>
        <w:spacing w:after="0" w:line="157"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i w:val="1"/>
          <w:iCs w:val="1"/>
          <w:color w:val="auto"/>
        </w:rPr>
        <w:t>Signature Page to Third Supplemental Indenture</w:t>
      </w:r>
    </w:p>
    <w:p>
      <w:pPr>
        <w:spacing w:after="0" w:line="160"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9019"/>
          </w:cols>
          <w:pgMar w:left="1440" w:top="274" w:right="1440" w:bottom="1440" w:gutter="0" w:footer="0" w:header="0"/>
        </w:sectPr>
      </w:pPr>
    </w:p>
    <w:bookmarkStart w:id="144" w:name="page145"/>
    <w:bookmarkEnd w:id="144"/>
    <w:p>
      <w:pPr>
        <w:jc w:val="right"/>
        <w:spacing w:after="0"/>
        <w:rPr>
          <w:sz w:val="20"/>
          <w:szCs w:val="20"/>
          <w:color w:val="auto"/>
        </w:rPr>
      </w:pPr>
      <w:r>
        <w:rPr>
          <w:rFonts w:ascii="Times New Roman" w:cs="Times New Roman" w:eastAsia="Times New Roman" w:hAnsi="Times New Roman"/>
          <w:sz w:val="18"/>
          <w:szCs w:val="18"/>
          <w:b w:val="1"/>
          <w:bCs w:val="1"/>
          <w:color w:val="auto"/>
        </w:rPr>
        <w:t>Exhibit 10.7(a)</w:t>
      </w:r>
    </w:p>
    <w:p>
      <w:pPr>
        <w:spacing w:after="0" w:line="212" w:lineRule="exact"/>
        <w:rPr>
          <w:sz w:val="20"/>
          <w:szCs w:val="20"/>
          <w:color w:val="auto"/>
        </w:rPr>
      </w:pPr>
    </w:p>
    <w:p>
      <w:pPr>
        <w:ind w:left="7900"/>
        <w:spacing w:after="0"/>
        <w:rPr>
          <w:sz w:val="20"/>
          <w:szCs w:val="20"/>
          <w:color w:val="auto"/>
        </w:rPr>
      </w:pPr>
      <w:r>
        <w:rPr>
          <w:rFonts w:ascii="Times New Roman" w:cs="Times New Roman" w:eastAsia="Times New Roman" w:hAnsi="Times New Roman"/>
          <w:sz w:val="18"/>
          <w:szCs w:val="18"/>
          <w:b w:val="1"/>
          <w:bCs w:val="1"/>
          <w:color w:val="auto"/>
        </w:rPr>
        <w:t>Mark J. Servodidio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-120650</wp:posOffset>
            </wp:positionV>
            <wp:extent cx="1766570" cy="28321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766570" cy="283210"/>
                    </a:xfrm>
                    <a:prstGeom prst="rect">
                      <a:avLst/>
                    </a:prstGeom>
                    <a:noFill/>
                  </pic:spPr>
                </pic:pic>
              </a:graphicData>
            </a:graphic>
          </wp:anchor>
        </w:drawing>
      </w:r>
    </w:p>
    <w:p>
      <w:pPr>
        <w:spacing w:after="0" w:line="3" w:lineRule="exact"/>
        <w:rPr>
          <w:sz w:val="20"/>
          <w:szCs w:val="20"/>
          <w:color w:val="auto"/>
        </w:rPr>
      </w:pPr>
    </w:p>
    <w:p>
      <w:pPr>
        <w:ind w:left="7900"/>
        <w:spacing w:after="0"/>
        <w:rPr>
          <w:sz w:val="20"/>
          <w:szCs w:val="20"/>
          <w:color w:val="auto"/>
        </w:rPr>
      </w:pPr>
      <w:r>
        <w:rPr>
          <w:rFonts w:ascii="Times New Roman" w:cs="Times New Roman" w:eastAsia="Times New Roman" w:hAnsi="Times New Roman"/>
          <w:sz w:val="18"/>
          <w:szCs w:val="18"/>
          <w:color w:val="auto"/>
        </w:rPr>
        <w:t>Executive Vice President</w:t>
      </w:r>
    </w:p>
    <w:p>
      <w:pPr>
        <w:spacing w:after="0" w:line="9" w:lineRule="exact"/>
        <w:rPr>
          <w:sz w:val="20"/>
          <w:szCs w:val="20"/>
          <w:color w:val="auto"/>
        </w:rPr>
      </w:pPr>
    </w:p>
    <w:p>
      <w:pPr>
        <w:ind w:left="7900"/>
        <w:spacing w:after="0"/>
        <w:rPr>
          <w:sz w:val="20"/>
          <w:szCs w:val="20"/>
          <w:color w:val="auto"/>
        </w:rPr>
      </w:pPr>
      <w:r>
        <w:rPr>
          <w:rFonts w:ascii="Times New Roman" w:cs="Times New Roman" w:eastAsia="Times New Roman" w:hAnsi="Times New Roman"/>
          <w:sz w:val="18"/>
          <w:szCs w:val="18"/>
          <w:color w:val="auto"/>
        </w:rPr>
        <w:t>Human Resources</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21, 2008</w:t>
      </w:r>
    </w:p>
    <w:p>
      <w:pPr>
        <w:spacing w:after="0" w:line="16" w:lineRule="exact"/>
        <w:rPr>
          <w:sz w:val="20"/>
          <w:szCs w:val="20"/>
          <w:color w:val="auto"/>
        </w:rPr>
      </w:pPr>
    </w:p>
    <w:p>
      <w:pPr>
        <w:ind w:left="7900"/>
        <w:spacing w:after="0"/>
        <w:rPr>
          <w:sz w:val="20"/>
          <w:szCs w:val="20"/>
          <w:color w:val="auto"/>
        </w:rPr>
      </w:pPr>
      <w:r>
        <w:rPr>
          <w:rFonts w:ascii="Times New Roman" w:cs="Times New Roman" w:eastAsia="Times New Roman" w:hAnsi="Times New Roman"/>
          <w:sz w:val="18"/>
          <w:szCs w:val="18"/>
          <w:color w:val="auto"/>
        </w:rPr>
        <w:t>973 496 7797 T</w:t>
      </w:r>
    </w:p>
    <w:p>
      <w:pPr>
        <w:spacing w:after="0" w:line="1" w:lineRule="exact"/>
        <w:rPr>
          <w:sz w:val="20"/>
          <w:szCs w:val="20"/>
          <w:color w:val="auto"/>
        </w:rPr>
      </w:pPr>
    </w:p>
    <w:p>
      <w:pPr>
        <w:ind w:left="7900"/>
        <w:spacing w:after="0"/>
        <w:rPr>
          <w:sz w:val="20"/>
          <w:szCs w:val="20"/>
          <w:color w:val="auto"/>
        </w:rPr>
      </w:pPr>
      <w:r>
        <w:rPr>
          <w:rFonts w:ascii="Times New Roman" w:cs="Times New Roman" w:eastAsia="Times New Roman" w:hAnsi="Times New Roman"/>
          <w:sz w:val="18"/>
          <w:szCs w:val="18"/>
          <w:color w:val="auto"/>
        </w:rPr>
        <w:t>973 496 3322 F</w:t>
      </w:r>
    </w:p>
    <w:p>
      <w:pPr>
        <w:spacing w:after="0" w:line="9" w:lineRule="exact"/>
        <w:rPr>
          <w:sz w:val="20"/>
          <w:szCs w:val="20"/>
          <w:color w:val="auto"/>
        </w:rPr>
      </w:pPr>
    </w:p>
    <w:p>
      <w:pPr>
        <w:ind w:left="7900"/>
        <w:spacing w:after="0"/>
        <w:rPr>
          <w:sz w:val="20"/>
          <w:szCs w:val="20"/>
          <w:color w:val="auto"/>
        </w:rPr>
      </w:pPr>
      <w:r>
        <w:rPr>
          <w:rFonts w:ascii="Times New Roman" w:cs="Times New Roman" w:eastAsia="Times New Roman" w:hAnsi="Times New Roman"/>
          <w:sz w:val="18"/>
          <w:szCs w:val="18"/>
          <w:color w:val="auto"/>
        </w:rPr>
        <w:t>mark.servodidio@avisbudget.com</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Mr. Thomas M. Gartland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507 Green Valley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Racine, WI 53406</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Tom:</w:t>
      </w:r>
    </w:p>
    <w:p>
      <w:pPr>
        <w:spacing w:after="0" w:line="171"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We are pleased to confirm our offer of employment with Avis Budget Car Rental LLC as Executive Vice President, Sales &amp; Marketing. This position reports to Robert Salerno, President &amp; Chief Operating Officer. We anticipate your start date to be on or about April 28, 2008. Your salary, paid on a bi-weekly basis, will be $15,384.62, which equates to an annualized salary of $400,000.00. This offer is contingent upon satisfactory employment, education, drug screening, and reference verifications, as well as compliance with Federal immigration employment law requirements.</w:t>
      </w:r>
    </w:p>
    <w:p>
      <w:pPr>
        <w:spacing w:after="0" w:line="136"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In addition, you will be awarded a sign-on bonus of $50,000, less applicable taxes, payable after 60 days of employment. Assuming your continued employment with the Company through such future dates, you will receive two additional payments, each in the amount of $50,000, on the first and second anniversaries of your first date of employment with the Company in 2009 and 2010, respectively. In the event you voluntarily resign employment or are terminated for cause within one year of your start date or the anniversary of supplemental bonus payments, you agree that you will not have earned this bonus, and you therefore agree to repay the net amount of the bonus to Avis Budget Car Rental LLC within 30 days of your last day of employment.</w:t>
      </w:r>
    </w:p>
    <w:p>
      <w:pPr>
        <w:spacing w:after="0" w:line="139"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You are eligible to participate in the Avis Budget Car Rental Management Incentive Plan for 2008 specific to your role, which currently provides for a target payment of 75% of your eligible earnings, as applicable within the plan guidelines. The plan is based on performance factors as well as Avis Budget’s Earnings Before Interest and Taxes (EBIT) goals. The incentive distribution is typically in the first quarter of the following year. Your eligibility under the 2008 Plan will reflect 12 months of participation.</w:t>
      </w:r>
    </w:p>
    <w:p>
      <w:pPr>
        <w:spacing w:after="0" w:line="136" w:lineRule="exact"/>
        <w:rPr>
          <w:sz w:val="20"/>
          <w:szCs w:val="20"/>
          <w:color w:val="auto"/>
        </w:rPr>
      </w:pPr>
    </w:p>
    <w:p>
      <w:pPr>
        <w:ind w:right="100"/>
        <w:spacing w:after="0" w:line="275" w:lineRule="auto"/>
        <w:rPr>
          <w:sz w:val="20"/>
          <w:szCs w:val="20"/>
          <w:color w:val="auto"/>
        </w:rPr>
      </w:pPr>
      <w:r>
        <w:rPr>
          <w:rFonts w:ascii="Times New Roman" w:cs="Times New Roman" w:eastAsia="Times New Roman" w:hAnsi="Times New Roman"/>
          <w:sz w:val="18"/>
          <w:szCs w:val="18"/>
          <w:color w:val="auto"/>
        </w:rPr>
        <w:t>In addition, you are eligible to participate in the Avis Budget Group Inc. 2008 Executive Strategic Incentive Plan at a target level of 75% of base salary earned in 2008. Payout is anticipated in the first quarter of 2009, contingent upon Company performance versus metrics as detailed in the Plan document.</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 are also eligible to participate in the Executive Management Car Program and Employee Lease Program.</w:t>
      </w:r>
    </w:p>
    <w:p>
      <w:pPr>
        <w:spacing w:after="0" w:line="171"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You will be eligible to participate in the Company’s long-term incentive plan (LTIP), at a level consistent with other executives at your level. All awards are subject to approval by the Compensation Committee of Avis Budget’s Board of Directors and generally take place annually in the first quarter of the year. Generally, awards are based upon, or denominated as, a dollar value and may be all or partially granted in the form of Restricted Stock Units, Performance-based Restricted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121285</wp:posOffset>
            </wp:positionV>
            <wp:extent cx="1329055" cy="18859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329055" cy="188595"/>
                    </a:xfrm>
                    <a:prstGeom prst="rect">
                      <a:avLst/>
                    </a:prstGeom>
                    <a:noFill/>
                  </pic:spPr>
                </pic:pic>
              </a:graphicData>
            </a:graphic>
          </wp:anchor>
        </w:drawing>
      </w:r>
    </w:p>
    <w:p>
      <w:pPr>
        <w:spacing w:after="0" w:line="200" w:lineRule="exact"/>
        <w:rPr>
          <w:sz w:val="20"/>
          <w:szCs w:val="20"/>
          <w:color w:val="auto"/>
        </w:rPr>
      </w:pPr>
    </w:p>
    <w:p>
      <w:pPr>
        <w:spacing w:after="0" w:line="362" w:lineRule="exact"/>
        <w:rPr>
          <w:sz w:val="20"/>
          <w:szCs w:val="20"/>
          <w:color w:val="auto"/>
        </w:rPr>
      </w:pPr>
    </w:p>
    <w:p>
      <w:pPr>
        <w:ind w:left="4120"/>
        <w:spacing w:after="0"/>
        <w:tabs>
          <w:tab w:leader="none" w:pos="7520" w:val="left"/>
          <w:tab w:leader="none" w:pos="9240" w:val="left"/>
        </w:tabs>
        <w:rPr>
          <w:sz w:val="20"/>
          <w:szCs w:val="20"/>
          <w:color w:val="auto"/>
        </w:rPr>
      </w:pPr>
      <w:r>
        <w:rPr>
          <w:rFonts w:ascii="Times New Roman" w:cs="Times New Roman" w:eastAsia="Times New Roman" w:hAnsi="Times New Roman"/>
          <w:sz w:val="18"/>
          <w:szCs w:val="18"/>
          <w:color w:val="auto"/>
        </w:rPr>
        <w:t>Avis Budget Group, Inc.</w:t>
      </w:r>
      <w:r>
        <w:rPr>
          <w:sz w:val="20"/>
          <w:szCs w:val="20"/>
          <w:color w:val="auto"/>
        </w:rPr>
        <w:tab/>
      </w:r>
      <w:r>
        <w:rPr>
          <w:rFonts w:ascii="Times New Roman" w:cs="Times New Roman" w:eastAsia="Times New Roman" w:hAnsi="Times New Roman"/>
          <w:sz w:val="18"/>
          <w:szCs w:val="18"/>
          <w:color w:val="auto"/>
        </w:rPr>
        <w:t>6 Sylvan Way</w:t>
      </w:r>
      <w:r>
        <w:rPr>
          <w:sz w:val="20"/>
          <w:szCs w:val="20"/>
          <w:color w:val="auto"/>
        </w:rPr>
        <w:tab/>
      </w:r>
      <w:r>
        <w:rPr>
          <w:rFonts w:ascii="Times New Roman" w:cs="Times New Roman" w:eastAsia="Times New Roman" w:hAnsi="Times New Roman"/>
          <w:sz w:val="16"/>
          <w:szCs w:val="16"/>
          <w:color w:val="auto"/>
        </w:rPr>
        <w:t>Parsippany, New Jersey 07054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3" w:right="239"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Mr. Thomas M. Gartland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21, 2008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Two</w:t>
      </w:r>
    </w:p>
    <w:p>
      <w:pPr>
        <w:spacing w:after="0" w:line="15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Stock Units, Cash and Stock-Settled SARs at the Company’s discretion. We anticipate that your initial grant at a value of $500,000 will be approved per the Compensation Committee process. Your grant is expected to take the form of Performance-based Restricted Stock Units (30% of value) and time-based Restricted Stock Units (70% of value). The number of shares represented by any award is based on the fair market value of Avis Budget Group stock at time of the Committee’s action. Vesting of performance-based RSUs is determined in accordance with the Plan and generally occurs on the four subsequent anniversaries of the grant date depending upon the Company’s performance over the prior measurement period. Vesting of time-based RSUs generally occurs on the four subsequent anniversaries of the grant date in 25% portions.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You will be provided with relocation assistance under the terms of the Avis Budget Group, Inc. executive level relocation plan. A copy of the Plan is enclosed. To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be eligible for full relocation benefits, we anticipate that you will complete your relocation within six months following your employment date. As part of your</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relocation package, the Company will provide transitional ‘cost of living’ assistance in the form of additional income included in your bi-weekly pay checks. In</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first 12 months following your employment date, you will receive an aggregate $35,000; in the second 12 months $25,000; and in the third 12 months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$15,000. In the event you voluntarily resign employment or are terminated for cause within one year of your start date or anniversary of each COLA payment,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you agree that you will not have earned this payment, and you therefore agree to repay the net amount of the payment to Avis Budget Car Rental LLC within 30</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days of your last day of employment.</w:t>
      </w:r>
    </w:p>
    <w:p>
      <w:pPr>
        <w:spacing w:after="0" w:line="15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the event your position with Avis Budget Car Rental LLC is eliminated or your employment is terminated for any reason (other than for Cause and other than your resignation), then you shall be entitled to receive a severance payment from Avis Budget Car Rental LLC (or its successor) in an amount equal to 24 months of your then current annual base salary, plus target bonus, in lieu of any other severance payment under any other severance plan or policy. In addition, the Company will subsidize CORBA medical benefits to ensure you pay the same rate as an active employee for a period of eighteen (24) months, as well as use of the Company car and AYCO Financial Services. For purposes of the foregoing, “Cause” shall mean: (i) your willful failure to substantially perform your duties as an employee of Avis Budget or any of its subsidiaries (other than any such failure resulting from incapacity due to physical or mental illness); (ii) any act of fraud, misappropriation, dishonesty, embezzlement or similar conduct against Avis Budget or any of its subsidiaries; (iii) your conviction of a felony or any crime involving moral turpitude (which conviction, due to the passage of time or otherwise, is not subject to further appeal); or (iv) your gross negligence in the performance of your duties.</w:t>
      </w:r>
    </w:p>
    <w:p>
      <w:pPr>
        <w:spacing w:after="0" w:line="143" w:lineRule="exact"/>
        <w:rPr>
          <w:sz w:val="20"/>
          <w:szCs w:val="20"/>
          <w:color w:val="auto"/>
        </w:rPr>
      </w:pPr>
    </w:p>
    <w:p>
      <w:pPr>
        <w:ind w:right="300"/>
        <w:spacing w:after="0" w:line="262" w:lineRule="auto"/>
        <w:rPr>
          <w:sz w:val="20"/>
          <w:szCs w:val="20"/>
          <w:color w:val="auto"/>
        </w:rPr>
      </w:pPr>
      <w:r>
        <w:rPr>
          <w:rFonts w:ascii="Times New Roman" w:cs="Times New Roman" w:eastAsia="Times New Roman" w:hAnsi="Times New Roman"/>
          <w:sz w:val="18"/>
          <w:szCs w:val="18"/>
          <w:color w:val="auto"/>
        </w:rPr>
        <w:t>Health and welfare benefits under Avis Budget will become effective on the first calendar day of the month following your date of hire. You will be eligible to participate in the 401K plan as soon as administratively possible, following your start date and subject to the terms and conditions of the plan guidelines. Currently, Avis Budget will match your individual contributions of up to 6% of your annual salary, after one year of service.</w:t>
      </w:r>
    </w:p>
    <w:p>
      <w:pPr>
        <w:spacing w:after="0" w:line="132" w:lineRule="exact"/>
        <w:rPr>
          <w:sz w:val="20"/>
          <w:szCs w:val="20"/>
          <w:color w:val="auto"/>
        </w:rPr>
      </w:pPr>
    </w:p>
    <w:p>
      <w:pPr>
        <w:ind w:right="140"/>
        <w:spacing w:after="0" w:line="262" w:lineRule="auto"/>
        <w:rPr>
          <w:sz w:val="20"/>
          <w:szCs w:val="20"/>
          <w:color w:val="auto"/>
        </w:rPr>
      </w:pPr>
      <w:r>
        <w:rPr>
          <w:rFonts w:ascii="Times New Roman" w:cs="Times New Roman" w:eastAsia="Times New Roman" w:hAnsi="Times New Roman"/>
          <w:sz w:val="18"/>
          <w:szCs w:val="18"/>
          <w:color w:val="auto"/>
        </w:rPr>
        <w:t>In addition, you are eligible to elect participation in certain executive level benefits including financial planning and tax preparation services provided by AYCO Financial Advisory Services, the group Umbrella Liability Plan, and the executive deferred compensation plan. Details of these employee benefits will be provided.</w:t>
      </w:r>
    </w:p>
    <w:p>
      <w:pPr>
        <w:sectPr>
          <w:pgSz w:w="11900" w:h="16838" w:orient="portrait"/>
          <w:cols w:equalWidth="0" w:num="1">
            <w:col w:w="11420"/>
          </w:cols>
          <w:pgMar w:left="240" w:top="274" w:right="239"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Mr. Thomas M. Gartland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21, 2008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Three</w:t>
      </w:r>
    </w:p>
    <w:p>
      <w:pPr>
        <w:spacing w:after="0" w:line="159" w:lineRule="exact"/>
        <w:rPr>
          <w:sz w:val="20"/>
          <w:szCs w:val="20"/>
          <w:color w:val="auto"/>
        </w:rPr>
      </w:pPr>
    </w:p>
    <w:p>
      <w:pPr>
        <w:ind w:right="360"/>
        <w:spacing w:after="0" w:line="310" w:lineRule="auto"/>
        <w:rPr>
          <w:sz w:val="20"/>
          <w:szCs w:val="20"/>
          <w:color w:val="auto"/>
        </w:rPr>
      </w:pPr>
      <w:r>
        <w:rPr>
          <w:rFonts w:ascii="Times New Roman" w:cs="Times New Roman" w:eastAsia="Times New Roman" w:hAnsi="Times New Roman"/>
          <w:sz w:val="16"/>
          <w:szCs w:val="16"/>
          <w:color w:val="auto"/>
        </w:rPr>
        <w:t>Prior to beginning employment with Avis Budget Car Rental LLC, you will need to take a drug-screening test (enclosed is the vendor’s form for your use), establish your U.S. employment eligibility and your identity. Examples of proper identification include a valid passport, or a valid driver’s license, and social security card; alternate acceptable documents are stated on the enclosed list. You must bring this identification with you on your first day of employment.</w:t>
      </w:r>
    </w:p>
    <w:p>
      <w:pPr>
        <w:spacing w:after="0" w:line="97" w:lineRule="exact"/>
        <w:rPr>
          <w:sz w:val="20"/>
          <w:szCs w:val="20"/>
          <w:color w:val="auto"/>
        </w:rPr>
      </w:pPr>
    </w:p>
    <w:p>
      <w:pPr>
        <w:ind w:right="60"/>
        <w:spacing w:after="0" w:line="275" w:lineRule="auto"/>
        <w:rPr>
          <w:sz w:val="20"/>
          <w:szCs w:val="20"/>
          <w:color w:val="auto"/>
        </w:rPr>
      </w:pPr>
      <w:r>
        <w:rPr>
          <w:rFonts w:ascii="Times New Roman" w:cs="Times New Roman" w:eastAsia="Times New Roman" w:hAnsi="Times New Roman"/>
          <w:sz w:val="18"/>
          <w:szCs w:val="18"/>
          <w:color w:val="auto"/>
        </w:rPr>
        <w:t>Please indicate your acceptance of this offer by signing the enclosed copy of this letter and returning to me in the enclosed envelope. In addition, please complete the W-4, I-9 and Avis Budget Car Rental Personal Data Form and fax to me at 973/496-3322 prior to your first day of employment.</w:t>
      </w:r>
    </w:p>
    <w:p>
      <w:pPr>
        <w:spacing w:after="0" w:line="120"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Per Avis Budget’s standard policy, this letter is not intended nor should it be considered as an employment contract for a definite or indefinite period of time. Employment with Avis Budget Car Rental LLC is at will, and either you or the Company may terminate employment at any time, with or without cause. In addition, by signing this letter, you acknowledge that this letter sets forth the entire agreement between you and the Company regarding your employment with the Company, and fully supersedes any prior agreements or understandings, whether written or oral.</w:t>
      </w:r>
    </w:p>
    <w:p>
      <w:pPr>
        <w:spacing w:after="0" w:line="136"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Tom, we are excited that you are joining our organization and look forward to having you as part of the Avis Budget Car Rental team. If there is anything further I can do to assist you, please do not hesitate to contact me at (973) 496-7797.</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Regards,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Mark. J. Servodidio</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Mark. J. Servodidio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2898775"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Executive Vice President – Human Resources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Understood and accepted: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Thomas M. Gartland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Thomas M. Gartland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2898775"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4/21/08</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Date</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Enclosures</w:t>
      </w:r>
    </w:p>
    <w:p>
      <w:pPr>
        <w:spacing w:after="0" w:line="90" w:lineRule="exact"/>
        <w:rPr>
          <w:sz w:val="20"/>
          <w:szCs w:val="20"/>
          <w:color w:val="auto"/>
        </w:rPr>
      </w:pPr>
    </w:p>
    <w:p>
      <w:pPr>
        <w:ind w:left="460" w:right="9720" w:hanging="452"/>
        <w:spacing w:after="0" w:line="339" w:lineRule="auto"/>
        <w:tabs>
          <w:tab w:leader="none" w:pos="460" w:val="left"/>
        </w:tabs>
        <w:numPr>
          <w:ilvl w:val="0"/>
          <w:numId w:val="9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 Robert Salerno E. Pictroski</w:t>
      </w:r>
    </w:p>
    <w:p>
      <w:pPr>
        <w:sectPr>
          <w:pgSz w:w="11900" w:h="16838" w:orient="portrait"/>
          <w:cols w:equalWidth="0" w:num="1">
            <w:col w:w="11400"/>
          </w:cols>
          <w:pgMar w:left="240" w:top="274" w:right="259" w:bottom="1440" w:gutter="0" w:footer="0" w:header="0"/>
        </w:sectPr>
      </w:pPr>
    </w:p>
    <w:bookmarkStart w:id="147" w:name="page148"/>
    <w:bookmarkEnd w:id="147"/>
    <w:p>
      <w:pPr>
        <w:ind w:left="10300"/>
        <w:spacing w:after="0"/>
        <w:rPr>
          <w:sz w:val="20"/>
          <w:szCs w:val="20"/>
          <w:color w:val="auto"/>
        </w:rPr>
      </w:pPr>
      <w:r>
        <w:rPr>
          <w:rFonts w:ascii="Times New Roman" w:cs="Times New Roman" w:eastAsia="Times New Roman" w:hAnsi="Times New Roman"/>
          <w:sz w:val="16"/>
          <w:szCs w:val="16"/>
          <w:b w:val="1"/>
          <w:bCs w:val="1"/>
          <w:color w:val="auto"/>
        </w:rPr>
        <w:t>Exhibit 10.7(b)</w:t>
      </w:r>
    </w:p>
    <w:p>
      <w:pPr>
        <w:spacing w:after="0" w:line="235" w:lineRule="exact"/>
        <w:rPr>
          <w:sz w:val="20"/>
          <w:szCs w:val="20"/>
          <w:color w:val="auto"/>
        </w:rPr>
      </w:pPr>
    </w:p>
    <w:p>
      <w:pPr>
        <w:ind w:left="8540"/>
        <w:spacing w:after="0"/>
        <w:rPr>
          <w:sz w:val="20"/>
          <w:szCs w:val="20"/>
          <w:color w:val="auto"/>
        </w:rPr>
      </w:pPr>
      <w:r>
        <w:rPr>
          <w:rFonts w:ascii="Times New Roman" w:cs="Times New Roman" w:eastAsia="Times New Roman" w:hAnsi="Times New Roman"/>
          <w:sz w:val="18"/>
          <w:szCs w:val="18"/>
          <w:b w:val="1"/>
          <w:bCs w:val="1"/>
          <w:color w:val="auto"/>
        </w:rPr>
        <w:t>Mark J. Servodidio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-120650</wp:posOffset>
            </wp:positionV>
            <wp:extent cx="1766570" cy="28321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766570" cy="283210"/>
                    </a:xfrm>
                    <a:prstGeom prst="rect">
                      <a:avLst/>
                    </a:prstGeom>
                    <a:noFill/>
                  </pic:spPr>
                </pic:pic>
              </a:graphicData>
            </a:graphic>
          </wp:anchor>
        </w:drawing>
      </w:r>
    </w:p>
    <w:p>
      <w:pPr>
        <w:spacing w:after="0" w:line="3" w:lineRule="exact"/>
        <w:rPr>
          <w:sz w:val="20"/>
          <w:szCs w:val="20"/>
          <w:color w:val="auto"/>
        </w:rPr>
      </w:pPr>
    </w:p>
    <w:p>
      <w:pPr>
        <w:ind w:left="8540"/>
        <w:spacing w:after="0"/>
        <w:rPr>
          <w:sz w:val="20"/>
          <w:szCs w:val="20"/>
          <w:color w:val="auto"/>
        </w:rPr>
      </w:pPr>
      <w:r>
        <w:rPr>
          <w:rFonts w:ascii="Times New Roman" w:cs="Times New Roman" w:eastAsia="Times New Roman" w:hAnsi="Times New Roman"/>
          <w:sz w:val="18"/>
          <w:szCs w:val="18"/>
          <w:color w:val="auto"/>
        </w:rPr>
        <w:t>Executive Vice President</w:t>
      </w:r>
    </w:p>
    <w:p>
      <w:pPr>
        <w:spacing w:after="0" w:line="9" w:lineRule="exact"/>
        <w:rPr>
          <w:sz w:val="20"/>
          <w:szCs w:val="20"/>
          <w:color w:val="auto"/>
        </w:rPr>
      </w:pPr>
    </w:p>
    <w:p>
      <w:pPr>
        <w:ind w:left="8540"/>
        <w:spacing w:after="0"/>
        <w:rPr>
          <w:sz w:val="20"/>
          <w:szCs w:val="20"/>
          <w:color w:val="auto"/>
        </w:rPr>
      </w:pPr>
      <w:r>
        <w:rPr>
          <w:rFonts w:ascii="Times New Roman" w:cs="Times New Roman" w:eastAsia="Times New Roman" w:hAnsi="Times New Roman"/>
          <w:sz w:val="18"/>
          <w:szCs w:val="18"/>
          <w:color w:val="auto"/>
        </w:rPr>
        <w:t>Human Resources</w:t>
      </w:r>
    </w:p>
    <w:p>
      <w:pPr>
        <w:sectPr>
          <w:pgSz w:w="11900" w:h="16838" w:orient="portrait"/>
          <w:cols w:equalWidth="0" w:num="1">
            <w:col w:w="11420"/>
          </w:cols>
          <w:pgMar w:left="240" w:top="123" w:right="239" w:bottom="1440" w:gutter="0" w:footer="0" w:header="0"/>
        </w:sect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December 19, 2008</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973 496 7797 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973 496 3322 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mark.servodidio@avisbudget.com</w:t>
      </w:r>
    </w:p>
    <w:p>
      <w:pPr>
        <w:spacing w:after="0" w:line="195" w:lineRule="exact"/>
        <w:rPr>
          <w:sz w:val="20"/>
          <w:szCs w:val="20"/>
          <w:color w:val="auto"/>
        </w:rPr>
      </w:pPr>
    </w:p>
    <w:p>
      <w:pPr>
        <w:sectPr>
          <w:pgSz w:w="11900" w:h="16838" w:orient="portrait"/>
          <w:cols w:equalWidth="0" w:num="2">
            <w:col w:w="7820" w:space="720"/>
            <w:col w:w="2880"/>
          </w:cols>
          <w:pgMar w:left="240" w:top="123" w:right="2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Mr. Thomas Gartland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Executive Vice President,</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Sales &amp; Marketing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Avis Budget Group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 Sylvan Way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Parsippany, NJ 07054</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Tom:</w:t>
      </w:r>
    </w:p>
    <w:p>
      <w:pPr>
        <w:sectPr>
          <w:pgSz w:w="11900" w:h="16838" w:orient="portrait"/>
          <w:cols w:equalWidth="0" w:num="1">
            <w:col w:w="11420"/>
          </w:cols>
          <w:pgMar w:left="240" w:top="123" w:right="239" w:bottom="1440" w:gutter="0" w:footer="0" w:header="0"/>
          <w:type w:val="continuous"/>
        </w:sectPr>
      </w:pPr>
    </w:p>
    <w:p>
      <w:pPr>
        <w:spacing w:after="0" w:line="171" w:lineRule="exact"/>
        <w:rPr>
          <w:sz w:val="20"/>
          <w:szCs w:val="20"/>
          <w:color w:val="auto"/>
        </w:rPr>
      </w:pPr>
    </w:p>
    <w:p>
      <w:pPr>
        <w:ind w:right="140"/>
        <w:spacing w:after="0" w:line="262" w:lineRule="auto"/>
        <w:rPr>
          <w:sz w:val="20"/>
          <w:szCs w:val="20"/>
          <w:color w:val="auto"/>
        </w:rPr>
      </w:pPr>
      <w:r>
        <w:rPr>
          <w:rFonts w:ascii="Times New Roman" w:cs="Times New Roman" w:eastAsia="Times New Roman" w:hAnsi="Times New Roman"/>
          <w:sz w:val="18"/>
          <w:szCs w:val="18"/>
          <w:color w:val="auto"/>
        </w:rPr>
        <w:t>We are pleased to confirm your continued employment with Avis Budget Car Rental, LLC, (“ABCR” or the “Company”), a subsidiary of Avis Budget Group, as Executive Vice President, Sales &amp; Marketing. To comply with the requirements of Section 409A of the Internal Revenue Code and the regulations thereunder (“Section 409A”), the Company is hereby amending and restating this letter agreement as set forth herein.</w:t>
      </w:r>
    </w:p>
    <w:p>
      <w:pPr>
        <w:spacing w:after="0" w:line="132"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As addressed, along with certain other aspects of your employment, in your offer letter of April 21, 2008, your salary will continue to be paid on a bi-weekly basis at its current rate. You will be eligible to receive a target bonus equal to the percentage of your regular base salary during the performance period that is no less than your current target bonus percentage, subject to the Company achieving performance goals as described in the Management Incentive Plan for ABG Senior Executive Leadership and you remaining employed with the Company through the payment date. The bonus distribution is typically in the first quarter of the next year.</w:t>
      </w:r>
    </w:p>
    <w:p>
      <w:pPr>
        <w:spacing w:after="0" w:line="139" w:lineRule="exact"/>
        <w:rPr>
          <w:sz w:val="20"/>
          <w:szCs w:val="20"/>
          <w:color w:val="auto"/>
        </w:rPr>
      </w:pPr>
    </w:p>
    <w:p>
      <w:pPr>
        <w:ind w:right="260"/>
        <w:spacing w:after="0" w:line="275" w:lineRule="auto"/>
        <w:rPr>
          <w:sz w:val="20"/>
          <w:szCs w:val="20"/>
          <w:color w:val="auto"/>
        </w:rPr>
      </w:pPr>
      <w:r>
        <w:rPr>
          <w:rFonts w:ascii="Times New Roman" w:cs="Times New Roman" w:eastAsia="Times New Roman" w:hAnsi="Times New Roman"/>
          <w:sz w:val="18"/>
          <w:szCs w:val="18"/>
          <w:color w:val="auto"/>
        </w:rPr>
        <w:t>Per ABCR’s standard policy, this letter is not intended, nor should it be considered, to be an employment contract for a definite or indefinite period of time. As you know, employment with ABCR is at will, and either you or ABCR may terminate your employment at any time, with or without cause.</w:t>
      </w:r>
    </w:p>
    <w:p>
      <w:pPr>
        <w:spacing w:after="0" w:line="120"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 xml:space="preserve">If, however, your employment with ABCR is terminated by ABCR other than: (i) “for cause” (as defined below); (ii) in connection with your disability which prevents you or is reasonably expected to prevent you from performing services for ABCR for a period of 12 months (your “disability”); or (iii) death, you will receive (1) a lump-sum severance payment within 15 days following the Release Date (as defined below) equal to 200% of the sum of your base salary plus your target incentive (bonus) and (2) perquisites to include continued access to company car usage, financial planning and health coverage (Company-subsidized COBRA) for a period of 24 months. For purposes of this agreement ‘company subsidized COBRA’ shall mean that the Company shall subsidize the total cost of COBRA coverage such that the contributions required of you for health plan participation during the 24 month period shall be substantially equal to the contributions required of active employed executives of ABG. All other programs and perquisites would be governed by their respective plan documents;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provision of such severance pay is subject to, and contingent upon, your executing within forty-five days following your termination of employment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1329055" cy="18859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329055" cy="188595"/>
                    </a:xfrm>
                    <a:prstGeom prst="rect">
                      <a:avLst/>
                    </a:prstGeom>
                    <a:noFill/>
                  </pic:spPr>
                </pic:pic>
              </a:graphicData>
            </a:graphic>
          </wp:anchor>
        </w:drawing>
      </w:r>
    </w:p>
    <w:p>
      <w:pPr>
        <w:spacing w:after="0" w:line="200" w:lineRule="exact"/>
        <w:rPr>
          <w:sz w:val="20"/>
          <w:szCs w:val="20"/>
          <w:color w:val="auto"/>
        </w:rPr>
      </w:pPr>
    </w:p>
    <w:p>
      <w:pPr>
        <w:spacing w:after="0" w:line="369" w:lineRule="exact"/>
        <w:rPr>
          <w:sz w:val="20"/>
          <w:szCs w:val="20"/>
          <w:color w:val="auto"/>
        </w:rPr>
      </w:pPr>
    </w:p>
    <w:p>
      <w:pPr>
        <w:jc w:val="right"/>
        <w:spacing w:after="0"/>
        <w:tabs>
          <w:tab w:leader="none" w:pos="3860" w:val="left"/>
          <w:tab w:leader="none" w:pos="2140" w:val="left"/>
        </w:tabs>
        <w:rPr>
          <w:sz w:val="20"/>
          <w:szCs w:val="20"/>
          <w:color w:val="auto"/>
        </w:rPr>
      </w:pPr>
      <w:r>
        <w:rPr>
          <w:rFonts w:ascii="Times New Roman" w:cs="Times New Roman" w:eastAsia="Times New Roman" w:hAnsi="Times New Roman"/>
          <w:sz w:val="18"/>
          <w:szCs w:val="18"/>
          <w:color w:val="auto"/>
        </w:rPr>
        <w:t>Avis Budget Group, Inc.</w:t>
      </w:r>
      <w:r>
        <w:rPr>
          <w:sz w:val="20"/>
          <w:szCs w:val="20"/>
          <w:color w:val="auto"/>
        </w:rPr>
        <w:tab/>
      </w:r>
      <w:r>
        <w:rPr>
          <w:rFonts w:ascii="Times New Roman" w:cs="Times New Roman" w:eastAsia="Times New Roman" w:hAnsi="Times New Roman"/>
          <w:sz w:val="18"/>
          <w:szCs w:val="18"/>
          <w:color w:val="auto"/>
        </w:rPr>
        <w:t>6 Sylvan Way</w:t>
      </w:r>
      <w:r>
        <w:rPr>
          <w:sz w:val="20"/>
          <w:szCs w:val="20"/>
          <w:color w:val="auto"/>
        </w:rPr>
        <w:tab/>
      </w:r>
      <w:r>
        <w:rPr>
          <w:rFonts w:ascii="Times New Roman" w:cs="Times New Roman" w:eastAsia="Times New Roman" w:hAnsi="Times New Roman"/>
          <w:sz w:val="16"/>
          <w:szCs w:val="16"/>
          <w:color w:val="auto"/>
        </w:rPr>
        <w:t>Parsippany, New Jersey 07054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3" w:right="239" w:bottom="1440" w:gutter="0" w:footer="0" w:header="0"/>
          <w:type w:val="continuous"/>
        </w:sectPr>
      </w:pPr>
    </w:p>
    <w:bookmarkStart w:id="148" w:name="page149"/>
    <w:bookmarkEnd w:id="148"/>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Mr. Thomas Gartland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19, 2008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Two</w:t>
      </w:r>
    </w:p>
    <w:p>
      <w:pPr>
        <w:spacing w:after="0" w:line="159" w:lineRule="exact"/>
        <w:rPr>
          <w:sz w:val="20"/>
          <w:szCs w:val="20"/>
          <w:color w:val="auto"/>
        </w:rPr>
      </w:pPr>
    </w:p>
    <w:p>
      <w:pPr>
        <w:ind w:right="140"/>
        <w:spacing w:after="0" w:line="296" w:lineRule="auto"/>
        <w:rPr>
          <w:sz w:val="20"/>
          <w:szCs w:val="20"/>
          <w:color w:val="auto"/>
        </w:rPr>
      </w:pPr>
      <w:r>
        <w:rPr>
          <w:rFonts w:ascii="Times New Roman" w:cs="Times New Roman" w:eastAsia="Times New Roman" w:hAnsi="Times New Roman"/>
          <w:sz w:val="16"/>
          <w:szCs w:val="16"/>
          <w:color w:val="auto"/>
        </w:rPr>
        <w:t>failing to revoke a separation agreement with ABCR (the date on which the release is no longer revocable, the “Release Date”), in such form determined by ABCR, which requires you, in part, to release all actual and purported claims against ABCR and its affiliates and which also requires you to agree to: (i) protect and not disclose all confidential and proprietary information of ABCR; (ii) not compete, directly or indirectly, against ABCR for a period of no longer than one year after your employment separation or for a period of time and within a geographic scope determined by ABCR to be reasonable to protect ABCR’s business interests; and (iii) not solicit any ABCR employees, consultants, agents or customers during and for one year after your employment separation.</w:t>
      </w:r>
    </w:p>
    <w:p>
      <w:pPr>
        <w:spacing w:after="0" w:line="108"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In addition, if you experience an involuntary termination of employment from ABCR other than “for cause,” and other than as a result of your “disability” or death, you will receive a lump sum cash payment within 15 days following the Release Date equal to the fair market value as of your termination of employment of your stock-based awards which would have vested in accordance with their original vesting schedule by the one-year anniversary of your termination of employment; provided that, to the extent required to achieve deductibility under Section 162(m) of the Internal Revenue Code of awards that vest based on the achievement of performance criteria, with respect to any awards that vest based on the achievement of performance criteria, for performance periods beginning after January 1, 2009, payment in respect of these awards shall not occur unless and until ACBR determines that all applicable performance goals have been attained (and you or your beneficiary will receive such payment at the same time, and on the same basis, as awards granted to other executive officers who are subject to the same performance goals vest).</w:t>
      </w:r>
    </w:p>
    <w:p>
      <w:pPr>
        <w:spacing w:after="0" w:line="138" w:lineRule="exact"/>
        <w:rPr>
          <w:sz w:val="20"/>
          <w:szCs w:val="20"/>
          <w:color w:val="auto"/>
        </w:rPr>
      </w:pPr>
    </w:p>
    <w:p>
      <w:pPr>
        <w:ind w:right="180"/>
        <w:spacing w:after="0" w:line="262" w:lineRule="auto"/>
        <w:rPr>
          <w:sz w:val="20"/>
          <w:szCs w:val="20"/>
          <w:color w:val="auto"/>
        </w:rPr>
      </w:pPr>
      <w:r>
        <w:rPr>
          <w:rFonts w:ascii="Times New Roman" w:cs="Times New Roman" w:eastAsia="Times New Roman" w:hAnsi="Times New Roman"/>
          <w:sz w:val="18"/>
          <w:szCs w:val="18"/>
          <w:color w:val="auto"/>
        </w:rPr>
        <w:t>In addition, if you experience a termination of employment from ABCR due to your “disability” or death, you or your beneficiary will receive a lump sum cash payment within 15 days following the Release Date (or, in the event of your death, within 30 days of your death) equal to the fair market value as of your termination of employment of all of your stock-based awards.</w:t>
      </w:r>
    </w:p>
    <w:p>
      <w:pPr>
        <w:spacing w:after="0" w:line="13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“Termination for Cause” shall mean: (i) your willful failure to substantially perform your duties as an employee of the Company or any subsidiary (other than any such failure resulting from your incapacity due to physical or mental illness); (ii) any act of fraud, misappropriation, dishonesty, embezzlement or similar conduct against the Company or any subsidiary; or (iii) conviction of a felony or any crime involving moral turpitude (which conviction, due to the passage of time or otherwise, is not subject to further appeal).</w:t>
      </w:r>
    </w:p>
    <w:p>
      <w:pPr>
        <w:spacing w:after="0" w:line="136"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 payments and benefits described in this letter are intended to comply with Section 409A and, accordingly, to the maximum extent permitted, the terms of this letter shall be interpreted and administered to be in compliance with Section 409A of the Internal Revenue Code (“Section 409A”). Notwithstanding anything to the contrary contained herein, to the extent required to avoid accelerated taxation and/or tax penalties under Section 409A, you will not be considered to have terminated employment with ACBR for purposes of the benefits provided in this letter and no payments shall be due to you on termination of employment hereunder until you are considered to have incurred a “separation from service” from ACBR within the meaning of Section 409A. Each amount to be paid or benefit to be provided in this letter shall be construed as a separate identified payment for purposes of</w:t>
      </w:r>
    </w:p>
    <w:p>
      <w:pPr>
        <w:sectPr>
          <w:pgSz w:w="11900" w:h="16838" w:orient="portrait"/>
          <w:cols w:equalWidth="0" w:num="1">
            <w:col w:w="11400"/>
          </w:cols>
          <w:pgMar w:left="240" w:top="274" w:right="259" w:bottom="1440" w:gutter="0" w:footer="0" w:header="0"/>
        </w:sectPr>
      </w:pPr>
    </w:p>
    <w:bookmarkStart w:id="149" w:name="page150"/>
    <w:bookmarkEnd w:id="149"/>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Mr. Thomas Gartland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19, 2008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Three</w:t>
      </w:r>
    </w:p>
    <w:p>
      <w:pPr>
        <w:spacing w:after="0" w:line="15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Section 409A. Any payments described in this Agreement that are paid pursuant to a “separation pay plan” as described in Treas. Reg. 1.409A-l(b)(9)(iii) or that are due within the “short term deferral period” as defined in Section 409A shall not be treated as deferred compensation unless applicable law requires otherwise. Notwithstanding anything contained herein, to the extent required in order to avoid accelerated taxation and/or tax penalties under Section 409A amounts that would otherwise be payable and benefits that would otherwise be provided pursuant to this letter (or any other plan or agreement of the Company proving you with payments or benefits upon your separation from service) during the six-month period immediately following your separation from service shall instead be paid or provided on the first business day after the date that is six months following your separation date (or death, if earlier).</w:t>
      </w:r>
    </w:p>
    <w:p>
      <w:pPr>
        <w:spacing w:after="0" w:line="139" w:lineRule="exact"/>
        <w:rPr>
          <w:sz w:val="20"/>
          <w:szCs w:val="20"/>
          <w:color w:val="auto"/>
        </w:rPr>
      </w:pPr>
    </w:p>
    <w:p>
      <w:pPr>
        <w:ind w:right="20"/>
        <w:spacing w:after="0" w:line="275" w:lineRule="auto"/>
        <w:rPr>
          <w:sz w:val="20"/>
          <w:szCs w:val="20"/>
          <w:color w:val="auto"/>
        </w:rPr>
      </w:pPr>
      <w:r>
        <w:rPr>
          <w:rFonts w:ascii="Times New Roman" w:cs="Times New Roman" w:eastAsia="Times New Roman" w:hAnsi="Times New Roman"/>
          <w:sz w:val="18"/>
          <w:szCs w:val="18"/>
          <w:color w:val="auto"/>
        </w:rPr>
        <w:t>The by-laws of the Company provide that officers will be indemnified for their authorized actions on behalf of our Company to the fullest extent permitted under applicable law.</w:t>
      </w:r>
    </w:p>
    <w:p>
      <w:pPr>
        <w:spacing w:after="0" w:line="120" w:lineRule="exact"/>
        <w:rPr>
          <w:sz w:val="20"/>
          <w:szCs w:val="20"/>
          <w:color w:val="auto"/>
        </w:rPr>
      </w:pPr>
    </w:p>
    <w:p>
      <w:pPr>
        <w:ind w:right="420"/>
        <w:spacing w:after="0" w:line="275" w:lineRule="auto"/>
        <w:rPr>
          <w:sz w:val="20"/>
          <w:szCs w:val="20"/>
          <w:color w:val="auto"/>
        </w:rPr>
      </w:pPr>
      <w:r>
        <w:rPr>
          <w:rFonts w:ascii="Times New Roman" w:cs="Times New Roman" w:eastAsia="Times New Roman" w:hAnsi="Times New Roman"/>
          <w:sz w:val="18"/>
          <w:szCs w:val="18"/>
          <w:color w:val="auto"/>
        </w:rPr>
        <w:t>This severance pay as set forth in this letter is in lieu of and supersedes any other severance benefits otherwise payable to you under any other agreement or severance plan of ABCR or its affiliates.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Regards,</w:t>
            </w:r>
          </w:p>
        </w:tc>
        <w:tc>
          <w:tcPr>
            <w:tcW w:w="1740" w:type="dxa"/>
            <w:vAlign w:val="bottom"/>
          </w:tcPr>
          <w:p>
            <w:pPr>
              <w:spacing w:after="0"/>
              <w:rPr>
                <w:sz w:val="19"/>
                <w:szCs w:val="19"/>
                <w:color w:val="auto"/>
              </w:rPr>
            </w:pPr>
          </w:p>
        </w:tc>
      </w:tr>
      <w:tr>
        <w:trPr>
          <w:trHeight w:val="432"/>
        </w:trPr>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/s/ Mark J. Servodidio</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12/30/08</w:t>
            </w:r>
          </w:p>
        </w:tc>
      </w:tr>
    </w:tbl>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Mark J. Servodidio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238379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Executive Vice President – Human Resources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Understood and accepted: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Thomas Gartland</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Thomas Gartland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238379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12/18/08</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ectPr>
          <w:pgSz w:w="11900" w:h="16838" w:orient="portrait"/>
          <w:cols w:equalWidth="0" w:num="1">
            <w:col w:w="11360"/>
          </w:cols>
          <w:pgMar w:left="240" w:top="274" w:right="299" w:bottom="1440" w:gutter="0" w:footer="0" w:header="0"/>
        </w:sectPr>
      </w:pPr>
    </w:p>
    <w:bookmarkStart w:id="150" w:name="page151"/>
    <w:bookmarkEnd w:id="150"/>
    <w:p>
      <w:pPr>
        <w:jc w:val="right"/>
        <w:spacing w:after="0"/>
        <w:rPr>
          <w:sz w:val="20"/>
          <w:szCs w:val="20"/>
          <w:color w:val="auto"/>
        </w:rPr>
      </w:pPr>
      <w:r>
        <w:rPr>
          <w:rFonts w:ascii="Times New Roman" w:cs="Times New Roman" w:eastAsia="Times New Roman" w:hAnsi="Times New Roman"/>
          <w:sz w:val="18"/>
          <w:szCs w:val="18"/>
          <w:b w:val="1"/>
          <w:bCs w:val="1"/>
          <w:color w:val="auto"/>
        </w:rPr>
        <w:t>Exhibit 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1749425" cy="30861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749425"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980" w:hanging="972"/>
        <w:spacing w:after="0"/>
        <w:tabs>
          <w:tab w:leader="none" w:pos="98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1" w:lineRule="exact"/>
        <w:rPr>
          <w:sz w:val="20"/>
          <w:szCs w:val="20"/>
          <w:color w:val="auto"/>
        </w:rPr>
      </w:pPr>
    </w:p>
    <w:p>
      <w:pPr>
        <w:ind w:left="980" w:hanging="972"/>
        <w:spacing w:after="0"/>
        <w:tabs>
          <w:tab w:leader="none" w:pos="98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9" w:lineRule="exact"/>
        <w:rPr>
          <w:rFonts w:ascii="Times New Roman" w:cs="Times New Roman" w:eastAsia="Times New Roman" w:hAnsi="Times New Roman"/>
          <w:sz w:val="18"/>
          <w:szCs w:val="18"/>
          <w:color w:val="auto"/>
        </w:rPr>
      </w:pPr>
    </w:p>
    <w:p>
      <w:pPr>
        <w:ind w:right="9880"/>
        <w:spacing w:after="0" w:line="30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Avis Budget Group 6 Sylvan Way Parsippany, NJ 07054</w:t>
      </w:r>
    </w:p>
    <w:p>
      <w:pPr>
        <w:spacing w:after="0" w:line="103"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color w:val="auto"/>
        </w:rPr>
        <w:t>Dear [</w:t>
      </w:r>
      <w:r>
        <w:rPr>
          <w:sz w:val="20"/>
          <w:szCs w:val="20"/>
          <w:color w:val="auto"/>
        </w:rPr>
        <w:tab/>
      </w:r>
      <w:r>
        <w:rPr>
          <w:rFonts w:ascii="Times New Roman" w:cs="Times New Roman" w:eastAsia="Times New Roman" w:hAnsi="Times New Roman"/>
          <w:sz w:val="16"/>
          <w:szCs w:val="16"/>
          <w:color w:val="auto"/>
        </w:rPr>
        <w: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We are pleased to confirm your continued employment with Avis Budget Car Rental, LLC, (“ABCR” or the “Company”), a subsidiary of Avis Budget Group, as</w:t>
      </w:r>
    </w:p>
    <w:p>
      <w:pPr>
        <w:spacing w:after="0" w:line="44" w:lineRule="exact"/>
        <w:rPr>
          <w:sz w:val="20"/>
          <w:szCs w:val="20"/>
          <w:color w:val="auto"/>
        </w:rPr>
      </w:pPr>
    </w:p>
    <w:p>
      <w:pPr>
        <w:ind w:right="360" w:firstLine="8"/>
        <w:spacing w:after="0" w:line="261" w:lineRule="auto"/>
        <w:tabs>
          <w:tab w:leader="none" w:pos="629"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To comply with the requirements of Section 409A of the Internal Revenue Code and the regulations thereunder (“Section 409A”), the Company is hereby amending and restating this letter agreement as set forth herein.</w:t>
      </w:r>
    </w:p>
    <w:p>
      <w:pPr>
        <w:spacing w:after="0" w:line="132"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Your salary will continue to be paid on a bi-weekly basis at its current rate. You will be eligible to receive a target bonus equal to the percentage of your regular base salary during the performance period that is no less than your current target bonus percentage, subject to the Company achieving performance goals as described in the Management Incentive Plan for ABG Senior Executive Leadership and you remaining employed with the Company through the payment date. The bonus distribution is typically in the first quarter of the next year.</w:t>
      </w:r>
    </w:p>
    <w:p>
      <w:pPr>
        <w:spacing w:after="0" w:line="136" w:lineRule="exact"/>
        <w:rPr>
          <w:sz w:val="20"/>
          <w:szCs w:val="20"/>
          <w:color w:val="auto"/>
        </w:rPr>
      </w:pPr>
    </w:p>
    <w:p>
      <w:pPr>
        <w:ind w:right="260"/>
        <w:spacing w:after="0" w:line="275" w:lineRule="auto"/>
        <w:rPr>
          <w:sz w:val="20"/>
          <w:szCs w:val="20"/>
          <w:color w:val="auto"/>
        </w:rPr>
      </w:pPr>
      <w:r>
        <w:rPr>
          <w:rFonts w:ascii="Times New Roman" w:cs="Times New Roman" w:eastAsia="Times New Roman" w:hAnsi="Times New Roman"/>
          <w:sz w:val="18"/>
          <w:szCs w:val="18"/>
          <w:color w:val="auto"/>
        </w:rPr>
        <w:t>Per ABCR’s standard policy, this letter is not intended, nor should it be considered, to be an employment contract for a definite or indefinite period of time. As you know, employment with ABCR is at will, and either you or ABCR may terminate your employment at any time, with or without cause.</w:t>
      </w:r>
    </w:p>
    <w:p>
      <w:pPr>
        <w:spacing w:after="0" w:line="120" w:lineRule="exact"/>
        <w:rPr>
          <w:sz w:val="20"/>
          <w:szCs w:val="20"/>
          <w:color w:val="auto"/>
        </w:rPr>
      </w:pPr>
    </w:p>
    <w:p>
      <w:pPr>
        <w:ind w:right="220"/>
        <w:spacing w:after="0" w:line="289" w:lineRule="auto"/>
        <w:rPr>
          <w:sz w:val="20"/>
          <w:szCs w:val="20"/>
          <w:color w:val="auto"/>
        </w:rPr>
      </w:pPr>
      <w:r>
        <w:rPr>
          <w:rFonts w:ascii="Times New Roman" w:cs="Times New Roman" w:eastAsia="Times New Roman" w:hAnsi="Times New Roman"/>
          <w:sz w:val="16"/>
          <w:szCs w:val="16"/>
          <w:color w:val="auto"/>
        </w:rPr>
        <w:t>If, however, your employment with ABCR is terminated by ABCR other than: (i) “for cause” (as defined below); (ii) in connection with your disability which prevents you or is reasonably expected to prevent you from performing services for ABCR for a period of 12 months (your “disability”); or (iii) death, you will</w:t>
      </w:r>
    </w:p>
    <w:p>
      <w:pPr>
        <w:spacing w:after="0" w:line="1" w:lineRule="exact"/>
        <w:rPr>
          <w:sz w:val="20"/>
          <w:szCs w:val="20"/>
          <w:color w:val="auto"/>
        </w:rPr>
      </w:pPr>
    </w:p>
    <w:p>
      <w:pPr>
        <w:ind w:right="100"/>
        <w:spacing w:after="0" w:line="281" w:lineRule="auto"/>
        <w:rPr>
          <w:sz w:val="20"/>
          <w:szCs w:val="20"/>
          <w:color w:val="auto"/>
        </w:rPr>
      </w:pPr>
      <w:r>
        <w:rPr>
          <w:rFonts w:ascii="Times New Roman" w:cs="Times New Roman" w:eastAsia="Times New Roman" w:hAnsi="Times New Roman"/>
          <w:sz w:val="16"/>
          <w:szCs w:val="16"/>
          <w:color w:val="auto"/>
        </w:rPr>
        <w:t>receive (1) a lump-sum severance payment within 15 days following the Release Date (as defined below) equal to [ ] of the sum of your base salary plus your target incentive (bonus) and (2) perquisites to include continued access to company car usage, financial planning and health coverage (Company-subsidized</w:t>
      </w:r>
    </w:p>
    <w:p>
      <w:pPr>
        <w:spacing w:after="0" w:line="1"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18"/>
          <w:szCs w:val="18"/>
          <w:color w:val="auto"/>
        </w:rPr>
        <w:t>COBRA) for a period of [ ] months. For purposes of this agreement ‘company subsidized COBRA’ shall mean that the Company shall subsidize the total cost of COBRA coverage such that the contributions required of you for health plan participation during the [ ] month period shall be substantially equal to the</w:t>
      </w:r>
    </w:p>
    <w:p>
      <w:pPr>
        <w:spacing w:after="0" w:line="1" w:lineRule="exact"/>
        <w:rPr>
          <w:sz w:val="20"/>
          <w:szCs w:val="20"/>
          <w:color w:val="auto"/>
        </w:rPr>
      </w:pPr>
    </w:p>
    <w:p>
      <w:pPr>
        <w:ind w:right="20"/>
        <w:spacing w:after="0" w:line="288" w:lineRule="auto"/>
        <w:rPr>
          <w:sz w:val="20"/>
          <w:szCs w:val="20"/>
          <w:color w:val="auto"/>
        </w:rPr>
      </w:pPr>
      <w:r>
        <w:rPr>
          <w:rFonts w:ascii="Times New Roman" w:cs="Times New Roman" w:eastAsia="Times New Roman" w:hAnsi="Times New Roman"/>
          <w:sz w:val="16"/>
          <w:szCs w:val="16"/>
          <w:color w:val="auto"/>
        </w:rPr>
        <w:t xml:space="preserve">contributions required of active employed executives of ABG. All other programs and perquisites would be governed by their respective plan documents;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that the provision of such severance pay is subject to, and contingent upon, your executing within forty-five days following your termination of employment and failing to revoke a separation agreement with ABCR (the date on which the release is no longer revocable, the “Release Date”), in such form determined by ABCR, which requires you, in part, to release all actual and purported claims against ABCR and its affiliates and which also requires you to agree to: (i) protect and not disclose all confidential and proprietary information of ABCR; (ii) not compete, directly or indirectly, against ABCR for a period of no longer than one year after your employment separation or for a period of time and within a geographic scope determined by ABCR to be reasonable to protect ABCR’s business interests; and (iii) not solicit any ABCR employees, consultants, agents or customers during and for one year after your employment separation.</w:t>
      </w:r>
    </w:p>
    <w:p>
      <w:pPr>
        <w:spacing w:after="0" w:line="117" w:lineRule="exact"/>
        <w:rPr>
          <w:sz w:val="20"/>
          <w:szCs w:val="20"/>
          <w:color w:val="auto"/>
        </w:rPr>
      </w:pPr>
    </w:p>
    <w:p>
      <w:pPr>
        <w:ind w:right="380"/>
        <w:spacing w:after="0" w:line="275" w:lineRule="auto"/>
        <w:rPr>
          <w:sz w:val="20"/>
          <w:szCs w:val="20"/>
          <w:color w:val="auto"/>
        </w:rPr>
      </w:pPr>
      <w:r>
        <w:rPr>
          <w:rFonts w:ascii="Times New Roman" w:cs="Times New Roman" w:eastAsia="Times New Roman" w:hAnsi="Times New Roman"/>
          <w:sz w:val="18"/>
          <w:szCs w:val="18"/>
          <w:color w:val="auto"/>
        </w:rPr>
        <w:t>In addition, if you experience an involuntary termination of employment from ABCR other than “for cause,” and other than as a result of your “disability” or death, you will receive a lump sum cash payment</w:t>
      </w:r>
    </w:p>
    <w:p>
      <w:pPr>
        <w:sectPr>
          <w:pgSz w:w="11900" w:h="16838" w:orient="portrait"/>
          <w:cols w:equalWidth="0" w:num="1">
            <w:col w:w="11420"/>
          </w:cols>
          <w:pgMar w:left="240" w:top="123" w:right="239" w:bottom="1440" w:gutter="0" w:footer="0" w:header="0"/>
        </w:sectPr>
      </w:pPr>
    </w:p>
    <w:bookmarkStart w:id="151" w:name="page152"/>
    <w:bookmarkEnd w:id="151"/>
    <w:p>
      <w:pPr>
        <w:ind w:right="60"/>
        <w:spacing w:after="0" w:line="293"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within 15 days following the Release Date equal to the fair market value as of your termination of employment of your stock-based awards which would have vested in accordance with their original vesting schedule by the one-year anniversary of your termination of employment; provided that, to the extent required to achieve deductibility under Section 162(m) of the Internal Revenue Code of awards that vest based on the achievement of performance criteria, with respect to any awards that vest based on the achievement of performance criteria, for performance periods beginning after January 1, 2009, payment in respect of these awards shall not occur unless and until ACBR determines that all applicable performance goals have been attained (and you or your beneficiary will receive such payment at the same time, and on the same basis, as awards granted to other executive officers who are subject to the same performance goals vest).</w:t>
      </w:r>
    </w:p>
    <w:p>
      <w:pPr>
        <w:spacing w:after="0" w:line="111" w:lineRule="exact"/>
        <w:rPr>
          <w:sz w:val="20"/>
          <w:szCs w:val="20"/>
          <w:color w:val="auto"/>
        </w:rPr>
      </w:pPr>
    </w:p>
    <w:p>
      <w:pPr>
        <w:ind w:right="180"/>
        <w:spacing w:after="0" w:line="262" w:lineRule="auto"/>
        <w:rPr>
          <w:sz w:val="20"/>
          <w:szCs w:val="20"/>
          <w:color w:val="auto"/>
        </w:rPr>
      </w:pPr>
      <w:r>
        <w:rPr>
          <w:rFonts w:ascii="Times New Roman" w:cs="Times New Roman" w:eastAsia="Times New Roman" w:hAnsi="Times New Roman"/>
          <w:sz w:val="18"/>
          <w:szCs w:val="18"/>
          <w:color w:val="auto"/>
        </w:rPr>
        <w:t>In addition, if you experience a termination of employment from ABCR due to your “disability” or death, you or your beneficiary will receive a lump sum cash payment within 15 days following the Release Date (or, in the event of your death, within 30 days of your death) equal to the fair market value as of your termination of employment of all of your stock-based awards.</w:t>
      </w:r>
    </w:p>
    <w:p>
      <w:pPr>
        <w:spacing w:after="0" w:line="13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“Termination for Cause” shall mean: (i) your willful failure to substantially perform your duties as an employee of the Company or any subsidiary (other than any such failure resulting from your incapacity due to physical or mental illness); (ii) any act of fraud, misappropriation, dishonesty, embezzlement or similar conduct against the Company or any subsidiary; or (iii) conviction of a felony or any crime involving moral turpitude (which conviction, due to the passage of time or otherwise, is not subject to further appeal).</w:t>
      </w:r>
    </w:p>
    <w:p>
      <w:pPr>
        <w:spacing w:after="0" w:line="136"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The payments and benefits described in this letter are intended to comply with Section 409A and, accordingly, to the maximum extent permitted, the terms of this letter shall be interpreted and administered to be in compliance with Section 409A of the Internal Revenue Code (“Section 409A”). Notwithstanding anything to the contrary contained herein, to the extent required to avoid accelerated taxation and/or tax penalties under Section 409A, you will not be considered to have terminated employment with ACBR for purposes of the benefits provided in this letter and no payments shall be due to you on termination of employment hereunder until you are considered to have incurred a “separation from service” from ACBR within the meaning of Section 409A. Each amount to be paid or benefit to be provided in this letter shall be construed as a separate identified payment for purposes of Section 409A. Any payments described in this Agreement that are paid pursuant to a “separation pay plan” as described in Treas. Reg. 1.409A-1(b)(9)(iii) or that are due within the “short term deferral period” as defined in Section 409A shall not be treated as deferred compensation unless applicable law requires otherwise. Notwithstanding anything contained herein, to the extent required in order to avoid accelerated taxation and/or tax penalties under Section 409A amounts that would otherwise be payable and benefits that would otherwise be provided pursuant to this letter (or any other plan or agreement of the Company providing you with payments or benefits upon your separation from service) during the six-month period immediately following your separation from service shall instead be paid or provided on the first business day after the date that is six months following your separation date (or death, if earlier).</w:t>
      </w:r>
    </w:p>
    <w:p>
      <w:pPr>
        <w:spacing w:after="0" w:line="147" w:lineRule="exact"/>
        <w:rPr>
          <w:sz w:val="20"/>
          <w:szCs w:val="20"/>
          <w:color w:val="auto"/>
        </w:rPr>
      </w:pPr>
    </w:p>
    <w:p>
      <w:pPr>
        <w:ind w:right="60"/>
        <w:spacing w:after="0" w:line="275" w:lineRule="auto"/>
        <w:rPr>
          <w:sz w:val="20"/>
          <w:szCs w:val="20"/>
          <w:color w:val="auto"/>
        </w:rPr>
      </w:pPr>
      <w:r>
        <w:rPr>
          <w:rFonts w:ascii="Times New Roman" w:cs="Times New Roman" w:eastAsia="Times New Roman" w:hAnsi="Times New Roman"/>
          <w:sz w:val="18"/>
          <w:szCs w:val="18"/>
          <w:color w:val="auto"/>
        </w:rPr>
        <w:t>The by-laws of the Company provide that officers will be indemnified for their authorized actions on behalf of our Company to the fullest extent permitted under applicable law.</w:t>
      </w:r>
    </w:p>
    <w:p>
      <w:pPr>
        <w:spacing w:after="0" w:line="120" w:lineRule="exact"/>
        <w:rPr>
          <w:sz w:val="20"/>
          <w:szCs w:val="20"/>
          <w:color w:val="auto"/>
        </w:rPr>
      </w:pPr>
    </w:p>
    <w:p>
      <w:pPr>
        <w:ind w:right="460"/>
        <w:spacing w:after="0" w:line="275" w:lineRule="auto"/>
        <w:rPr>
          <w:sz w:val="20"/>
          <w:szCs w:val="20"/>
          <w:color w:val="auto"/>
        </w:rPr>
      </w:pPr>
      <w:r>
        <w:rPr>
          <w:rFonts w:ascii="Times New Roman" w:cs="Times New Roman" w:eastAsia="Times New Roman" w:hAnsi="Times New Roman"/>
          <w:sz w:val="18"/>
          <w:szCs w:val="18"/>
          <w:color w:val="auto"/>
        </w:rPr>
        <w:t>This severance pay as set forth in this letter is in lieu of and supersedes any other severance benefits otherwise payable to you under any other agreement or severance plan of ABCR or its affiliates.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Regards,</w:t>
      </w:r>
    </w:p>
    <w:p>
      <w:pPr>
        <w:spacing w:after="0" w:line="200" w:lineRule="exact"/>
        <w:rPr>
          <w:sz w:val="20"/>
          <w:szCs w:val="20"/>
          <w:color w:val="auto"/>
        </w:rPr>
      </w:pPr>
    </w:p>
    <w:p>
      <w:pPr>
        <w:spacing w:after="0" w:line="376" w:lineRule="exact"/>
        <w:rPr>
          <w:sz w:val="20"/>
          <w:szCs w:val="20"/>
          <w:color w:val="auto"/>
        </w:rPr>
      </w:pPr>
    </w:p>
    <w:p>
      <w:pPr>
        <w:ind w:left="980" w:hanging="972"/>
        <w:spacing w:after="0"/>
        <w:tabs>
          <w:tab w:leader="none" w:pos="98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1" w:lineRule="exact"/>
        <w:rPr>
          <w:rFonts w:ascii="Times New Roman" w:cs="Times New Roman" w:eastAsia="Times New Roman" w:hAnsi="Times New Roman"/>
          <w:sz w:val="18"/>
          <w:szCs w:val="18"/>
          <w:color w:val="auto"/>
        </w:rPr>
      </w:pPr>
    </w:p>
    <w:p>
      <w:pPr>
        <w:ind w:left="980" w:hanging="972"/>
        <w:spacing w:after="0"/>
        <w:tabs>
          <w:tab w:leader="none" w:pos="98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-275590</wp:posOffset>
            </wp:positionV>
            <wp:extent cx="2898775"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Understood and accepted: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306705</wp:posOffset>
            </wp:positionV>
            <wp:extent cx="2898775"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ectPr>
          <w:pgSz w:w="11900" w:h="16838" w:orient="portrait"/>
          <w:cols w:equalWidth="0" w:num="1">
            <w:col w:w="11400"/>
          </w:cols>
          <w:pgMar w:left="240" w:top="273" w:right="259" w:bottom="1440" w:gutter="0" w:footer="0" w:header="0"/>
        </w:sectPr>
      </w:pPr>
    </w:p>
    <w:bookmarkStart w:id="152" w:name="page153"/>
    <w:bookmarkEnd w:id="152"/>
    <w:p>
      <w:pPr>
        <w:jc w:val="right"/>
        <w:spacing w:after="0"/>
        <w:rPr>
          <w:sz w:val="20"/>
          <w:szCs w:val="20"/>
          <w:color w:val="auto"/>
        </w:rPr>
      </w:pPr>
      <w:r>
        <w:rPr>
          <w:rFonts w:ascii="Times New Roman" w:cs="Times New Roman" w:eastAsia="Times New Roman" w:hAnsi="Times New Roman"/>
          <w:sz w:val="18"/>
          <w:szCs w:val="18"/>
          <w:b w:val="1"/>
          <w:bCs w:val="1"/>
          <w:color w:val="auto"/>
        </w:rPr>
        <w:t>Exhibit 10.11(e)</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 to Avis Budget Group, Inc.</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2007 Equity and Incentive Plan</w:t>
      </w:r>
    </w:p>
    <w:p>
      <w:pPr>
        <w:spacing w:after="0" w:line="159" w:lineRule="exact"/>
        <w:rPr>
          <w:sz w:val="20"/>
          <w:szCs w:val="20"/>
          <w:color w:val="auto"/>
        </w:rPr>
      </w:pPr>
    </w:p>
    <w:p>
      <w:pPr>
        <w:ind w:right="20" w:firstLine="456"/>
        <w:spacing w:after="0" w:line="275" w:lineRule="auto"/>
        <w:rPr>
          <w:sz w:val="20"/>
          <w:szCs w:val="20"/>
          <w:color w:val="auto"/>
        </w:rPr>
      </w:pPr>
      <w:r>
        <w:rPr>
          <w:rFonts w:ascii="Times New Roman" w:cs="Times New Roman" w:eastAsia="Times New Roman" w:hAnsi="Times New Roman"/>
          <w:sz w:val="18"/>
          <w:szCs w:val="18"/>
          <w:color w:val="auto"/>
        </w:rPr>
        <w:t>This Amendment, dated as of January 27, 2010 is made to the Avis Budget Group, Inc. 2007 Equity and Incentive Plan (the “</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Capitalized terms used but not defined herein have the meanings ascribed to them in the Plan.</w:t>
      </w:r>
    </w:p>
    <w:p>
      <w:pPr>
        <w:spacing w:after="0" w:line="12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WHEREAS, Avis Budget Group,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has adopted the Plan; and</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WHEREAS, pursuant to Section 8(d) of the Plan, the Board of Directors of the Company (the “</w:t>
      </w:r>
      <w:r>
        <w:rPr>
          <w:rFonts w:ascii="Times New Roman" w:cs="Times New Roman" w:eastAsia="Times New Roman" w:hAnsi="Times New Roman"/>
          <w:sz w:val="16"/>
          <w:szCs w:val="16"/>
          <w:u w:val="single" w:color="auto"/>
          <w:color w:val="auto"/>
        </w:rPr>
        <w:t>Board</w:t>
      </w:r>
      <w:r>
        <w:rPr>
          <w:rFonts w:ascii="Times New Roman" w:cs="Times New Roman" w:eastAsia="Times New Roman" w:hAnsi="Times New Roman"/>
          <w:sz w:val="16"/>
          <w:szCs w:val="16"/>
          <w:color w:val="auto"/>
        </w:rPr>
        <w:t>”) has the right to amend the Plan from time to time;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w:t>
      </w:r>
    </w:p>
    <w:p>
      <w:pPr>
        <w:spacing w:after="0" w:line="15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WHEREAS, the Board deems it advisable to clarify and amend the Plan;</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NOW, THEREFORE, the Plan is hereby amended as follows:</w:t>
      </w:r>
    </w:p>
    <w:p>
      <w:pPr>
        <w:spacing w:after="0" w:line="90" w:lineRule="exact"/>
        <w:rPr>
          <w:sz w:val="20"/>
          <w:szCs w:val="20"/>
          <w:color w:val="auto"/>
        </w:rPr>
      </w:pPr>
    </w:p>
    <w:p>
      <w:pPr>
        <w:ind w:left="460" w:hanging="452"/>
        <w:spacing w:after="0"/>
        <w:tabs>
          <w:tab w:leader="none" w:pos="46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8(a) of the Plan is hereby deleted and replaced in its entirety with the following:</w:t>
      </w:r>
    </w:p>
    <w:p>
      <w:pPr>
        <w:spacing w:after="0" w:line="90" w:lineRule="exact"/>
        <w:rPr>
          <w:rFonts w:ascii="Times New Roman" w:cs="Times New Roman" w:eastAsia="Times New Roman" w:hAnsi="Times New Roman"/>
          <w:sz w:val="18"/>
          <w:szCs w:val="18"/>
          <w:color w:val="auto"/>
        </w:rPr>
      </w:pPr>
    </w:p>
    <w:p>
      <w:pPr>
        <w:ind w:left="460" w:right="20"/>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Nontransferability</w:t>
      </w:r>
      <w:r>
        <w:rPr>
          <w:rFonts w:ascii="Times New Roman" w:cs="Times New Roman" w:eastAsia="Times New Roman" w:hAnsi="Times New Roman"/>
          <w:sz w:val="18"/>
          <w:szCs w:val="18"/>
          <w:color w:val="auto"/>
        </w:rPr>
        <w:t>. Awards shall not be transferable by a Grantee except by will or the laws of descent and distribution and shall be exercisable during the lifetime of a Grantee only by such Grantee or his guardian or legal representative. Notwithstanding the foregoing, the Committee may, in its sole discretion, permit an Award to be transferred to a “family member” (within the meaning of Section A.1.(a)(5) of the general instructions of Form S-8) for estate planning purposes and for no value, provided that such transfer shall only be valid upon execution of a written instrument in form and substance acceptable to the Committee in its sole discretion evidencing such transfer and the transferee’s acceptance thereof signed by the Grantee and the transferee, and provided, further, that such Award may not be subsequently transferred other than by will or by the laws of descent and distribution or to another “family member” (as permitted by the Committee in its sole discretion) in accordance with the terms of the Plan and the applicable Award agreement, and shall remain subject to the terms of the Plan and the applicable Award agreement. In addition, an Award shall not be assigned, negotiated, pledged or hypothecated in any way (except as provided by law or herein), and an Award shall not be subject to execution, attachment or similar process. Upon any attempt to transfer an Award or in the event of any levy upon an Award by reason of any execution, attachment or similar process contrary to the provisions of the Plan or the applicable Award agreement, such transfer shall be void and of no effect and the Company shall have the right to disregard the same on its books and records and to issue “stop transfer” instructions to its transfer agent.”</w:t>
      </w:r>
    </w:p>
    <w:p>
      <w:pPr>
        <w:spacing w:after="0" w:line="66" w:lineRule="exact"/>
        <w:rPr>
          <w:rFonts w:ascii="Times New Roman" w:cs="Times New Roman" w:eastAsia="Times New Roman" w:hAnsi="Times New Roman"/>
          <w:sz w:val="18"/>
          <w:szCs w:val="18"/>
          <w:color w:val="auto"/>
        </w:rPr>
      </w:pPr>
    </w:p>
    <w:p>
      <w:pPr>
        <w:ind w:left="460" w:right="200" w:hanging="452"/>
        <w:spacing w:after="0" w:line="275" w:lineRule="auto"/>
        <w:tabs>
          <w:tab w:leader="none" w:pos="46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Amendment shall be governed by, interpreted under and construed in accordance with the laws of the State of Delaware, without giving effect to the conflict of laws principles thereof.</w:t>
      </w:r>
    </w:p>
    <w:p>
      <w:pPr>
        <w:spacing w:after="0" w:line="38"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modified by this Amendment, the Plan is hereby confirmed in all respects.</w:t>
      </w:r>
    </w:p>
    <w:p>
      <w:pPr>
        <w:sectPr>
          <w:pgSz w:w="11900" w:h="16838" w:orient="portrait"/>
          <w:cols w:equalWidth="0" w:num="1">
            <w:col w:w="11420"/>
          </w:cols>
          <w:pgMar w:left="240" w:top="123" w:right="239" w:bottom="1440" w:gutter="0" w:footer="0" w:header="0"/>
        </w:sectPr>
      </w:pPr>
    </w:p>
    <w:bookmarkStart w:id="153" w:name="page154"/>
    <w:bookmarkEnd w:id="153"/>
    <w:p>
      <w:pPr>
        <w:ind w:left="460"/>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this Amendment has been duly executed and delivered as of the date and year first written above.</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AVIS BUDGET GROUP,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Jean Marie Sera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6"/>
          <w:szCs w:val="16"/>
          <w:color w:val="auto"/>
        </w:rPr>
        <w:t>Jean Marie Sera</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Senior Vice President and Secretary</w:t>
      </w:r>
    </w:p>
    <w:p>
      <w:pPr>
        <w:spacing w:after="0" w:line="145"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219"/>
          </w:cols>
          <w:pgMar w:left="240" w:top="274" w:right="1440" w:bottom="1440" w:gutter="0" w:footer="0" w:header="0"/>
        </w:sectPr>
      </w:pPr>
    </w:p>
    <w:bookmarkStart w:id="154" w:name="page155"/>
    <w:bookmarkEnd w:id="154"/>
    <w:p>
      <w:pPr>
        <w:jc w:val="right"/>
        <w:spacing w:after="0"/>
        <w:rPr>
          <w:sz w:val="20"/>
          <w:szCs w:val="20"/>
          <w:color w:val="auto"/>
        </w:rPr>
      </w:pPr>
      <w:r>
        <w:rPr>
          <w:rFonts w:ascii="Times New Roman" w:cs="Times New Roman" w:eastAsia="Times New Roman" w:hAnsi="Times New Roman"/>
          <w:sz w:val="18"/>
          <w:szCs w:val="18"/>
          <w:b w:val="1"/>
          <w:bCs w:val="1"/>
          <w:color w:val="auto"/>
        </w:rPr>
        <w:t>Exhibit 10.19(b)</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FIRST AMENDMENT</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AVIS BUDGET GROUP, INC. NON-EMPLOYEE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DIRECTORS DEFERRED COMPENSATION PLAN</w:t>
      </w:r>
    </w:p>
    <w:p>
      <w:pPr>
        <w:spacing w:after="0" w:line="159" w:lineRule="exact"/>
        <w:rPr>
          <w:sz w:val="20"/>
          <w:szCs w:val="20"/>
          <w:color w:val="auto"/>
        </w:rPr>
      </w:pPr>
    </w:p>
    <w:p>
      <w:pPr>
        <w:ind w:right="20" w:firstLine="456"/>
        <w:spacing w:after="0" w:line="262" w:lineRule="auto"/>
        <w:rPr>
          <w:sz w:val="20"/>
          <w:szCs w:val="20"/>
          <w:color w:val="auto"/>
        </w:rPr>
      </w:pPr>
      <w:r>
        <w:rPr>
          <w:rFonts w:ascii="Times New Roman" w:cs="Times New Roman" w:eastAsia="Times New Roman" w:hAnsi="Times New Roman"/>
          <w:sz w:val="18"/>
          <w:szCs w:val="18"/>
          <w:color w:val="auto"/>
        </w:rPr>
        <w:t>Avis Budget Group, Inc. (“Avis”) adopted the Avis Budget Group, Inc. Non-Employee Directors Deferred Compensation Plan (formerly known as Cendant Corporation 1999 Non-Employee Directors Deferred Compensation Plan) (the “Plan”) and amended and restated the Plan as of January 1, 2007. The Firm now desires to further amend the Plan.</w:t>
      </w:r>
    </w:p>
    <w:p>
      <w:pPr>
        <w:spacing w:after="0" w:line="13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NOW, THEREFORE, the Plan is amended as follows, effective February 1, 2010:</w:t>
      </w:r>
    </w:p>
    <w:p>
      <w:pPr>
        <w:spacing w:after="0" w:line="90" w:lineRule="exact"/>
        <w:rPr>
          <w:sz w:val="20"/>
          <w:szCs w:val="20"/>
          <w:color w:val="auto"/>
        </w:rPr>
      </w:pPr>
    </w:p>
    <w:p>
      <w:pPr>
        <w:ind w:left="900" w:hanging="446"/>
        <w:spacing w:after="0"/>
        <w:tabs>
          <w:tab w:leader="none" w:pos="90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9 is amended to read as follows:</w:t>
      </w:r>
    </w:p>
    <w:p>
      <w:pPr>
        <w:spacing w:after="0" w:line="90" w:lineRule="exact"/>
        <w:rPr>
          <w:sz w:val="20"/>
          <w:szCs w:val="20"/>
          <w:color w:val="auto"/>
        </w:rPr>
      </w:pPr>
    </w:p>
    <w:p>
      <w:pPr>
        <w:ind w:left="920" w:right="40"/>
        <w:spacing w:after="0" w:line="253" w:lineRule="auto"/>
        <w:rPr>
          <w:sz w:val="20"/>
          <w:szCs w:val="20"/>
          <w:color w:val="auto"/>
        </w:rPr>
      </w:pPr>
      <w:r>
        <w:rPr>
          <w:rFonts w:ascii="Times New Roman" w:cs="Times New Roman" w:eastAsia="Times New Roman" w:hAnsi="Times New Roman"/>
          <w:sz w:val="18"/>
          <w:szCs w:val="18"/>
          <w:color w:val="auto"/>
        </w:rPr>
        <w:t>For Fees deferred prior to February 1, 2010, each Director (or his or her beneficiary) will receive a distribution of these Fees and any applicable dividends or adjustments in the form of shares of Avis Stock, on the date which is seven months immediately following the date upon which such Director is no longer a member of the Avis Board of Directors for any reason. Distributions shall not occur prior to or following such date under any circumstances. For Fees deferred on or after February 1, 2010, each Director (or his or her beneficiary) will receive a distribution of these Fees and any applicable dividends or adjustments in the form of shares of Avis Stock, as soon as administratively practical after the date upon which such Director is no longer a member of the Avis Board of Directors for any reason. If applicable, each Director (or his or her beneficiary) will also receive a distribution of his or her account (including units deferred prior to the date of any amendment to the Plan), in the form of shares of Wyndham Corporation stock, on the date which is seven months immediately following the date upon which such Director is no longer a member of Avis’s Board of Directors for any reason.</w:t>
      </w:r>
    </w:p>
    <w:p>
      <w:pPr>
        <w:spacing w:after="0" w:line="62" w:lineRule="exact"/>
        <w:rPr>
          <w:sz w:val="20"/>
          <w:szCs w:val="20"/>
          <w:color w:val="auto"/>
        </w:rPr>
      </w:pPr>
    </w:p>
    <w:p>
      <w:pPr>
        <w:ind w:left="920" w:right="100"/>
        <w:spacing w:after="0" w:line="256" w:lineRule="auto"/>
        <w:rPr>
          <w:sz w:val="20"/>
          <w:szCs w:val="20"/>
          <w:color w:val="auto"/>
        </w:rPr>
      </w:pPr>
      <w:r>
        <w:rPr>
          <w:rFonts w:ascii="Times New Roman" w:cs="Times New Roman" w:eastAsia="Times New Roman" w:hAnsi="Times New Roman"/>
          <w:sz w:val="18"/>
          <w:szCs w:val="18"/>
          <w:color w:val="auto"/>
        </w:rPr>
        <w:t>The number of shares of Avis Stock payable to a Director upon distribution will equal the number of Avis Share Units held in such Director’s account as of the date of such distribution. The number of shares of Wyndham Worldwide Corporation stock payable to a Director upon distribution will equal the number of Wyndham Worldwide Corporation common stock units held in such Director’s account as of the date of such distribution. The Committee may, in its sole discretion, provide a Director an election to receive a cash distribution equal in value to the Wyndham Worldwide Corporation stock which would otherwise be distributable.</w:t>
      </w:r>
    </w:p>
    <w:p>
      <w:pPr>
        <w:spacing w:after="0" w:line="137" w:lineRule="exact"/>
        <w:rPr>
          <w:sz w:val="20"/>
          <w:szCs w:val="20"/>
          <w:color w:val="auto"/>
        </w:rPr>
      </w:pPr>
    </w:p>
    <w:p>
      <w:pPr>
        <w:ind w:right="580" w:firstLine="456"/>
        <w:spacing w:after="0" w:line="277" w:lineRule="auto"/>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Avis Budget Group, Inc. has caused these presents to be executed by its duly authorized representative this 28</w:t>
      </w:r>
      <w:r>
        <w:rPr>
          <w:rFonts w:ascii="Times New Roman" w:cs="Times New Roman" w:eastAsia="Times New Roman" w:hAnsi="Times New Roman"/>
          <w:sz w:val="11"/>
          <w:szCs w:val="11"/>
          <w:color w:val="auto"/>
        </w:rPr>
        <w:t>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day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January 2010.</w:t>
      </w:r>
    </w:p>
    <w:p>
      <w:pPr>
        <w:spacing w:after="0" w:line="15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b w:val="1"/>
          <w:bCs w:val="1"/>
          <w:color w:val="auto"/>
        </w:rPr>
        <w:t>Avis Budget Group, Inc.</w:t>
      </w:r>
    </w:p>
    <w:p>
      <w:pPr>
        <w:spacing w:after="0" w:line="22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By:  /s/ Jean M. Sera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14605</wp:posOffset>
            </wp:positionV>
            <wp:extent cx="2718435"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ectPr>
          <w:pgSz w:w="11900" w:h="16838" w:orient="portrait"/>
          <w:cols w:equalWidth="0" w:num="1">
            <w:col w:w="11420"/>
          </w:cols>
          <w:pgMar w:left="240" w:top="123" w:right="239" w:bottom="1440" w:gutter="0" w:footer="0" w:header="0"/>
        </w:sectPr>
      </w:pPr>
    </w:p>
    <w:bookmarkStart w:id="155" w:name="page156"/>
    <w:bookmarkEnd w:id="155"/>
    <w:p>
      <w:pPr>
        <w:jc w:val="right"/>
        <w:spacing w:after="0"/>
        <w:rPr>
          <w:sz w:val="20"/>
          <w:szCs w:val="20"/>
          <w:color w:val="auto"/>
        </w:rPr>
      </w:pPr>
      <w:r>
        <w:rPr>
          <w:rFonts w:ascii="Times New Roman" w:cs="Times New Roman" w:eastAsia="Times New Roman" w:hAnsi="Times New Roman"/>
          <w:sz w:val="18"/>
          <w:szCs w:val="18"/>
          <w:b w:val="1"/>
          <w:bCs w:val="1"/>
          <w:color w:val="auto"/>
        </w:rPr>
        <w:t>Exhibit 10.38(b)</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FIRST AMENDMENT TO THE AMENDED AND RESTATED</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SERIES 2008-1 SUPPLEMENT</w:t>
      </w:r>
    </w:p>
    <w:p>
      <w:pPr>
        <w:spacing w:after="0" w:line="15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This FIRST AMENDMENT TO THE AMENDED AND RESTATED SERIES 2008-1 SUPPLEMENT (this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dated as of</w:t>
      </w:r>
    </w:p>
    <w:p>
      <w:pPr>
        <w:spacing w:after="0" w:line="21"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8"/>
          <w:szCs w:val="18"/>
          <w:color w:val="auto"/>
        </w:rPr>
        <w:t>November 25, 2009, amends the Amended and Restated Series 2008-1 Supplement (the “</w:t>
      </w:r>
      <w:r>
        <w:rPr>
          <w:rFonts w:ascii="Times New Roman" w:cs="Times New Roman" w:eastAsia="Times New Roman" w:hAnsi="Times New Roman"/>
          <w:sz w:val="18"/>
          <w:szCs w:val="18"/>
          <w:u w:val="single" w:color="auto"/>
          <w:color w:val="auto"/>
        </w:rPr>
        <w:t>Series 2008-1 Supplement</w:t>
      </w:r>
      <w:r>
        <w:rPr>
          <w:rFonts w:ascii="Times New Roman" w:cs="Times New Roman" w:eastAsia="Times New Roman" w:hAnsi="Times New Roman"/>
          <w:sz w:val="18"/>
          <w:szCs w:val="18"/>
          <w:color w:val="auto"/>
        </w:rPr>
        <w:t>”), dated as of October 29, 2009, among AVIS BUDGET RENTAL CAR FUNDING (AESOP) LLC, a special purpose limited liability company established under the laws of Delaware (“</w:t>
      </w:r>
      <w:r>
        <w:rPr>
          <w:rFonts w:ascii="Times New Roman" w:cs="Times New Roman" w:eastAsia="Times New Roman" w:hAnsi="Times New Roman"/>
          <w:sz w:val="18"/>
          <w:szCs w:val="18"/>
          <w:u w:val="single" w:color="auto"/>
          <w:color w:val="auto"/>
        </w:rPr>
        <w:t>ABRCF</w:t>
      </w:r>
      <w:r>
        <w:rPr>
          <w:rFonts w:ascii="Times New Roman" w:cs="Times New Roman" w:eastAsia="Times New Roman" w:hAnsi="Times New Roman"/>
          <w:sz w:val="18"/>
          <w:szCs w:val="18"/>
          <w:color w:val="auto"/>
        </w:rPr>
        <w:t>”), AVIS BUDGET CAR RENTAL, LLC, a limited liability company established under the laws of Delaware, as administrator (the “</w:t>
      </w:r>
      <w:r>
        <w:rPr>
          <w:rFonts w:ascii="Times New Roman" w:cs="Times New Roman" w:eastAsia="Times New Roman" w:hAnsi="Times New Roman"/>
          <w:sz w:val="18"/>
          <w:szCs w:val="18"/>
          <w:u w:val="single" w:color="auto"/>
          <w:color w:val="auto"/>
        </w:rPr>
        <w:t>Administrator</w:t>
      </w:r>
      <w:r>
        <w:rPr>
          <w:rFonts w:ascii="Times New Roman" w:cs="Times New Roman" w:eastAsia="Times New Roman" w:hAnsi="Times New Roman"/>
          <w:sz w:val="18"/>
          <w:szCs w:val="18"/>
          <w:color w:val="auto"/>
        </w:rPr>
        <w:t>”), JPMORGAN CHASE BANK, N.A., a national banking association, as administrative agent (the “</w:t>
      </w:r>
      <w:r>
        <w:rPr>
          <w:rFonts w:ascii="Times New Roman" w:cs="Times New Roman" w:eastAsia="Times New Roman" w:hAnsi="Times New Roman"/>
          <w:sz w:val="18"/>
          <w:szCs w:val="18"/>
          <w:u w:val="single" w:color="auto"/>
          <w:color w:val="auto"/>
        </w:rPr>
        <w:t>Administrative Agent</w:t>
      </w:r>
      <w:r>
        <w:rPr>
          <w:rFonts w:ascii="Times New Roman" w:cs="Times New Roman" w:eastAsia="Times New Roman" w:hAnsi="Times New Roman"/>
          <w:sz w:val="18"/>
          <w:szCs w:val="18"/>
          <w:color w:val="auto"/>
        </w:rPr>
        <w:t>”), the several commercial paper conduits listed on Schedule I thereto (each a “</w:t>
      </w:r>
      <w:r>
        <w:rPr>
          <w:rFonts w:ascii="Times New Roman" w:cs="Times New Roman" w:eastAsia="Times New Roman" w:hAnsi="Times New Roman"/>
          <w:sz w:val="18"/>
          <w:szCs w:val="18"/>
          <w:u w:val="single" w:color="auto"/>
          <w:color w:val="auto"/>
        </w:rPr>
        <w:t>CP Conduit Purchaser</w:t>
      </w:r>
      <w:r>
        <w:rPr>
          <w:rFonts w:ascii="Times New Roman" w:cs="Times New Roman" w:eastAsia="Times New Roman" w:hAnsi="Times New Roman"/>
          <w:sz w:val="18"/>
          <w:szCs w:val="18"/>
          <w:color w:val="auto"/>
        </w:rPr>
        <w:t>”), the several banks set forth opposite the name of each CP Conduit Purchaser on Schedule I thereto (each an “</w:t>
      </w:r>
      <w:r>
        <w:rPr>
          <w:rFonts w:ascii="Times New Roman" w:cs="Times New Roman" w:eastAsia="Times New Roman" w:hAnsi="Times New Roman"/>
          <w:sz w:val="18"/>
          <w:szCs w:val="18"/>
          <w:u w:val="single" w:color="auto"/>
          <w:color w:val="auto"/>
        </w:rPr>
        <w:t>APA Bank</w:t>
      </w:r>
      <w:r>
        <w:rPr>
          <w:rFonts w:ascii="Times New Roman" w:cs="Times New Roman" w:eastAsia="Times New Roman" w:hAnsi="Times New Roman"/>
          <w:sz w:val="18"/>
          <w:szCs w:val="18"/>
          <w:color w:val="auto"/>
        </w:rPr>
        <w:t>” with respect to such CP Conduit Purchaser), the several agent banks set forth opposite the name of each CP Conduit Purchaser on Schedule I thereto (each a “</w:t>
      </w:r>
      <w:r>
        <w:rPr>
          <w:rFonts w:ascii="Times New Roman" w:cs="Times New Roman" w:eastAsia="Times New Roman" w:hAnsi="Times New Roman"/>
          <w:sz w:val="18"/>
          <w:szCs w:val="18"/>
          <w:u w:val="single" w:color="auto"/>
          <w:color w:val="auto"/>
        </w:rPr>
        <w:t>Funding Agent</w:t>
      </w:r>
      <w:r>
        <w:rPr>
          <w:rFonts w:ascii="Times New Roman" w:cs="Times New Roman" w:eastAsia="Times New Roman" w:hAnsi="Times New Roman"/>
          <w:sz w:val="18"/>
          <w:szCs w:val="18"/>
          <w:color w:val="auto"/>
        </w:rPr>
        <w:t>” with respect to such CP Conduit Purchaser), THE BANK OF NEW YORK MELLON TRUST COMPANY, N.A., a national banking association, as trustee (in such capacity, the “</w:t>
      </w:r>
      <w:r>
        <w:rPr>
          <w:rFonts w:ascii="Times New Roman" w:cs="Times New Roman" w:eastAsia="Times New Roman" w:hAnsi="Times New Roman"/>
          <w:sz w:val="18"/>
          <w:szCs w:val="18"/>
          <w:u w:val="single" w:color="auto"/>
          <w:color w:val="auto"/>
        </w:rPr>
        <w:t>Trustee</w:t>
      </w:r>
      <w:r>
        <w:rPr>
          <w:rFonts w:ascii="Times New Roman" w:cs="Times New Roman" w:eastAsia="Times New Roman" w:hAnsi="Times New Roman"/>
          <w:sz w:val="18"/>
          <w:szCs w:val="18"/>
          <w:color w:val="auto"/>
        </w:rPr>
        <w:t>”) and as agent for the benefit of the Series 2008-1 Noteholders (in such capacity, the “</w:t>
      </w:r>
      <w:r>
        <w:rPr>
          <w:rFonts w:ascii="Times New Roman" w:cs="Times New Roman" w:eastAsia="Times New Roman" w:hAnsi="Times New Roman"/>
          <w:sz w:val="18"/>
          <w:szCs w:val="18"/>
          <w:u w:val="single" w:color="auto"/>
          <w:color w:val="auto"/>
        </w:rPr>
        <w:t>Series 2008-1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Agent</w:t>
      </w:r>
      <w:r>
        <w:rPr>
          <w:rFonts w:ascii="Times New Roman" w:cs="Times New Roman" w:eastAsia="Times New Roman" w:hAnsi="Times New Roman"/>
          <w:sz w:val="18"/>
          <w:szCs w:val="18"/>
          <w:color w:val="auto"/>
        </w:rPr>
        <w:t>”), to the Second Amended and Restated Base Indenture, dated as of June 3, 2004, between ABRCF and the Trustee (as amended, modified or supplemented from time to time, exclusive of Supplements creating a new Series of Notes, the “</w:t>
      </w:r>
      <w:r>
        <w:rPr>
          <w:rFonts w:ascii="Times New Roman" w:cs="Times New Roman" w:eastAsia="Times New Roman" w:hAnsi="Times New Roman"/>
          <w:sz w:val="18"/>
          <w:szCs w:val="18"/>
          <w:u w:val="single" w:color="auto"/>
          <w:color w:val="auto"/>
        </w:rPr>
        <w:t>Base Indenture</w:t>
      </w:r>
      <w:r>
        <w:rPr>
          <w:rFonts w:ascii="Times New Roman" w:cs="Times New Roman" w:eastAsia="Times New Roman" w:hAnsi="Times New Roman"/>
          <w:sz w:val="18"/>
          <w:szCs w:val="18"/>
          <w:color w:val="auto"/>
        </w:rPr>
        <w:t>”). All capitalized terms used herein and not otherwise defined herein shall have the respective meanings provided therefor in the Definitions List attached as Schedule I to the Base Indenture (as amended through the date hereof) or the Series 2008-1 Supplement, as applicable.</w:t>
      </w: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W I T N E S S E T H</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ind w:right="160" w:firstLine="913"/>
        <w:spacing w:after="0" w:line="275" w:lineRule="auto"/>
        <w:rPr>
          <w:sz w:val="20"/>
          <w:szCs w:val="20"/>
          <w:color w:val="auto"/>
        </w:rPr>
      </w:pPr>
      <w:r>
        <w:rPr>
          <w:rFonts w:ascii="Times New Roman" w:cs="Times New Roman" w:eastAsia="Times New Roman" w:hAnsi="Times New Roman"/>
          <w:sz w:val="18"/>
          <w:szCs w:val="18"/>
          <w:color w:val="auto"/>
        </w:rPr>
        <w:t>WHEREAS, pursuant to Section 12.2 of the Base Indenture, any Supplement thereto may be amended with the consent of ABRCF, the Trustee and the Required Noteholders of the applicable Series of Notes, so long as such amendment only affects the Noteholders of such Series of Notes;</w:t>
      </w:r>
    </w:p>
    <w:p>
      <w:pPr>
        <w:spacing w:after="0" w:line="120" w:lineRule="exact"/>
        <w:rPr>
          <w:sz w:val="20"/>
          <w:szCs w:val="20"/>
          <w:color w:val="auto"/>
        </w:rPr>
      </w:pPr>
    </w:p>
    <w:p>
      <w:pPr>
        <w:ind w:right="240" w:firstLine="913"/>
        <w:spacing w:after="0" w:line="262" w:lineRule="auto"/>
        <w:rPr>
          <w:sz w:val="20"/>
          <w:szCs w:val="20"/>
          <w:color w:val="auto"/>
        </w:rPr>
      </w:pPr>
      <w:r>
        <w:rPr>
          <w:rFonts w:ascii="Times New Roman" w:cs="Times New Roman" w:eastAsia="Times New Roman" w:hAnsi="Times New Roman"/>
          <w:sz w:val="18"/>
          <w:szCs w:val="18"/>
          <w:color w:val="auto"/>
        </w:rPr>
        <w:t>WHEREAS, pursuant to Section 11.11 of the Series 2008-1 Supplement (i) such Supplement may be amended in accordance with the terms of the Base Indenture and (ii) if the consent of the Required Noteholders is required for an amendment pursuant to the Base Indenture, such requirement shall be satisfied if such amendment is consented to by the Requisite Noteholders;</w:t>
      </w:r>
    </w:p>
    <w:p>
      <w:pPr>
        <w:spacing w:after="0" w:line="132" w:lineRule="exact"/>
        <w:rPr>
          <w:sz w:val="20"/>
          <w:szCs w:val="20"/>
          <w:color w:val="auto"/>
        </w:rPr>
      </w:pPr>
    </w:p>
    <w:p>
      <w:pPr>
        <w:ind w:right="460" w:firstLine="913"/>
        <w:spacing w:after="0" w:line="275" w:lineRule="auto"/>
        <w:rPr>
          <w:sz w:val="20"/>
          <w:szCs w:val="20"/>
          <w:color w:val="auto"/>
        </w:rPr>
      </w:pPr>
      <w:r>
        <w:rPr>
          <w:rFonts w:ascii="Times New Roman" w:cs="Times New Roman" w:eastAsia="Times New Roman" w:hAnsi="Times New Roman"/>
          <w:sz w:val="18"/>
          <w:szCs w:val="18"/>
          <w:color w:val="auto"/>
        </w:rPr>
        <w:t>WHEREAS, the parties desire to amend the Series 2008-1 Supplement to modify a condition precedent to any increase of the Purchaser Group Invested Amounts; and</w:t>
      </w:r>
    </w:p>
    <w:p>
      <w:pPr>
        <w:spacing w:after="0" w:line="120" w:lineRule="exact"/>
        <w:rPr>
          <w:sz w:val="20"/>
          <w:szCs w:val="20"/>
          <w:color w:val="auto"/>
        </w:rPr>
      </w:pPr>
    </w:p>
    <w:p>
      <w:pPr>
        <w:ind w:right="180" w:firstLine="913"/>
        <w:spacing w:after="0" w:line="262" w:lineRule="auto"/>
        <w:rPr>
          <w:sz w:val="20"/>
          <w:szCs w:val="20"/>
          <w:color w:val="auto"/>
        </w:rPr>
      </w:pPr>
      <w:r>
        <w:rPr>
          <w:rFonts w:ascii="Times New Roman" w:cs="Times New Roman" w:eastAsia="Times New Roman" w:hAnsi="Times New Roman"/>
          <w:sz w:val="18"/>
          <w:szCs w:val="18"/>
          <w:color w:val="auto"/>
        </w:rPr>
        <w:t>WHEREAS, ABRCF has requested the Trustee, the Series 2008-1 Agent, the Administrator, the Administrative Agent and the Series 2008-1 Noteholders to, and, upon the effectiveness of this Amendment, ABRCF, the Trustee, the Series 2008-1 Agent, the Administrator, the Administrative Agent and each Series 2008-1 Noteholder party hereto have agreed to, amend a certain provision of the Series 2008-1 Supplement as set forth herein;</w:t>
      </w:r>
    </w:p>
    <w:p>
      <w:pPr>
        <w:sectPr>
          <w:pgSz w:w="11900" w:h="16838" w:orient="portrait"/>
          <w:cols w:equalWidth="0" w:num="1">
            <w:col w:w="11420"/>
          </w:cols>
          <w:pgMar w:left="240" w:top="123" w:right="239" w:bottom="1440" w:gutter="0" w:footer="0" w:header="0"/>
        </w:sectPr>
      </w:pPr>
    </w:p>
    <w:bookmarkStart w:id="156" w:name="page157"/>
    <w:bookmarkEnd w:id="156"/>
    <w:p>
      <w:pPr>
        <w:ind w:left="9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NOW, THEREFORE, it is agreed:</w:t>
      </w:r>
    </w:p>
    <w:p>
      <w:pPr>
        <w:spacing w:after="0" w:line="17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 xml:space="preserve">1. </w:t>
      </w:r>
      <w:r>
        <w:rPr>
          <w:rFonts w:ascii="Times New Roman" w:cs="Times New Roman" w:eastAsia="Times New Roman" w:hAnsi="Times New Roman"/>
          <w:sz w:val="18"/>
          <w:szCs w:val="18"/>
          <w:u w:val="single" w:color="auto"/>
          <w:color w:val="auto"/>
        </w:rPr>
        <w:t>Amendment to Section 2.3(c)(iv)</w:t>
      </w:r>
      <w:r>
        <w:rPr>
          <w:rFonts w:ascii="Times New Roman" w:cs="Times New Roman" w:eastAsia="Times New Roman" w:hAnsi="Times New Roman"/>
          <w:sz w:val="18"/>
          <w:szCs w:val="18"/>
          <w:color w:val="auto"/>
        </w:rPr>
        <w:t>. Section 2.3(c)(iv) of the Series 2008-1 Supplement is hereby amended and restated in its entirety as follows:</w:t>
      </w:r>
    </w:p>
    <w:p>
      <w:pPr>
        <w:spacing w:after="0" w:line="90" w:lineRule="exact"/>
        <w:rPr>
          <w:sz w:val="20"/>
          <w:szCs w:val="20"/>
          <w:color w:val="auto"/>
        </w:rPr>
      </w:pPr>
    </w:p>
    <w:p>
      <w:pPr>
        <w:ind w:left="460" w:right="80"/>
        <w:spacing w:after="0" w:line="258" w:lineRule="auto"/>
        <w:rPr>
          <w:sz w:val="20"/>
          <w:szCs w:val="20"/>
          <w:color w:val="auto"/>
        </w:rPr>
      </w:pPr>
      <w:r>
        <w:rPr>
          <w:rFonts w:ascii="Times New Roman" w:cs="Times New Roman" w:eastAsia="Times New Roman" w:hAnsi="Times New Roman"/>
          <w:sz w:val="18"/>
          <w:szCs w:val="18"/>
          <w:color w:val="auto"/>
        </w:rPr>
        <w:t>“(iv) no Amortization Event or Potential Amortization Event (in each case, other than an Amortization Event or Potential Amortization Event in respect of another Series of Notes solely resulting from a Surety Default (as such term is defined in the Supplement pursuant to which such other Series of Notes was issued)) has occurred and is continuing on the Series 2008-1 Closing Date or such Increase Date, as applicable, or would occur and be continuing after giving effect to such Series 2008-1 Initial Invested Amount or such Increase;”</w:t>
      </w:r>
    </w:p>
    <w:p>
      <w:pPr>
        <w:spacing w:after="0" w:line="136" w:lineRule="exact"/>
        <w:rPr>
          <w:sz w:val="20"/>
          <w:szCs w:val="20"/>
          <w:color w:val="auto"/>
        </w:rPr>
      </w:pPr>
    </w:p>
    <w:p>
      <w:pPr>
        <w:ind w:right="60" w:firstLine="921"/>
        <w:spacing w:after="0" w:line="262" w:lineRule="auto"/>
        <w:tabs>
          <w:tab w:leader="none" w:pos="1088"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Direction</w:t>
      </w:r>
      <w:r>
        <w:rPr>
          <w:rFonts w:ascii="Times New Roman" w:cs="Times New Roman" w:eastAsia="Times New Roman" w:hAnsi="Times New Roman"/>
          <w:sz w:val="18"/>
          <w:szCs w:val="18"/>
          <w:color w:val="auto"/>
        </w:rPr>
        <w:t>. By their signatures hereto, each of the undersigned (excluding The Bank of New York Mellon Trust Company, N.A., in its capacity as Trustee and Series 2008-1 Agent) hereby authorize and direct the Trustee and Series 2008-1 Agent to execute this Amendment and take any and all further action necessary or appropriate to give effect to the transaction contemplated hereby.</w:t>
      </w:r>
    </w:p>
    <w:p>
      <w:pPr>
        <w:spacing w:after="0" w:line="132" w:lineRule="exact"/>
        <w:rPr>
          <w:rFonts w:ascii="Times New Roman" w:cs="Times New Roman" w:eastAsia="Times New Roman" w:hAnsi="Times New Roman"/>
          <w:sz w:val="18"/>
          <w:szCs w:val="18"/>
          <w:color w:val="auto"/>
        </w:rPr>
      </w:pPr>
    </w:p>
    <w:p>
      <w:pPr>
        <w:ind w:right="320" w:firstLine="921"/>
        <w:spacing w:after="0" w:line="275" w:lineRule="auto"/>
        <w:tabs>
          <w:tab w:leader="none" w:pos="1088"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Amendment is limited as specified and, except as expressly stated herein, shall not constitute a modification, acceptance or waiver of any other provision of the Series 2008-1 Supplement.</w:t>
      </w:r>
    </w:p>
    <w:p>
      <w:pPr>
        <w:spacing w:after="0" w:line="119" w:lineRule="exact"/>
        <w:rPr>
          <w:rFonts w:ascii="Times New Roman" w:cs="Times New Roman" w:eastAsia="Times New Roman" w:hAnsi="Times New Roman"/>
          <w:sz w:val="18"/>
          <w:szCs w:val="18"/>
          <w:color w:val="auto"/>
        </w:rPr>
      </w:pPr>
    </w:p>
    <w:p>
      <w:pPr>
        <w:ind w:firstLine="921"/>
        <w:spacing w:after="0" w:line="285" w:lineRule="auto"/>
        <w:tabs>
          <w:tab w:leader="none" w:pos="1088" w:val="left"/>
        </w:tabs>
        <w:numPr>
          <w:ilvl w:val="0"/>
          <w:numId w:val="9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Amendment shall become effective on the date (the “</w:t>
      </w:r>
      <w:r>
        <w:rPr>
          <w:rFonts w:ascii="Times New Roman" w:cs="Times New Roman" w:eastAsia="Times New Roman" w:hAnsi="Times New Roman"/>
          <w:sz w:val="16"/>
          <w:szCs w:val="16"/>
          <w:u w:val="single" w:color="auto"/>
          <w:color w:val="auto"/>
        </w:rPr>
        <w:t>Series 2008-1 First Amendment Effective Date</w:t>
      </w:r>
      <w:r>
        <w:rPr>
          <w:rFonts w:ascii="Times New Roman" w:cs="Times New Roman" w:eastAsia="Times New Roman" w:hAnsi="Times New Roman"/>
          <w:sz w:val="16"/>
          <w:szCs w:val="16"/>
          <w:color w:val="auto"/>
        </w:rPr>
        <w:t>”) that is the later of (a) the date hereof or (b) the first date on which each of the following have occurred: (i) each of ABRCF, the Administrator, the Administrative Agent and the Requisite Noteholders shall have executed and delivered this Amendment to the Trustee, and the Trustee shall have executed this Amendment, (ii) the Rating Agency Consent Condition shall have been satisfied with respect to this Amendment, (iii) Standard &amp; Poor’s shall have confirmed that this Amendment shall not result in a withdrawal or downgrade of the rating of the Commercial Paper issued by any CP Conduit Purchaser whose Commercial Paper is rated by Standard &amp; Poor’s on the Series</w:t>
      </w:r>
    </w:p>
    <w:p>
      <w:pPr>
        <w:ind w:right="220"/>
        <w:spacing w:after="0" w:line="261" w:lineRule="auto"/>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2008-1 First Amendment Effective Date and (iv) all certificates and opinions of counsel required under the Base Indenture or by the Series 2008-1 Noteholders shall have been delivered to the Trustee and the Series 2008-1 Noteholders, as applicable.</w:t>
      </w:r>
    </w:p>
    <w:p>
      <w:pPr>
        <w:spacing w:after="0" w:line="131" w:lineRule="exact"/>
        <w:rPr>
          <w:rFonts w:ascii="Times New Roman" w:cs="Times New Roman" w:eastAsia="Times New Roman" w:hAnsi="Times New Roman"/>
          <w:sz w:val="16"/>
          <w:szCs w:val="16"/>
          <w:color w:val="auto"/>
        </w:rPr>
      </w:pPr>
    </w:p>
    <w:p>
      <w:pPr>
        <w:ind w:right="740" w:firstLine="921"/>
        <w:spacing w:after="0" w:line="275" w:lineRule="auto"/>
        <w:tabs>
          <w:tab w:leader="none" w:pos="1088"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and after the Series 2008-1 First Amendment Effective Date, all references to the Series 2008-1 Supplement shall be deemed to be references to the Series 2008-1 Supplement as amended hereby.</w:t>
      </w:r>
    </w:p>
    <w:p>
      <w:pPr>
        <w:spacing w:after="0" w:line="119" w:lineRule="exact"/>
        <w:rPr>
          <w:rFonts w:ascii="Times New Roman" w:cs="Times New Roman" w:eastAsia="Times New Roman" w:hAnsi="Times New Roman"/>
          <w:sz w:val="18"/>
          <w:szCs w:val="18"/>
          <w:color w:val="auto"/>
        </w:rPr>
      </w:pPr>
    </w:p>
    <w:p>
      <w:pPr>
        <w:ind w:right="540" w:firstLine="921"/>
        <w:spacing w:after="0" w:line="275" w:lineRule="auto"/>
        <w:tabs>
          <w:tab w:leader="none" w:pos="1088"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Amendment may be executed in separate counterparts by the parties hereto, each of which when so executed and delivered shall be an original but all of which shall together constitute one and the same instrument.</w:t>
      </w:r>
    </w:p>
    <w:p>
      <w:pPr>
        <w:spacing w:after="0" w:line="119" w:lineRule="exact"/>
        <w:rPr>
          <w:rFonts w:ascii="Times New Roman" w:cs="Times New Roman" w:eastAsia="Times New Roman" w:hAnsi="Times New Roman"/>
          <w:sz w:val="18"/>
          <w:szCs w:val="18"/>
          <w:color w:val="auto"/>
        </w:rPr>
      </w:pPr>
    </w:p>
    <w:p>
      <w:pPr>
        <w:ind w:right="940" w:firstLine="921"/>
        <w:spacing w:after="0" w:line="275" w:lineRule="auto"/>
        <w:tabs>
          <w:tab w:leader="none" w:pos="1088"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AMENDMENT AND THE RIGHTS AND OBLIGATIONS OF THE PARTIES HEREUNDER SHALL BE CONSTRUED IN ACCORDANCE WITH AND GOVERNED BY THE LAWS OF THE STATE OF NEW YORK.</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20"/>
          </w:cols>
          <w:pgMar w:left="240" w:top="274" w:right="239" w:bottom="1440" w:gutter="0" w:footer="0" w:header="0"/>
        </w:sectPr>
      </w:pPr>
    </w:p>
    <w:bookmarkStart w:id="157" w:name="page158"/>
    <w:bookmarkEnd w:id="157"/>
    <w:p>
      <w:pPr>
        <w:ind w:firstLine="913"/>
        <w:spacing w:after="0" w:line="27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hereto have caused this Amendment to be duly executed by their respective duly authorized officers as of the date above first written.</w:t>
      </w:r>
    </w:p>
    <w:p>
      <w:pPr>
        <w:spacing w:after="0" w:line="160"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6"/>
          <w:szCs w:val="16"/>
          <w:color w:val="auto"/>
        </w:rPr>
        <w:t>AVIS BUDGET RENTAL CAR FUNDING (AESOP) LLC, as</w:t>
      </w:r>
    </w:p>
    <w:p>
      <w:pPr>
        <w:spacing w:after="0" w:line="44" w:lineRule="exact"/>
        <w:rPr>
          <w:sz w:val="20"/>
          <w:szCs w:val="20"/>
          <w:color w:val="auto"/>
        </w:rPr>
      </w:pPr>
    </w:p>
    <w:p>
      <w:pPr>
        <w:ind w:left="7080"/>
        <w:spacing w:after="0"/>
        <w:rPr>
          <w:sz w:val="20"/>
          <w:szCs w:val="20"/>
          <w:color w:val="auto"/>
        </w:rPr>
      </w:pPr>
      <w:r>
        <w:rPr>
          <w:rFonts w:ascii="Times New Roman" w:cs="Times New Roman" w:eastAsia="Times New Roman" w:hAnsi="Times New Roman"/>
          <w:sz w:val="18"/>
          <w:szCs w:val="18"/>
          <w:color w:val="auto"/>
        </w:rPr>
        <w:t>Issuer</w:t>
      </w:r>
    </w:p>
    <w:p>
      <w:pPr>
        <w:spacing w:after="0" w:line="213"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By: /s/ Rochelle Tarlowe</w:t>
      </w:r>
    </w:p>
    <w:p>
      <w:pPr>
        <w:spacing w:after="0" w:line="23"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Name: Rochelle Tarlowe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-130175</wp:posOffset>
            </wp:positionV>
            <wp:extent cx="2718435"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1" w:lineRule="exact"/>
        <w:rPr>
          <w:sz w:val="20"/>
          <w:szCs w:val="20"/>
          <w:color w:val="auto"/>
        </w:rPr>
      </w:pPr>
    </w:p>
    <w:p>
      <w:pPr>
        <w:ind w:left="7200"/>
        <w:spacing w:after="0"/>
        <w:tabs>
          <w:tab w:leader="none" w:pos="7760" w:val="left"/>
        </w:tabs>
        <w:rPr>
          <w:sz w:val="20"/>
          <w:szCs w:val="20"/>
          <w:color w:val="auto"/>
        </w:rPr>
      </w:pPr>
      <w:r>
        <w:rPr>
          <w:rFonts w:ascii="Times New Roman" w:cs="Times New Roman" w:eastAsia="Times New Roman" w:hAnsi="Times New Roman"/>
          <w:sz w:val="18"/>
          <w:szCs w:val="18"/>
          <w:color w:val="auto"/>
        </w:rPr>
        <w:t>Title:</w:t>
        <w:tab/>
        <w:t>Vice President and Treasurer</w:t>
      </w:r>
    </w:p>
    <w:p>
      <w:pPr>
        <w:sectPr>
          <w:pgSz w:w="11900" w:h="16838" w:orient="portrait"/>
          <w:cols w:equalWidth="0" w:num="1">
            <w:col w:w="11300"/>
          </w:cols>
          <w:pgMar w:left="240" w:top="274" w:right="359" w:bottom="1440" w:gutter="0" w:footer="0" w:header="0"/>
        </w:sectPr>
      </w:pPr>
    </w:p>
    <w:bookmarkStart w:id="158" w:name="page159"/>
    <w:bookmarkEnd w:id="158"/>
    <w:p>
      <w:pPr>
        <w:ind w:left="5660"/>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BANK OF NEW YORK MELLON TRUST COMPANY,</w:t>
      </w:r>
    </w:p>
    <w:p>
      <w:pPr>
        <w:spacing w:after="0" w:line="44"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8"/>
          <w:szCs w:val="18"/>
          <w:color w:val="auto"/>
        </w:rPr>
        <w:t>N.A., as Trustee and Series 2008-1 Agent</w:t>
      </w:r>
    </w:p>
    <w:p>
      <w:pPr>
        <w:spacing w:after="0" w:line="213"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By: /s/ Sally R. Tokich</w:t>
      </w:r>
    </w:p>
    <w:p>
      <w:pPr>
        <w:spacing w:after="0" w:line="23"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Name: Sally R. Tokich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3771265</wp:posOffset>
            </wp:positionH>
            <wp:positionV relativeFrom="paragraph">
              <wp:posOffset>-130175</wp:posOffset>
            </wp:positionV>
            <wp:extent cx="2718435"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1" w:lineRule="exact"/>
        <w:rPr>
          <w:sz w:val="20"/>
          <w:szCs w:val="20"/>
          <w:color w:val="auto"/>
        </w:rPr>
      </w:pPr>
    </w:p>
    <w:p>
      <w:pPr>
        <w:ind w:left="6000"/>
        <w:spacing w:after="0"/>
        <w:tabs>
          <w:tab w:leader="none" w:pos="6560" w:val="left"/>
        </w:tabs>
        <w:rPr>
          <w:sz w:val="20"/>
          <w:szCs w:val="20"/>
          <w:color w:val="auto"/>
        </w:rPr>
      </w:pPr>
      <w:r>
        <w:rPr>
          <w:rFonts w:ascii="Times New Roman" w:cs="Times New Roman" w:eastAsia="Times New Roman" w:hAnsi="Times New Roman"/>
          <w:sz w:val="18"/>
          <w:szCs w:val="18"/>
          <w:color w:val="auto"/>
        </w:rPr>
        <w:t>Title:</w:t>
        <w:tab/>
        <w:t>Senior Associate</w:t>
      </w:r>
    </w:p>
    <w:p>
      <w:pPr>
        <w:sectPr>
          <w:pgSz w:w="11900" w:h="16838" w:orient="portrait"/>
          <w:cols w:equalWidth="0" w:num="1">
            <w:col w:w="10100"/>
          </w:cols>
          <w:pgMar w:left="1440" w:top="274" w:right="359" w:bottom="1440" w:gutter="0" w:footer="0" w:header="0"/>
        </w:sectPr>
      </w:pPr>
    </w:p>
    <w:bookmarkStart w:id="159" w:name="page160"/>
    <w:bookmarkEnd w:id="159"/>
    <w:p>
      <w:pPr>
        <w:ind w:left="5660"/>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JPMORGAN CHASE BANK, N.A., as Administrative Agent</w:t>
      </w:r>
    </w:p>
    <w:p>
      <w:pPr>
        <w:spacing w:after="0" w:line="248"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By:  /s/ Adam Klimek</w:t>
      </w:r>
    </w:p>
    <w:p>
      <w:pPr>
        <w:spacing w:after="0" w:line="23"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Name: Adam Klimek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3771265</wp:posOffset>
            </wp:positionH>
            <wp:positionV relativeFrom="paragraph">
              <wp:posOffset>-130175</wp:posOffset>
            </wp:positionV>
            <wp:extent cx="2718435"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1" w:lineRule="exact"/>
        <w:rPr>
          <w:sz w:val="20"/>
          <w:szCs w:val="20"/>
          <w:color w:val="auto"/>
        </w:rPr>
      </w:pPr>
    </w:p>
    <w:p>
      <w:pPr>
        <w:ind w:left="6040"/>
        <w:spacing w:after="0"/>
        <w:tabs>
          <w:tab w:leader="none" w:pos="65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6"/>
          <w:szCs w:val="16"/>
          <w:color w:val="auto"/>
        </w:rPr>
        <w:t>Vice President</w:t>
      </w:r>
    </w:p>
    <w:p>
      <w:pPr>
        <w:sectPr>
          <w:pgSz w:w="11900" w:h="16838" w:orient="portrait"/>
          <w:cols w:equalWidth="0" w:num="1">
            <w:col w:w="10000"/>
          </w:cols>
          <w:pgMar w:left="1440" w:top="274" w:right="459" w:bottom="1440" w:gutter="0" w:footer="0" w:header="0"/>
        </w:sectPr>
      </w:pPr>
    </w:p>
    <w:bookmarkStart w:id="160" w:name="page161"/>
    <w:bookmarkEnd w:id="160"/>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AGREED, ACKNOWLEDGED AND CONSENTED:</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SHEFFIELD RECEIVABLES CORPORATION, as a CP</w:t>
      </w:r>
    </w:p>
    <w:p>
      <w:pPr>
        <w:spacing w:after="0" w:line="2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6"/>
          <w:szCs w:val="16"/>
          <w:color w:val="auto"/>
        </w:rPr>
        <w:t>Conduit Purchaser under the Series 2008-1 Supplement</w:t>
      </w:r>
    </w:p>
    <w:p>
      <w:pPr>
        <w:spacing w:after="0" w:line="236" w:lineRule="exact"/>
        <w:rPr>
          <w:sz w:val="20"/>
          <w:szCs w:val="20"/>
          <w:color w:val="auto"/>
        </w:rPr>
      </w:pPr>
    </w:p>
    <w:p>
      <w:pPr>
        <w:jc w:val="right"/>
        <w:ind w:right="8439"/>
        <w:spacing w:after="0"/>
        <w:rPr>
          <w:sz w:val="20"/>
          <w:szCs w:val="20"/>
          <w:color w:val="auto"/>
        </w:rPr>
      </w:pPr>
      <w:r>
        <w:rPr>
          <w:rFonts w:ascii="Times New Roman" w:cs="Times New Roman" w:eastAsia="Times New Roman" w:hAnsi="Times New Roman"/>
          <w:sz w:val="16"/>
          <w:szCs w:val="16"/>
          <w:color w:val="auto"/>
        </w:rPr>
        <w:t>By:  Barclays Bank PLC</w:t>
      </w:r>
    </w:p>
    <w:p>
      <w:pPr>
        <w:spacing w:after="0" w:line="44" w:lineRule="exact"/>
        <w:rPr>
          <w:sz w:val="20"/>
          <w:szCs w:val="20"/>
          <w:color w:val="auto"/>
        </w:rPr>
      </w:pPr>
    </w:p>
    <w:p>
      <w:pPr>
        <w:jc w:val="right"/>
        <w:ind w:right="8479"/>
        <w:spacing w:after="0"/>
        <w:rPr>
          <w:sz w:val="20"/>
          <w:szCs w:val="20"/>
          <w:color w:val="auto"/>
        </w:rPr>
      </w:pPr>
      <w:r>
        <w:rPr>
          <w:rFonts w:ascii="Times New Roman" w:cs="Times New Roman" w:eastAsia="Times New Roman" w:hAnsi="Times New Roman"/>
          <w:sz w:val="18"/>
          <w:szCs w:val="18"/>
          <w:color w:val="auto"/>
        </w:rPr>
        <w:t>as Attorney-in-Fact</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Jason D. Muncy</w:t>
      </w:r>
    </w:p>
    <w:p>
      <w:pPr>
        <w:spacing w:after="0" w:line="2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Name: Jason D. Muncy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-130175</wp:posOffset>
            </wp:positionV>
            <wp:extent cx="2693035"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 w:lineRule="exact"/>
        <w:rPr>
          <w:sz w:val="20"/>
          <w:szCs w:val="20"/>
          <w:color w:val="auto"/>
        </w:rPr>
      </w:pPr>
    </w:p>
    <w:p>
      <w:pPr>
        <w:ind w:left="380"/>
        <w:spacing w:after="0"/>
        <w:tabs>
          <w:tab w:leader="none" w:pos="9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6"/>
          <w:szCs w:val="16"/>
          <w:color w:val="auto"/>
        </w:rPr>
        <w:t>Associate Director</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BARCLAYS BANK PLC, as a Funding Agent and an APA</w:t>
      </w:r>
    </w:p>
    <w:p>
      <w:pPr>
        <w:spacing w:after="0" w:line="4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Bank under the Series 2008-1 Supplement</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Jeffrey Goldberg</w:t>
      </w:r>
    </w:p>
    <w:p>
      <w:pPr>
        <w:spacing w:after="0" w:line="2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Name: Jeffrey Goldberg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-130175</wp:posOffset>
            </wp:positionV>
            <wp:extent cx="2693035"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 w:lineRule="exact"/>
        <w:rPr>
          <w:sz w:val="20"/>
          <w:szCs w:val="20"/>
          <w:color w:val="auto"/>
        </w:rPr>
      </w:pPr>
    </w:p>
    <w:p>
      <w:pPr>
        <w:ind w:left="380"/>
        <w:spacing w:after="0"/>
        <w:tabs>
          <w:tab w:leader="none" w:pos="9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6"/>
          <w:szCs w:val="16"/>
          <w:color w:val="auto"/>
        </w:rPr>
        <w:t>Director</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6350</wp:posOffset>
            </wp:positionV>
            <wp:extent cx="2693035"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Title:</w:t>
      </w:r>
    </w:p>
    <w:p>
      <w:pPr>
        <w:sectPr>
          <w:pgSz w:w="11900" w:h="16838" w:orient="portrait"/>
          <w:cols w:equalWidth="0" w:num="1">
            <w:col w:w="10219"/>
          </w:cols>
          <w:pgMar w:left="240" w:top="274" w:right="1440" w:bottom="1440" w:gutter="0" w:footer="0" w:header="0"/>
        </w:sectPr>
      </w:pPr>
    </w:p>
    <w:bookmarkStart w:id="161" w:name="page162"/>
    <w:bookmarkEnd w:id="161"/>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LIBERTY STREET FUNDING LLC, as a CP Conduit</w:t>
      </w:r>
    </w:p>
    <w:p>
      <w:pPr>
        <w:spacing w:after="0" w:line="2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Purchaser under the Series 2008-1 Supplement</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Jill A. Russo</w:t>
      </w:r>
    </w:p>
    <w:p>
      <w:pPr>
        <w:spacing w:after="0" w:line="2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Name: Jill A. Russo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-130175</wp:posOffset>
            </wp:positionV>
            <wp:extent cx="2693035"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 w:lineRule="exact"/>
        <w:rPr>
          <w:sz w:val="20"/>
          <w:szCs w:val="20"/>
          <w:color w:val="auto"/>
        </w:rPr>
      </w:pPr>
    </w:p>
    <w:p>
      <w:pPr>
        <w:ind w:left="380"/>
        <w:spacing w:after="0"/>
        <w:tabs>
          <w:tab w:leader="none" w:pos="9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6"/>
          <w:szCs w:val="16"/>
          <w:color w:val="auto"/>
        </w:rPr>
        <w:t>Vice President</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BANK OF NOVA SCOTIA, as a Funding Agent and an</w:t>
      </w:r>
    </w:p>
    <w:p>
      <w:pPr>
        <w:spacing w:after="0" w:line="4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APA Bank under the Series 2008-1 Supplement</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Michael Eden</w:t>
      </w:r>
    </w:p>
    <w:p>
      <w:pPr>
        <w:spacing w:after="0" w:line="2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Name: Michael Eden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-130175</wp:posOffset>
            </wp:positionV>
            <wp:extent cx="2693035"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 w:lineRule="exact"/>
        <w:rPr>
          <w:sz w:val="20"/>
          <w:szCs w:val="20"/>
          <w:color w:val="auto"/>
        </w:rPr>
      </w:pPr>
    </w:p>
    <w:p>
      <w:pPr>
        <w:ind w:left="380"/>
        <w:spacing w:after="0"/>
        <w:tabs>
          <w:tab w:leader="none" w:pos="9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6"/>
          <w:szCs w:val="16"/>
          <w:color w:val="auto"/>
        </w:rPr>
        <w:t>Director</w:t>
      </w:r>
    </w:p>
    <w:p>
      <w:pPr>
        <w:sectPr>
          <w:pgSz w:w="11900" w:h="16838" w:orient="portrait"/>
          <w:cols w:equalWidth="0" w:num="1">
            <w:col w:w="10219"/>
          </w:cols>
          <w:pgMar w:left="240" w:top="274" w:right="1440" w:bottom="1440" w:gutter="0" w:footer="0" w:header="0"/>
        </w:sectPr>
      </w:pPr>
    </w:p>
    <w:bookmarkStart w:id="162" w:name="page163"/>
    <w:bookmarkEnd w:id="162"/>
    <w:p>
      <w:pPr>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YC SUSI TRUST, as a CP Conduit Purchaser under the Series</w:t>
      </w:r>
    </w:p>
    <w:p>
      <w:pPr>
        <w:spacing w:after="0" w:line="4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2008-1 Supplement</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By:  Bank of America, National Association, as Administrative</w:t>
      </w:r>
    </w:p>
    <w:p>
      <w:pPr>
        <w:spacing w:after="0" w:line="4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Trustee</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William Van Beek</w:t>
      </w:r>
    </w:p>
    <w:p>
      <w:pPr>
        <w:spacing w:after="0" w:line="23" w:lineRule="exact"/>
        <w:rPr>
          <w:sz w:val="20"/>
          <w:szCs w:val="20"/>
          <w:color w:val="auto"/>
        </w:rPr>
      </w:pPr>
    </w:p>
    <w:p>
      <w:pPr>
        <w:ind w:left="380"/>
        <w:spacing w:after="0"/>
        <w:tabs>
          <w:tab w:leader="none" w:pos="100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6"/>
          <w:szCs w:val="16"/>
          <w:color w:val="auto"/>
        </w:rPr>
        <w:t>William Van Beek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-130175</wp:posOffset>
            </wp:positionV>
            <wp:extent cx="2693035"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 w:lineRule="exact"/>
        <w:rPr>
          <w:sz w:val="20"/>
          <w:szCs w:val="20"/>
          <w:color w:val="auto"/>
        </w:rPr>
      </w:pPr>
    </w:p>
    <w:p>
      <w:pPr>
        <w:ind w:left="380"/>
        <w:spacing w:after="0"/>
        <w:tabs>
          <w:tab w:leader="none" w:pos="1000" w:val="left"/>
        </w:tabs>
        <w:rPr>
          <w:sz w:val="20"/>
          <w:szCs w:val="20"/>
          <w:color w:val="auto"/>
        </w:rPr>
      </w:pPr>
      <w:r>
        <w:rPr>
          <w:rFonts w:ascii="Times New Roman" w:cs="Times New Roman" w:eastAsia="Times New Roman" w:hAnsi="Times New Roman"/>
          <w:sz w:val="18"/>
          <w:szCs w:val="18"/>
          <w:color w:val="auto"/>
        </w:rPr>
        <w:t>Title:</w:t>
        <w:tab/>
        <w:t>Principal</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BANK OF AMERICA, NATIONAL ASSOCIATION, as a</w:t>
      </w:r>
    </w:p>
    <w:p>
      <w:pPr>
        <w:spacing w:after="0" w:line="2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Funding Agent and an APA Bank under the Series 2008-1</w:t>
      </w:r>
    </w:p>
    <w:p>
      <w:pPr>
        <w:spacing w:after="0" w:line="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Supplement</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William Van Beek</w:t>
      </w:r>
    </w:p>
    <w:p>
      <w:pPr>
        <w:spacing w:after="0" w:line="23" w:lineRule="exact"/>
        <w:rPr>
          <w:sz w:val="20"/>
          <w:szCs w:val="20"/>
          <w:color w:val="auto"/>
        </w:rPr>
      </w:pPr>
    </w:p>
    <w:p>
      <w:pPr>
        <w:ind w:left="380"/>
        <w:spacing w:after="0"/>
        <w:tabs>
          <w:tab w:leader="none" w:pos="100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6"/>
          <w:szCs w:val="16"/>
          <w:color w:val="auto"/>
        </w:rPr>
        <w:t>William Van Beek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-130175</wp:posOffset>
            </wp:positionV>
            <wp:extent cx="2693035"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 w:lineRule="exact"/>
        <w:rPr>
          <w:sz w:val="20"/>
          <w:szCs w:val="20"/>
          <w:color w:val="auto"/>
        </w:rPr>
      </w:pPr>
    </w:p>
    <w:p>
      <w:pPr>
        <w:ind w:left="380"/>
        <w:spacing w:after="0"/>
        <w:tabs>
          <w:tab w:leader="none" w:pos="1000" w:val="left"/>
        </w:tabs>
        <w:rPr>
          <w:sz w:val="20"/>
          <w:szCs w:val="20"/>
          <w:color w:val="auto"/>
        </w:rPr>
      </w:pPr>
      <w:r>
        <w:rPr>
          <w:rFonts w:ascii="Times New Roman" w:cs="Times New Roman" w:eastAsia="Times New Roman" w:hAnsi="Times New Roman"/>
          <w:sz w:val="18"/>
          <w:szCs w:val="18"/>
          <w:color w:val="auto"/>
        </w:rPr>
        <w:t>Title:</w:t>
        <w:tab/>
        <w:t>Principal</w:t>
      </w:r>
    </w:p>
    <w:p>
      <w:pPr>
        <w:sectPr>
          <w:pgSz w:w="11900" w:h="16838" w:orient="portrait"/>
          <w:cols w:equalWidth="0" w:num="1">
            <w:col w:w="10219"/>
          </w:cols>
          <w:pgMar w:left="240" w:top="274" w:right="1440" w:bottom="1440" w:gutter="0" w:footer="0" w:header="0"/>
        </w:sectPr>
      </w:pPr>
    </w:p>
    <w:bookmarkStart w:id="163" w:name="page164"/>
    <w:bookmarkEnd w:id="163"/>
    <w:p>
      <w:pPr>
        <w:jc w:val="center"/>
        <w:ind w:right="5879"/>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CHARTA, LLC (as successor to Charta Corporation), as a CP</w:t>
      </w:r>
    </w:p>
    <w:p>
      <w:pPr>
        <w:spacing w:after="0" w:line="44" w:lineRule="exact"/>
        <w:rPr>
          <w:sz w:val="20"/>
          <w:szCs w:val="20"/>
          <w:color w:val="auto"/>
        </w:rPr>
      </w:pPr>
    </w:p>
    <w:p>
      <w:pPr>
        <w:jc w:val="center"/>
        <w:ind w:right="5879"/>
        <w:spacing w:after="0"/>
        <w:rPr>
          <w:sz w:val="20"/>
          <w:szCs w:val="20"/>
          <w:color w:val="auto"/>
        </w:rPr>
      </w:pPr>
      <w:r>
        <w:rPr>
          <w:rFonts w:ascii="Times New Roman" w:cs="Times New Roman" w:eastAsia="Times New Roman" w:hAnsi="Times New Roman"/>
          <w:sz w:val="18"/>
          <w:szCs w:val="18"/>
          <w:color w:val="auto"/>
        </w:rPr>
        <w:t>Conduit Purchaser under the Series 2008-1 Supplement</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Citibank, N.A., as</w:t>
      </w:r>
    </w:p>
    <w:p>
      <w:pPr>
        <w:spacing w:after="0" w:line="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Attorney-in-fact</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Karrie L. Truglia</w:t>
      </w:r>
    </w:p>
    <w:p>
      <w:pPr>
        <w:spacing w:after="0" w:line="2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Name: Karrie L. Truglia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-130175</wp:posOffset>
            </wp:positionV>
            <wp:extent cx="2693035"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 w:lineRule="exact"/>
        <w:rPr>
          <w:sz w:val="20"/>
          <w:szCs w:val="20"/>
          <w:color w:val="auto"/>
        </w:rPr>
      </w:pPr>
    </w:p>
    <w:p>
      <w:pPr>
        <w:ind w:left="380"/>
        <w:spacing w:after="0"/>
        <w:tabs>
          <w:tab w:leader="none" w:pos="9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6"/>
          <w:szCs w:val="16"/>
          <w:color w:val="auto"/>
        </w:rPr>
        <w:t>Vice President</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CITIBANK, N.A., as an APA Bank under the Series 2008-1</w:t>
      </w:r>
    </w:p>
    <w:p>
      <w:pPr>
        <w:spacing w:after="0" w:line="4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Supplement</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Karrie L. Truglia</w:t>
      </w:r>
    </w:p>
    <w:p>
      <w:pPr>
        <w:spacing w:after="0" w:line="2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Name: Karrie L. Truglia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-130175</wp:posOffset>
            </wp:positionV>
            <wp:extent cx="2693035"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 w:lineRule="exact"/>
        <w:rPr>
          <w:sz w:val="20"/>
          <w:szCs w:val="20"/>
          <w:color w:val="auto"/>
        </w:rPr>
      </w:pPr>
    </w:p>
    <w:p>
      <w:pPr>
        <w:ind w:left="380"/>
        <w:spacing w:after="0"/>
        <w:tabs>
          <w:tab w:leader="none" w:pos="9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6"/>
          <w:szCs w:val="16"/>
          <w:color w:val="auto"/>
        </w:rPr>
        <w:t>Vice President</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CITICORP NORTH AMERICA, INC., as a Funding Agent</w:t>
      </w:r>
    </w:p>
    <w:p>
      <w:pPr>
        <w:spacing w:after="0" w:line="2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under the Series 2008-1 Supplement</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Karrie L. Truglia</w:t>
      </w:r>
    </w:p>
    <w:p>
      <w:pPr>
        <w:spacing w:after="0" w:line="2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Name: Karrie L. Truglia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-130175</wp:posOffset>
            </wp:positionV>
            <wp:extent cx="2693035"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 w:lineRule="exact"/>
        <w:rPr>
          <w:sz w:val="20"/>
          <w:szCs w:val="20"/>
          <w:color w:val="auto"/>
        </w:rPr>
      </w:pPr>
    </w:p>
    <w:p>
      <w:pPr>
        <w:ind w:left="380"/>
        <w:spacing w:after="0"/>
        <w:tabs>
          <w:tab w:leader="none" w:pos="9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6"/>
          <w:szCs w:val="16"/>
          <w:color w:val="auto"/>
        </w:rPr>
        <w:t>Vice President</w:t>
      </w:r>
    </w:p>
    <w:p>
      <w:pPr>
        <w:sectPr>
          <w:pgSz w:w="11900" w:h="16838" w:orient="portrait"/>
          <w:cols w:equalWidth="0" w:num="1">
            <w:col w:w="10219"/>
          </w:cols>
          <w:pgMar w:left="240" w:top="274" w:right="1440" w:bottom="1440" w:gutter="0" w:footer="0" w:header="0"/>
        </w:sectPr>
      </w:pPr>
    </w:p>
    <w:bookmarkStart w:id="164" w:name="page165"/>
    <w:bookmarkEnd w:id="164"/>
    <w:p>
      <w:pPr>
        <w:jc w:val="right"/>
        <w:ind w:right="5839"/>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FALCON ASSET SECURITIZATION COMPANY LLC, as a</w:t>
      </w:r>
    </w:p>
    <w:p>
      <w:pPr>
        <w:spacing w:after="0" w:line="44" w:lineRule="exact"/>
        <w:rPr>
          <w:sz w:val="20"/>
          <w:szCs w:val="20"/>
          <w:color w:val="auto"/>
        </w:rPr>
      </w:pPr>
    </w:p>
    <w:p>
      <w:pPr>
        <w:jc w:val="right"/>
        <w:ind w:right="5839"/>
        <w:spacing w:after="0"/>
        <w:rPr>
          <w:sz w:val="20"/>
          <w:szCs w:val="20"/>
          <w:color w:val="auto"/>
        </w:rPr>
      </w:pPr>
      <w:r>
        <w:rPr>
          <w:rFonts w:ascii="Times New Roman" w:cs="Times New Roman" w:eastAsia="Times New Roman" w:hAnsi="Times New Roman"/>
          <w:sz w:val="18"/>
          <w:szCs w:val="18"/>
          <w:color w:val="auto"/>
        </w:rPr>
        <w:t>CP Conduit Purchaser under the Series 2008-1 Supplement</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Adam Klimek</w:t>
      </w:r>
    </w:p>
    <w:p>
      <w:pPr>
        <w:spacing w:after="0" w:line="2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Name: Adam Klimek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-130175</wp:posOffset>
            </wp:positionV>
            <wp:extent cx="2693035"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 w:lineRule="exact"/>
        <w:rPr>
          <w:sz w:val="20"/>
          <w:szCs w:val="20"/>
          <w:color w:val="auto"/>
        </w:rPr>
      </w:pPr>
    </w:p>
    <w:p>
      <w:pPr>
        <w:ind w:left="380"/>
        <w:spacing w:after="0"/>
        <w:tabs>
          <w:tab w:leader="none" w:pos="9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6"/>
          <w:szCs w:val="16"/>
          <w:color w:val="auto"/>
        </w:rPr>
        <w:t>Vice President</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JPMORGAN CHASE BANK, N.A. as a Funding Agent under</w:t>
      </w:r>
    </w:p>
    <w:p>
      <w:pPr>
        <w:spacing w:after="0" w:line="4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the Series 2008-1 Supplement</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Adam Klimek</w:t>
      </w:r>
    </w:p>
    <w:p>
      <w:pPr>
        <w:spacing w:after="0" w:line="2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Name: Adam Klimek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-130175</wp:posOffset>
            </wp:positionV>
            <wp:extent cx="2693035"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 w:lineRule="exact"/>
        <w:rPr>
          <w:sz w:val="20"/>
          <w:szCs w:val="20"/>
          <w:color w:val="auto"/>
        </w:rPr>
      </w:pPr>
    </w:p>
    <w:p>
      <w:pPr>
        <w:ind w:left="380"/>
        <w:spacing w:after="0"/>
        <w:tabs>
          <w:tab w:leader="none" w:pos="9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6"/>
          <w:szCs w:val="16"/>
          <w:color w:val="auto"/>
        </w:rPr>
        <w:t>Vice President</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JPMORGAN CHASE BANK, N.A. as an APA Bank under the</w:t>
      </w:r>
    </w:p>
    <w:p>
      <w:pPr>
        <w:spacing w:after="0" w:line="4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Series 2008-1 Supplement</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Adam Klimek</w:t>
      </w:r>
    </w:p>
    <w:p>
      <w:pPr>
        <w:spacing w:after="0" w:line="2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Name: Adam Klimek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-130175</wp:posOffset>
            </wp:positionV>
            <wp:extent cx="2693035"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 w:lineRule="exact"/>
        <w:rPr>
          <w:sz w:val="20"/>
          <w:szCs w:val="20"/>
          <w:color w:val="auto"/>
        </w:rPr>
      </w:pPr>
    </w:p>
    <w:p>
      <w:pPr>
        <w:ind w:left="380"/>
        <w:spacing w:after="0"/>
        <w:tabs>
          <w:tab w:leader="none" w:pos="9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6"/>
          <w:szCs w:val="16"/>
          <w:color w:val="auto"/>
        </w:rPr>
        <w:t>Vice President</w:t>
      </w:r>
    </w:p>
    <w:p>
      <w:pPr>
        <w:sectPr>
          <w:pgSz w:w="11900" w:h="16838" w:orient="portrait"/>
          <w:cols w:equalWidth="0" w:num="1">
            <w:col w:w="10219"/>
          </w:cols>
          <w:pgMar w:left="240" w:top="274" w:right="1440" w:bottom="1440" w:gutter="0" w:footer="0" w:header="0"/>
        </w:sectPr>
      </w:pPr>
    </w:p>
    <w:bookmarkStart w:id="165" w:name="page166"/>
    <w:bookmarkEnd w:id="165"/>
    <w:p>
      <w:pPr>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MONTAGE FUNDING LLC, as a CP Conduit Purchaser under</w:t>
      </w:r>
    </w:p>
    <w:p>
      <w:pPr>
        <w:spacing w:after="0" w:line="4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the Series 2008-1 Supplement</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Lori Gebron</w:t>
      </w:r>
    </w:p>
    <w:p>
      <w:pPr>
        <w:spacing w:after="0" w:line="2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Name: Lori Gebron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-130175</wp:posOffset>
            </wp:positionV>
            <wp:extent cx="2693035"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 w:lineRule="exact"/>
        <w:rPr>
          <w:sz w:val="20"/>
          <w:szCs w:val="20"/>
          <w:color w:val="auto"/>
        </w:rPr>
      </w:pPr>
    </w:p>
    <w:p>
      <w:pPr>
        <w:ind w:left="380"/>
        <w:spacing w:after="0"/>
        <w:tabs>
          <w:tab w:leader="none" w:pos="9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6"/>
          <w:szCs w:val="16"/>
          <w:color w:val="auto"/>
        </w:rPr>
        <w:t>Vice President</w:t>
      </w:r>
    </w:p>
    <w:p>
      <w:pPr>
        <w:spacing w:after="0" w:line="213" w:lineRule="exact"/>
        <w:rPr>
          <w:sz w:val="20"/>
          <w:szCs w:val="20"/>
          <w:color w:val="auto"/>
        </w:rPr>
      </w:pPr>
    </w:p>
    <w:p>
      <w:pPr>
        <w:jc w:val="right"/>
        <w:ind w:right="5659"/>
        <w:spacing w:after="0"/>
        <w:rPr>
          <w:sz w:val="20"/>
          <w:szCs w:val="20"/>
          <w:color w:val="auto"/>
        </w:rPr>
      </w:pPr>
      <w:r>
        <w:rPr>
          <w:rFonts w:ascii="Times New Roman" w:cs="Times New Roman" w:eastAsia="Times New Roman" w:hAnsi="Times New Roman"/>
          <w:sz w:val="16"/>
          <w:szCs w:val="16"/>
          <w:color w:val="auto"/>
        </w:rPr>
        <w:t>DEUTSCHE BANK AG, NEW YORK BRANCH, as a Funding</w:t>
      </w:r>
    </w:p>
    <w:p>
      <w:pPr>
        <w:spacing w:after="0" w:line="44" w:lineRule="exact"/>
        <w:rPr>
          <w:sz w:val="20"/>
          <w:szCs w:val="20"/>
          <w:color w:val="auto"/>
        </w:rPr>
      </w:pPr>
    </w:p>
    <w:p>
      <w:pPr>
        <w:jc w:val="right"/>
        <w:ind w:right="5659"/>
        <w:spacing w:after="0"/>
        <w:rPr>
          <w:sz w:val="20"/>
          <w:szCs w:val="20"/>
          <w:color w:val="auto"/>
        </w:rPr>
      </w:pPr>
      <w:r>
        <w:rPr>
          <w:rFonts w:ascii="Times New Roman" w:cs="Times New Roman" w:eastAsia="Times New Roman" w:hAnsi="Times New Roman"/>
          <w:sz w:val="18"/>
          <w:szCs w:val="18"/>
          <w:color w:val="auto"/>
        </w:rPr>
        <w:t>Agent and an APA Bank under the Series 2008-1 Supplement</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Robert Sheldon</w:t>
      </w:r>
    </w:p>
    <w:p>
      <w:pPr>
        <w:spacing w:after="0" w:line="2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Name: Robert Sheldon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-130175</wp:posOffset>
            </wp:positionV>
            <wp:extent cx="2693035"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 w:lineRule="exact"/>
        <w:rPr>
          <w:sz w:val="20"/>
          <w:szCs w:val="20"/>
          <w:color w:val="auto"/>
        </w:rPr>
      </w:pPr>
    </w:p>
    <w:p>
      <w:pPr>
        <w:ind w:left="380"/>
        <w:spacing w:after="0"/>
        <w:tabs>
          <w:tab w:leader="none" w:pos="9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6"/>
          <w:szCs w:val="16"/>
          <w:color w:val="auto"/>
        </w:rPr>
        <w:t>Director</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Daniel Gerber</w:t>
      </w:r>
    </w:p>
    <w:p>
      <w:pPr>
        <w:spacing w:after="0" w:line="2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Name: Daniel Gerber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-130175</wp:posOffset>
            </wp:positionV>
            <wp:extent cx="2693035"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 w:lineRule="exact"/>
        <w:rPr>
          <w:sz w:val="20"/>
          <w:szCs w:val="20"/>
          <w:color w:val="auto"/>
        </w:rPr>
      </w:pPr>
    </w:p>
    <w:p>
      <w:pPr>
        <w:ind w:left="380"/>
        <w:spacing w:after="0"/>
        <w:tabs>
          <w:tab w:leader="none" w:pos="9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6"/>
          <w:szCs w:val="16"/>
          <w:color w:val="auto"/>
        </w:rPr>
        <w:t>Director</w:t>
      </w:r>
    </w:p>
    <w:p>
      <w:pPr>
        <w:sectPr>
          <w:pgSz w:w="11900" w:h="16838" w:orient="portrait"/>
          <w:cols w:equalWidth="0" w:num="1">
            <w:col w:w="10219"/>
          </w:cols>
          <w:pgMar w:left="240" w:top="274" w:right="1440" w:bottom="1440" w:gutter="0" w:footer="0" w:header="0"/>
        </w:sectPr>
      </w:pPr>
    </w:p>
    <w:bookmarkStart w:id="166" w:name="page167"/>
    <w:bookmarkEnd w:id="166"/>
    <w:p>
      <w:pPr>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ATLANTIC ASSET SECURITIZATION LLC, as a CP Conduit</w:t>
      </w:r>
    </w:p>
    <w:p>
      <w:pPr>
        <w:spacing w:after="0" w:line="4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Purchaser under the Series 2008-1 Supplement</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Sam Pilcer</w:t>
      </w:r>
    </w:p>
    <w:p>
      <w:pPr>
        <w:spacing w:after="0" w:line="2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Name: Sam Pilcer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-130175</wp:posOffset>
            </wp:positionV>
            <wp:extent cx="2693035"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 w:lineRule="exact"/>
        <w:rPr>
          <w:sz w:val="20"/>
          <w:szCs w:val="20"/>
          <w:color w:val="auto"/>
        </w:rPr>
      </w:pPr>
    </w:p>
    <w:p>
      <w:pPr>
        <w:ind w:left="380"/>
        <w:spacing w:after="0"/>
        <w:tabs>
          <w:tab w:leader="none" w:pos="9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6"/>
          <w:szCs w:val="16"/>
          <w:color w:val="auto"/>
        </w:rPr>
        <w:t>Managing Director</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Konstantina Kourmpetis</w:t>
      </w:r>
    </w:p>
    <w:p>
      <w:pPr>
        <w:spacing w:after="0" w:line="2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Name: Konstantina Kourmpetis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-130175</wp:posOffset>
            </wp:positionV>
            <wp:extent cx="2693035"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 w:lineRule="exact"/>
        <w:rPr>
          <w:sz w:val="20"/>
          <w:szCs w:val="20"/>
          <w:color w:val="auto"/>
        </w:rPr>
      </w:pPr>
    </w:p>
    <w:p>
      <w:pPr>
        <w:ind w:left="380"/>
        <w:spacing w:after="0"/>
        <w:tabs>
          <w:tab w:leader="none" w:pos="9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6"/>
          <w:szCs w:val="16"/>
          <w:color w:val="auto"/>
        </w:rPr>
        <w:t>Managing Director</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CALYON NEW YORK BRANCH, as a Funding Agent and an</w:t>
      </w:r>
    </w:p>
    <w:p>
      <w:pPr>
        <w:spacing w:after="0" w:line="4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APA Bank under the Series 2008-1 Supplement</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Sam Pilcer</w:t>
      </w:r>
    </w:p>
    <w:p>
      <w:pPr>
        <w:spacing w:after="0" w:line="2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Name: Sam Pilcer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-130175</wp:posOffset>
            </wp:positionV>
            <wp:extent cx="2693035"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 w:lineRule="exact"/>
        <w:rPr>
          <w:sz w:val="20"/>
          <w:szCs w:val="20"/>
          <w:color w:val="auto"/>
        </w:rPr>
      </w:pPr>
    </w:p>
    <w:p>
      <w:pPr>
        <w:ind w:left="380"/>
        <w:spacing w:after="0"/>
        <w:tabs>
          <w:tab w:leader="none" w:pos="9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6"/>
          <w:szCs w:val="16"/>
          <w:color w:val="auto"/>
        </w:rPr>
        <w:t>Managing Director</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Konstantina Kourmpetis</w:t>
      </w:r>
    </w:p>
    <w:p>
      <w:pPr>
        <w:spacing w:after="0" w:line="2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Name: Konstantina Kourmpetis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-130175</wp:posOffset>
            </wp:positionV>
            <wp:extent cx="2693035"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 w:lineRule="exact"/>
        <w:rPr>
          <w:sz w:val="20"/>
          <w:szCs w:val="20"/>
          <w:color w:val="auto"/>
        </w:rPr>
      </w:pPr>
    </w:p>
    <w:p>
      <w:pPr>
        <w:ind w:left="380"/>
        <w:spacing w:after="0"/>
        <w:tabs>
          <w:tab w:leader="none" w:pos="9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6"/>
          <w:szCs w:val="16"/>
          <w:color w:val="auto"/>
        </w:rPr>
        <w:t>Managing Director</w:t>
      </w:r>
    </w:p>
    <w:p>
      <w:pPr>
        <w:sectPr>
          <w:pgSz w:w="11900" w:h="16838" w:orient="portrait"/>
          <w:cols w:equalWidth="0" w:num="1">
            <w:col w:w="10219"/>
          </w:cols>
          <w:pgMar w:left="240" w:top="274" w:right="1440" w:bottom="1440" w:gutter="0" w:footer="0" w:header="0"/>
        </w:sectPr>
      </w:pPr>
    </w:p>
    <w:bookmarkStart w:id="167" w:name="page168"/>
    <w:bookmarkEnd w:id="167"/>
    <w:p>
      <w:pPr>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AMSTERDAM FUNDING CORPORATION, as a CP Conduit</w:t>
      </w:r>
    </w:p>
    <w:p>
      <w:pPr>
        <w:spacing w:after="0" w:line="4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Purchaser under the Series 2008-1 Supplement</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Jill A. Russo</w:t>
      </w:r>
    </w:p>
    <w:p>
      <w:pPr>
        <w:spacing w:after="0" w:line="2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Name: Jill A. Russo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-130175</wp:posOffset>
            </wp:positionV>
            <wp:extent cx="2693035"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 w:lineRule="exact"/>
        <w:rPr>
          <w:sz w:val="20"/>
          <w:szCs w:val="20"/>
          <w:color w:val="auto"/>
        </w:rPr>
      </w:pPr>
    </w:p>
    <w:p>
      <w:pPr>
        <w:ind w:left="380"/>
        <w:spacing w:after="0"/>
        <w:tabs>
          <w:tab w:leader="none" w:pos="9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6"/>
          <w:szCs w:val="16"/>
          <w:color w:val="auto"/>
        </w:rPr>
        <w:t>Vice President</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ROYAL BANK OF SCOTLAND PLC, as an APA Bank</w:t>
      </w:r>
    </w:p>
    <w:p>
      <w:pPr>
        <w:spacing w:after="0" w:line="4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under the Series 2008-1 Supplement</w:t>
      </w:r>
    </w:p>
    <w:p>
      <w:pPr>
        <w:spacing w:after="0" w:line="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by: RBS Securities Inc., as agent</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Michael Zappaterrini</w:t>
      </w:r>
    </w:p>
    <w:p>
      <w:pPr>
        <w:spacing w:after="0" w:line="2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-130175</wp:posOffset>
            </wp:positionV>
            <wp:extent cx="2693035"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Title:</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ROYAL BANK OF SCOTLAND PLC, as a Funding</w:t>
      </w:r>
    </w:p>
    <w:p>
      <w:pPr>
        <w:spacing w:after="0" w:line="2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Agent under the Series 2008-1 Supplement</w:t>
      </w:r>
    </w:p>
    <w:p>
      <w:pPr>
        <w:spacing w:after="0" w:line="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by: RBS Securities Inc., as agent</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Michael Zappaterrini</w:t>
      </w:r>
    </w:p>
    <w:p>
      <w:pPr>
        <w:spacing w:after="0" w:line="2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-130175</wp:posOffset>
            </wp:positionV>
            <wp:extent cx="2693035"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Title:</w:t>
      </w:r>
    </w:p>
    <w:p>
      <w:pPr>
        <w:sectPr>
          <w:pgSz w:w="11900" w:h="16838" w:orient="portrait"/>
          <w:cols w:equalWidth="0" w:num="1">
            <w:col w:w="10219"/>
          </w:cols>
          <w:pgMar w:left="240" w:top="274" w:right="1440" w:bottom="1440" w:gutter="0" w:footer="0" w:header="0"/>
        </w:sectPr>
      </w:pPr>
    </w:p>
    <w:bookmarkStart w:id="168" w:name="page169"/>
    <w:bookmarkEnd w:id="168"/>
    <w:p>
      <w:pPr>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AVIS BUDGET CAR RENTAL, LLC, as Administrator</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Rochelle Tarlowe</w:t>
      </w:r>
    </w:p>
    <w:p>
      <w:pPr>
        <w:spacing w:after="0" w:line="2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Name: Rochelle Tarlowe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-130175</wp:posOffset>
            </wp:positionV>
            <wp:extent cx="2693035"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 w:lineRule="exact"/>
        <w:rPr>
          <w:sz w:val="20"/>
          <w:szCs w:val="20"/>
          <w:color w:val="auto"/>
        </w:rPr>
      </w:pPr>
    </w:p>
    <w:p>
      <w:pPr>
        <w:ind w:left="380"/>
        <w:spacing w:after="0"/>
        <w:tabs>
          <w:tab w:leader="none" w:pos="9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6"/>
          <w:szCs w:val="16"/>
          <w:color w:val="auto"/>
        </w:rPr>
        <w:t>Vice President and Treasurer</w:t>
      </w:r>
    </w:p>
    <w:p>
      <w:pPr>
        <w:sectPr>
          <w:pgSz w:w="11900" w:h="16838" w:orient="portrait"/>
          <w:cols w:equalWidth="0" w:num="1">
            <w:col w:w="10219"/>
          </w:cols>
          <w:pgMar w:left="240" w:top="274" w:right="1440" w:bottom="1440" w:gutter="0" w:footer="0" w:header="0"/>
        </w:sectPr>
      </w:pPr>
    </w:p>
    <w:bookmarkStart w:id="169" w:name="page170"/>
    <w:bookmarkEnd w:id="169"/>
    <w:p>
      <w:pPr>
        <w:jc w:val="right"/>
        <w:spacing w:after="0"/>
        <w:rPr>
          <w:sz w:val="20"/>
          <w:szCs w:val="20"/>
          <w:color w:val="auto"/>
        </w:rPr>
      </w:pPr>
      <w:r>
        <w:rPr>
          <w:rFonts w:ascii="Times New Roman" w:cs="Times New Roman" w:eastAsia="Times New Roman" w:hAnsi="Times New Roman"/>
          <w:sz w:val="18"/>
          <w:szCs w:val="18"/>
          <w:b w:val="1"/>
          <w:bCs w:val="1"/>
          <w:color w:val="auto"/>
        </w:rPr>
        <w:t>Exhibit 10.41(a)</w:t>
      </w:r>
    </w:p>
    <w:p>
      <w:pPr>
        <w:spacing w:after="0" w:line="17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EXECUTION COPY</w:t>
      </w:r>
    </w:p>
    <w:p>
      <w:pPr>
        <w:spacing w:after="0" w:line="171"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8"/>
          <w:szCs w:val="18"/>
          <w:color w:val="auto"/>
        </w:rPr>
        <w:t>AVIS BUDGET RENTAL CAR FUNDING (AESOP) LLC,</w:t>
      </w:r>
    </w:p>
    <w:p>
      <w:pPr>
        <w:spacing w:after="0" w:line="21"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8"/>
          <w:szCs w:val="18"/>
          <w:color w:val="auto"/>
        </w:rPr>
        <w:t>as Issuer</w:t>
      </w:r>
    </w:p>
    <w:p>
      <w:pPr>
        <w:spacing w:after="0" w:line="159"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8"/>
          <w:szCs w:val="18"/>
          <w:color w:val="auto"/>
        </w:rPr>
        <w:t>AVIS BUDGET CAR RENTAL, LLC,</w:t>
      </w:r>
    </w:p>
    <w:p>
      <w:pPr>
        <w:spacing w:after="0" w:line="21"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8"/>
          <w:szCs w:val="18"/>
          <w:color w:val="auto"/>
        </w:rPr>
        <w:t>as Administrator</w:t>
      </w:r>
    </w:p>
    <w:p>
      <w:pPr>
        <w:spacing w:after="0" w:line="159"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8"/>
          <w:szCs w:val="18"/>
          <w:color w:val="auto"/>
        </w:rPr>
        <w:t>DEUTSCHE BANK AG, NEW YORK BRANCH,</w:t>
      </w:r>
    </w:p>
    <w:p>
      <w:pPr>
        <w:spacing w:after="0" w:line="21"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8"/>
          <w:szCs w:val="18"/>
          <w:color w:val="auto"/>
        </w:rPr>
        <w:t>as Administrative Agent</w:t>
      </w:r>
    </w:p>
    <w:p>
      <w:pPr>
        <w:spacing w:after="0" w:line="159"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8"/>
          <w:szCs w:val="18"/>
          <w:color w:val="auto"/>
        </w:rPr>
        <w:t>CERTAIN CP CONDUIT PURCHASERS,</w:t>
      </w:r>
    </w:p>
    <w:p>
      <w:pPr>
        <w:spacing w:after="0" w:line="17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CERTAIN FUNDING AGENTS,</w:t>
      </w:r>
    </w:p>
    <w:p>
      <w:pPr>
        <w:spacing w:after="0" w:line="171"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color w:val="auto"/>
        </w:rPr>
        <w:t>CERTAIN APA BANKS</w:t>
      </w:r>
    </w:p>
    <w:p>
      <w:pPr>
        <w:spacing w:after="0" w:line="171"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color w:val="auto"/>
        </w:rPr>
        <w:t>and</w:t>
      </w:r>
    </w:p>
    <w:p>
      <w:pPr>
        <w:spacing w:after="0" w:line="171"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18"/>
          <w:szCs w:val="18"/>
          <w:color w:val="auto"/>
        </w:rPr>
        <w:t>THE BANK OF NEW YORK MELLON TRUST COMPANY, N.A.,</w:t>
      </w:r>
    </w:p>
    <w:p>
      <w:pPr>
        <w:spacing w:after="0" w:line="21"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as Trustee and Series 2009-3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2107565</wp:posOffset>
            </wp:positionH>
            <wp:positionV relativeFrom="paragraph">
              <wp:posOffset>187325</wp:posOffset>
            </wp:positionV>
            <wp:extent cx="151765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36"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8"/>
          <w:szCs w:val="18"/>
          <w:color w:val="auto"/>
        </w:rPr>
        <w:t>SERIES 2009-3 SUPPLEMENT</w:t>
      </w:r>
    </w:p>
    <w:p>
      <w:pPr>
        <w:spacing w:after="0" w:line="21"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8"/>
          <w:szCs w:val="18"/>
          <w:color w:val="auto"/>
        </w:rPr>
        <w:t>dated as of November 5, 2009</w:t>
      </w:r>
    </w:p>
    <w:p>
      <w:pPr>
        <w:spacing w:after="0" w:line="159"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color w:val="auto"/>
        </w:rPr>
        <w:t>to</w:t>
      </w:r>
    </w:p>
    <w:p>
      <w:pPr>
        <w:spacing w:after="0" w:line="171"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SECOND AMENDED AND RESTATED BASE INDENTURE</w:t>
      </w:r>
    </w:p>
    <w:p>
      <w:pPr>
        <w:spacing w:after="0" w:line="21"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8"/>
          <w:szCs w:val="18"/>
          <w:color w:val="auto"/>
        </w:rPr>
        <w:t>dated as of June 3,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2107565</wp:posOffset>
            </wp:positionH>
            <wp:positionV relativeFrom="paragraph">
              <wp:posOffset>195580</wp:posOffset>
            </wp:positionV>
            <wp:extent cx="151765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0220"/>
          </w:cols>
          <w:pgMar w:left="1440" w:top="123" w:right="239" w:bottom="1440" w:gutter="0" w:footer="0" w:header="0"/>
        </w:sectPr>
      </w:pPr>
    </w:p>
    <w:bookmarkStart w:id="170" w:name="page171"/>
    <w:bookmarkEnd w:id="170"/>
    <w:p>
      <w:pPr>
        <w:ind w:left="920"/>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SERIES 2009-3 SUPPLEMENT, dated as of November 5, 2009 (this “</w:t>
      </w:r>
      <w:r>
        <w:rPr>
          <w:rFonts w:ascii="Times New Roman" w:cs="Times New Roman" w:eastAsia="Times New Roman" w:hAnsi="Times New Roman"/>
          <w:sz w:val="16"/>
          <w:szCs w:val="16"/>
          <w:u w:val="single" w:color="auto"/>
          <w:color w:val="auto"/>
        </w:rPr>
        <w:t>Supplement</w:t>
      </w:r>
      <w:r>
        <w:rPr>
          <w:rFonts w:ascii="Times New Roman" w:cs="Times New Roman" w:eastAsia="Times New Roman" w:hAnsi="Times New Roman"/>
          <w:sz w:val="16"/>
          <w:szCs w:val="16"/>
          <w:color w:val="auto"/>
        </w:rPr>
        <w:t>”), among AVIS BUDGET RENTAL CAR FUNDING (AESOP)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LLC, a special purpose limited liability company established under the laws of Delaware (“</w:t>
      </w:r>
      <w:r>
        <w:rPr>
          <w:rFonts w:ascii="Times New Roman" w:cs="Times New Roman" w:eastAsia="Times New Roman" w:hAnsi="Times New Roman"/>
          <w:sz w:val="16"/>
          <w:szCs w:val="16"/>
          <w:u w:val="single" w:color="auto"/>
          <w:color w:val="auto"/>
        </w:rPr>
        <w:t>ABRCF</w:t>
      </w:r>
      <w:r>
        <w:rPr>
          <w:rFonts w:ascii="Times New Roman" w:cs="Times New Roman" w:eastAsia="Times New Roman" w:hAnsi="Times New Roman"/>
          <w:sz w:val="16"/>
          <w:szCs w:val="16"/>
          <w:color w:val="auto"/>
        </w:rPr>
        <w:t>”), AVIS BUDGET CAR RENTAL, LLC, a limited liability</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established under the laws of Delaware (“</w:t>
      </w:r>
      <w:r>
        <w:rPr>
          <w:rFonts w:ascii="Times New Roman" w:cs="Times New Roman" w:eastAsia="Times New Roman" w:hAnsi="Times New Roman"/>
          <w:sz w:val="18"/>
          <w:szCs w:val="18"/>
          <w:u w:val="single" w:color="auto"/>
          <w:color w:val="auto"/>
        </w:rPr>
        <w:t>ABCR</w:t>
      </w:r>
      <w:r>
        <w:rPr>
          <w:rFonts w:ascii="Times New Roman" w:cs="Times New Roman" w:eastAsia="Times New Roman" w:hAnsi="Times New Roman"/>
          <w:sz w:val="18"/>
          <w:szCs w:val="18"/>
          <w:color w:val="auto"/>
        </w:rPr>
        <w:t>”), as administrator (the “</w:t>
      </w:r>
      <w:r>
        <w:rPr>
          <w:rFonts w:ascii="Times New Roman" w:cs="Times New Roman" w:eastAsia="Times New Roman" w:hAnsi="Times New Roman"/>
          <w:sz w:val="18"/>
          <w:szCs w:val="18"/>
          <w:u w:val="single" w:color="auto"/>
          <w:color w:val="auto"/>
        </w:rPr>
        <w:t>Administrator</w:t>
      </w:r>
      <w:r>
        <w:rPr>
          <w:rFonts w:ascii="Times New Roman" w:cs="Times New Roman" w:eastAsia="Times New Roman" w:hAnsi="Times New Roman"/>
          <w:sz w:val="18"/>
          <w:szCs w:val="18"/>
          <w:color w:val="auto"/>
        </w:rPr>
        <w:t>”), DEUTSCHE BANK AG, NEW YORK BRANCH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DBNY</w:t>
      </w:r>
      <w:r>
        <w:rPr>
          <w:rFonts w:ascii="Times New Roman" w:cs="Times New Roman" w:eastAsia="Times New Roman" w:hAnsi="Times New Roman"/>
          <w:sz w:val="18"/>
          <w:szCs w:val="18"/>
          <w:color w:val="auto"/>
        </w:rPr>
        <w:t>”), in its capacity as administrative agent for the CP Conduit Purchasers, the APA Banks and the Funding Agents (the “</w:t>
      </w:r>
      <w:r>
        <w:rPr>
          <w:rFonts w:ascii="Times New Roman" w:cs="Times New Roman" w:eastAsia="Times New Roman" w:hAnsi="Times New Roman"/>
          <w:sz w:val="18"/>
          <w:szCs w:val="18"/>
          <w:u w:val="single" w:color="auto"/>
          <w:color w:val="auto"/>
        </w:rPr>
        <w:t>Administrative Agent</w:t>
      </w:r>
      <w:r>
        <w:rPr>
          <w:rFonts w:ascii="Times New Roman" w:cs="Times New Roman" w:eastAsia="Times New Roman" w:hAnsi="Times New Roman"/>
          <w:sz w:val="18"/>
          <w:szCs w:val="18"/>
          <w:color w:val="auto"/>
        </w:rPr>
        <w:t>”),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several commercial paper conduits listed on Schedule I and their respective permitted successors and assigns (the “</w:t>
      </w:r>
      <w:r>
        <w:rPr>
          <w:rFonts w:ascii="Times New Roman" w:cs="Times New Roman" w:eastAsia="Times New Roman" w:hAnsi="Times New Roman"/>
          <w:sz w:val="16"/>
          <w:szCs w:val="16"/>
          <w:u w:val="single" w:color="auto"/>
          <w:color w:val="auto"/>
        </w:rPr>
        <w:t>CP Conduit Purchasers</w:t>
      </w:r>
      <w:r>
        <w:rPr>
          <w:rFonts w:ascii="Times New Roman" w:cs="Times New Roman" w:eastAsia="Times New Roman" w:hAnsi="Times New Roman"/>
          <w:sz w:val="16"/>
          <w:szCs w:val="16"/>
          <w:color w:val="auto"/>
        </w:rPr>
        <w:t>”; each, individually, a</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CP Conduit Purchaser</w:t>
      </w:r>
      <w:r>
        <w:rPr>
          <w:rFonts w:ascii="Times New Roman" w:cs="Times New Roman" w:eastAsia="Times New Roman" w:hAnsi="Times New Roman"/>
          <w:sz w:val="16"/>
          <w:szCs w:val="16"/>
          <w:color w:val="auto"/>
        </w:rPr>
        <w:t>”), the several banks set forth opposite the name of each CP Conduit Purchaser on Schedule I and the other banks parties hereto pursuant</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to Section 11.1 (each an “</w:t>
      </w:r>
      <w:r>
        <w:rPr>
          <w:rFonts w:ascii="Times New Roman" w:cs="Times New Roman" w:eastAsia="Times New Roman" w:hAnsi="Times New Roman"/>
          <w:sz w:val="16"/>
          <w:szCs w:val="16"/>
          <w:u w:val="single" w:color="auto"/>
          <w:color w:val="auto"/>
        </w:rPr>
        <w:t>APA Bank</w:t>
      </w:r>
      <w:r>
        <w:rPr>
          <w:rFonts w:ascii="Times New Roman" w:cs="Times New Roman" w:eastAsia="Times New Roman" w:hAnsi="Times New Roman"/>
          <w:sz w:val="16"/>
          <w:szCs w:val="16"/>
          <w:color w:val="auto"/>
        </w:rPr>
        <w:t>” with respect to such CP Conduit Purchaser), the agent bank set forth opposite the name of each CP Conduit Purchaser on</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Schedule I and its permitted successors and assigns (the “</w:t>
      </w:r>
      <w:r>
        <w:rPr>
          <w:rFonts w:ascii="Times New Roman" w:cs="Times New Roman" w:eastAsia="Times New Roman" w:hAnsi="Times New Roman"/>
          <w:sz w:val="18"/>
          <w:szCs w:val="18"/>
          <w:u w:val="single" w:color="auto"/>
          <w:color w:val="auto"/>
        </w:rPr>
        <w:t>Funding Agent</w:t>
      </w:r>
      <w:r>
        <w:rPr>
          <w:rFonts w:ascii="Times New Roman" w:cs="Times New Roman" w:eastAsia="Times New Roman" w:hAnsi="Times New Roman"/>
          <w:sz w:val="18"/>
          <w:szCs w:val="18"/>
          <w:color w:val="auto"/>
        </w:rPr>
        <w:t>” with respect to such CP Conduit Purchaser) and THE BANK OF NEW YORK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MELLON TRUST COMPANY, N.A. (as successor in interest to The Bank of New York), a national banking association, as trustee (in such capacity,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Trustee</w:t>
      </w:r>
      <w:r>
        <w:rPr>
          <w:rFonts w:ascii="Times New Roman" w:cs="Times New Roman" w:eastAsia="Times New Roman" w:hAnsi="Times New Roman"/>
          <w:sz w:val="16"/>
          <w:szCs w:val="16"/>
          <w:color w:val="auto"/>
        </w:rPr>
        <w:t>”) and as agent for the benefit of the Series 2009-3 Noteholders (in such capacity, the “</w:t>
      </w:r>
      <w:r>
        <w:rPr>
          <w:rFonts w:ascii="Times New Roman" w:cs="Times New Roman" w:eastAsia="Times New Roman" w:hAnsi="Times New Roman"/>
          <w:sz w:val="16"/>
          <w:szCs w:val="16"/>
          <w:u w:val="single" w:color="auto"/>
          <w:color w:val="auto"/>
        </w:rPr>
        <w:t>Series 2009-3 Agent</w:t>
      </w:r>
      <w:r>
        <w:rPr>
          <w:rFonts w:ascii="Times New Roman" w:cs="Times New Roman" w:eastAsia="Times New Roman" w:hAnsi="Times New Roman"/>
          <w:sz w:val="16"/>
          <w:szCs w:val="16"/>
          <w:color w:val="auto"/>
        </w:rPr>
        <w:t>”), to the Second Amended and Restated Base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Indenture, dated as of June 3, 2004, between ABRCF and the Trustee (as amended, modified or supplemented from time to time, exclusive of Supplements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creating a new Series of Notes, the “</w:t>
      </w:r>
      <w:r>
        <w:rPr>
          <w:rFonts w:ascii="Times New Roman" w:cs="Times New Roman" w:eastAsia="Times New Roman" w:hAnsi="Times New Roman"/>
          <w:sz w:val="18"/>
          <w:szCs w:val="18"/>
          <w:u w:val="single" w:color="auto"/>
          <w:color w:val="auto"/>
        </w:rPr>
        <w:t>Base Indenture</w:t>
      </w:r>
      <w:r>
        <w:rPr>
          <w:rFonts w:ascii="Times New Roman" w:cs="Times New Roman" w:eastAsia="Times New Roman" w:hAnsi="Times New Roman"/>
          <w:sz w:val="18"/>
          <w:szCs w:val="18"/>
          <w:color w:val="auto"/>
        </w:rPr>
        <w:t>”).</w:t>
      </w:r>
    </w:p>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PRELIMINARY STATEMENT</w:t>
      </w:r>
    </w:p>
    <w:p>
      <w:pPr>
        <w:spacing w:after="0" w:line="173" w:lineRule="exact"/>
        <w:rPr>
          <w:sz w:val="20"/>
          <w:szCs w:val="20"/>
          <w:color w:val="auto"/>
        </w:rPr>
      </w:pPr>
    </w:p>
    <w:p>
      <w:pPr>
        <w:ind w:firstLine="913"/>
        <w:spacing w:after="0" w:line="275" w:lineRule="auto"/>
        <w:rPr>
          <w:sz w:val="20"/>
          <w:szCs w:val="20"/>
          <w:color w:val="auto"/>
        </w:rPr>
      </w:pPr>
      <w:r>
        <w:rPr>
          <w:rFonts w:ascii="Times New Roman" w:cs="Times New Roman" w:eastAsia="Times New Roman" w:hAnsi="Times New Roman"/>
          <w:sz w:val="18"/>
          <w:szCs w:val="18"/>
          <w:color w:val="auto"/>
        </w:rPr>
        <w:t>WHEREAS, Sections 2.2 and 12.1 of the Base Indenture provide, among other things, that ABRCF and the Trustee may at any time and from time to time enter into a supplement to the Base Indenture for the purpose of authorizing the issuance of one or more Series of Notes;</w:t>
      </w:r>
    </w:p>
    <w:p>
      <w:pPr>
        <w:spacing w:after="0" w:line="1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NOW, THEREFORE, the parties hereto agree as follows:</w:t>
      </w: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DESIGNATION</w:t>
      </w:r>
    </w:p>
    <w:p>
      <w:pPr>
        <w:spacing w:after="0" w:line="173" w:lineRule="exact"/>
        <w:rPr>
          <w:sz w:val="20"/>
          <w:szCs w:val="20"/>
          <w:color w:val="auto"/>
        </w:rPr>
      </w:pPr>
    </w:p>
    <w:p>
      <w:pPr>
        <w:ind w:right="700" w:firstLine="913"/>
        <w:spacing w:after="0" w:line="275" w:lineRule="auto"/>
        <w:rPr>
          <w:sz w:val="20"/>
          <w:szCs w:val="20"/>
          <w:color w:val="auto"/>
        </w:rPr>
      </w:pPr>
      <w:r>
        <w:rPr>
          <w:rFonts w:ascii="Times New Roman" w:cs="Times New Roman" w:eastAsia="Times New Roman" w:hAnsi="Times New Roman"/>
          <w:sz w:val="18"/>
          <w:szCs w:val="18"/>
          <w:color w:val="auto"/>
        </w:rPr>
        <w:t>There is hereby created a Series of Notes to be issued pursuant to the Base Indenture and this Supplement and such Series of Notes shall be designated generally as Variable Funding Rental Car Asset Backed Notes, Series 2009-3.</w:t>
      </w:r>
    </w:p>
    <w:p>
      <w:pPr>
        <w:spacing w:after="0" w:line="120" w:lineRule="exact"/>
        <w:rPr>
          <w:sz w:val="20"/>
          <w:szCs w:val="20"/>
          <w:color w:val="auto"/>
        </w:rPr>
      </w:pPr>
    </w:p>
    <w:p>
      <w:pPr>
        <w:ind w:right="200" w:firstLine="913"/>
        <w:spacing w:after="0" w:line="310" w:lineRule="auto"/>
        <w:rPr>
          <w:sz w:val="20"/>
          <w:szCs w:val="20"/>
          <w:color w:val="auto"/>
        </w:rPr>
      </w:pPr>
      <w:r>
        <w:rPr>
          <w:rFonts w:ascii="Times New Roman" w:cs="Times New Roman" w:eastAsia="Times New Roman" w:hAnsi="Times New Roman"/>
          <w:sz w:val="16"/>
          <w:szCs w:val="16"/>
          <w:color w:val="auto"/>
        </w:rPr>
        <w:t>The proceeds from the sale of the Series 2009-3 Notes shall be deposited in the Collection Account and shall be paid to ABRCF and used to make Loans under the Loan Agreements to the extent that the Borrowers have requested Loans thereunder and Eligible Vehicles are available for acquisition or refinancing thereunder on the date hereof. Any such portion of proceeds not so used to make Loans shall be deemed to be Principal Collections.</w:t>
      </w:r>
    </w:p>
    <w:p>
      <w:pPr>
        <w:spacing w:after="0" w:line="97" w:lineRule="exact"/>
        <w:rPr>
          <w:sz w:val="20"/>
          <w:szCs w:val="20"/>
          <w:color w:val="auto"/>
        </w:rPr>
      </w:pPr>
    </w:p>
    <w:p>
      <w:pPr>
        <w:ind w:right="80" w:firstLine="913"/>
        <w:spacing w:after="0" w:line="262" w:lineRule="auto"/>
        <w:rPr>
          <w:sz w:val="20"/>
          <w:szCs w:val="20"/>
          <w:color w:val="auto"/>
        </w:rPr>
      </w:pPr>
      <w:r>
        <w:rPr>
          <w:rFonts w:ascii="Times New Roman" w:cs="Times New Roman" w:eastAsia="Times New Roman" w:hAnsi="Times New Roman"/>
          <w:sz w:val="18"/>
          <w:szCs w:val="18"/>
          <w:color w:val="auto"/>
        </w:rPr>
        <w:t>The Series 2009-3 Notes are a non-Segregated Series of Notes (as more fully described in the Base Indenture). Accordingly, all references in this Supplement to “all” Series of Notes (and all references in this Supplement to terms defined in the Base Indenture that contain references to “all” Series of Notes) shall refer to all Series of Notes other than Segregated Series of Notes.</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400"/>
          </w:cols>
          <w:pgMar w:left="240" w:top="274" w:right="259" w:bottom="1440" w:gutter="0" w:footer="0" w:header="0"/>
        </w:sectPr>
      </w:pPr>
    </w:p>
    <w:bookmarkStart w:id="171" w:name="page172"/>
    <w:bookmarkEnd w:id="17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I</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DEFINITIONS</w:t>
      </w:r>
    </w:p>
    <w:p>
      <w:pPr>
        <w:spacing w:after="0" w:line="173" w:lineRule="exact"/>
        <w:rPr>
          <w:sz w:val="20"/>
          <w:szCs w:val="20"/>
          <w:color w:val="auto"/>
        </w:rPr>
      </w:pPr>
    </w:p>
    <w:p>
      <w:pPr>
        <w:ind w:firstLine="921"/>
        <w:spacing w:after="0" w:line="256" w:lineRule="auto"/>
        <w:tabs>
          <w:tab w:leader="none" w:pos="1152"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capitalized terms not otherwise defined herein are defined in the Definitions List attached to the Base Indenture as Schedule I thereto. All Article, Section, Subsection, Exhibit or Schedule references herein shall refer to Articles, Sections, Subsections, Exhibits or Schedules of this Supplement, except as otherwise provided herein. Unless otherwise stated herein, as the context otherwise requires or if such term is otherwise defined in the Base Indenture, each capitalized term used or defined herein shall relate only to the Series 2009-3 Notes and not to any other Series of Notes issued by ABRCF. In the event that a term used herein shall be defined both herein and in the Base Indenture, the definition of such term herein shall govern.</w:t>
      </w:r>
    </w:p>
    <w:p>
      <w:pPr>
        <w:spacing w:after="0" w:line="138" w:lineRule="exact"/>
        <w:rPr>
          <w:rFonts w:ascii="Times New Roman" w:cs="Times New Roman" w:eastAsia="Times New Roman" w:hAnsi="Times New Roman"/>
          <w:sz w:val="18"/>
          <w:szCs w:val="18"/>
          <w:color w:val="auto"/>
        </w:rPr>
      </w:pPr>
    </w:p>
    <w:p>
      <w:pPr>
        <w:ind w:right="40" w:firstLine="921"/>
        <w:spacing w:after="0" w:line="275" w:lineRule="auto"/>
        <w:tabs>
          <w:tab w:leader="none" w:pos="1162"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words and phrases shall have the following meanings with respect to the Series 2009-3 Notes and the definitions of such terms are applicable to the singular as well as the plural form of such terms and to the masculine as well as the feminine and neuter genders of such terms:</w:t>
      </w:r>
    </w:p>
    <w:p>
      <w:pPr>
        <w:spacing w:after="0" w:line="1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ABCR</w:t>
      </w:r>
      <w:r>
        <w:rPr>
          <w:rFonts w:ascii="Times New Roman" w:cs="Times New Roman" w:eastAsia="Times New Roman" w:hAnsi="Times New Roman"/>
          <w:sz w:val="18"/>
          <w:szCs w:val="18"/>
          <w:color w:val="auto"/>
        </w:rPr>
        <w:t>” is defined in the recitals hereto.</w:t>
      </w:r>
    </w:p>
    <w:p>
      <w:pPr>
        <w:spacing w:after="0" w:line="17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ABG</w:t>
      </w:r>
      <w:r>
        <w:rPr>
          <w:rFonts w:ascii="Times New Roman" w:cs="Times New Roman" w:eastAsia="Times New Roman" w:hAnsi="Times New Roman"/>
          <w:sz w:val="18"/>
          <w:szCs w:val="18"/>
          <w:color w:val="auto"/>
        </w:rPr>
        <w:t>” means Avis Budget Group, Inc.</w:t>
      </w:r>
    </w:p>
    <w:p>
      <w:pPr>
        <w:spacing w:after="0" w:line="17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ABRCF</w:t>
      </w:r>
      <w:r>
        <w:rPr>
          <w:rFonts w:ascii="Times New Roman" w:cs="Times New Roman" w:eastAsia="Times New Roman" w:hAnsi="Times New Roman"/>
          <w:sz w:val="18"/>
          <w:szCs w:val="18"/>
          <w:color w:val="auto"/>
        </w:rPr>
        <w:t>” is defined in the recitals hereto.</w:t>
      </w:r>
    </w:p>
    <w:p>
      <w:pPr>
        <w:spacing w:after="0" w:line="17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Acquiring APA Bank</w:t>
      </w:r>
      <w:r>
        <w:rPr>
          <w:rFonts w:ascii="Times New Roman" w:cs="Times New Roman" w:eastAsia="Times New Roman" w:hAnsi="Times New Roman"/>
          <w:sz w:val="18"/>
          <w:szCs w:val="18"/>
          <w:color w:val="auto"/>
        </w:rPr>
        <w:t>” is defined in Section 11.1(c).</w:t>
      </w:r>
    </w:p>
    <w:p>
      <w:pPr>
        <w:spacing w:after="0" w:line="17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Acquiring Purchaser Group</w:t>
      </w:r>
      <w:r>
        <w:rPr>
          <w:rFonts w:ascii="Times New Roman" w:cs="Times New Roman" w:eastAsia="Times New Roman" w:hAnsi="Times New Roman"/>
          <w:sz w:val="18"/>
          <w:szCs w:val="18"/>
          <w:color w:val="auto"/>
        </w:rPr>
        <w:t>” is defined in Section 11.1(e).</w:t>
      </w:r>
    </w:p>
    <w:p>
      <w:pPr>
        <w:spacing w:after="0" w:line="17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Additional CP Conduit Purchaser</w:t>
      </w:r>
      <w:r>
        <w:rPr>
          <w:rFonts w:ascii="Times New Roman" w:cs="Times New Roman" w:eastAsia="Times New Roman" w:hAnsi="Times New Roman"/>
          <w:sz w:val="18"/>
          <w:szCs w:val="18"/>
          <w:color w:val="auto"/>
        </w:rPr>
        <w:t>” is defined in Section 2.6(e).</w:t>
      </w:r>
    </w:p>
    <w:p>
      <w:pPr>
        <w:spacing w:after="0" w:line="17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Additional Funding Agent</w:t>
      </w:r>
      <w:r>
        <w:rPr>
          <w:rFonts w:ascii="Times New Roman" w:cs="Times New Roman" w:eastAsia="Times New Roman" w:hAnsi="Times New Roman"/>
          <w:sz w:val="18"/>
          <w:szCs w:val="18"/>
          <w:color w:val="auto"/>
        </w:rPr>
        <w:t>” is defined in Section 2.6(e).</w:t>
      </w:r>
    </w:p>
    <w:p>
      <w:pPr>
        <w:spacing w:after="0" w:line="171" w:lineRule="exact"/>
        <w:rPr>
          <w:sz w:val="20"/>
          <w:szCs w:val="20"/>
          <w:color w:val="auto"/>
        </w:rPr>
      </w:pPr>
    </w:p>
    <w:p>
      <w:pPr>
        <w:ind w:right="40" w:firstLine="913"/>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Adjusted LIBO Rate</w:t>
      </w:r>
      <w:r>
        <w:rPr>
          <w:rFonts w:ascii="Times New Roman" w:cs="Times New Roman" w:eastAsia="Times New Roman" w:hAnsi="Times New Roman"/>
          <w:sz w:val="18"/>
          <w:szCs w:val="18"/>
          <w:color w:val="auto"/>
        </w:rPr>
        <w:t>” means, with respect to each day during each Eurodollar Period, pertaining to a portion of the Purchaser Group Invested Amount with respect to any Purchaser Group allocated to a Eurodollar Tranche, an interest rate per annum (rounded upwards, if necessary, to the nearest 1/16</w:t>
      </w:r>
      <w:r>
        <w:rPr>
          <w:rFonts w:ascii="Times New Roman" w:cs="Times New Roman" w:eastAsia="Times New Roman" w:hAnsi="Times New Roman"/>
          <w:sz w:val="11"/>
          <w:szCs w:val="11"/>
          <w:color w:val="auto"/>
        </w:rPr>
        <w:t>th</w:t>
      </w:r>
      <w:r>
        <w:rPr>
          <w:rFonts w:ascii="Times New Roman" w:cs="Times New Roman" w:eastAsia="Times New Roman" w:hAnsi="Times New Roman"/>
          <w:sz w:val="18"/>
          <w:szCs w:val="18"/>
          <w:color w:val="auto"/>
        </w:rPr>
        <w:t xml:space="preserve"> of 1%) equal to the LIBO Rate for such Eurodollar Period multiplied by the Statutory Reserve Rate.</w:t>
      </w:r>
    </w:p>
    <w:p>
      <w:pPr>
        <w:spacing w:after="0" w:line="132" w:lineRule="exact"/>
        <w:rPr>
          <w:sz w:val="20"/>
          <w:szCs w:val="20"/>
          <w:color w:val="auto"/>
        </w:rPr>
      </w:pPr>
    </w:p>
    <w:p>
      <w:pPr>
        <w:ind w:right="220" w:firstLine="913"/>
        <w:spacing w:after="0" w:line="27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Adjusted Net Book Value</w:t>
      </w:r>
      <w:r>
        <w:rPr>
          <w:rFonts w:ascii="Times New Roman" w:cs="Times New Roman" w:eastAsia="Times New Roman" w:hAnsi="Times New Roman"/>
          <w:sz w:val="18"/>
          <w:szCs w:val="18"/>
          <w:color w:val="auto"/>
        </w:rPr>
        <w:t>” means, as of any date of determination, with respect to each Adjusted Program Vehicle as of such date, the product of 0.965 and the Net Book Value of such Adjusted Program Vehicle as of such date.</w:t>
      </w:r>
    </w:p>
    <w:p>
      <w:pPr>
        <w:spacing w:after="0" w:line="1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Administrative Agent</w:t>
      </w:r>
      <w:r>
        <w:rPr>
          <w:rFonts w:ascii="Times New Roman" w:cs="Times New Roman" w:eastAsia="Times New Roman" w:hAnsi="Times New Roman"/>
          <w:sz w:val="18"/>
          <w:szCs w:val="18"/>
          <w:color w:val="auto"/>
        </w:rPr>
        <w:t>” is defined in the recitals hereto.</w:t>
      </w:r>
    </w:p>
    <w:p>
      <w:pPr>
        <w:spacing w:after="0" w:line="17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Administrator</w:t>
      </w:r>
      <w:r>
        <w:rPr>
          <w:rFonts w:ascii="Times New Roman" w:cs="Times New Roman" w:eastAsia="Times New Roman" w:hAnsi="Times New Roman"/>
          <w:sz w:val="18"/>
          <w:szCs w:val="18"/>
          <w:color w:val="auto"/>
        </w:rPr>
        <w:t>” is defined in the recitals hereto.</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00"/>
          </w:cols>
          <w:pgMar w:left="240" w:top="272" w:right="259" w:bottom="1440" w:gutter="0" w:footer="0" w:header="0"/>
        </w:sectPr>
      </w:pPr>
    </w:p>
    <w:bookmarkStart w:id="172" w:name="page173"/>
    <w:bookmarkEnd w:id="172"/>
    <w:p>
      <w:pPr>
        <w:ind w:left="9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Affected Party</w:t>
      </w:r>
      <w:r>
        <w:rPr>
          <w:rFonts w:ascii="Times New Roman" w:cs="Times New Roman" w:eastAsia="Times New Roman" w:hAnsi="Times New Roman"/>
          <w:sz w:val="18"/>
          <w:szCs w:val="18"/>
          <w:color w:val="auto"/>
        </w:rPr>
        <w:t>” means any CP Conduit Purchaser and any Program Support Provider with respect to such CP Conduit Purchaser.</w:t>
      </w:r>
    </w:p>
    <w:p>
      <w:pPr>
        <w:spacing w:after="0" w:line="171" w:lineRule="exact"/>
        <w:rPr>
          <w:sz w:val="20"/>
          <w:szCs w:val="20"/>
          <w:color w:val="auto"/>
        </w:rPr>
      </w:pPr>
    </w:p>
    <w:p>
      <w:pPr>
        <w:jc w:val="both"/>
        <w:ind w:right="20" w:firstLine="913"/>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Alternate Base Rate</w:t>
      </w:r>
      <w:r>
        <w:rPr>
          <w:rFonts w:ascii="Times New Roman" w:cs="Times New Roman" w:eastAsia="Times New Roman" w:hAnsi="Times New Roman"/>
          <w:sz w:val="18"/>
          <w:szCs w:val="18"/>
          <w:color w:val="auto"/>
        </w:rPr>
        <w:t xml:space="preserve">” means, for any day, a rate per annum equal to the greater of (a) the Prime Rate in effect on such day </w:t>
      </w:r>
      <w:r>
        <w:rPr>
          <w:rFonts w:ascii="Times New Roman" w:cs="Times New Roman" w:eastAsia="Times New Roman" w:hAnsi="Times New Roman"/>
          <w:sz w:val="18"/>
          <w:szCs w:val="18"/>
          <w:u w:val="single" w:color="auto"/>
          <w:color w:val="auto"/>
        </w:rPr>
        <w:t>and</w:t>
      </w:r>
      <w:r>
        <w:rPr>
          <w:rFonts w:ascii="Times New Roman" w:cs="Times New Roman" w:eastAsia="Times New Roman" w:hAnsi="Times New Roman"/>
          <w:sz w:val="18"/>
          <w:szCs w:val="18"/>
          <w:color w:val="auto"/>
        </w:rPr>
        <w:t xml:space="preserve"> (b) the Federal Funds Effective Rate in effect on such day plus </w:t>
      </w:r>
      <w:r>
        <w:rPr>
          <w:rFonts w:ascii="Times New Roman" w:cs="Times New Roman" w:eastAsia="Times New Roman" w:hAnsi="Times New Roman"/>
          <w:sz w:val="11"/>
          <w:szCs w:val="11"/>
          <w:color w:val="auto"/>
        </w:rPr>
        <w:t>1</w:t>
      </w:r>
      <w:r>
        <w:rPr>
          <w:rFonts w:ascii="Times New Roman" w:cs="Times New Roman" w:eastAsia="Times New Roman" w:hAnsi="Times New Roman"/>
          <w:sz w:val="18"/>
          <w:szCs w:val="18"/>
          <w:color w:val="auto"/>
        </w:rPr>
        <w:t>/</w:t>
      </w:r>
      <w:r>
        <w:rPr>
          <w:rFonts w:ascii="Times New Roman" w:cs="Times New Roman" w:eastAsia="Times New Roman" w:hAnsi="Times New Roman"/>
          <w:sz w:val="13"/>
          <w:szCs w:val="13"/>
          <w:color w:val="auto"/>
        </w:rPr>
        <w:t>2</w:t>
      </w:r>
      <w:r>
        <w:rPr>
          <w:rFonts w:ascii="Times New Roman" w:cs="Times New Roman" w:eastAsia="Times New Roman" w:hAnsi="Times New Roman"/>
          <w:sz w:val="18"/>
          <w:szCs w:val="18"/>
          <w:color w:val="auto"/>
        </w:rPr>
        <w:t xml:space="preserve"> of 1%. Any change in the Alternate Base Rate due to a change in the Prime Rate or the Federal Funds Effective Rate shall be effective from and including the effective day of such change in the Prime Rate or the Federal Funds Effective Rate, respectively.</w:t>
      </w:r>
    </w:p>
    <w:p>
      <w:pPr>
        <w:spacing w:after="0" w:line="13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APA Bank</w:t>
      </w:r>
      <w:r>
        <w:rPr>
          <w:rFonts w:ascii="Times New Roman" w:cs="Times New Roman" w:eastAsia="Times New Roman" w:hAnsi="Times New Roman"/>
          <w:sz w:val="18"/>
          <w:szCs w:val="18"/>
          <w:color w:val="auto"/>
        </w:rPr>
        <w:t>” is defined in the recitals hereto.</w:t>
      </w:r>
    </w:p>
    <w:p>
      <w:pPr>
        <w:spacing w:after="0" w:line="171" w:lineRule="exact"/>
        <w:rPr>
          <w:sz w:val="20"/>
          <w:szCs w:val="20"/>
          <w:color w:val="auto"/>
        </w:rPr>
      </w:pPr>
    </w:p>
    <w:p>
      <w:pPr>
        <w:ind w:right="140" w:firstLine="913"/>
        <w:spacing w:after="0" w:line="27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APA Bank Funded Amount</w:t>
      </w:r>
      <w:r>
        <w:rPr>
          <w:rFonts w:ascii="Times New Roman" w:cs="Times New Roman" w:eastAsia="Times New Roman" w:hAnsi="Times New Roman"/>
          <w:sz w:val="18"/>
          <w:szCs w:val="18"/>
          <w:color w:val="auto"/>
        </w:rPr>
        <w:t>” means, with respect to any Purchaser Group for any day, the excess, if any, of the Purchaser Group Invested Amount with respect to such Purchaser Group over the CP Conduit Funded Amount for such day.</w:t>
      </w:r>
    </w:p>
    <w:p>
      <w:pPr>
        <w:spacing w:after="0" w:line="1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APA Bank Percentage</w:t>
      </w:r>
      <w:r>
        <w:rPr>
          <w:rFonts w:ascii="Times New Roman" w:cs="Times New Roman" w:eastAsia="Times New Roman" w:hAnsi="Times New Roman"/>
          <w:sz w:val="18"/>
          <w:szCs w:val="18"/>
          <w:color w:val="auto"/>
        </w:rPr>
        <w:t>” means, with respect to any APA Bank, the percentage set forth opposite the name of such APA Bank on Schedule I.</w:t>
      </w:r>
    </w:p>
    <w:p>
      <w:pPr>
        <w:spacing w:after="0" w:line="17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Margin</w:t>
      </w:r>
      <w:r>
        <w:rPr>
          <w:rFonts w:ascii="Times New Roman" w:cs="Times New Roman" w:eastAsia="Times New Roman" w:hAnsi="Times New Roman"/>
          <w:sz w:val="18"/>
          <w:szCs w:val="18"/>
          <w:color w:val="auto"/>
        </w:rPr>
        <w:t>” is defined in the Fee Letter.</w:t>
      </w:r>
    </w:p>
    <w:p>
      <w:pPr>
        <w:spacing w:after="0" w:line="17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ARAC</w:t>
      </w:r>
      <w:r>
        <w:rPr>
          <w:rFonts w:ascii="Times New Roman" w:cs="Times New Roman" w:eastAsia="Times New Roman" w:hAnsi="Times New Roman"/>
          <w:sz w:val="18"/>
          <w:szCs w:val="18"/>
          <w:color w:val="auto"/>
        </w:rPr>
        <w:t>” means Avis Rent A Car System, LLC.</w:t>
      </w:r>
    </w:p>
    <w:p>
      <w:pPr>
        <w:spacing w:after="0" w:line="17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Article VII Costs</w:t>
      </w:r>
      <w:r>
        <w:rPr>
          <w:rFonts w:ascii="Times New Roman" w:cs="Times New Roman" w:eastAsia="Times New Roman" w:hAnsi="Times New Roman"/>
          <w:sz w:val="18"/>
          <w:szCs w:val="18"/>
          <w:color w:val="auto"/>
        </w:rPr>
        <w:t>” means any amounts due pursuant to Article VII and any interest accrued on such amounts pursuant to Section 3.4.</w:t>
      </w:r>
    </w:p>
    <w:p>
      <w:pPr>
        <w:spacing w:after="0" w:line="171" w:lineRule="exact"/>
        <w:rPr>
          <w:sz w:val="20"/>
          <w:szCs w:val="20"/>
          <w:color w:val="auto"/>
        </w:rPr>
      </w:pPr>
    </w:p>
    <w:p>
      <w:pPr>
        <w:ind w:right="60" w:firstLine="913"/>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Asset Purchase Agreement</w:t>
      </w:r>
      <w:r>
        <w:rPr>
          <w:rFonts w:ascii="Times New Roman" w:cs="Times New Roman" w:eastAsia="Times New Roman" w:hAnsi="Times New Roman"/>
          <w:sz w:val="18"/>
          <w:szCs w:val="18"/>
          <w:color w:val="auto"/>
        </w:rPr>
        <w:t>” means, with respect to any CP Conduit Purchaser, the asset purchase agreement, liquidity agreement or other agreement among such CP Conduit Purchaser, the Funding Agent with respect to such CP Conduit Purchaser and the APA Bank with respect to such CP Conduit Purchaser, as amended, modified or supplemented from time to time.</w:t>
      </w:r>
    </w:p>
    <w:p>
      <w:pPr>
        <w:spacing w:after="0" w:line="132" w:lineRule="exact"/>
        <w:rPr>
          <w:sz w:val="20"/>
          <w:szCs w:val="20"/>
          <w:color w:val="auto"/>
        </w:rPr>
      </w:pPr>
    </w:p>
    <w:p>
      <w:pPr>
        <w:ind w:firstLine="913"/>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Available APA Bank Funding Amount</w:t>
      </w:r>
      <w:r>
        <w:rPr>
          <w:rFonts w:ascii="Times New Roman" w:cs="Times New Roman" w:eastAsia="Times New Roman" w:hAnsi="Times New Roman"/>
          <w:sz w:val="18"/>
          <w:szCs w:val="18"/>
          <w:color w:val="auto"/>
        </w:rPr>
        <w:t>” means, with respect to any Purchaser Group for any Business Day, the sum of (i) the portion of such Purchaser Group’s Commitment Percentage of the Series 2009-3 Initial Invested Amount not to be funded by such Purchaser Group by issuing Commercial Paper if such Business Day is the Series 2009-3 Closing Date, (ii) the portion of the APA Bank Funded Amount with respect to such Purchaser Group not allocated to a Eurodollar Tranche on such Business Day, (iii) the portion of the APA Bank Funded Amount with respect to such Purchaser Group allocated to any Eurodollar Tranche the Eurodollar Period in respect of which expires on such Business Day and (iv) the portion of such Purchaser Group’s Purchaser Group Increase Amount for such Business Day not to be funded by such Purchaser Group by issuing Commercial Paper.</w:t>
      </w:r>
    </w:p>
    <w:p>
      <w:pPr>
        <w:spacing w:after="0" w:line="139" w:lineRule="exact"/>
        <w:rPr>
          <w:sz w:val="20"/>
          <w:szCs w:val="20"/>
          <w:color w:val="auto"/>
        </w:rPr>
      </w:pPr>
    </w:p>
    <w:p>
      <w:pPr>
        <w:ind w:right="320" w:firstLine="913"/>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Available CP Funding Amount</w:t>
      </w:r>
      <w:r>
        <w:rPr>
          <w:rFonts w:ascii="Times New Roman" w:cs="Times New Roman" w:eastAsia="Times New Roman" w:hAnsi="Times New Roman"/>
          <w:sz w:val="18"/>
          <w:szCs w:val="18"/>
          <w:color w:val="auto"/>
        </w:rPr>
        <w:t>” means, with respect to any Purchaser Group for any Business Day, the sum of (i) the portion of such Purchaser Group’s Commitment Percentage of the Series 2009-3 Initial Invested Amount to be funded by such Purchaser Group by issuing Commercial Paper if such Business Day is the Series 2009-3 Closing Date, (ii) the portion of the CP Conduit Funded Amount with respect to such Purchaser Group allocated to any CP Tranche, the CP Rate Period in respect of which expires on such Business Day and (iii) the portion of such</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00"/>
          </w:cols>
          <w:pgMar w:left="240" w:top="274" w:right="259" w:bottom="1440" w:gutter="0" w:footer="0" w:header="0"/>
        </w:sectPr>
      </w:pPr>
    </w:p>
    <w:bookmarkStart w:id="173" w:name="page174"/>
    <w:bookmarkEnd w:id="173"/>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Purchaser Group’s Purchaser Group Increase Amount for such Business Day to be funded by such Purchaser Group by issuing Commercial Paper.</w:t>
      </w:r>
    </w:p>
    <w:p>
      <w:pPr>
        <w:spacing w:after="0" w:line="17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Bank Accounts</w:t>
      </w:r>
      <w:r>
        <w:rPr>
          <w:rFonts w:ascii="Times New Roman" w:cs="Times New Roman" w:eastAsia="Times New Roman" w:hAnsi="Times New Roman"/>
          <w:sz w:val="18"/>
          <w:szCs w:val="18"/>
          <w:color w:val="auto"/>
        </w:rPr>
        <w:t>” is defined in Section 11.16(f).</w:t>
      </w:r>
    </w:p>
    <w:p>
      <w:pPr>
        <w:spacing w:after="0" w:line="17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Benefited Purchaser Group</w:t>
      </w:r>
      <w:r>
        <w:rPr>
          <w:rFonts w:ascii="Times New Roman" w:cs="Times New Roman" w:eastAsia="Times New Roman" w:hAnsi="Times New Roman"/>
          <w:sz w:val="18"/>
          <w:szCs w:val="18"/>
          <w:color w:val="auto"/>
        </w:rPr>
        <w:t>” is defined in Section 11.3(a).</w:t>
      </w:r>
    </w:p>
    <w:p>
      <w:pPr>
        <w:spacing w:after="0" w:line="17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means the Board of Governors of the Federal Reserve System or any successor thereto.</w:t>
      </w:r>
    </w:p>
    <w:p>
      <w:pPr>
        <w:spacing w:after="0" w:line="17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BRAC</w:t>
      </w:r>
      <w:r>
        <w:rPr>
          <w:rFonts w:ascii="Times New Roman" w:cs="Times New Roman" w:eastAsia="Times New Roman" w:hAnsi="Times New Roman"/>
          <w:sz w:val="18"/>
          <w:szCs w:val="18"/>
          <w:color w:val="auto"/>
        </w:rPr>
        <w:t>” means Budget Rent A Car System, Inc.</w:t>
      </w:r>
    </w:p>
    <w:p>
      <w:pPr>
        <w:spacing w:after="0" w:line="171" w:lineRule="exact"/>
        <w:rPr>
          <w:sz w:val="20"/>
          <w:szCs w:val="20"/>
          <w:color w:val="auto"/>
        </w:rPr>
      </w:pPr>
    </w:p>
    <w:p>
      <w:pPr>
        <w:ind w:right="100" w:firstLine="913"/>
        <w:spacing w:after="0" w:line="27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means any day other than (a) a Saturday or a Sunday or (b) a day on which banking institutions in New York, New York or the city in which the corporate trust office of the Trustee is located are authorized or obligated by law or executive order to close.</w:t>
      </w:r>
    </w:p>
    <w:p>
      <w:pPr>
        <w:spacing w:after="0" w:line="120" w:lineRule="exact"/>
        <w:rPr>
          <w:sz w:val="20"/>
          <w:szCs w:val="20"/>
          <w:color w:val="auto"/>
        </w:rPr>
      </w:pPr>
    </w:p>
    <w:p>
      <w:pPr>
        <w:ind w:right="240" w:firstLine="913"/>
        <w:spacing w:after="0" w:line="27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Canadian Agent</w:t>
      </w:r>
      <w:r>
        <w:rPr>
          <w:rFonts w:ascii="Times New Roman" w:cs="Times New Roman" w:eastAsia="Times New Roman" w:hAnsi="Times New Roman"/>
          <w:sz w:val="18"/>
          <w:szCs w:val="18"/>
          <w:color w:val="auto"/>
        </w:rPr>
        <w:t>” means the administrative agent under the Canadian Variable Funding Note Facility, as specified therein, and its successors and assigns thereunder.</w:t>
      </w:r>
    </w:p>
    <w:p>
      <w:pPr>
        <w:spacing w:after="0" w:line="120" w:lineRule="exact"/>
        <w:rPr>
          <w:sz w:val="20"/>
          <w:szCs w:val="20"/>
          <w:color w:val="auto"/>
        </w:rPr>
      </w:pPr>
    </w:p>
    <w:p>
      <w:pPr>
        <w:ind w:firstLine="913"/>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Canadian Commitment</w:t>
      </w:r>
      <w:r>
        <w:rPr>
          <w:rFonts w:ascii="Times New Roman" w:cs="Times New Roman" w:eastAsia="Times New Roman" w:hAnsi="Times New Roman"/>
          <w:sz w:val="18"/>
          <w:szCs w:val="18"/>
          <w:color w:val="auto"/>
        </w:rPr>
        <w:t>” means, with respect to any APA Bank, the obligation of such APA Bank to make advances to the Canadian Issuer under the Canadian Variable Funding Note Facility in an aggregate principal amount outstanding not to exceed the amount set forth opposite such APA Bank’s name on any schedule or addendum thereto, as such amount may be modified from time to time in accordance with the provisions of the Canadian Variable Funding Note Facility.</w:t>
      </w:r>
    </w:p>
    <w:p>
      <w:pPr>
        <w:spacing w:after="0" w:line="13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Canadian Issuer</w:t>
      </w:r>
      <w:r>
        <w:rPr>
          <w:rFonts w:ascii="Times New Roman" w:cs="Times New Roman" w:eastAsia="Times New Roman" w:hAnsi="Times New Roman"/>
          <w:sz w:val="18"/>
          <w:szCs w:val="18"/>
          <w:color w:val="auto"/>
        </w:rPr>
        <w:t>” means the issuer under the Canadian Variable Funding Note Facility, as specified therein.</w:t>
      </w:r>
    </w:p>
    <w:p>
      <w:pPr>
        <w:spacing w:after="0" w:line="171" w:lineRule="exact"/>
        <w:rPr>
          <w:sz w:val="20"/>
          <w:szCs w:val="20"/>
          <w:color w:val="auto"/>
        </w:rPr>
      </w:pPr>
    </w:p>
    <w:p>
      <w:pPr>
        <w:ind w:right="20" w:firstLine="913"/>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Canadian Variable Funding Note Facility</w:t>
      </w:r>
      <w:r>
        <w:rPr>
          <w:rFonts w:ascii="Times New Roman" w:cs="Times New Roman" w:eastAsia="Times New Roman" w:hAnsi="Times New Roman"/>
          <w:sz w:val="18"/>
          <w:szCs w:val="18"/>
          <w:color w:val="auto"/>
        </w:rPr>
        <w:t>” means a Series Supplement (as defined in Exhibit J hereto) to be entered into by, among others, the Canadian Issuer and the APA Banks, in connection with the issuance by the Canadian Issuer of a Series (as defined in Exhibit J hereto) of variable funding Notes (as defined in Exhibit J hereto), pursuant to which the APA Banks will commit to purchase such variable funding Notes and make advances thereunder to the Canadian Issuer, in accordance with the terms set forth in the term sheet attached as Exhibit J hereto, evidenced by and subject to the completion of documentation in form and substance satisfactory to each of the APA Banks.</w:t>
      </w:r>
    </w:p>
    <w:p>
      <w:pPr>
        <w:spacing w:after="0" w:line="13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Certificate of Lease Deficit Demand</w:t>
      </w:r>
      <w:r>
        <w:rPr>
          <w:rFonts w:ascii="Times New Roman" w:cs="Times New Roman" w:eastAsia="Times New Roman" w:hAnsi="Times New Roman"/>
          <w:sz w:val="18"/>
          <w:szCs w:val="18"/>
          <w:color w:val="auto"/>
        </w:rPr>
        <w:t xml:space="preserve">” means a certificate substantially in the form of </w:t>
      </w:r>
      <w:r>
        <w:rPr>
          <w:rFonts w:ascii="Times New Roman" w:cs="Times New Roman" w:eastAsia="Times New Roman" w:hAnsi="Times New Roman"/>
          <w:sz w:val="18"/>
          <w:szCs w:val="18"/>
          <w:u w:val="single" w:color="auto"/>
          <w:color w:val="auto"/>
        </w:rPr>
        <w:t>Annex A</w:t>
      </w:r>
      <w:r>
        <w:rPr>
          <w:rFonts w:ascii="Times New Roman" w:cs="Times New Roman" w:eastAsia="Times New Roman" w:hAnsi="Times New Roman"/>
          <w:sz w:val="18"/>
          <w:szCs w:val="18"/>
          <w:color w:val="auto"/>
        </w:rPr>
        <w:t xml:space="preserve"> to any Series 2009-3 Letter of Credit.</w:t>
      </w:r>
    </w:p>
    <w:p>
      <w:pPr>
        <w:spacing w:after="0" w:line="17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Certificate of Termination Date Demand</w:t>
      </w:r>
      <w:r>
        <w:rPr>
          <w:rFonts w:ascii="Times New Roman" w:cs="Times New Roman" w:eastAsia="Times New Roman" w:hAnsi="Times New Roman"/>
          <w:sz w:val="18"/>
          <w:szCs w:val="18"/>
          <w:color w:val="auto"/>
        </w:rPr>
        <w:t xml:space="preserve">” means a certificate substantially in the form of </w:t>
      </w:r>
      <w:r>
        <w:rPr>
          <w:rFonts w:ascii="Times New Roman" w:cs="Times New Roman" w:eastAsia="Times New Roman" w:hAnsi="Times New Roman"/>
          <w:sz w:val="18"/>
          <w:szCs w:val="18"/>
          <w:u w:val="single" w:color="auto"/>
          <w:color w:val="auto"/>
        </w:rPr>
        <w:t>Annex D</w:t>
      </w:r>
      <w:r>
        <w:rPr>
          <w:rFonts w:ascii="Times New Roman" w:cs="Times New Roman" w:eastAsia="Times New Roman" w:hAnsi="Times New Roman"/>
          <w:sz w:val="18"/>
          <w:szCs w:val="18"/>
          <w:color w:val="auto"/>
        </w:rPr>
        <w:t xml:space="preserve"> to any Series 2009-3 Letter of Credit.</w:t>
      </w:r>
    </w:p>
    <w:p>
      <w:pPr>
        <w:spacing w:after="0" w:line="17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Certificate of Termination Demand</w:t>
      </w:r>
      <w:r>
        <w:rPr>
          <w:rFonts w:ascii="Times New Roman" w:cs="Times New Roman" w:eastAsia="Times New Roman" w:hAnsi="Times New Roman"/>
          <w:sz w:val="18"/>
          <w:szCs w:val="18"/>
          <w:color w:val="auto"/>
        </w:rPr>
        <w:t xml:space="preserve">” means a certificate substantially in the form of </w:t>
      </w:r>
      <w:r>
        <w:rPr>
          <w:rFonts w:ascii="Times New Roman" w:cs="Times New Roman" w:eastAsia="Times New Roman" w:hAnsi="Times New Roman"/>
          <w:sz w:val="18"/>
          <w:szCs w:val="18"/>
          <w:u w:val="single" w:color="auto"/>
          <w:color w:val="auto"/>
        </w:rPr>
        <w:t>Annex C</w:t>
      </w:r>
      <w:r>
        <w:rPr>
          <w:rFonts w:ascii="Times New Roman" w:cs="Times New Roman" w:eastAsia="Times New Roman" w:hAnsi="Times New Roman"/>
          <w:sz w:val="18"/>
          <w:szCs w:val="18"/>
          <w:color w:val="auto"/>
        </w:rPr>
        <w:t xml:space="preserve"> to any Series 2009-3 Letter of Credit.</w:t>
      </w:r>
    </w:p>
    <w:p>
      <w:pPr>
        <w:spacing w:after="0" w:line="158"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360"/>
          </w:cols>
          <w:pgMar w:left="240" w:top="274" w:right="299" w:bottom="1440" w:gutter="0" w:footer="0" w:header="0"/>
        </w:sectPr>
      </w:pPr>
    </w:p>
    <w:bookmarkStart w:id="174" w:name="page175"/>
    <w:bookmarkEnd w:id="174"/>
    <w:p>
      <w:pPr>
        <w:ind w:left="9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Certificate of Unpaid Demand Note Demand</w:t>
      </w:r>
      <w:r>
        <w:rPr>
          <w:rFonts w:ascii="Times New Roman" w:cs="Times New Roman" w:eastAsia="Times New Roman" w:hAnsi="Times New Roman"/>
          <w:sz w:val="18"/>
          <w:szCs w:val="18"/>
          <w:color w:val="auto"/>
        </w:rPr>
        <w:t xml:space="preserve">” means a certificate substantially in the form of </w:t>
      </w:r>
      <w:r>
        <w:rPr>
          <w:rFonts w:ascii="Times New Roman" w:cs="Times New Roman" w:eastAsia="Times New Roman" w:hAnsi="Times New Roman"/>
          <w:sz w:val="18"/>
          <w:szCs w:val="18"/>
          <w:u w:val="single" w:color="auto"/>
          <w:color w:val="auto"/>
        </w:rPr>
        <w:t>Annex B</w:t>
      </w:r>
      <w:r>
        <w:rPr>
          <w:rFonts w:ascii="Times New Roman" w:cs="Times New Roman" w:eastAsia="Times New Roman" w:hAnsi="Times New Roman"/>
          <w:sz w:val="18"/>
          <w:szCs w:val="18"/>
          <w:color w:val="auto"/>
        </w:rPr>
        <w:t xml:space="preserve"> to any Series 2009-3 Letter of Credit.</w:t>
      </w:r>
    </w:p>
    <w:p>
      <w:pPr>
        <w:spacing w:after="0" w:line="171" w:lineRule="exact"/>
        <w:rPr>
          <w:sz w:val="20"/>
          <w:szCs w:val="20"/>
          <w:color w:val="auto"/>
        </w:rPr>
      </w:pPr>
    </w:p>
    <w:p>
      <w:pPr>
        <w:ind w:right="60" w:firstLine="913"/>
        <w:spacing w:after="0" w:line="27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Change in Control</w:t>
      </w:r>
      <w:r>
        <w:rPr>
          <w:rFonts w:ascii="Times New Roman" w:cs="Times New Roman" w:eastAsia="Times New Roman" w:hAnsi="Times New Roman"/>
          <w:sz w:val="18"/>
          <w:szCs w:val="18"/>
          <w:color w:val="auto"/>
        </w:rPr>
        <w:t>” means (a) ABG shall at any time cease to own or control, directly or indirectly, greater than 50% of the Voting Stock of ABCR, ARAC or BRAC or (b) either ABRCF or AESOP Leasing is no longer indirectly wholly-owned by ABCR.</w:t>
      </w:r>
    </w:p>
    <w:p>
      <w:pPr>
        <w:spacing w:after="0" w:line="120" w:lineRule="exact"/>
        <w:rPr>
          <w:sz w:val="20"/>
          <w:szCs w:val="20"/>
          <w:color w:val="auto"/>
        </w:rPr>
      </w:pPr>
    </w:p>
    <w:p>
      <w:pPr>
        <w:ind w:firstLine="913"/>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Change in Law</w:t>
      </w:r>
      <w:r>
        <w:rPr>
          <w:rFonts w:ascii="Times New Roman" w:cs="Times New Roman" w:eastAsia="Times New Roman" w:hAnsi="Times New Roman"/>
          <w:sz w:val="18"/>
          <w:szCs w:val="18"/>
          <w:color w:val="auto"/>
        </w:rPr>
        <w:t>” means (a) any law, rule or regulation or any change therein or in the interpretation or application thereof (whether or not having the force of law), in each case, adopted, issued or occurring after the Series 2009-3 Closing Date or (b) any request, guideline or directive (whether or not having the force of law) from any government or political subdivision or agency, authority, bureau, central bank, commission, department or instrumentality thereof, or any court, tribunal, grand jury or arbitrator, or any accounting board or authority (whether or not part of government) which is responsible for the establishment or interpretation of national or international accounting principles, in each case, whether foreign or domestic (each an “</w:t>
      </w:r>
      <w:r>
        <w:rPr>
          <w:rFonts w:ascii="Times New Roman" w:cs="Times New Roman" w:eastAsia="Times New Roman" w:hAnsi="Times New Roman"/>
          <w:sz w:val="18"/>
          <w:szCs w:val="18"/>
          <w:u w:val="single" w:color="auto"/>
          <w:color w:val="auto"/>
        </w:rPr>
        <w:t>Official Body</w:t>
      </w:r>
      <w:r>
        <w:rPr>
          <w:rFonts w:ascii="Times New Roman" w:cs="Times New Roman" w:eastAsia="Times New Roman" w:hAnsi="Times New Roman"/>
          <w:sz w:val="18"/>
          <w:szCs w:val="18"/>
          <w:color w:val="auto"/>
        </w:rPr>
        <w:t>”) charged with the administration, interpretation or application thereof, or the compliance with any request or directive of any Official Body (whether or not having the force of law) made, issued or occurring after the Series 2009-3 Closing Date.</w:t>
      </w:r>
    </w:p>
    <w:p>
      <w:pPr>
        <w:spacing w:after="0" w:line="14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Claim</w:t>
      </w:r>
      <w:r>
        <w:rPr>
          <w:rFonts w:ascii="Times New Roman" w:cs="Times New Roman" w:eastAsia="Times New Roman" w:hAnsi="Times New Roman"/>
          <w:sz w:val="18"/>
          <w:szCs w:val="18"/>
          <w:color w:val="auto"/>
        </w:rPr>
        <w:t>” is defined in Section 2.8.</w:t>
      </w:r>
    </w:p>
    <w:p>
      <w:pPr>
        <w:spacing w:after="0" w:line="171" w:lineRule="exact"/>
        <w:rPr>
          <w:sz w:val="20"/>
          <w:szCs w:val="20"/>
          <w:color w:val="auto"/>
        </w:rPr>
      </w:pPr>
    </w:p>
    <w:p>
      <w:pPr>
        <w:ind w:right="540" w:firstLine="913"/>
        <w:spacing w:after="0" w:line="27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Commercial Paper</w:t>
      </w:r>
      <w:r>
        <w:rPr>
          <w:rFonts w:ascii="Times New Roman" w:cs="Times New Roman" w:eastAsia="Times New Roman" w:hAnsi="Times New Roman"/>
          <w:sz w:val="18"/>
          <w:szCs w:val="18"/>
          <w:color w:val="auto"/>
        </w:rPr>
        <w:t>” means, with respect to any CP Conduit Purchaser, the promissory notes issued by, or for the benefit of, such CP Conduit Purchaser in the commercial paper market.</w:t>
      </w:r>
    </w:p>
    <w:p>
      <w:pPr>
        <w:spacing w:after="0" w:line="120" w:lineRule="exact"/>
        <w:rPr>
          <w:sz w:val="20"/>
          <w:szCs w:val="20"/>
          <w:color w:val="auto"/>
        </w:rPr>
      </w:pPr>
    </w:p>
    <w:p>
      <w:pPr>
        <w:ind w:right="20" w:firstLine="913"/>
        <w:spacing w:after="0" w:line="310"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Commitment</w:t>
      </w:r>
      <w:r>
        <w:rPr>
          <w:rFonts w:ascii="Times New Roman" w:cs="Times New Roman" w:eastAsia="Times New Roman" w:hAnsi="Times New Roman"/>
          <w:sz w:val="16"/>
          <w:szCs w:val="16"/>
          <w:color w:val="auto"/>
        </w:rPr>
        <w:t>” means, with respect to the APA Banks included in any Purchaser Group, the obligation of such APA Banks to purchase a Series 2009-3 Note on the Series 2009-3 Closing Date and, thereafter, to maintain and, subject to certain conditions, increase the Purchaser Group Invested Amount with respect to such Purchaser Group, in each case, in an amount up to the Maximum Purchaser Group Invested Amount with respect to such Purchaser Group.</w:t>
      </w:r>
    </w:p>
    <w:p>
      <w:pPr>
        <w:spacing w:after="0" w:line="97" w:lineRule="exact"/>
        <w:rPr>
          <w:sz w:val="20"/>
          <w:szCs w:val="20"/>
          <w:color w:val="auto"/>
        </w:rPr>
      </w:pPr>
    </w:p>
    <w:p>
      <w:pPr>
        <w:ind w:right="620" w:firstLine="913"/>
        <w:spacing w:after="0" w:line="27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Commitment Amount</w:t>
      </w:r>
      <w:r>
        <w:rPr>
          <w:rFonts w:ascii="Times New Roman" w:cs="Times New Roman" w:eastAsia="Times New Roman" w:hAnsi="Times New Roman"/>
          <w:sz w:val="18"/>
          <w:szCs w:val="18"/>
          <w:color w:val="auto"/>
        </w:rPr>
        <w:t>” means, with respect to the APA Banks included in any Purchaser Group, an amount equal to 102% of the Maximum Purchaser Group Invested Amount with respect to such Purchaser Group.</w:t>
      </w:r>
    </w:p>
    <w:p>
      <w:pPr>
        <w:spacing w:after="0" w:line="1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Commitment Fee</w:t>
      </w:r>
      <w:r>
        <w:rPr>
          <w:rFonts w:ascii="Times New Roman" w:cs="Times New Roman" w:eastAsia="Times New Roman" w:hAnsi="Times New Roman"/>
          <w:sz w:val="18"/>
          <w:szCs w:val="18"/>
          <w:color w:val="auto"/>
        </w:rPr>
        <w:t>” is defined in Section 2.7(e).</w:t>
      </w:r>
    </w:p>
    <w:p>
      <w:pPr>
        <w:spacing w:after="0" w:line="17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Commitment Fee Rate</w:t>
      </w:r>
      <w:r>
        <w:rPr>
          <w:rFonts w:ascii="Times New Roman" w:cs="Times New Roman" w:eastAsia="Times New Roman" w:hAnsi="Times New Roman"/>
          <w:sz w:val="18"/>
          <w:szCs w:val="18"/>
          <w:color w:val="auto"/>
        </w:rPr>
        <w:t>” is defined in the Fee Letter.</w:t>
      </w:r>
    </w:p>
    <w:p>
      <w:pPr>
        <w:spacing w:after="0" w:line="171" w:lineRule="exact"/>
        <w:rPr>
          <w:sz w:val="20"/>
          <w:szCs w:val="20"/>
          <w:color w:val="auto"/>
        </w:rPr>
      </w:pPr>
    </w:p>
    <w:p>
      <w:pPr>
        <w:ind w:right="280" w:firstLine="913"/>
        <w:spacing w:after="0" w:line="27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Commitment Percentage</w:t>
      </w:r>
      <w:r>
        <w:rPr>
          <w:rFonts w:ascii="Times New Roman" w:cs="Times New Roman" w:eastAsia="Times New Roman" w:hAnsi="Times New Roman"/>
          <w:sz w:val="18"/>
          <w:szCs w:val="18"/>
          <w:color w:val="auto"/>
        </w:rPr>
        <w:t>” means, on any date of determination, with respect to any Purchaser Group, the ratio, expressed as a percentage, which such Purchaser Group’s Maximum Purchaser Group Invested Amount bears to the Series 2009-3 Maximum Invested Amount on such date.</w:t>
      </w:r>
    </w:p>
    <w:p>
      <w:pPr>
        <w:spacing w:after="0" w:line="1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indemnified person</w:t>
      </w:r>
      <w:r>
        <w:rPr>
          <w:rFonts w:ascii="Times New Roman" w:cs="Times New Roman" w:eastAsia="Times New Roman" w:hAnsi="Times New Roman"/>
          <w:sz w:val="18"/>
          <w:szCs w:val="18"/>
          <w:color w:val="auto"/>
        </w:rPr>
        <w:t>” is defined in Section 2.8.</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20"/>
          </w:cols>
          <w:pgMar w:left="240" w:top="274" w:right="239" w:bottom="1440" w:gutter="0" w:footer="0" w:header="0"/>
        </w:sectPr>
      </w:pPr>
    </w:p>
    <w:bookmarkStart w:id="175" w:name="page176"/>
    <w:bookmarkEnd w:id="175"/>
    <w:p>
      <w:pPr>
        <w:ind w:right="100" w:firstLine="913"/>
        <w:spacing w:after="0" w:line="26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Conduit Assignee</w:t>
      </w:r>
      <w:r>
        <w:rPr>
          <w:rFonts w:ascii="Times New Roman" w:cs="Times New Roman" w:eastAsia="Times New Roman" w:hAnsi="Times New Roman"/>
          <w:sz w:val="18"/>
          <w:szCs w:val="18"/>
          <w:color w:val="auto"/>
        </w:rPr>
        <w:t>” means, with respect to any CP Conduit Purchaser, any commercial paper conduit administered by the Funding Agent with respect to such CP Conduit Purchaser and designated by such Funding Agent to accept an assignment from such CP Conduit Purchaser of the Purchaser Group Invested Amount or a portion thereof with respect to such CP Conduit Purchaser pursuant to Section 11.1(b).</w:t>
      </w:r>
    </w:p>
    <w:p>
      <w:pPr>
        <w:spacing w:after="0" w:line="132" w:lineRule="exact"/>
        <w:rPr>
          <w:sz w:val="20"/>
          <w:szCs w:val="20"/>
          <w:color w:val="auto"/>
        </w:rPr>
      </w:pPr>
    </w:p>
    <w:p>
      <w:pPr>
        <w:ind w:firstLine="913"/>
        <w:spacing w:after="0" w:line="285"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Confirmation Condition</w:t>
      </w:r>
      <w:r>
        <w:rPr>
          <w:rFonts w:ascii="Times New Roman" w:cs="Times New Roman" w:eastAsia="Times New Roman" w:hAnsi="Times New Roman"/>
          <w:sz w:val="16"/>
          <w:szCs w:val="16"/>
          <w:color w:val="auto"/>
        </w:rPr>
        <w:t>” means, with respect to any Bankrupt Manufacturer which is a debtor in Chapter 11 Proceedings, a condition that shall be satisfied upon the bankruptcy court having competent jurisdiction over such Chapter 11 Proceedings issuing an order that remains in effect approving (i) the assumption of such Bankrupt Manufacturer’s Manufacturer Program (and the related Assignment Agreements) by such Bankrupt Manufacturer or the trustee in bankruptcy of such Bankrupt Manufacturer under Section 365 of the Bankruptcy Code and at the time of such assumption, the payment of all amounts due and payable by such Bankrupt Manufacturer under such Manufacturer Program and the curing of all other defaults by the Bankrupt Manufacturer thereunder or</w:t>
      </w:r>
    </w:p>
    <w:p>
      <w:pPr>
        <w:ind w:right="80" w:firstLine="8"/>
        <w:spacing w:after="0" w:line="252" w:lineRule="auto"/>
        <w:tabs>
          <w:tab w:leader="none" w:pos="258"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execution, delivery and performance by such Bankrupt Manufacturer of a new post-petition Manufacturer Program (and the related assignment agreements) on the same terms and covering the same Vehicles as such Bankrupt Manufacturer’s Manufacturer Program (and the related Assignment Agreements) in effect on the date such Bankrupt Manufacturer became subject to such Chapter 11 Proceedings and, at the time of the execution and delivery of such new post-petition Manufacturer Program, the payment of all amounts due and payable by such Bankrupt Manufacturer under such Manufacturer Program and the curing of all other defaults by the Bankrupt Manufacturer thereunder;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notwithstanding the foregoing, the Confirmation Condition shall be deemed satisfied until the 90</w:t>
      </w:r>
      <w:r>
        <w:rPr>
          <w:rFonts w:ascii="Times New Roman" w:cs="Times New Roman" w:eastAsia="Times New Roman" w:hAnsi="Times New Roman"/>
          <w:sz w:val="11"/>
          <w:szCs w:val="11"/>
          <w:color w:val="auto"/>
        </w:rPr>
        <w:t>th</w:t>
      </w:r>
      <w:r>
        <w:rPr>
          <w:rFonts w:ascii="Times New Roman" w:cs="Times New Roman" w:eastAsia="Times New Roman" w:hAnsi="Times New Roman"/>
          <w:sz w:val="18"/>
          <w:szCs w:val="18"/>
          <w:color w:val="auto"/>
        </w:rPr>
        <w:t xml:space="preserve"> calendar day following the initial filing in respect of such Chapter 11 Proceedings.</w:t>
      </w:r>
    </w:p>
    <w:p>
      <w:pPr>
        <w:spacing w:after="0" w:line="14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Consent</w:t>
      </w:r>
      <w:r>
        <w:rPr>
          <w:rFonts w:ascii="Times New Roman" w:cs="Times New Roman" w:eastAsia="Times New Roman" w:hAnsi="Times New Roman"/>
          <w:sz w:val="18"/>
          <w:szCs w:val="18"/>
          <w:color w:val="auto"/>
        </w:rPr>
        <w:t>” is defined in Article V.</w:t>
      </w:r>
    </w:p>
    <w:p>
      <w:pPr>
        <w:spacing w:after="0" w:line="17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Consent Period Expiration Date</w:t>
      </w:r>
      <w:r>
        <w:rPr>
          <w:rFonts w:ascii="Times New Roman" w:cs="Times New Roman" w:eastAsia="Times New Roman" w:hAnsi="Times New Roman"/>
          <w:sz w:val="18"/>
          <w:szCs w:val="18"/>
          <w:color w:val="auto"/>
        </w:rPr>
        <w:t>” is defined in Article V.</w:t>
      </w:r>
    </w:p>
    <w:p>
      <w:pPr>
        <w:spacing w:after="0" w:line="17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EBITDA</w:t>
      </w:r>
      <w:r>
        <w:rPr>
          <w:rFonts w:ascii="Times New Roman" w:cs="Times New Roman" w:eastAsia="Times New Roman" w:hAnsi="Times New Roman"/>
          <w:sz w:val="18"/>
          <w:szCs w:val="18"/>
          <w:color w:val="auto"/>
        </w:rPr>
        <w:t>” has the meaning set forth in the Credit Agreement.</w:t>
      </w:r>
    </w:p>
    <w:p>
      <w:pPr>
        <w:spacing w:after="0" w:line="17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Leverage Ratio</w:t>
      </w:r>
      <w:r>
        <w:rPr>
          <w:rFonts w:ascii="Times New Roman" w:cs="Times New Roman" w:eastAsia="Times New Roman" w:hAnsi="Times New Roman"/>
          <w:sz w:val="18"/>
          <w:szCs w:val="18"/>
          <w:color w:val="auto"/>
        </w:rPr>
        <w:t>” has the meaning set forth in the Credit Agreement.</w:t>
      </w:r>
    </w:p>
    <w:p>
      <w:pPr>
        <w:spacing w:after="0" w:line="171" w:lineRule="exact"/>
        <w:rPr>
          <w:sz w:val="20"/>
          <w:szCs w:val="20"/>
          <w:color w:val="auto"/>
        </w:rPr>
      </w:pPr>
    </w:p>
    <w:p>
      <w:pPr>
        <w:ind w:right="80" w:firstLine="913"/>
        <w:spacing w:after="0" w:line="27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CP Conduit Funded Amount</w:t>
      </w:r>
      <w:r>
        <w:rPr>
          <w:rFonts w:ascii="Times New Roman" w:cs="Times New Roman" w:eastAsia="Times New Roman" w:hAnsi="Times New Roman"/>
          <w:sz w:val="18"/>
          <w:szCs w:val="18"/>
          <w:color w:val="auto"/>
        </w:rPr>
        <w:t>” means, with respect to any Purchaser Group for any day, the portion of the Purchaser Group Invested Amount with respect to such Purchaser Group funded by such Purchaser Group through the issuance of Commercial Paper outstanding on such day.</w:t>
      </w:r>
    </w:p>
    <w:p>
      <w:pPr>
        <w:spacing w:after="0" w:line="1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CP Conduit Purchaser</w:t>
      </w:r>
      <w:r>
        <w:rPr>
          <w:rFonts w:ascii="Times New Roman" w:cs="Times New Roman" w:eastAsia="Times New Roman" w:hAnsi="Times New Roman"/>
          <w:sz w:val="18"/>
          <w:szCs w:val="18"/>
          <w:color w:val="auto"/>
        </w:rPr>
        <w:t>” is defined in the recitals hereto.</w:t>
      </w:r>
    </w:p>
    <w:p>
      <w:pPr>
        <w:spacing w:after="0" w:line="171" w:lineRule="exact"/>
        <w:rPr>
          <w:sz w:val="20"/>
          <w:szCs w:val="20"/>
          <w:color w:val="auto"/>
        </w:rPr>
      </w:pPr>
    </w:p>
    <w:p>
      <w:pPr>
        <w:ind w:right="120" w:firstLine="913"/>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CP Rate Period</w:t>
      </w:r>
      <w:r>
        <w:rPr>
          <w:rFonts w:ascii="Times New Roman" w:cs="Times New Roman" w:eastAsia="Times New Roman" w:hAnsi="Times New Roman"/>
          <w:sz w:val="18"/>
          <w:szCs w:val="18"/>
          <w:color w:val="auto"/>
        </w:rPr>
        <w:t xml:space="preserve">” means, with respect to any CP Tranche, a period of days not to exceed 270 days commencing on a Business Day selected in accordance with Section 2.7(b);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(x) if a CP Rate Period would end on a day that is not a Business Day, such CP Rate Period shall end on the next succeeding Business Day and (y) during the Series 2009-3 Amortization Period, each CP Rate Period shall end on or prior to the next succeeding Distribution Date.</w:t>
      </w:r>
    </w:p>
    <w:p>
      <w:pPr>
        <w:spacing w:after="0" w:line="12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80"/>
          </w:cols>
          <w:pgMar w:left="240" w:top="274" w:right="379" w:bottom="1440" w:gutter="0" w:footer="0" w:header="0"/>
        </w:sectPr>
      </w:pPr>
    </w:p>
    <w:bookmarkStart w:id="176" w:name="page177"/>
    <w:bookmarkEnd w:id="176"/>
    <w:p>
      <w:pPr>
        <w:ind w:right="20" w:firstLine="913"/>
        <w:spacing w:after="0" w:line="26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CP Tranche</w:t>
      </w:r>
      <w:r>
        <w:rPr>
          <w:rFonts w:ascii="Times New Roman" w:cs="Times New Roman" w:eastAsia="Times New Roman" w:hAnsi="Times New Roman"/>
          <w:sz w:val="18"/>
          <w:szCs w:val="18"/>
          <w:color w:val="auto"/>
        </w:rPr>
        <w:t>” means, with respect to a Match Funding CP Conduit Purchaser, a portion of the CP Conduit Funded Amount with respect to such Match Funding CP Conduit Purchaser for which the Monthly Funding Costs with respect to such Match Funding CP Conduit Purchaser is calculated by reference to a particular Discount and a particular CP Rate Period.</w:t>
      </w:r>
    </w:p>
    <w:p>
      <w:pPr>
        <w:spacing w:after="0" w:line="132" w:lineRule="exact"/>
        <w:rPr>
          <w:sz w:val="20"/>
          <w:szCs w:val="20"/>
          <w:color w:val="auto"/>
        </w:rPr>
      </w:pPr>
    </w:p>
    <w:p>
      <w:pPr>
        <w:ind w:firstLine="913"/>
        <w:spacing w:after="0" w:line="296"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Credit Agreement</w:t>
      </w:r>
      <w:r>
        <w:rPr>
          <w:rFonts w:ascii="Times New Roman" w:cs="Times New Roman" w:eastAsia="Times New Roman" w:hAnsi="Times New Roman"/>
          <w:sz w:val="16"/>
          <w:szCs w:val="16"/>
          <w:color w:val="auto"/>
        </w:rPr>
        <w:t>” means the Credit Agreement, dated as of April 19, 2006, among Avis Budget Holdings, LLC, as Borrower, ABCR, as Borrower, the subsidiary borrowers referred to therein, the several lenders referred to therein, JPMorgan Chase Bank, N.A., as Administrative Agent, Deutsche Bank Securities Inc., as Syndication Agent, each of Bank of America, N.A., Calyon New York Branch and Citicorp USA, Inc., as Documentation Agents and Wachovia Bank, National Association, as Co-Documentation Agent, as amended by the First Amendment thereto dated as of December 23, 2008 but without giving effect to any further amendment thereto made subsequent to the Effective Date unless such amendment has been approved in writing by the Requisite Noteholders.</w:t>
      </w:r>
    </w:p>
    <w:p>
      <w:pPr>
        <w:spacing w:after="0" w:line="10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DBNY</w:t>
      </w:r>
      <w:r>
        <w:rPr>
          <w:rFonts w:ascii="Times New Roman" w:cs="Times New Roman" w:eastAsia="Times New Roman" w:hAnsi="Times New Roman"/>
          <w:sz w:val="18"/>
          <w:szCs w:val="18"/>
          <w:color w:val="auto"/>
        </w:rPr>
        <w:t>” is defined in the recitals hereto.</w:t>
      </w:r>
    </w:p>
    <w:p>
      <w:pPr>
        <w:spacing w:after="0" w:line="17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Decrease</w:t>
      </w:r>
      <w:r>
        <w:rPr>
          <w:rFonts w:ascii="Times New Roman" w:cs="Times New Roman" w:eastAsia="Times New Roman" w:hAnsi="Times New Roman"/>
          <w:sz w:val="18"/>
          <w:szCs w:val="18"/>
          <w:color w:val="auto"/>
        </w:rPr>
        <w:t>” is defined in Section 2.5(a).</w:t>
      </w:r>
    </w:p>
    <w:p>
      <w:pPr>
        <w:spacing w:after="0" w:line="17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Demand Note Issuer</w:t>
      </w:r>
      <w:r>
        <w:rPr>
          <w:rFonts w:ascii="Times New Roman" w:cs="Times New Roman" w:eastAsia="Times New Roman" w:hAnsi="Times New Roman"/>
          <w:sz w:val="18"/>
          <w:szCs w:val="18"/>
          <w:color w:val="auto"/>
        </w:rPr>
        <w:t>” means each issuer of a Series 2009-3 Demand Note.</w:t>
      </w:r>
    </w:p>
    <w:p>
      <w:pPr>
        <w:spacing w:after="0" w:line="171" w:lineRule="exact"/>
        <w:rPr>
          <w:sz w:val="20"/>
          <w:szCs w:val="20"/>
          <w:color w:val="auto"/>
        </w:rPr>
      </w:pPr>
    </w:p>
    <w:p>
      <w:pPr>
        <w:ind w:right="60" w:firstLine="913"/>
        <w:spacing w:after="0" w:line="287"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Demand Note Preference Payment Amount</w:t>
      </w:r>
      <w:r>
        <w:rPr>
          <w:rFonts w:ascii="Times New Roman" w:cs="Times New Roman" w:eastAsia="Times New Roman" w:hAnsi="Times New Roman"/>
          <w:sz w:val="16"/>
          <w:szCs w:val="16"/>
          <w:color w:val="auto"/>
        </w:rPr>
        <w:t xml:space="preserve">” means, as of any day, (i) the aggregate amount of all proceeds of demands made on the Series 2009-3 Demand Notes pursuant to Section 3.5(c)(iii) or 3.5(d)(ii) that were deposited into the Series 2009-3 Distribution Account and paid to the Series 2009-3 Noteholders during the one-year period ending on such day;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that if an Event of Bankruptcy (or the occurrence of an event described in clause</w:t>
      </w:r>
    </w:p>
    <w:p>
      <w:pPr>
        <w:spacing w:after="0" w:line="1" w:lineRule="exact"/>
        <w:rPr>
          <w:sz w:val="20"/>
          <w:szCs w:val="20"/>
          <w:color w:val="auto"/>
        </w:rPr>
      </w:pPr>
    </w:p>
    <w:p>
      <w:pPr>
        <w:jc w:val="both"/>
        <w:ind w:right="60" w:firstLine="8"/>
        <w:spacing w:after="0" w:line="254" w:lineRule="auto"/>
        <w:tabs>
          <w:tab w:leader="none" w:pos="239"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of the definition thereof, without the lapse of a period of 60 consecutive days) with respect to a Demand Note Issuer shall have occurred during such one-year period, the Demand Note Preference Payment Amount as of such day shall equal the Demand Note Preference Payment Amount as if it were calculated as of the date of such occurrence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(ii) the aggregate amount withdrawn from the Series 2009-3 Reserve Account or the Series 2009-3 Cash Collateral Account and paid to a Funding Agent pursuant to Section 3.7(e) on account of a Preference Amount.</w:t>
      </w:r>
    </w:p>
    <w:p>
      <w:pPr>
        <w:spacing w:after="0" w:line="13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Designated Amounts</w:t>
      </w:r>
      <w:r>
        <w:rPr>
          <w:rFonts w:ascii="Times New Roman" w:cs="Times New Roman" w:eastAsia="Times New Roman" w:hAnsi="Times New Roman"/>
          <w:sz w:val="18"/>
          <w:szCs w:val="18"/>
          <w:color w:val="auto"/>
        </w:rPr>
        <w:t>” is defined in Article V.</w:t>
      </w:r>
    </w:p>
    <w:p>
      <w:pPr>
        <w:spacing w:after="0" w:line="171" w:lineRule="exact"/>
        <w:rPr>
          <w:sz w:val="20"/>
          <w:szCs w:val="20"/>
          <w:color w:val="auto"/>
        </w:rPr>
      </w:pPr>
    </w:p>
    <w:p>
      <w:pPr>
        <w:ind w:right="480" w:firstLine="913"/>
        <w:spacing w:after="0" w:line="27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Disbursement</w:t>
      </w:r>
      <w:r>
        <w:rPr>
          <w:rFonts w:ascii="Times New Roman" w:cs="Times New Roman" w:eastAsia="Times New Roman" w:hAnsi="Times New Roman"/>
          <w:sz w:val="18"/>
          <w:szCs w:val="18"/>
          <w:color w:val="auto"/>
        </w:rPr>
        <w:t>” means any Lease Deficit Disbursement, any Unpaid Demand Note Disbursement, any Termination Date Disbursement or any Termination Disbursement under a Series 2009-3 Letter of Credit, or any combination thereof, as the context may require.</w:t>
      </w:r>
    </w:p>
    <w:p>
      <w:pPr>
        <w:spacing w:after="0" w:line="120" w:lineRule="exact"/>
        <w:rPr>
          <w:sz w:val="20"/>
          <w:szCs w:val="20"/>
          <w:color w:val="auto"/>
        </w:rPr>
      </w:pPr>
    </w:p>
    <w:p>
      <w:pPr>
        <w:ind w:right="20" w:firstLine="913"/>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Discount</w:t>
      </w:r>
      <w:r>
        <w:rPr>
          <w:rFonts w:ascii="Times New Roman" w:cs="Times New Roman" w:eastAsia="Times New Roman" w:hAnsi="Times New Roman"/>
          <w:sz w:val="18"/>
          <w:szCs w:val="18"/>
          <w:color w:val="auto"/>
        </w:rPr>
        <w:t>” means, (a) with respect to any Match Funding CP Conduit Purchaser, the interest or discount component of the Commercial Paper issued by such Match Funding CP Conduit Purchaser to fund or maintain the CP Conduit Funded Amount with respect to such Match Funding CP Conduit Purchaser, including an amount equal to the portion of the face amount of the outstanding Commercial Paper issued to fund or maintain the CP Conduit Funded Amount with respect to such CP Conduit Purchaser that corresponds to the portion of the proceeds of such Commercial Paper that was used to pay the interest or discount component of maturing Commercial Paper issued to fund or maintain such CP Conduit Funded Amount, to the</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00"/>
          </w:cols>
          <w:pgMar w:left="240" w:top="274" w:right="259" w:bottom="1440" w:gutter="0" w:footer="0" w:header="0"/>
        </w:sectPr>
      </w:pPr>
    </w:p>
    <w:bookmarkStart w:id="177" w:name="page178"/>
    <w:bookmarkEnd w:id="177"/>
    <w:p>
      <w:pPr>
        <w:ind w:right="60"/>
        <w:spacing w:after="0" w:line="291"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extent that such CP Conduit Purchaser has not received payments of interest in respect of such interest component prior to the maturity date of such maturing Commercial Paper, and including the portion of such interest or discount component constituting dealer or placement agent commissions and (b) with respect to any Pooled Funding CP Conduit Purchaser, the amount of interest or discount to accrue on or in respect of the Commercial Paper issued by such Pooled Funding CP Conduit Purchaser allocated, in whole or in part, by the Funding Agent with respect to such Pooled Funding CP Conduit Purchaser, to fund the purchase or maintenance of the CP Conduit Funded Amount with respect to such Pooled Funding CP Conduit Purchaser (including, without limitation, any interest attributable to the commissions of placement agents and dealers in respect of such Commercial Paper and any costs associated with funding small or odd-lot amounts, to the extent that such commissions or costs are allocated, in whole or in part, to such Commercial Paper by such Funding Agent).</w:t>
      </w:r>
    </w:p>
    <w:p>
      <w:pPr>
        <w:spacing w:after="0" w:line="11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is defined in Section 6.1.</w:t>
      </w:r>
    </w:p>
    <w:p>
      <w:pPr>
        <w:spacing w:after="0" w:line="17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Eligible Assignee</w:t>
      </w:r>
      <w:r>
        <w:rPr>
          <w:rFonts w:ascii="Times New Roman" w:cs="Times New Roman" w:eastAsia="Times New Roman" w:hAnsi="Times New Roman"/>
          <w:sz w:val="16"/>
          <w:szCs w:val="16"/>
          <w:color w:val="auto"/>
        </w:rPr>
        <w:t>” means a financial institution having short-term debt ratings of at least “A-1” from Standard &amp; Poor’s and “P-1” from Moody’s.</w:t>
      </w:r>
    </w:p>
    <w:p>
      <w:pPr>
        <w:spacing w:after="0" w:line="19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Eurodollar Period</w:t>
      </w:r>
      <w:r>
        <w:rPr>
          <w:rFonts w:ascii="Times New Roman" w:cs="Times New Roman" w:eastAsia="Times New Roman" w:hAnsi="Times New Roman"/>
          <w:sz w:val="18"/>
          <w:szCs w:val="18"/>
          <w:color w:val="auto"/>
        </w:rPr>
        <w:t>” means, with respect to any Eurodollar Tranche and any Purchaser Group:</w:t>
      </w:r>
    </w:p>
    <w:p>
      <w:pPr>
        <w:spacing w:after="0" w:line="90" w:lineRule="exact"/>
        <w:rPr>
          <w:sz w:val="20"/>
          <w:szCs w:val="20"/>
          <w:color w:val="auto"/>
        </w:rPr>
      </w:pPr>
    </w:p>
    <w:p>
      <w:pPr>
        <w:jc w:val="both"/>
        <w:ind w:left="460" w:right="200" w:firstLine="443"/>
        <w:spacing w:after="0" w:line="262" w:lineRule="auto"/>
        <w:tabs>
          <w:tab w:leader="none" w:pos="1137"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initially, the period commencing on the Series 2009-3 Closing Date, the Increase Date or a conversion date, as the case may be, with respect to such Eurodollar Tranche and ending one month thereafter (or such other period which is acceptable to the Funding Agent with respect to such Purchaser Group and which in no event will be less than 7 days); and</w:t>
      </w:r>
    </w:p>
    <w:p>
      <w:pPr>
        <w:spacing w:after="0" w:line="51" w:lineRule="exact"/>
        <w:rPr>
          <w:rFonts w:ascii="Times New Roman" w:cs="Times New Roman" w:eastAsia="Times New Roman" w:hAnsi="Times New Roman"/>
          <w:sz w:val="18"/>
          <w:szCs w:val="18"/>
          <w:color w:val="auto"/>
        </w:rPr>
      </w:pPr>
    </w:p>
    <w:p>
      <w:pPr>
        <w:jc w:val="both"/>
        <w:ind w:left="460" w:right="200" w:firstLine="443"/>
        <w:spacing w:after="0" w:line="262" w:lineRule="auto"/>
        <w:tabs>
          <w:tab w:leader="none" w:pos="1147"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thereafter, each period commencing on the last day of the immediately preceding Eurodollar Period applicable to such Eurodollar Tranche and ending one month thereafter (or such other period which is acceptable to the Funding Agent with respect to such Purchaser Group and which in no event will be less than 7 days);</w:t>
      </w:r>
    </w:p>
    <w:p>
      <w:pPr>
        <w:spacing w:after="0" w:line="51" w:lineRule="exact"/>
        <w:rPr>
          <w:sz w:val="20"/>
          <w:szCs w:val="20"/>
          <w:color w:val="auto"/>
        </w:rPr>
      </w:pPr>
    </w:p>
    <w:p>
      <w:pPr>
        <w:ind w:left="460" w:right="60"/>
        <w:spacing w:after="0" w:line="275" w:lineRule="auto"/>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all Eurodollar Periods must end on the next Distribution Date and all of the foregoing provisions relating to Eurodollar Periods are subject to the following:</w:t>
      </w:r>
    </w:p>
    <w:p>
      <w:pPr>
        <w:spacing w:after="0" w:line="39" w:lineRule="exact"/>
        <w:rPr>
          <w:sz w:val="20"/>
          <w:szCs w:val="20"/>
          <w:color w:val="auto"/>
        </w:rPr>
      </w:pPr>
    </w:p>
    <w:p>
      <w:pPr>
        <w:ind w:left="920" w:right="140" w:firstLine="421"/>
        <w:spacing w:after="0" w:line="262" w:lineRule="auto"/>
        <w:tabs>
          <w:tab w:leader="none" w:pos="1549"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Eurodollar Period would otherwise end on a day that is not a Business Day, such Eurodollar Period shall be extended to the next succeeding Business Day unless the result of such extension would be to carry such Eurodollar Period into another calendar month, in which event such Eurodollar Period shall end on the immediately preceding Business Day; and</w:t>
      </w:r>
    </w:p>
    <w:p>
      <w:pPr>
        <w:spacing w:after="0" w:line="51" w:lineRule="exact"/>
        <w:rPr>
          <w:rFonts w:ascii="Times New Roman" w:cs="Times New Roman" w:eastAsia="Times New Roman" w:hAnsi="Times New Roman"/>
          <w:sz w:val="18"/>
          <w:szCs w:val="18"/>
          <w:color w:val="auto"/>
        </w:rPr>
      </w:pPr>
    </w:p>
    <w:p>
      <w:pPr>
        <w:ind w:left="920" w:firstLine="421"/>
        <w:spacing w:after="0" w:line="262" w:lineRule="auto"/>
        <w:tabs>
          <w:tab w:leader="none" w:pos="1598"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Eurodollar Period that begins on the last Business Day of a calendar month (or on a day for which there is no numerically corresponding day in the calendar month at the end of such Eurodollar Period) shall end on the last Business Day of the calendar month at the end of such Eurodollar Period.</w:t>
      </w:r>
    </w:p>
    <w:p>
      <w:pPr>
        <w:spacing w:after="0" w:line="11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380"/>
          </w:cols>
          <w:pgMar w:left="240" w:top="274" w:right="279" w:bottom="1440" w:gutter="0" w:footer="0" w:header="0"/>
        </w:sectPr>
      </w:pPr>
    </w:p>
    <w:bookmarkStart w:id="178" w:name="page179"/>
    <w:bookmarkEnd w:id="178"/>
    <w:p>
      <w:pPr>
        <w:ind w:firstLine="913"/>
        <w:spacing w:after="0" w:line="27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Eurodollar Tranche</w:t>
      </w:r>
      <w:r>
        <w:rPr>
          <w:rFonts w:ascii="Times New Roman" w:cs="Times New Roman" w:eastAsia="Times New Roman" w:hAnsi="Times New Roman"/>
          <w:sz w:val="18"/>
          <w:szCs w:val="18"/>
          <w:color w:val="auto"/>
        </w:rPr>
        <w:t>” means, with respect to any Purchaser Group, a portion of the APA Bank Funded Amount with respect to such Purchaser Group allocated to a particular Eurodollar Period and an Adjusted LIBO Rate determined by reference thereto.</w:t>
      </w:r>
    </w:p>
    <w:p>
      <w:pPr>
        <w:spacing w:after="0" w:line="1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Excess Collections</w:t>
      </w:r>
      <w:r>
        <w:rPr>
          <w:rFonts w:ascii="Times New Roman" w:cs="Times New Roman" w:eastAsia="Times New Roman" w:hAnsi="Times New Roman"/>
          <w:sz w:val="18"/>
          <w:szCs w:val="18"/>
          <w:color w:val="auto"/>
        </w:rPr>
        <w:t>” is defined in Section 3.3(e)(i).</w:t>
      </w:r>
    </w:p>
    <w:p>
      <w:pPr>
        <w:spacing w:after="0" w:line="171" w:lineRule="exact"/>
        <w:rPr>
          <w:sz w:val="20"/>
          <w:szCs w:val="20"/>
          <w:color w:val="auto"/>
        </w:rPr>
      </w:pPr>
    </w:p>
    <w:p>
      <w:pPr>
        <w:ind w:right="60" w:firstLine="913"/>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Excluded Taxes</w:t>
      </w:r>
      <w:r>
        <w:rPr>
          <w:rFonts w:ascii="Times New Roman" w:cs="Times New Roman" w:eastAsia="Times New Roman" w:hAnsi="Times New Roman"/>
          <w:sz w:val="18"/>
          <w:szCs w:val="18"/>
          <w:color w:val="auto"/>
        </w:rPr>
        <w:t>” means, with respect to the Administrative Agent, any CP Conduit Purchaser, any APA Bank, any Funding Agent, any Program Support Provider or any other recipient of any payment to be made by or on account of any obligation of ABRCF hereunder, (a) income or franchise taxes imposed on (or measured by) its net income by the United States of America or by any other Governmental Authority, in each case, as a result of a present or former connection between the United States of America or the jurisdiction of such Governmental Authority imposing such tax, as the case may be, and the Administrative Agent, such CP Conduit Purchaser, such APA Bank, such Funding Agent, such Program Support Provider or any other such recipient (except a connection arising solely from the Administrative Agent’s, such CP Conduit Purchaser’s, such APA Bank’s, such Program Support Provider’s or such recipient’s having executed, delivered or performed its obligations hereunder, receiving a payment hereunder or enforcing the Series 2009-3 Notes) and (b) any branch profits tax imposed by the United States of America or any similar tax imposed by any other jurisdiction in which ABRCF is located (except any such branch profits or similar tax imposed as a result of a connection with the United States of America or other jurisdiction as a result of a connection arising solely from the Administrative Agent’s, such CP Conduit Purchaser’s, such APA Bank’s, such Program Support Provider’s or such recipient’s having executed, delivered or performed its obligations hereunder, receiving a payment hereunder or enforcing the Series 2009-3 Notes).</w:t>
      </w:r>
    </w:p>
    <w:p>
      <w:pPr>
        <w:spacing w:after="0" w:line="139" w:lineRule="exact"/>
        <w:rPr>
          <w:sz w:val="20"/>
          <w:szCs w:val="20"/>
          <w:color w:val="auto"/>
        </w:rPr>
      </w:pPr>
    </w:p>
    <w:p>
      <w:pPr>
        <w:ind w:right="200" w:firstLine="913"/>
        <w:spacing w:after="0" w:line="27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Expiry Date</w:t>
      </w:r>
      <w:r>
        <w:rPr>
          <w:rFonts w:ascii="Times New Roman" w:cs="Times New Roman" w:eastAsia="Times New Roman" w:hAnsi="Times New Roman"/>
          <w:sz w:val="18"/>
          <w:szCs w:val="18"/>
          <w:color w:val="auto"/>
        </w:rPr>
        <w:t>” means, with respect to any Purchaser Group, the earlier of (a) the Scheduled Expiry Date with respect to such Purchaser Group and (b) the date on which an Amortization Event with respect to the Series 2009-3 Notes shall have been declared or automatically occurred.</w:t>
      </w:r>
    </w:p>
    <w:p>
      <w:pPr>
        <w:spacing w:after="0" w:line="1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Extending Purchaser Group</w:t>
      </w:r>
      <w:r>
        <w:rPr>
          <w:rFonts w:ascii="Times New Roman" w:cs="Times New Roman" w:eastAsia="Times New Roman" w:hAnsi="Times New Roman"/>
          <w:sz w:val="18"/>
          <w:szCs w:val="18"/>
          <w:color w:val="auto"/>
        </w:rPr>
        <w:t>” means a Purchaser Group other than a Non-Extending Purchaser Group.</w:t>
      </w:r>
    </w:p>
    <w:p>
      <w:pPr>
        <w:spacing w:after="0" w:line="171" w:lineRule="exact"/>
        <w:rPr>
          <w:sz w:val="20"/>
          <w:szCs w:val="20"/>
          <w:color w:val="auto"/>
        </w:rPr>
      </w:pPr>
    </w:p>
    <w:p>
      <w:pPr>
        <w:ind w:right="120" w:firstLine="913"/>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Federal Funds Effective Rate</w:t>
      </w:r>
      <w:r>
        <w:rPr>
          <w:rFonts w:ascii="Times New Roman" w:cs="Times New Roman" w:eastAsia="Times New Roman" w:hAnsi="Times New Roman"/>
          <w:sz w:val="18"/>
          <w:szCs w:val="18"/>
          <w:color w:val="auto"/>
        </w:rPr>
        <w:t>” means, for any day, the weighted average (rounded upwards, if necessary, to the next 1/100 of 1%) of the rates on overnight Federal funds transactions with members of the Federal Reserve System arranged by Federal funds brokers, as published on the next succeeding Business Day by the Federal Reserve Bank of New York, or, if such rate is not so published for any day that is a Business Day, the average (rounded upwards, if necessary, to the next 1/100 of 1%) of the quotations for such day of such transactions received by the Administrative Agent from three Federal funds brokers of recognized standing selected by it.</w:t>
      </w:r>
    </w:p>
    <w:p>
      <w:pPr>
        <w:spacing w:after="0" w:line="139" w:lineRule="exact"/>
        <w:rPr>
          <w:sz w:val="20"/>
          <w:szCs w:val="20"/>
          <w:color w:val="auto"/>
        </w:rPr>
      </w:pPr>
    </w:p>
    <w:p>
      <w:pPr>
        <w:jc w:val="both"/>
        <w:ind w:right="40" w:firstLine="913"/>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Fee Letter</w:t>
      </w:r>
      <w:r>
        <w:rPr>
          <w:rFonts w:ascii="Times New Roman" w:cs="Times New Roman" w:eastAsia="Times New Roman" w:hAnsi="Times New Roman"/>
          <w:sz w:val="18"/>
          <w:szCs w:val="18"/>
          <w:color w:val="auto"/>
        </w:rPr>
        <w:t>” means the letter dated the date hereof, from ABRCF addressed to the Administrative Agent and each of the CP Conduit Purchasers, the Funding Agents and the APA Banks setting forth certain fees payable from time to time to the Purchaser Groups, as such letter may be amended or replaced from time to time.</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400"/>
          </w:cols>
          <w:pgMar w:left="240" w:top="274" w:right="259" w:bottom="1440" w:gutter="0" w:footer="0" w:header="0"/>
        </w:sectPr>
      </w:pPr>
    </w:p>
    <w:bookmarkStart w:id="179" w:name="page180"/>
    <w:bookmarkEnd w:id="179"/>
    <w:p>
      <w:pPr>
        <w:ind w:left="9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Finance Guide</w:t>
      </w:r>
      <w:r>
        <w:rPr>
          <w:rFonts w:ascii="Times New Roman" w:cs="Times New Roman" w:eastAsia="Times New Roman" w:hAnsi="Times New Roman"/>
          <w:sz w:val="18"/>
          <w:szCs w:val="18"/>
          <w:color w:val="auto"/>
        </w:rPr>
        <w:t>” means the Black Book Official Finance/Lease Guide.</w:t>
      </w:r>
    </w:p>
    <w:p>
      <w:pPr>
        <w:spacing w:after="0" w:line="171" w:lineRule="exact"/>
        <w:rPr>
          <w:sz w:val="20"/>
          <w:szCs w:val="20"/>
          <w:color w:val="auto"/>
        </w:rPr>
      </w:pPr>
    </w:p>
    <w:p>
      <w:pPr>
        <w:ind w:right="40" w:firstLine="913"/>
        <w:spacing w:after="0" w:line="27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Floating Tranche</w:t>
      </w:r>
      <w:r>
        <w:rPr>
          <w:rFonts w:ascii="Times New Roman" w:cs="Times New Roman" w:eastAsia="Times New Roman" w:hAnsi="Times New Roman"/>
          <w:sz w:val="18"/>
          <w:szCs w:val="18"/>
          <w:color w:val="auto"/>
        </w:rPr>
        <w:t>” means, with respect to any Purchaser Group, the portion of the APA Bank Funded Amount with respect to such Purchaser Group not allocated to a Eurodollar Tranche.</w:t>
      </w:r>
    </w:p>
    <w:p>
      <w:pPr>
        <w:spacing w:after="0" w:line="1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Funding Agent</w:t>
      </w:r>
      <w:r>
        <w:rPr>
          <w:rFonts w:ascii="Times New Roman" w:cs="Times New Roman" w:eastAsia="Times New Roman" w:hAnsi="Times New Roman"/>
          <w:sz w:val="18"/>
          <w:szCs w:val="18"/>
          <w:color w:val="auto"/>
        </w:rPr>
        <w:t>” is defined in the recitals hereto.</w:t>
      </w:r>
    </w:p>
    <w:p>
      <w:pPr>
        <w:spacing w:after="0" w:line="171" w:lineRule="exact"/>
        <w:rPr>
          <w:sz w:val="20"/>
          <w:szCs w:val="20"/>
          <w:color w:val="auto"/>
        </w:rPr>
      </w:pPr>
    </w:p>
    <w:p>
      <w:pPr>
        <w:jc w:val="both"/>
        <w:ind w:right="20" w:firstLine="913"/>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Inclusion Date</w:t>
      </w:r>
      <w:r>
        <w:rPr>
          <w:rFonts w:ascii="Times New Roman" w:cs="Times New Roman" w:eastAsia="Times New Roman" w:hAnsi="Times New Roman"/>
          <w:sz w:val="18"/>
          <w:szCs w:val="18"/>
          <w:color w:val="auto"/>
        </w:rPr>
        <w:t>” means, with respect to any Vehicle, the date that is three months after the earlier of (i) the date such Vehicle became a Redesignated Vehicle and (ii) if the Manufacturer of such Vehicle is a Bankrupt Manufacturer, the date upon which the Event of Bankruptcy which caused such Manufacturer to become a Bankrupt Manufacturer first occurred.</w:t>
      </w:r>
    </w:p>
    <w:p>
      <w:pPr>
        <w:spacing w:after="0" w:line="13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Increase</w:t>
      </w:r>
      <w:r>
        <w:rPr>
          <w:rFonts w:ascii="Times New Roman" w:cs="Times New Roman" w:eastAsia="Times New Roman" w:hAnsi="Times New Roman"/>
          <w:sz w:val="18"/>
          <w:szCs w:val="18"/>
          <w:color w:val="auto"/>
        </w:rPr>
        <w:t>” is defined in Section 2.3(a).</w:t>
      </w:r>
    </w:p>
    <w:p>
      <w:pPr>
        <w:spacing w:after="0" w:line="17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Increase Amount</w:t>
      </w:r>
      <w:r>
        <w:rPr>
          <w:rFonts w:ascii="Times New Roman" w:cs="Times New Roman" w:eastAsia="Times New Roman" w:hAnsi="Times New Roman"/>
          <w:sz w:val="18"/>
          <w:szCs w:val="18"/>
          <w:color w:val="auto"/>
        </w:rPr>
        <w:t>” is defined in Section 2.3(a).</w:t>
      </w:r>
    </w:p>
    <w:p>
      <w:pPr>
        <w:spacing w:after="0" w:line="17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Increase Date</w:t>
      </w:r>
      <w:r>
        <w:rPr>
          <w:rFonts w:ascii="Times New Roman" w:cs="Times New Roman" w:eastAsia="Times New Roman" w:hAnsi="Times New Roman"/>
          <w:sz w:val="18"/>
          <w:szCs w:val="18"/>
          <w:color w:val="auto"/>
        </w:rPr>
        <w:t>” is defined in Section 2.3(a).</w:t>
      </w:r>
    </w:p>
    <w:p>
      <w:pPr>
        <w:spacing w:after="0" w:line="17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Indemnified Taxes</w:t>
      </w:r>
      <w:r>
        <w:rPr>
          <w:rFonts w:ascii="Times New Roman" w:cs="Times New Roman" w:eastAsia="Times New Roman" w:hAnsi="Times New Roman"/>
          <w:sz w:val="18"/>
          <w:szCs w:val="18"/>
          <w:color w:val="auto"/>
        </w:rPr>
        <w:t>” means Taxes other than Excluded Taxes.</w:t>
      </w:r>
    </w:p>
    <w:p>
      <w:pPr>
        <w:spacing w:after="0" w:line="17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Interest Rate Cap Counterparty</w:t>
      </w:r>
      <w:r>
        <w:rPr>
          <w:rFonts w:ascii="Times New Roman" w:cs="Times New Roman" w:eastAsia="Times New Roman" w:hAnsi="Times New Roman"/>
          <w:sz w:val="18"/>
          <w:szCs w:val="18"/>
          <w:color w:val="auto"/>
        </w:rPr>
        <w:t>” means ABRCF’s counterparty under a Series 2009-3 Interest Rate Cap.</w:t>
      </w:r>
    </w:p>
    <w:p>
      <w:pPr>
        <w:spacing w:after="0" w:line="17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Lease Deficit Disbursement</w:t>
      </w:r>
      <w:r>
        <w:rPr>
          <w:rFonts w:ascii="Times New Roman" w:cs="Times New Roman" w:eastAsia="Times New Roman" w:hAnsi="Times New Roman"/>
          <w:sz w:val="18"/>
          <w:szCs w:val="18"/>
          <w:color w:val="auto"/>
        </w:rPr>
        <w:t>” means an amount drawn under a Series 2009-3 Letter of Credit pursuant to a Certificate of Lease Deficit Demand.</w:t>
      </w:r>
    </w:p>
    <w:p>
      <w:pPr>
        <w:spacing w:after="0" w:line="171" w:lineRule="exact"/>
        <w:rPr>
          <w:sz w:val="20"/>
          <w:szCs w:val="20"/>
          <w:color w:val="auto"/>
        </w:rPr>
      </w:pPr>
    </w:p>
    <w:p>
      <w:pPr>
        <w:ind w:right="60" w:firstLine="913"/>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LIBO Rate</w:t>
      </w:r>
      <w:r>
        <w:rPr>
          <w:rFonts w:ascii="Times New Roman" w:cs="Times New Roman" w:eastAsia="Times New Roman" w:hAnsi="Times New Roman"/>
          <w:sz w:val="18"/>
          <w:szCs w:val="18"/>
          <w:color w:val="auto"/>
        </w:rPr>
        <w:t>” means, with respect to each day during each Eurodollar Period pertaining to a Eurodollar Tranche, the rate appearing on Reuters Screen LIBOR01 Page (or on any successor or substitute page of such service, providing rate quotations comparable to those currently provided on such page of such service, as determined by the Administrative Agent from time to time in accordance with its customary practices for purposes of providing quotations of interest rates applicable to dollar deposits in the London interbank market) at approximately 11:00 a.m. (London time) on the second London Banking Day prior to the commencement of such Eurodollar Period, as the rate for dollar deposits with a maturity comparable to the Eurodollar Period applicable to such Eurodollar Tranche.</w:t>
      </w:r>
    </w:p>
    <w:p>
      <w:pPr>
        <w:spacing w:after="0" w:line="139" w:lineRule="exact"/>
        <w:rPr>
          <w:sz w:val="20"/>
          <w:szCs w:val="20"/>
          <w:color w:val="auto"/>
        </w:rPr>
      </w:pPr>
    </w:p>
    <w:p>
      <w:pPr>
        <w:ind w:firstLine="913"/>
        <w:spacing w:after="0" w:line="29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LOC Pro Rata Share</w:t>
      </w:r>
      <w:r>
        <w:rPr>
          <w:rFonts w:ascii="Times New Roman" w:cs="Times New Roman" w:eastAsia="Times New Roman" w:hAnsi="Times New Roman"/>
          <w:sz w:val="16"/>
          <w:szCs w:val="16"/>
          <w:color w:val="auto"/>
        </w:rPr>
        <w:t xml:space="preserve">” means, with respect to any Series 2009-3 Letter of Credit Provider as of any date, the fraction (expressed as a percentage) obtained by dividing (A) the available amount under such Series 2009-3 Letter of Credit Provider’s Series 2009-3 Letter of Credit as of such date by (B) an amount equal to the aggregate available amount under all Series 2009-3 Letters of Credit as of such date;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only for purposes of calculating the LOC Pro Rata Share with respect to any Series 2009-3 Letter of Credit Provider as of any date, if such Series 2009-3 Letter of Credit Provider has not complied with its obligation to pay the Trustee the amount of any draw under its Series 2009-3 Letter of Credit made prior to such date, the available amount under such Series 2009-3 Letter of Credit Provider’s Series 2009-3 Letter of Credit as of such date shall be treated as reduced (for calculation purposes only) by the amount</w:t>
      </w:r>
    </w:p>
    <w:p>
      <w:pPr>
        <w:spacing w:after="0" w:line="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20"/>
          </w:cols>
          <w:pgMar w:left="240" w:top="274" w:right="239" w:bottom="1440" w:gutter="0" w:footer="0" w:header="0"/>
        </w:sectPr>
      </w:pPr>
    </w:p>
    <w:bookmarkStart w:id="180" w:name="page181"/>
    <w:bookmarkEnd w:id="180"/>
    <w:p>
      <w:pPr>
        <w:jc w:val="both"/>
        <w:ind w:right="30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of such unpaid demand and shall not be reinstated for purposes of such calculation unless and until the date as of which such Series 2009-3 Letter of Credit Provider has paid such amount to the Trustee and been reimbursed by the Lessee or the applicable Demand Note Issuer, as the case may be, for such amount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foregoing calculation shall not in any manner reduce the undersigned’s actual liability in respect of any failure to pay any demand under its Series 2009-3 Letter of Credit).</w:t>
      </w:r>
    </w:p>
    <w:p>
      <w:pPr>
        <w:spacing w:after="0" w:line="13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London Banking Day</w:t>
      </w:r>
      <w:r>
        <w:rPr>
          <w:rFonts w:ascii="Times New Roman" w:cs="Times New Roman" w:eastAsia="Times New Roman" w:hAnsi="Times New Roman"/>
          <w:sz w:val="18"/>
          <w:szCs w:val="18"/>
          <w:color w:val="auto"/>
        </w:rPr>
        <w:t>” means any business day on which dealings in deposits in United States dollars are transacted in the London interbank</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market.</w:t>
      </w:r>
    </w:p>
    <w:p>
      <w:pPr>
        <w:spacing w:after="0" w:line="159" w:lineRule="exact"/>
        <w:rPr>
          <w:sz w:val="20"/>
          <w:szCs w:val="20"/>
          <w:color w:val="auto"/>
        </w:rPr>
      </w:pPr>
    </w:p>
    <w:p>
      <w:pPr>
        <w:ind w:right="40" w:firstLine="913"/>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Market Value Average</w:t>
      </w:r>
      <w:r>
        <w:rPr>
          <w:rFonts w:ascii="Times New Roman" w:cs="Times New Roman" w:eastAsia="Times New Roman" w:hAnsi="Times New Roman"/>
          <w:sz w:val="18"/>
          <w:szCs w:val="18"/>
          <w:color w:val="auto"/>
        </w:rPr>
        <w:t>” means, as of any day, the percentage equivalent of a fraction, the numerator of which is the average of the Selected Fleet Market Value as of the preceding Determination Date and the two Determination Dates precedent thereto and the denominator of which is the sum of (a) the average of the aggregate Net Book Value of all Non-Program Vehicles (excluding (i) any Unaccepted Program Vehicles, (ii) any Excluded Redesignated Vehicles and (iii) any other Non-Program Vehicles that are subject to a Manufacturer Program with an Eligible Non-Program Manufacturer with respect to which no Manufacturer Event of Default has occurred and is continuing) and (b) the average of the aggregate Adjusted Net Book Value of all Adjusted Program Vehicles, in the case of each of clause (a) and (b) leased under the AESOP I Operating Lease and the Finance Lease as of the preceding Determination Date and the two Determination Dates precedent thereto.</w:t>
      </w:r>
    </w:p>
    <w:p>
      <w:pPr>
        <w:spacing w:after="0" w:line="141" w:lineRule="exact"/>
        <w:rPr>
          <w:sz w:val="20"/>
          <w:szCs w:val="20"/>
          <w:color w:val="auto"/>
        </w:rPr>
      </w:pPr>
    </w:p>
    <w:p>
      <w:pPr>
        <w:ind w:right="120" w:firstLine="913"/>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Match Funding CP Conduit Purchaser</w:t>
      </w:r>
      <w:r>
        <w:rPr>
          <w:rFonts w:ascii="Times New Roman" w:cs="Times New Roman" w:eastAsia="Times New Roman" w:hAnsi="Times New Roman"/>
          <w:sz w:val="18"/>
          <w:szCs w:val="18"/>
          <w:color w:val="auto"/>
        </w:rPr>
        <w:t>” means each CP Conduit Purchaser that is designated as such on Schedule I or that, after the Series 2009-3 Closing Date, notifies ABRCF and the Administrative Agent in accordance with Section 2.7(d) in writing that it is funding its CP Conduit Funded Amount with Commercial Paper issued by it, or for its benefit, in specified CP Tranches selected in accordance with Sections 2.7(b) and (c) and that, in each case, has not subsequently notified ABRCF and the Administrative Agent in writing that ABRCF will no longer be permitted to select CP Tranches in accordance with Sections 2.7(b) and (c) in respect of the CP Conduit Funded Amount with respect to such CP Conduit Purchaser.</w:t>
      </w:r>
    </w:p>
    <w:p>
      <w:pPr>
        <w:spacing w:after="0" w:line="139" w:lineRule="exact"/>
        <w:rPr>
          <w:sz w:val="20"/>
          <w:szCs w:val="20"/>
          <w:color w:val="auto"/>
        </w:rPr>
      </w:pPr>
    </w:p>
    <w:p>
      <w:pPr>
        <w:ind w:right="180" w:firstLine="913"/>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Maximum Purchaser Group Invested Amount</w:t>
      </w:r>
      <w:r>
        <w:rPr>
          <w:rFonts w:ascii="Times New Roman" w:cs="Times New Roman" w:eastAsia="Times New Roman" w:hAnsi="Times New Roman"/>
          <w:sz w:val="18"/>
          <w:szCs w:val="18"/>
          <w:color w:val="auto"/>
        </w:rPr>
        <w:t>” means, with respect to any Purchaser Group, the amount set forth opposite the name of the CP Conduit Purchaser included in such Purchaser Group on Schedule I, as such amount may be increased or reduced from time to time as provided in Section 2.6. The Maximum Purchaser Group Invested Amount with respect to each Non-Extending Purchaser Group shall be reduced to zero on the Scheduled Expiry Date with respect to such Purchaser Group.</w:t>
      </w:r>
    </w:p>
    <w:p>
      <w:pPr>
        <w:spacing w:after="0" w:line="13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Monthly Funding Costs</w:t>
      </w:r>
      <w:r>
        <w:rPr>
          <w:rFonts w:ascii="Times New Roman" w:cs="Times New Roman" w:eastAsia="Times New Roman" w:hAnsi="Times New Roman"/>
          <w:sz w:val="18"/>
          <w:szCs w:val="18"/>
          <w:color w:val="auto"/>
        </w:rPr>
        <w:t>” means, with respect to each Series 2009-3 Interest Period and any Purchaser Group, the sum of:</w:t>
      </w:r>
    </w:p>
    <w:p>
      <w:pPr>
        <w:spacing w:after="0" w:line="90" w:lineRule="exact"/>
        <w:rPr>
          <w:sz w:val="20"/>
          <w:szCs w:val="20"/>
          <w:color w:val="auto"/>
        </w:rPr>
      </w:pPr>
    </w:p>
    <w:p>
      <w:pPr>
        <w:ind w:left="460" w:firstLine="443"/>
        <w:spacing w:after="0" w:line="310" w:lineRule="auto"/>
        <w:tabs>
          <w:tab w:leader="none" w:pos="1137" w:val="left"/>
        </w:tabs>
        <w:numPr>
          <w:ilvl w:val="0"/>
          <w:numId w:val="10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each day during such Series 2009-3 Interest Period, (i) with respect to a Match Funding CP Conduit Purchaser, the aggregate amount of Discount accruing on all outstanding Commercial Paper issued by, or for the benefit of, such Match Funding CP Conduit Purchaser to fund the CP Conduit Funded Amount with respect to such Match Funding CP Conduit Purchaser on such day or (ii) with respect to a Pooled Funding CP Conduit Purchaser, the</w:t>
      </w:r>
    </w:p>
    <w:p>
      <w:pPr>
        <w:spacing w:after="0" w:line="8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380"/>
          </w:cols>
          <w:pgMar w:left="240" w:top="274" w:right="279" w:bottom="1440" w:gutter="0" w:footer="0" w:header="0"/>
        </w:sectPr>
      </w:pPr>
    </w:p>
    <w:bookmarkStart w:id="181" w:name="page182"/>
    <w:bookmarkEnd w:id="181"/>
    <w:p>
      <w:pPr>
        <w:ind w:left="460" w:right="60"/>
        <w:spacing w:after="0" w:line="26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aggregate amount of Discount accruing on or otherwise in respect of the Commercial Paper issued by, or for the benefit of, such Pooled Funding CP Conduit Purchaser allocated, in whole or in part, by the Funding Agent with respect to such Pooled Funding CP Conduit Purchaser, to fund the purchase or maintenance of the CP Conduit Funded Amount with respect to such Pooled Funding CP Conduit Purchaser; </w:t>
      </w:r>
      <w:r>
        <w:rPr>
          <w:rFonts w:ascii="Times New Roman" w:cs="Times New Roman" w:eastAsia="Times New Roman" w:hAnsi="Times New Roman"/>
          <w:sz w:val="18"/>
          <w:szCs w:val="18"/>
          <w:i w:val="1"/>
          <w:iCs w:val="1"/>
          <w:color w:val="auto"/>
        </w:rPr>
        <w:t>plus</w:t>
      </w:r>
    </w:p>
    <w:p>
      <w:pPr>
        <w:spacing w:after="0" w:line="51" w:lineRule="exact"/>
        <w:rPr>
          <w:sz w:val="20"/>
          <w:szCs w:val="20"/>
          <w:color w:val="auto"/>
        </w:rPr>
      </w:pPr>
    </w:p>
    <w:p>
      <w:pPr>
        <w:ind w:left="1160" w:hanging="257"/>
        <w:spacing w:after="0"/>
        <w:tabs>
          <w:tab w:leader="none" w:pos="116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each day during such Series 2009-3 Interest Period, the sum of:</w:t>
      </w:r>
    </w:p>
    <w:p>
      <w:pPr>
        <w:spacing w:after="0" w:line="90" w:lineRule="exact"/>
        <w:rPr>
          <w:rFonts w:ascii="Times New Roman" w:cs="Times New Roman" w:eastAsia="Times New Roman" w:hAnsi="Times New Roman"/>
          <w:sz w:val="18"/>
          <w:szCs w:val="18"/>
          <w:color w:val="auto"/>
        </w:rPr>
      </w:pPr>
    </w:p>
    <w:p>
      <w:pPr>
        <w:ind w:left="920" w:right="60" w:firstLine="421"/>
        <w:spacing w:after="0" w:line="255" w:lineRule="auto"/>
        <w:tabs>
          <w:tab w:leader="none" w:pos="1549" w:val="left"/>
        </w:tabs>
        <w:numPr>
          <w:ilvl w:val="1"/>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product of (A) the portion of the APA Bank Funded Amount with respect to such Purchaser Group allocated to the Floating Tranche with respect to such Purchaser Group on such day </w:t>
      </w:r>
      <w:r>
        <w:rPr>
          <w:rFonts w:ascii="Times New Roman" w:cs="Times New Roman" w:eastAsia="Times New Roman" w:hAnsi="Times New Roman"/>
          <w:sz w:val="18"/>
          <w:szCs w:val="18"/>
          <w:i w:val="1"/>
          <w:iCs w:val="1"/>
          <w:color w:val="auto"/>
        </w:rPr>
        <w:t>times</w:t>
      </w:r>
      <w:r>
        <w:rPr>
          <w:rFonts w:ascii="Times New Roman" w:cs="Times New Roman" w:eastAsia="Times New Roman" w:hAnsi="Times New Roman"/>
          <w:sz w:val="18"/>
          <w:szCs w:val="18"/>
          <w:color w:val="auto"/>
        </w:rPr>
        <w:t xml:space="preserve"> (B) (x) on each day on which the rating assigned by Moody’s to the Series 2009-3 Notes is higher than “Ba1”, the Alternate Base Rate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the Applicable Margin on such day or (y) on each day on which the rating assigned by Moody’s to the Series 2009-3 Notes is “Ba1” or lower, the Adjusted LIBO Rate that would apply if such portion had been allocated on such day to a Eurodollar Tranche ending on the next Distribution Date pursuant to Section 2.7(b) (without giving effect to Section 2.7(c))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the Applicable Margin on such day </w:t>
      </w:r>
      <w:r>
        <w:rPr>
          <w:rFonts w:ascii="Times New Roman" w:cs="Times New Roman" w:eastAsia="Times New Roman" w:hAnsi="Times New Roman"/>
          <w:sz w:val="18"/>
          <w:szCs w:val="18"/>
          <w:i w:val="1"/>
          <w:iCs w:val="1"/>
          <w:color w:val="auto"/>
        </w:rPr>
        <w:t>divided</w:t>
      </w:r>
      <w:r>
        <w:rPr>
          <w:rFonts w:ascii="Times New Roman" w:cs="Times New Roman" w:eastAsia="Times New Roman" w:hAnsi="Times New Roman"/>
          <w:sz w:val="18"/>
          <w:szCs w:val="18"/>
          <w:color w:val="auto"/>
        </w:rPr>
        <w:t xml:space="preserve"> by (C) 365 (or 366, as the case may be) </w:t>
      </w:r>
      <w:r>
        <w:rPr>
          <w:rFonts w:ascii="Times New Roman" w:cs="Times New Roman" w:eastAsia="Times New Roman" w:hAnsi="Times New Roman"/>
          <w:sz w:val="18"/>
          <w:szCs w:val="18"/>
          <w:i w:val="1"/>
          <w:iCs w:val="1"/>
          <w:color w:val="auto"/>
        </w:rPr>
        <w:t>plus</w:t>
      </w:r>
    </w:p>
    <w:p>
      <w:pPr>
        <w:spacing w:after="0" w:line="58" w:lineRule="exact"/>
        <w:rPr>
          <w:rFonts w:ascii="Times New Roman" w:cs="Times New Roman" w:eastAsia="Times New Roman" w:hAnsi="Times New Roman"/>
          <w:sz w:val="18"/>
          <w:szCs w:val="18"/>
          <w:color w:val="auto"/>
        </w:rPr>
      </w:pPr>
    </w:p>
    <w:p>
      <w:pPr>
        <w:ind w:left="920" w:firstLine="421"/>
        <w:spacing w:after="0" w:line="262" w:lineRule="auto"/>
        <w:tabs>
          <w:tab w:leader="none" w:pos="1598" w:val="left"/>
        </w:tabs>
        <w:numPr>
          <w:ilvl w:val="1"/>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product of (A) the portion of the APA Bank Funded Amount with respect to such Purchaser Group allocated to Eurodollar Tranches with respect to such Purchaser Group on such day </w:t>
      </w:r>
      <w:r>
        <w:rPr>
          <w:rFonts w:ascii="Times New Roman" w:cs="Times New Roman" w:eastAsia="Times New Roman" w:hAnsi="Times New Roman"/>
          <w:sz w:val="18"/>
          <w:szCs w:val="18"/>
          <w:i w:val="1"/>
          <w:iCs w:val="1"/>
          <w:color w:val="auto"/>
        </w:rPr>
        <w:t>times</w:t>
      </w:r>
      <w:r>
        <w:rPr>
          <w:rFonts w:ascii="Times New Roman" w:cs="Times New Roman" w:eastAsia="Times New Roman" w:hAnsi="Times New Roman"/>
          <w:sz w:val="18"/>
          <w:szCs w:val="18"/>
          <w:color w:val="auto"/>
        </w:rPr>
        <w:t xml:space="preserve"> (B) the weighted average Adjusted LIBO Rate with respect to such Eurodollar Tranches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the Applicable Margin on such day in effect with respect thereto </w:t>
      </w:r>
      <w:r>
        <w:rPr>
          <w:rFonts w:ascii="Times New Roman" w:cs="Times New Roman" w:eastAsia="Times New Roman" w:hAnsi="Times New Roman"/>
          <w:sz w:val="18"/>
          <w:szCs w:val="18"/>
          <w:i w:val="1"/>
          <w:iCs w:val="1"/>
          <w:color w:val="auto"/>
        </w:rPr>
        <w:t>divided</w:t>
      </w:r>
      <w:r>
        <w:rPr>
          <w:rFonts w:ascii="Times New Roman" w:cs="Times New Roman" w:eastAsia="Times New Roman" w:hAnsi="Times New Roman"/>
          <w:sz w:val="18"/>
          <w:szCs w:val="18"/>
          <w:color w:val="auto"/>
        </w:rPr>
        <w:t xml:space="preserve"> by (C) 360; </w:t>
      </w:r>
      <w:r>
        <w:rPr>
          <w:rFonts w:ascii="Times New Roman" w:cs="Times New Roman" w:eastAsia="Times New Roman" w:hAnsi="Times New Roman"/>
          <w:sz w:val="18"/>
          <w:szCs w:val="18"/>
          <w:i w:val="1"/>
          <w:iCs w:val="1"/>
          <w:color w:val="auto"/>
        </w:rPr>
        <w:t>plus</w:t>
      </w:r>
    </w:p>
    <w:p>
      <w:pPr>
        <w:spacing w:after="0" w:line="51" w:lineRule="exact"/>
        <w:rPr>
          <w:rFonts w:ascii="Times New Roman" w:cs="Times New Roman" w:eastAsia="Times New Roman" w:hAnsi="Times New Roman"/>
          <w:sz w:val="18"/>
          <w:szCs w:val="18"/>
          <w:color w:val="auto"/>
        </w:rPr>
      </w:pPr>
    </w:p>
    <w:p>
      <w:pPr>
        <w:ind w:left="460" w:right="100" w:firstLine="443"/>
        <w:spacing w:after="0" w:line="275" w:lineRule="auto"/>
        <w:tabs>
          <w:tab w:leader="none" w:pos="1137"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each day during such Series 2009-3 Interest Period, the product of (A) the CP Conduit Funded Amount with respect to such Purchaser Group on such day </w:t>
      </w:r>
      <w:r>
        <w:rPr>
          <w:rFonts w:ascii="Times New Roman" w:cs="Times New Roman" w:eastAsia="Times New Roman" w:hAnsi="Times New Roman"/>
          <w:sz w:val="18"/>
          <w:szCs w:val="18"/>
          <w:i w:val="1"/>
          <w:iCs w:val="1"/>
          <w:color w:val="auto"/>
        </w:rPr>
        <w:t>times</w:t>
      </w:r>
      <w:r>
        <w:rPr>
          <w:rFonts w:ascii="Times New Roman" w:cs="Times New Roman" w:eastAsia="Times New Roman" w:hAnsi="Times New Roman"/>
          <w:sz w:val="18"/>
          <w:szCs w:val="18"/>
          <w:color w:val="auto"/>
        </w:rPr>
        <w:t xml:space="preserve"> (B) the Program Fee Rate on such day </w:t>
      </w:r>
      <w:r>
        <w:rPr>
          <w:rFonts w:ascii="Times New Roman" w:cs="Times New Roman" w:eastAsia="Times New Roman" w:hAnsi="Times New Roman"/>
          <w:sz w:val="18"/>
          <w:szCs w:val="18"/>
          <w:i w:val="1"/>
          <w:iCs w:val="1"/>
          <w:color w:val="auto"/>
        </w:rPr>
        <w:t>divided</w:t>
      </w:r>
      <w:r>
        <w:rPr>
          <w:rFonts w:ascii="Times New Roman" w:cs="Times New Roman" w:eastAsia="Times New Roman" w:hAnsi="Times New Roman"/>
          <w:sz w:val="18"/>
          <w:szCs w:val="18"/>
          <w:color w:val="auto"/>
        </w:rPr>
        <w:t xml:space="preserve"> by (C) 360.</w:t>
      </w:r>
    </w:p>
    <w:p>
      <w:pPr>
        <w:spacing w:after="0" w:line="1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Monthly Total Principal Allocation</w:t>
      </w:r>
      <w:r>
        <w:rPr>
          <w:rFonts w:ascii="Times New Roman" w:cs="Times New Roman" w:eastAsia="Times New Roman" w:hAnsi="Times New Roman"/>
          <w:sz w:val="16"/>
          <w:szCs w:val="16"/>
          <w:color w:val="auto"/>
        </w:rPr>
        <w:t>” means for any Related Month the sum of all Series 2009-3 Principal Allocations with respect to such Related</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Month.</w:t>
      </w:r>
    </w:p>
    <w:p>
      <w:pPr>
        <w:spacing w:after="0" w:line="15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Moody’s</w:t>
      </w:r>
      <w:r>
        <w:rPr>
          <w:rFonts w:ascii="Times New Roman" w:cs="Times New Roman" w:eastAsia="Times New Roman" w:hAnsi="Times New Roman"/>
          <w:sz w:val="18"/>
          <w:szCs w:val="18"/>
          <w:color w:val="auto"/>
        </w:rPr>
        <w:t>” means Moody’s Investors Service, Inc.</w:t>
      </w:r>
    </w:p>
    <w:p>
      <w:pPr>
        <w:spacing w:after="0" w:line="171" w:lineRule="exact"/>
        <w:rPr>
          <w:sz w:val="20"/>
          <w:szCs w:val="20"/>
          <w:color w:val="auto"/>
        </w:rPr>
      </w:pPr>
    </w:p>
    <w:p>
      <w:pPr>
        <w:ind w:right="200" w:firstLine="913"/>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Moody’s Excluded Manufacturer Receivable Specified Percentage</w:t>
      </w:r>
      <w:r>
        <w:rPr>
          <w:rFonts w:ascii="Times New Roman" w:cs="Times New Roman" w:eastAsia="Times New Roman" w:hAnsi="Times New Roman"/>
          <w:sz w:val="18"/>
          <w:szCs w:val="18"/>
          <w:color w:val="auto"/>
        </w:rPr>
        <w:t xml:space="preserve">” means, as of any date of determination, with respect to each Moody’s Non-Investment Grade Manufacturer as of such date, the percentage (not to exceed 100%) most recently specified in writing by Moody’s to ABRCF and the Trustee and consented to by the Requisite Noteholders with respect to such Moody’s Non-Investment Grade Manufacturer;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as of the Effective Date the Moody’s Excluded Manufacturer Receivable Specified Percentage for each Moody’s Non-Investment Grade Manufacturer shall be 100%;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the initial Moody’s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20"/>
          </w:cols>
          <w:pgMar w:left="240" w:top="274" w:right="239" w:bottom="1440" w:gutter="0" w:footer="0" w:header="0"/>
        </w:sectPr>
      </w:pPr>
    </w:p>
    <w:bookmarkStart w:id="182" w:name="page183"/>
    <w:bookmarkEnd w:id="182"/>
    <w:p>
      <w:pPr>
        <w:ind w:right="200"/>
        <w:spacing w:after="0" w:line="27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Excluded Manufacturer Receivable Specified Percentage with respect to any Manufacturer that becomes a Moody’s Non-Investment Grade Manufacturer after the Effective Date shall be 100%.</w:t>
      </w:r>
    </w:p>
    <w:p>
      <w:pPr>
        <w:spacing w:after="0" w:line="120" w:lineRule="exact"/>
        <w:rPr>
          <w:sz w:val="20"/>
          <w:szCs w:val="20"/>
          <w:color w:val="auto"/>
        </w:rPr>
      </w:pPr>
    </w:p>
    <w:p>
      <w:pPr>
        <w:ind w:right="180" w:firstLine="913"/>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Moody’s Excluded Receivable Amount</w:t>
      </w:r>
      <w:r>
        <w:rPr>
          <w:rFonts w:ascii="Times New Roman" w:cs="Times New Roman" w:eastAsia="Times New Roman" w:hAnsi="Times New Roman"/>
          <w:sz w:val="18"/>
          <w:szCs w:val="18"/>
          <w:color w:val="auto"/>
        </w:rPr>
        <w:t>” means, as of any date of determination, the sum of the following amounts with respect to each Moody’s Non-Investment Grade Manufacturer as of such date: the product of (i) to the extent such amounts are included in the calculation of AESOP I Operating Lease Loan Agreement Borrowing Base as of such date, all amounts receivable, as of such date, by AESOP Leasing or the Intermediary from such Moody’s Non-Investment Grade Manufacturer and (ii) the Moody’s Excluded Manufacturer Receivable Specified Percentage for such Moody’s Non-Investment Grade Manufacturer as of such date.</w:t>
      </w:r>
    </w:p>
    <w:p>
      <w:pPr>
        <w:spacing w:after="0" w:line="139" w:lineRule="exact"/>
        <w:rPr>
          <w:sz w:val="20"/>
          <w:szCs w:val="20"/>
          <w:color w:val="auto"/>
        </w:rPr>
      </w:pPr>
    </w:p>
    <w:p>
      <w:pPr>
        <w:ind w:right="80" w:firstLine="913"/>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Moody’s Non-Investment Grade Manufacturer</w:t>
      </w:r>
      <w:r>
        <w:rPr>
          <w:rFonts w:ascii="Times New Roman" w:cs="Times New Roman" w:eastAsia="Times New Roman" w:hAnsi="Times New Roman"/>
          <w:sz w:val="18"/>
          <w:szCs w:val="18"/>
          <w:color w:val="auto"/>
        </w:rPr>
        <w:t xml:space="preserve">” means, as of any date of determination, any Manufacturer that (i) is not a Bankrupt Manufacturer and (ii) does not have a long-term senior unsecured debt rating of at least “Baa3” from Moody’s;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Manufacturer whose long-term senior unsecured debt rating is downgraded from at least “Baa3” to below “Baa3” by Moody’s after the Effective Date shall not be deemed a Moody’s Non-Investment Grade Manufacturer until the thirtieth (30</w:t>
      </w:r>
      <w:r>
        <w:rPr>
          <w:rFonts w:ascii="Times New Roman" w:cs="Times New Roman" w:eastAsia="Times New Roman" w:hAnsi="Times New Roman"/>
          <w:sz w:val="11"/>
          <w:szCs w:val="11"/>
          <w:color w:val="auto"/>
        </w:rPr>
        <w:t>th</w:t>
      </w:r>
      <w:r>
        <w:rPr>
          <w:rFonts w:ascii="Times New Roman" w:cs="Times New Roman" w:eastAsia="Times New Roman" w:hAnsi="Times New Roman"/>
          <w:sz w:val="18"/>
          <w:szCs w:val="18"/>
          <w:color w:val="auto"/>
        </w:rPr>
        <w:t>) calendar day following such downgrade.</w:t>
      </w:r>
    </w:p>
    <w:p>
      <w:pPr>
        <w:spacing w:after="0" w:line="136" w:lineRule="exact"/>
        <w:rPr>
          <w:sz w:val="20"/>
          <w:szCs w:val="20"/>
          <w:color w:val="auto"/>
        </w:rPr>
      </w:pPr>
    </w:p>
    <w:p>
      <w:pPr>
        <w:ind w:right="60" w:firstLine="913"/>
        <w:spacing w:after="0" w:line="27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Non-Extending Purchaser Group</w:t>
      </w:r>
      <w:r>
        <w:rPr>
          <w:rFonts w:ascii="Times New Roman" w:cs="Times New Roman" w:eastAsia="Times New Roman" w:hAnsi="Times New Roman"/>
          <w:sz w:val="18"/>
          <w:szCs w:val="18"/>
          <w:color w:val="auto"/>
        </w:rPr>
        <w:t>” means any Purchaser Group who shall not have agreed to an extension of its Scheduled Expiry Date pursuant to Section 2.6(b).</w:t>
      </w:r>
    </w:p>
    <w:p>
      <w:pPr>
        <w:spacing w:after="0" w:line="1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Optional Termination Date</w:t>
      </w:r>
      <w:r>
        <w:rPr>
          <w:rFonts w:ascii="Times New Roman" w:cs="Times New Roman" w:eastAsia="Times New Roman" w:hAnsi="Times New Roman"/>
          <w:sz w:val="18"/>
          <w:szCs w:val="18"/>
          <w:color w:val="auto"/>
        </w:rPr>
        <w:t>” is defined in Section 2.5(b).</w:t>
      </w:r>
    </w:p>
    <w:p>
      <w:pPr>
        <w:spacing w:after="0" w:line="17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Optional Termination Notice</w:t>
      </w:r>
      <w:r>
        <w:rPr>
          <w:rFonts w:ascii="Times New Roman" w:cs="Times New Roman" w:eastAsia="Times New Roman" w:hAnsi="Times New Roman"/>
          <w:sz w:val="18"/>
          <w:szCs w:val="18"/>
          <w:color w:val="auto"/>
        </w:rPr>
        <w:t>” is defined in Section 2.5(b).</w:t>
      </w:r>
    </w:p>
    <w:p>
      <w:pPr>
        <w:spacing w:after="0" w:line="171" w:lineRule="exact"/>
        <w:rPr>
          <w:sz w:val="20"/>
          <w:szCs w:val="20"/>
          <w:color w:val="auto"/>
        </w:rPr>
      </w:pPr>
    </w:p>
    <w:p>
      <w:pPr>
        <w:ind w:right="180" w:firstLine="913"/>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Other Taxes</w:t>
      </w:r>
      <w:r>
        <w:rPr>
          <w:rFonts w:ascii="Times New Roman" w:cs="Times New Roman" w:eastAsia="Times New Roman" w:hAnsi="Times New Roman"/>
          <w:sz w:val="18"/>
          <w:szCs w:val="18"/>
          <w:color w:val="auto"/>
        </w:rPr>
        <w:t>” means any and all current or future stamp or documentary taxes or other excise or property taxes, charges or similar levies arising from any payment made under this Supplement, the Base Indenture, or any Related Documents or from the execution, delivery or enforcement of, or otherwise with respect to, this Supplement, the Base Indenture or any Related Document.</w:t>
      </w:r>
    </w:p>
    <w:p>
      <w:pPr>
        <w:spacing w:after="0" w:line="132" w:lineRule="exact"/>
        <w:rPr>
          <w:sz w:val="20"/>
          <w:szCs w:val="20"/>
          <w:color w:val="auto"/>
        </w:rPr>
      </w:pPr>
    </w:p>
    <w:p>
      <w:pPr>
        <w:ind w:right="160" w:firstLine="913"/>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Outstanding</w:t>
      </w:r>
      <w:r>
        <w:rPr>
          <w:rFonts w:ascii="Times New Roman" w:cs="Times New Roman" w:eastAsia="Times New Roman" w:hAnsi="Times New Roman"/>
          <w:sz w:val="18"/>
          <w:szCs w:val="18"/>
          <w:color w:val="auto"/>
        </w:rPr>
        <w:t>” means, with respect to the Series 2009-3 Notes, the Series 2009-3 Invested Amount shall not have been reduced to zero and all accrued interest and other amounts owing on the Series 2009-3 Notes and to the Administrative Agent, the Funding Agents, the CP Conduit Purchasers and the APA Banks hereunder shall not have been paid in full.</w:t>
      </w:r>
    </w:p>
    <w:p>
      <w:pPr>
        <w:spacing w:after="0" w:line="13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Participants</w:t>
      </w:r>
      <w:r>
        <w:rPr>
          <w:rFonts w:ascii="Times New Roman" w:cs="Times New Roman" w:eastAsia="Times New Roman" w:hAnsi="Times New Roman"/>
          <w:sz w:val="18"/>
          <w:szCs w:val="18"/>
          <w:color w:val="auto"/>
        </w:rPr>
        <w:t>” is defined in Section 11.1(d).</w:t>
      </w:r>
    </w:p>
    <w:p>
      <w:pPr>
        <w:spacing w:after="0" w:line="17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Past Due Rent Payment</w:t>
      </w:r>
      <w:r>
        <w:rPr>
          <w:rFonts w:ascii="Times New Roman" w:cs="Times New Roman" w:eastAsia="Times New Roman" w:hAnsi="Times New Roman"/>
          <w:sz w:val="18"/>
          <w:szCs w:val="18"/>
          <w:color w:val="auto"/>
        </w:rPr>
        <w:t>” is defined in Section 3.2(f).</w:t>
      </w:r>
    </w:p>
    <w:p>
      <w:pPr>
        <w:spacing w:after="0" w:line="171" w:lineRule="exact"/>
        <w:rPr>
          <w:sz w:val="20"/>
          <w:szCs w:val="20"/>
          <w:color w:val="auto"/>
        </w:rPr>
      </w:pPr>
    </w:p>
    <w:p>
      <w:pPr>
        <w:ind w:firstLine="913"/>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Investments</w:t>
      </w:r>
      <w:r>
        <w:rPr>
          <w:rFonts w:ascii="Times New Roman" w:cs="Times New Roman" w:eastAsia="Times New Roman" w:hAnsi="Times New Roman"/>
          <w:sz w:val="18"/>
          <w:szCs w:val="18"/>
          <w:color w:val="auto"/>
        </w:rPr>
        <w:t>” means negotiable instruments or securities maturing on or before the Distribution Date next occurring after the investment therein, payable in Dollars, issued by an entity organized under the laws of the United States of America and represented by instruments in bearer or registered or in book-entry form which evidence (i) obligations the full and timely payment of which are to be made by or is fully guaranteed by the United States of America other than financial contracts whose value depends on the values or indices of asset values; (ii) demand deposits of, time deposits in, or certificates of deposit issued by, any</w:t>
      </w:r>
    </w:p>
    <w:p>
      <w:pPr>
        <w:spacing w:after="0" w:line="12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360"/>
          </w:cols>
          <w:pgMar w:left="240" w:top="274" w:right="299" w:bottom="1440" w:gutter="0" w:footer="0" w:header="0"/>
        </w:sectPr>
      </w:pPr>
    </w:p>
    <w:bookmarkStart w:id="183" w:name="page184"/>
    <w:bookmarkEnd w:id="183"/>
    <w:p>
      <w:pPr>
        <w:spacing w:after="0" w:line="283"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depositary institution or trust company incorporated under the laws of the United States of America or any state thereof whose short-term debt is rated “P-1” by Moody’s and “A-1” or higher by Standard &amp; Poor’s and subject to supervision and examination by Federal or state banking or depositary institution authorities;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xml:space="preserve">, that at the earlier of (x) the time of the investment and (y) the time of the contractual commitment to invest therein, the certificates of deposit or short-term deposits, if any, or long-term unsecured debt obligations (other than such obligation whose rating is based on collateral or on the credit of a Person other than such institution or trust company) of such depositary institution or trust company shall have a credit rating from Standard &amp; Poor’s of “A-1+”, in the case of certificates of deposit or short-term deposits, or a rating from Standard &amp; Poor’s not lower than “AA”, in the case of long-term unsecured debt obligations; (iii) commercial paper having, at the earlier of (x) the time of the investment and (y) the time of the contractual commitment to invest therein, a rating from Standard &amp; Poor’s of “A-1+” and a rating from Moody’s of “P-1”; (iv) bankers’ acceptances issued by any depositary institution or trust company described in </w:t>
      </w:r>
      <w:r>
        <w:rPr>
          <w:rFonts w:ascii="Times New Roman" w:cs="Times New Roman" w:eastAsia="Times New Roman" w:hAnsi="Times New Roman"/>
          <w:sz w:val="16"/>
          <w:szCs w:val="16"/>
          <w:u w:val="single" w:color="auto"/>
          <w:color w:val="auto"/>
        </w:rPr>
        <w:t>clause (ii)</w:t>
      </w:r>
      <w:r>
        <w:rPr>
          <w:rFonts w:ascii="Times New Roman" w:cs="Times New Roman" w:eastAsia="Times New Roman" w:hAnsi="Times New Roman"/>
          <w:sz w:val="16"/>
          <w:szCs w:val="16"/>
          <w:color w:val="auto"/>
        </w:rPr>
        <w:t xml:space="preserve"> above; (v) investments in money market funds (x) rated “AAm” by Standard &amp; Poor’s or otherwise approved in writing by Standard &amp; Poor’s and</w:t>
      </w:r>
    </w:p>
    <w:p>
      <w:pPr>
        <w:spacing w:after="0" w:line="5" w:lineRule="exact"/>
        <w:rPr>
          <w:sz w:val="20"/>
          <w:szCs w:val="20"/>
          <w:color w:val="auto"/>
        </w:rPr>
      </w:pPr>
    </w:p>
    <w:p>
      <w:pPr>
        <w:ind w:right="60" w:firstLine="8"/>
        <w:spacing w:after="0" w:line="287" w:lineRule="auto"/>
        <w:tabs>
          <w:tab w:leader="none" w:pos="249" w:val="left"/>
        </w:tabs>
        <w:numPr>
          <w:ilvl w:val="0"/>
          <w:numId w:val="10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rated “Aaa” by Moody’s or otherwise approved in writing by Moody’s; (vi) Eurodollar time deposits having a credit rating from Standard &amp; Poor’s of “A-1+” and a credit rating from Moody’s of at least “A3” or “P-1”; (vii) repurchase agreements involving any of the Permitted Investments described in </w:t>
      </w:r>
      <w:r>
        <w:rPr>
          <w:rFonts w:ascii="Times New Roman" w:cs="Times New Roman" w:eastAsia="Times New Roman" w:hAnsi="Times New Roman"/>
          <w:sz w:val="16"/>
          <w:szCs w:val="16"/>
          <w:u w:val="single" w:color="auto"/>
          <w:color w:val="auto"/>
        </w:rPr>
        <w:t>clauses (i)</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vi)</w:t>
      </w:r>
      <w:r>
        <w:rPr>
          <w:rFonts w:ascii="Times New Roman" w:cs="Times New Roman" w:eastAsia="Times New Roman" w:hAnsi="Times New Roman"/>
          <w:sz w:val="16"/>
          <w:szCs w:val="16"/>
          <w:color w:val="auto"/>
        </w:rPr>
        <w:t xml:space="preserve"> above and the certificates of deposit described in </w:t>
      </w:r>
      <w:r>
        <w:rPr>
          <w:rFonts w:ascii="Times New Roman" w:cs="Times New Roman" w:eastAsia="Times New Roman" w:hAnsi="Times New Roman"/>
          <w:sz w:val="16"/>
          <w:szCs w:val="16"/>
          <w:u w:val="single" w:color="auto"/>
          <w:color w:val="auto"/>
        </w:rPr>
        <w:t>clause (ii</w:t>
      </w:r>
      <w:r>
        <w:rPr>
          <w:rFonts w:ascii="Times New Roman" w:cs="Times New Roman" w:eastAsia="Times New Roman" w:hAnsi="Times New Roman"/>
          <w:sz w:val="16"/>
          <w:szCs w:val="16"/>
          <w:color w:val="auto"/>
        </w:rPr>
        <w:t>) above which are entered into with a depository institution or trust company, having a commercial paper or short-term certificate of deposit rating of “A-1+” by Standard &amp; Poor’s and “P-1” by Moody’s or which otherwise is approved as to collateralization by the Rating Agencies; and (viii) any other instruments or securities, if the Rating Agencies confirm in writing that the investment in such instruments or securities will not adversely affect any rating with respect to the Series 2009-3 Notes and, so long as Standard &amp; Poor’s rates the Commercial Paper issued by any CP Conduit Purchaser, Standard &amp; Poor’s confirms in writing that the investment in such instruments or securities will not adversely affect any rating of the Commercial Paper issued by any CP Conduit Purchaser whose Commercial Paper is rated by Standard &amp; Poor’s at such time.</w:t>
      </w:r>
    </w:p>
    <w:p>
      <w:pPr>
        <w:spacing w:after="0" w:line="11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Pooled Funding CP Conduit Purchaser</w:t>
      </w:r>
      <w:r>
        <w:rPr>
          <w:rFonts w:ascii="Times New Roman" w:cs="Times New Roman" w:eastAsia="Times New Roman" w:hAnsi="Times New Roman"/>
          <w:sz w:val="18"/>
          <w:szCs w:val="18"/>
          <w:color w:val="auto"/>
        </w:rPr>
        <w:t>” means each CP Conduit Purchaser that is not a Match Funding CP Conduit Purchaser.</w:t>
      </w:r>
    </w:p>
    <w:p>
      <w:pPr>
        <w:spacing w:after="0" w:line="171" w:lineRule="exact"/>
        <w:rPr>
          <w:sz w:val="20"/>
          <w:szCs w:val="20"/>
          <w:color w:val="auto"/>
        </w:rPr>
      </w:pPr>
    </w:p>
    <w:p>
      <w:pPr>
        <w:ind w:firstLine="913"/>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Preference Amount</w:t>
      </w:r>
      <w:r>
        <w:rPr>
          <w:rFonts w:ascii="Times New Roman" w:cs="Times New Roman" w:eastAsia="Times New Roman" w:hAnsi="Times New Roman"/>
          <w:sz w:val="18"/>
          <w:szCs w:val="18"/>
          <w:color w:val="auto"/>
        </w:rPr>
        <w:t>” means any amount previously distributed to a member or members of a Purchaser Group on or relating to a Series 2009-3 Note that is recoverable or that has been recovered as a voidable preference by the trustee in a bankruptcy proceeding of a Demand Note Issuer pursuant to the Bankruptcy Code in accordance with a final nonappealable order of a court having competent jurisdiction.</w:t>
      </w:r>
    </w:p>
    <w:p>
      <w:pPr>
        <w:spacing w:after="0" w:line="132" w:lineRule="exact"/>
        <w:rPr>
          <w:sz w:val="20"/>
          <w:szCs w:val="20"/>
          <w:color w:val="auto"/>
        </w:rPr>
      </w:pPr>
    </w:p>
    <w:p>
      <w:pPr>
        <w:ind w:right="100" w:firstLine="913"/>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Pre-Preference Period Demand Note Payments</w:t>
      </w:r>
      <w:r>
        <w:rPr>
          <w:rFonts w:ascii="Times New Roman" w:cs="Times New Roman" w:eastAsia="Times New Roman" w:hAnsi="Times New Roman"/>
          <w:sz w:val="18"/>
          <w:szCs w:val="18"/>
          <w:color w:val="auto"/>
        </w:rPr>
        <w:t xml:space="preserve">” means, as of any date of determination, the aggregate amount of all proceeds of demands made on the Series 2009-3 Demand Notes included in the Series 2009-3 Demand Note Payment Amount as of the Series 2009-3 Letter of Credit Termination Date that were paid by the Demand Note Issuers more than one year before such date of determination;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an Event of Bankruptcy (or the occurrence of an event described in clause (a) of the definition thereof, without the lapse of a period of 60 consecutive days) with respect to a Demand Note Issuer occurs during such one-year period, (x) the Pre-Preference Period Demand Note Payments as of any date during the</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420"/>
          </w:cols>
          <w:pgMar w:left="240" w:top="274" w:right="239" w:bottom="1440" w:gutter="0" w:footer="0" w:header="0"/>
        </w:sectPr>
      </w:pPr>
    </w:p>
    <w:bookmarkStart w:id="184" w:name="page185"/>
    <w:bookmarkEnd w:id="184"/>
    <w:p>
      <w:pPr>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period from and including the date of the occurrence of such Event of Bankruptcy to and including the conclusion or dismissal of the proceedings giving rise to such Event of Bankruptcy without continuing jurisdiction by the court in such proceedings shall equal the Pre-Preference Period Demand Note Payments as of the date of such occurrence and (y) the Pre-Preference Period Demand Note Payments as of any date after the conclusion or dismissal of such proceedings shall equal the Series 2009-3 Demand Note Payment Amount as of the date of the conclusion or dismissal of such proceedings.</w:t>
      </w:r>
    </w:p>
    <w:p>
      <w:pPr>
        <w:spacing w:after="0" w:line="136" w:lineRule="exact"/>
        <w:rPr>
          <w:sz w:val="20"/>
          <w:szCs w:val="20"/>
          <w:color w:val="auto"/>
        </w:rPr>
      </w:pPr>
    </w:p>
    <w:p>
      <w:pPr>
        <w:jc w:val="both"/>
        <w:ind w:right="100" w:firstLine="913"/>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Prime Rate</w:t>
      </w:r>
      <w:r>
        <w:rPr>
          <w:rFonts w:ascii="Times New Roman" w:cs="Times New Roman" w:eastAsia="Times New Roman" w:hAnsi="Times New Roman"/>
          <w:sz w:val="18"/>
          <w:szCs w:val="18"/>
          <w:color w:val="auto"/>
        </w:rPr>
        <w:t>” means the rate of interest per annum publicly announced from time to time by Deutsche Bank AG, New York Branch as its prime rate in effect at its principal office in New York City. Each change in the Prime Rate shall be effective from and including the date such change is publicly announced as being effective.</w:t>
      </w:r>
    </w:p>
    <w:p>
      <w:pPr>
        <w:spacing w:after="0" w:line="132" w:lineRule="exact"/>
        <w:rPr>
          <w:sz w:val="20"/>
          <w:szCs w:val="20"/>
          <w:color w:val="auto"/>
        </w:rPr>
      </w:pPr>
    </w:p>
    <w:p>
      <w:pPr>
        <w:jc w:val="both"/>
        <w:ind w:right="320" w:firstLine="913"/>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Principal Deficit Amount</w:t>
      </w:r>
      <w:r>
        <w:rPr>
          <w:rFonts w:ascii="Times New Roman" w:cs="Times New Roman" w:eastAsia="Times New Roman" w:hAnsi="Times New Roman"/>
          <w:sz w:val="18"/>
          <w:szCs w:val="18"/>
          <w:color w:val="auto"/>
        </w:rPr>
        <w:t>” means, on any date of determination, the excess, if any, of (i) the Series 2009-3 Invested Amount on such date (after giving effect to the distribution of the Monthly Total Principal Allocation for the Related Month if such date is a Distribution Date) over (ii) the Series 2009-3 AESOP I Operating Lease Loan Agreement Borrowing Base on such date.</w:t>
      </w:r>
    </w:p>
    <w:p>
      <w:pPr>
        <w:spacing w:after="0" w:line="132" w:lineRule="exact"/>
        <w:rPr>
          <w:sz w:val="20"/>
          <w:szCs w:val="20"/>
          <w:color w:val="auto"/>
        </w:rPr>
      </w:pPr>
    </w:p>
    <w:p>
      <w:pPr>
        <w:ind w:right="40" w:firstLine="913"/>
        <w:spacing w:after="0" w:line="27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 Rata Share</w:t>
      </w:r>
      <w:r>
        <w:rPr>
          <w:rFonts w:ascii="Times New Roman" w:cs="Times New Roman" w:eastAsia="Times New Roman" w:hAnsi="Times New Roman"/>
          <w:sz w:val="18"/>
          <w:szCs w:val="18"/>
          <w:color w:val="auto"/>
        </w:rPr>
        <w:t>” means, with respect to any Purchaser Group, on any date, the ratio, expressed as a percentage, which the Purchaser Group Invested Amount with respect to such Purchaser Group bears to the Series 2009-3 Invested Amount on such date.</w:t>
      </w:r>
    </w:p>
    <w:p>
      <w:pPr>
        <w:spacing w:after="0" w:line="1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Program Fee Rate</w:t>
      </w:r>
      <w:r>
        <w:rPr>
          <w:rFonts w:ascii="Times New Roman" w:cs="Times New Roman" w:eastAsia="Times New Roman" w:hAnsi="Times New Roman"/>
          <w:sz w:val="18"/>
          <w:szCs w:val="18"/>
          <w:color w:val="auto"/>
        </w:rPr>
        <w:t>” is defined in the Fee Letter.</w:t>
      </w:r>
    </w:p>
    <w:p>
      <w:pPr>
        <w:spacing w:after="0" w:line="171" w:lineRule="exact"/>
        <w:rPr>
          <w:sz w:val="20"/>
          <w:szCs w:val="20"/>
          <w:color w:val="auto"/>
        </w:rPr>
      </w:pPr>
    </w:p>
    <w:p>
      <w:pPr>
        <w:ind w:right="40" w:firstLine="913"/>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Program Support Provider</w:t>
      </w:r>
      <w:r>
        <w:rPr>
          <w:rFonts w:ascii="Times New Roman" w:cs="Times New Roman" w:eastAsia="Times New Roman" w:hAnsi="Times New Roman"/>
          <w:sz w:val="18"/>
          <w:szCs w:val="18"/>
          <w:color w:val="auto"/>
        </w:rPr>
        <w:t>” means, with respect to any CP Conduit Purchaser, the APA Bank with respect to such CP Conduit Purchaser and any other or additional Person now or hereafter extending credit, or having a commitment to extend credit to or for the account of, or to make purchases from, such CP Conduit Purchaser or issuing a letter of credit, surety bond or other instrument to support any obligations arising under or in connection with such CP Conduit Purchaser’s securitization program.</w:t>
      </w:r>
    </w:p>
    <w:p>
      <w:pPr>
        <w:spacing w:after="0" w:line="13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 Effective Date</w:t>
      </w:r>
      <w:r>
        <w:rPr>
          <w:rFonts w:ascii="Times New Roman" w:cs="Times New Roman" w:eastAsia="Times New Roman" w:hAnsi="Times New Roman"/>
          <w:sz w:val="18"/>
          <w:szCs w:val="18"/>
          <w:color w:val="auto"/>
        </w:rPr>
        <w:t>” is defined in Section 2.6(d).</w:t>
      </w:r>
    </w:p>
    <w:p>
      <w:pPr>
        <w:spacing w:after="0" w:line="17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Purchaser Group</w:t>
      </w:r>
      <w:r>
        <w:rPr>
          <w:rFonts w:ascii="Times New Roman" w:cs="Times New Roman" w:eastAsia="Times New Roman" w:hAnsi="Times New Roman"/>
          <w:sz w:val="18"/>
          <w:szCs w:val="18"/>
          <w:color w:val="auto"/>
        </w:rPr>
        <w:t>” means, collectively, a CP Conduit Purchaser and the APA Banks with respect to such CP Conduit Purchaser.</w:t>
      </w:r>
    </w:p>
    <w:p>
      <w:pPr>
        <w:spacing w:after="0" w:line="17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Purchaser Group Addition Date</w:t>
      </w:r>
      <w:r>
        <w:rPr>
          <w:rFonts w:ascii="Times New Roman" w:cs="Times New Roman" w:eastAsia="Times New Roman" w:hAnsi="Times New Roman"/>
          <w:sz w:val="18"/>
          <w:szCs w:val="18"/>
          <w:color w:val="auto"/>
        </w:rPr>
        <w:t>” is defined in Section 2.6(e).</w:t>
      </w:r>
    </w:p>
    <w:p>
      <w:pPr>
        <w:spacing w:after="0" w:line="171" w:lineRule="exact"/>
        <w:rPr>
          <w:sz w:val="20"/>
          <w:szCs w:val="20"/>
          <w:color w:val="auto"/>
        </w:rPr>
      </w:pPr>
    </w:p>
    <w:p>
      <w:pPr>
        <w:ind w:right="460" w:firstLine="913"/>
        <w:spacing w:after="0" w:line="27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Purchaser Group Increase Amount</w:t>
      </w:r>
      <w:r>
        <w:rPr>
          <w:rFonts w:ascii="Times New Roman" w:cs="Times New Roman" w:eastAsia="Times New Roman" w:hAnsi="Times New Roman"/>
          <w:sz w:val="18"/>
          <w:szCs w:val="18"/>
          <w:color w:val="auto"/>
        </w:rPr>
        <w:t>” means, with respect to any Purchaser Group, for any Business Day, such Purchaser Group’s Commitment Percentage of the Increase Amount, if any, on such Business Day.</w:t>
      </w:r>
    </w:p>
    <w:p>
      <w:pPr>
        <w:spacing w:after="0" w:line="120" w:lineRule="exact"/>
        <w:rPr>
          <w:sz w:val="20"/>
          <w:szCs w:val="20"/>
          <w:color w:val="auto"/>
        </w:rPr>
      </w:pPr>
    </w:p>
    <w:p>
      <w:pPr>
        <w:ind w:right="80" w:firstLine="913"/>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Purchaser Group Invested Amount</w:t>
      </w:r>
      <w:r>
        <w:rPr>
          <w:rFonts w:ascii="Times New Roman" w:cs="Times New Roman" w:eastAsia="Times New Roman" w:hAnsi="Times New Roman"/>
          <w:sz w:val="18"/>
          <w:szCs w:val="18"/>
          <w:color w:val="auto"/>
        </w:rPr>
        <w:t xml:space="preserve">” means, with respect to any Purchaser Group, (a) when used with respect to the Series 2009-3 Closing Date, such Purchaser Group’s Commitment Percentage of the Series 2009-3 Initial Invested Amount and (b) when used with respect to any other date, an amount equal to (i) the Purchaser Group Invested Amount with respect to such Purchaser Group on the immediately preceding Business Day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(ii) the</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420"/>
          </w:cols>
          <w:pgMar w:left="240" w:top="274" w:right="239" w:bottom="1440" w:gutter="0" w:footer="0" w:header="0"/>
        </w:sectPr>
      </w:pPr>
    </w:p>
    <w:bookmarkStart w:id="185" w:name="page186"/>
    <w:bookmarkEnd w:id="185"/>
    <w:p>
      <w:pPr>
        <w:jc w:val="both"/>
        <w:spacing w:after="0" w:line="26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Purchaser Group Increase Amount with respect to such Purchaser Group on such date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(iii) the amount of principal payments made to such Purchaser Group pursuant to Section 3.5(f) on such date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(iv) the amount of principal payments recovered from such Purchaser Group by a trustee as a preference payment in a bankruptcy proceeding of a Demand Note Issuer or otherwise.</w:t>
      </w:r>
    </w:p>
    <w:p>
      <w:pPr>
        <w:spacing w:after="0" w:line="13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Purchaser Group Supplement</w:t>
      </w:r>
      <w:r>
        <w:rPr>
          <w:rFonts w:ascii="Times New Roman" w:cs="Times New Roman" w:eastAsia="Times New Roman" w:hAnsi="Times New Roman"/>
          <w:sz w:val="18"/>
          <w:szCs w:val="18"/>
          <w:color w:val="auto"/>
        </w:rPr>
        <w:t>” is defined in Section 11.1(e).</w:t>
      </w:r>
    </w:p>
    <w:p>
      <w:pPr>
        <w:spacing w:after="0" w:line="171" w:lineRule="exact"/>
        <w:rPr>
          <w:sz w:val="20"/>
          <w:szCs w:val="20"/>
          <w:color w:val="auto"/>
        </w:rPr>
      </w:pPr>
    </w:p>
    <w:p>
      <w:pPr>
        <w:ind w:right="180" w:firstLine="913"/>
        <w:spacing w:after="0" w:line="301"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Qualified Interest Rate Cap Counterparty</w:t>
      </w:r>
      <w:r>
        <w:rPr>
          <w:rFonts w:ascii="Times New Roman" w:cs="Times New Roman" w:eastAsia="Times New Roman" w:hAnsi="Times New Roman"/>
          <w:sz w:val="16"/>
          <w:szCs w:val="16"/>
          <w:color w:val="auto"/>
        </w:rPr>
        <w:t>” means a counterparty to a Series 2009-3 Interest Rate Cap that is a bank, other financial institution or Person which has, or has all of its obligations under its Series 2009-3 Interest Rate Cap guaranteed by a Person that has a short-term senior, unsecured debt, deposit, claims paying or credit (as the case may be) rating of “P-1”, or if such bank, financial institution or Person does not have a short-term senior, unsecured debt rating, a long-term senior, unsecured debt, deposit, claims paying or credit (as the case may be) rating of at least “A1”, in each case, from Moody’s.</w:t>
      </w:r>
    </w:p>
    <w:p>
      <w:pPr>
        <w:spacing w:after="0" w:line="10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Record Date</w:t>
      </w:r>
      <w:r>
        <w:rPr>
          <w:rFonts w:ascii="Times New Roman" w:cs="Times New Roman" w:eastAsia="Times New Roman" w:hAnsi="Times New Roman"/>
          <w:sz w:val="18"/>
          <w:szCs w:val="18"/>
          <w:color w:val="auto"/>
        </w:rPr>
        <w:t>” means, with respect to each Distribution Date, the immediately preceding Business Day.</w:t>
      </w:r>
    </w:p>
    <w:p>
      <w:pPr>
        <w:spacing w:after="0" w:line="17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Related Additional APA Banks</w:t>
      </w:r>
      <w:r>
        <w:rPr>
          <w:rFonts w:ascii="Times New Roman" w:cs="Times New Roman" w:eastAsia="Times New Roman" w:hAnsi="Times New Roman"/>
          <w:sz w:val="18"/>
          <w:szCs w:val="18"/>
          <w:color w:val="auto"/>
        </w:rPr>
        <w:t>” is defined in Section 2.6(e).</w:t>
      </w:r>
    </w:p>
    <w:p>
      <w:pPr>
        <w:spacing w:after="0" w:line="171" w:lineRule="exact"/>
        <w:rPr>
          <w:sz w:val="20"/>
          <w:szCs w:val="20"/>
          <w:color w:val="auto"/>
        </w:rPr>
      </w:pPr>
    </w:p>
    <w:p>
      <w:pPr>
        <w:ind w:right="40" w:firstLine="913"/>
        <w:spacing w:after="0" w:line="27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Related Purchaser Group</w:t>
      </w:r>
      <w:r>
        <w:rPr>
          <w:rFonts w:ascii="Times New Roman" w:cs="Times New Roman" w:eastAsia="Times New Roman" w:hAnsi="Times New Roman"/>
          <w:sz w:val="18"/>
          <w:szCs w:val="18"/>
          <w:color w:val="auto"/>
        </w:rPr>
        <w:t>” means, with respect to any Funding Agent, the CP Conduit Purchaser identified next to such Funding Agent on Schedule I and each APA Bank identified on Schedule I next to such CP Conduit Purchaser.</w:t>
      </w:r>
    </w:p>
    <w:p>
      <w:pPr>
        <w:spacing w:after="0" w:line="120" w:lineRule="exact"/>
        <w:rPr>
          <w:sz w:val="20"/>
          <w:szCs w:val="20"/>
          <w:color w:val="auto"/>
        </w:rPr>
      </w:pPr>
    </w:p>
    <w:p>
      <w:pPr>
        <w:jc w:val="both"/>
        <w:ind w:right="280" w:firstLine="913"/>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Replacement Credit Agreement</w:t>
      </w:r>
      <w:r>
        <w:rPr>
          <w:rFonts w:ascii="Times New Roman" w:cs="Times New Roman" w:eastAsia="Times New Roman" w:hAnsi="Times New Roman"/>
          <w:sz w:val="18"/>
          <w:szCs w:val="18"/>
          <w:color w:val="auto"/>
        </w:rPr>
        <w:t>” means any credit agreement or similar facility entered into by Avis Budget Holdings, LLC, ABCR and/or any affiliate of either entity, that refinances or replaces the Credit Agreement without giving effect to any amendment thereto that is not approved in writing by the Requisite Noteholders.</w:t>
      </w:r>
    </w:p>
    <w:p>
      <w:pPr>
        <w:spacing w:after="0" w:line="13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Requisite Noteholders</w:t>
      </w:r>
      <w:r>
        <w:rPr>
          <w:rFonts w:ascii="Times New Roman" w:cs="Times New Roman" w:eastAsia="Times New Roman" w:hAnsi="Times New Roman"/>
          <w:sz w:val="18"/>
          <w:szCs w:val="18"/>
          <w:color w:val="auto"/>
        </w:rPr>
        <w:t>” means Purchaser Groups having Commitment Percentages aggregating more than 50%.</w:t>
      </w:r>
    </w:p>
    <w:p>
      <w:pPr>
        <w:spacing w:after="0" w:line="171" w:lineRule="exact"/>
        <w:rPr>
          <w:sz w:val="20"/>
          <w:szCs w:val="20"/>
          <w:color w:val="auto"/>
        </w:rPr>
      </w:pPr>
    </w:p>
    <w:p>
      <w:pPr>
        <w:ind w:right="820" w:firstLine="913"/>
        <w:spacing w:after="0" w:line="27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Scheduled Expiry Date</w:t>
      </w:r>
      <w:r>
        <w:rPr>
          <w:rFonts w:ascii="Times New Roman" w:cs="Times New Roman" w:eastAsia="Times New Roman" w:hAnsi="Times New Roman"/>
          <w:sz w:val="18"/>
          <w:szCs w:val="18"/>
          <w:color w:val="auto"/>
        </w:rPr>
        <w:t>” means, with respect to any Purchaser Group, October 1, 2011, as such date may be extended in accordance with Section 2.6(b).</w:t>
      </w:r>
    </w:p>
    <w:p>
      <w:pPr>
        <w:spacing w:after="0" w:line="120" w:lineRule="exact"/>
        <w:rPr>
          <w:sz w:val="20"/>
          <w:szCs w:val="20"/>
          <w:color w:val="auto"/>
        </w:rPr>
      </w:pPr>
    </w:p>
    <w:p>
      <w:pPr>
        <w:ind w:right="60" w:firstLine="913"/>
        <w:spacing w:after="0" w:line="291"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Selected Fleet Market Value</w:t>
      </w:r>
      <w:r>
        <w:rPr>
          <w:rFonts w:ascii="Times New Roman" w:cs="Times New Roman" w:eastAsia="Times New Roman" w:hAnsi="Times New Roman"/>
          <w:sz w:val="16"/>
          <w:szCs w:val="16"/>
          <w:color w:val="auto"/>
        </w:rPr>
        <w:t>” means, with respect to all Adjusted Program Vehicles and all Non-Program Vehicles (excluding (i) any Unaccepted Program Vehicles, (ii) any Excluded Redesignated Vehicles and (iii) any other Non-Program Vehicles that are subject to a Manufacturer Program with an Eligible Non-Program Manufacturer with respect to which no Manufacturer Event of Default has occurred and is continuing) as of any date of determination, the sum of the respective Market Values of each such Adjusted Program Vehicle and each such Non-Program Vehicle, in each case subject to the AESOP I Operating Lease or the Finance Lease as of such date. For purposes of computing the Selected Fleet Market Value, the “Market Value” of an Adjusted Program Vehicle or a Non-Program Vehicle means the market value of such Vehicle as specified in the most recently published NADA Guide for the model class and model year of such Vehicle based on the average equipment and the average mileage of each Vehicle of such model class and model year then leased under the AESOP I</w:t>
      </w:r>
    </w:p>
    <w:p>
      <w:pPr>
        <w:spacing w:after="0" w:line="1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420"/>
          </w:cols>
          <w:pgMar w:left="240" w:top="274" w:right="239" w:bottom="1440" w:gutter="0" w:footer="0" w:header="0"/>
        </w:sectPr>
      </w:pPr>
    </w:p>
    <w:bookmarkStart w:id="186" w:name="page187"/>
    <w:bookmarkEnd w:id="186"/>
    <w:p>
      <w:pPr>
        <w:ind w:right="20"/>
        <w:spacing w:after="0" w:line="285"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Operating Lease and the Finance Lease;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if the NADA Guide is not being published or the NADA Guide is being published but such Vehicle is not included therein, the Market Value of such Vehicle shall be based on the market value specified in the most recently published Finance Guide for the model class and model year of such Vehicle based on the average equipment and the average mileage of each Vehicle of such model class and model year then leased under the AESOP I Operating Lease or the Finance Lease;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further</w:t>
      </w:r>
      <w:r>
        <w:rPr>
          <w:rFonts w:ascii="Times New Roman" w:cs="Times New Roman" w:eastAsia="Times New Roman" w:hAnsi="Times New Roman"/>
          <w:sz w:val="16"/>
          <w:szCs w:val="16"/>
          <w:color w:val="auto"/>
        </w:rPr>
        <w:t>, that if the Finance Guide is being published but such Vehicle is not included therein, the Market Value of such Vehicle shall mean (x) in the case of an Adjusted Program Vehicle, the Adjusted Net Book Value of such Adjusted Program Vehicle and</w:t>
      </w:r>
    </w:p>
    <w:p>
      <w:pPr>
        <w:spacing w:after="0" w:line="2" w:lineRule="exact"/>
        <w:rPr>
          <w:sz w:val="20"/>
          <w:szCs w:val="20"/>
          <w:color w:val="auto"/>
        </w:rPr>
      </w:pPr>
    </w:p>
    <w:p>
      <w:pPr>
        <w:ind w:firstLine="8"/>
        <w:spacing w:after="0" w:line="252" w:lineRule="auto"/>
        <w:tabs>
          <w:tab w:leader="none" w:pos="249"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case of a Non-Program Vehicle, the Net Book Value of such Non-Program Vehicle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xml:space="preserve">, that if the Finance Guide is not being published, the Market Value of such Vehicle shall be based on an independent third-party data source selected by the Administrator and approved by each Rating Agency that is rating any Series of Notes at the request of ABRCF based on the average equipment and average mileage of each Vehicle of such model class and model year then leased under the AESOP I Operating Lease or the Finance Lease;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that if no such third-party data source or methodology shall have been so approved or any such third-party data source or methodology is not available, the Market Value of such Vehicle shall be equal to a reasonable estimate of the wholesale market value of such Vehicle as determined by the Administrator, based on the Net Book Value of such Vehicle and any other factors deemed relevant by the Administrator.</w:t>
      </w:r>
    </w:p>
    <w:p>
      <w:pPr>
        <w:spacing w:after="0" w:line="141" w:lineRule="exact"/>
        <w:rPr>
          <w:sz w:val="20"/>
          <w:szCs w:val="20"/>
          <w:color w:val="auto"/>
        </w:rPr>
      </w:pPr>
    </w:p>
    <w:p>
      <w:pPr>
        <w:ind w:right="100" w:firstLine="913"/>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Series 2008-1 Supplement</w:t>
      </w:r>
      <w:r>
        <w:rPr>
          <w:rFonts w:ascii="Times New Roman" w:cs="Times New Roman" w:eastAsia="Times New Roman" w:hAnsi="Times New Roman"/>
          <w:sz w:val="18"/>
          <w:szCs w:val="18"/>
          <w:color w:val="auto"/>
        </w:rPr>
        <w:t>” means, the Amended and Restated Series 2008-1 Supplement, dated as of October 29, 2009, as amended, modified or supplemented from time to time, among ABRCF, ABCR, as administrator, JPMorgan Chase Bank, N.A., as administrative agent, the CP Conduit Purchasers, Funding Agents and APA Banks named therein, and The Bank of New York Mellon Trust Company, N.A., as trustee and as agent for the benefit of the Series 2008-1 Noteholders, to the Base Indenture.</w:t>
      </w:r>
    </w:p>
    <w:p>
      <w:pPr>
        <w:spacing w:after="0" w:line="13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Series 2009-3 Accrued Interest Account</w:t>
      </w:r>
      <w:r>
        <w:rPr>
          <w:rFonts w:ascii="Times New Roman" w:cs="Times New Roman" w:eastAsia="Times New Roman" w:hAnsi="Times New Roman"/>
          <w:sz w:val="18"/>
          <w:szCs w:val="18"/>
          <w:color w:val="auto"/>
        </w:rPr>
        <w:t>” is defined in Section 3.1(b).</w:t>
      </w:r>
    </w:p>
    <w:p>
      <w:pPr>
        <w:spacing w:after="0" w:line="171" w:lineRule="exact"/>
        <w:rPr>
          <w:sz w:val="20"/>
          <w:szCs w:val="20"/>
          <w:color w:val="auto"/>
        </w:rPr>
      </w:pPr>
    </w:p>
    <w:p>
      <w:pPr>
        <w:ind w:firstLine="913"/>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Series 2009-3 AESOP I Operating Lease Loan Agreement Borrowing Base</w:t>
      </w:r>
      <w:r>
        <w:rPr>
          <w:rFonts w:ascii="Times New Roman" w:cs="Times New Roman" w:eastAsia="Times New Roman" w:hAnsi="Times New Roman"/>
          <w:sz w:val="18"/>
          <w:szCs w:val="18"/>
          <w:color w:val="auto"/>
        </w:rPr>
        <w:t xml:space="preserve">” means, as of any date of determination, the product of (a) the Series 2009-3 AESOP I Operating Lease Vehicle Percentage as of such date and (b) the excess of (i) the AESOP I Operating Lease Loan Agreement Borrowing Base as of such date </w:t>
      </w:r>
      <w:r>
        <w:rPr>
          <w:rFonts w:ascii="Times New Roman" w:cs="Times New Roman" w:eastAsia="Times New Roman" w:hAnsi="Times New Roman"/>
          <w:sz w:val="18"/>
          <w:szCs w:val="18"/>
          <w:u w:val="single" w:color="auto"/>
          <w:color w:val="auto"/>
        </w:rPr>
        <w:t>over</w:t>
      </w:r>
      <w:r>
        <w:rPr>
          <w:rFonts w:ascii="Times New Roman" w:cs="Times New Roman" w:eastAsia="Times New Roman" w:hAnsi="Times New Roman"/>
          <w:sz w:val="18"/>
          <w:szCs w:val="18"/>
          <w:color w:val="auto"/>
        </w:rPr>
        <w:t xml:space="preserve"> (ii) the Moody’s Excluded Receivable Amount as of such date.</w:t>
      </w:r>
    </w:p>
    <w:p>
      <w:pPr>
        <w:spacing w:after="0" w:line="132" w:lineRule="exact"/>
        <w:rPr>
          <w:sz w:val="20"/>
          <w:szCs w:val="20"/>
          <w:color w:val="auto"/>
        </w:rPr>
      </w:pPr>
    </w:p>
    <w:p>
      <w:pPr>
        <w:jc w:val="both"/>
        <w:ind w:right="60" w:firstLine="913"/>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Series 2009-3 AESOP I Operating Lease Vehicle Percentage</w:t>
      </w:r>
      <w:r>
        <w:rPr>
          <w:rFonts w:ascii="Times New Roman" w:cs="Times New Roman" w:eastAsia="Times New Roman" w:hAnsi="Times New Roman"/>
          <w:sz w:val="18"/>
          <w:szCs w:val="18"/>
          <w:color w:val="auto"/>
        </w:rPr>
        <w:t>” means, as of any date of determination, a fraction, expressed as a percentage (which percentage shall never exceed 100%), the numerator of which is the Series 2009-3 Required AESOP I Operating Lease Vehicle Amount as of such date and the denominator of which is the sum of the Required AESOP I Operating Lease Vehicle Amounts for all Series of Notes as of such date.</w:t>
      </w:r>
    </w:p>
    <w:p>
      <w:pPr>
        <w:spacing w:after="0" w:line="13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Series 2009-3 Agent</w:t>
      </w:r>
      <w:r>
        <w:rPr>
          <w:rFonts w:ascii="Times New Roman" w:cs="Times New Roman" w:eastAsia="Times New Roman" w:hAnsi="Times New Roman"/>
          <w:sz w:val="18"/>
          <w:szCs w:val="18"/>
          <w:color w:val="auto"/>
        </w:rPr>
        <w:t>” is defined in the recitals hereto.</w:t>
      </w:r>
    </w:p>
    <w:p>
      <w:pPr>
        <w:spacing w:after="0" w:line="171" w:lineRule="exact"/>
        <w:rPr>
          <w:sz w:val="20"/>
          <w:szCs w:val="20"/>
          <w:color w:val="auto"/>
        </w:rPr>
      </w:pPr>
    </w:p>
    <w:p>
      <w:pPr>
        <w:ind w:right="20" w:firstLine="913"/>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Series 2009-3 Amortization Period</w:t>
      </w:r>
      <w:r>
        <w:rPr>
          <w:rFonts w:ascii="Times New Roman" w:cs="Times New Roman" w:eastAsia="Times New Roman" w:hAnsi="Times New Roman"/>
          <w:sz w:val="18"/>
          <w:szCs w:val="18"/>
          <w:color w:val="auto"/>
        </w:rPr>
        <w:t>” means the period beginning at the earliest to occur of (a) the close of business on the Business Day immediately preceding the date on which the Expiry Date with respect to each Purchaser Group shall have occurred and (b) the close of business on the Optional Termination Date and ending upon the earliest to occur of (i) the date</w:t>
      </w:r>
    </w:p>
    <w:p>
      <w:pPr>
        <w:spacing w:after="0" w:line="11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340"/>
          </w:cols>
          <w:pgMar w:left="240" w:top="272" w:right="319" w:bottom="1440" w:gutter="0" w:footer="0" w:header="0"/>
        </w:sectPr>
      </w:pPr>
    </w:p>
    <w:bookmarkStart w:id="187" w:name="page188"/>
    <w:bookmarkEnd w:id="187"/>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on which the Series 2009-3 Notes are fully paid, (ii) the termination of the Indenture and (iii) the Series 2009-3 Termination Date.</w:t>
      </w:r>
    </w:p>
    <w:p>
      <w:pPr>
        <w:spacing w:after="0" w:line="171" w:lineRule="exact"/>
        <w:rPr>
          <w:sz w:val="20"/>
          <w:szCs w:val="20"/>
          <w:color w:val="auto"/>
        </w:rPr>
      </w:pPr>
    </w:p>
    <w:p>
      <w:pPr>
        <w:ind w:firstLine="913"/>
        <w:spacing w:after="0" w:line="27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Series 2009-3 Available Cash Collateral Account Amount</w:t>
      </w:r>
      <w:r>
        <w:rPr>
          <w:rFonts w:ascii="Times New Roman" w:cs="Times New Roman" w:eastAsia="Times New Roman" w:hAnsi="Times New Roman"/>
          <w:sz w:val="18"/>
          <w:szCs w:val="18"/>
          <w:color w:val="auto"/>
        </w:rPr>
        <w:t>” means, as of any date of determination, the amount on deposit in the Series 2009-3 Cash Collateral Account (after giving effect to any deposits thereto and withdrawals and releases therefrom on such date).</w:t>
      </w:r>
    </w:p>
    <w:p>
      <w:pPr>
        <w:spacing w:after="0" w:line="120" w:lineRule="exact"/>
        <w:rPr>
          <w:sz w:val="20"/>
          <w:szCs w:val="20"/>
          <w:color w:val="auto"/>
        </w:rPr>
      </w:pPr>
    </w:p>
    <w:p>
      <w:pPr>
        <w:ind w:right="300" w:firstLine="913"/>
        <w:spacing w:after="0" w:line="27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Series 2009-3 Available Reserve Account Amount</w:t>
      </w:r>
      <w:r>
        <w:rPr>
          <w:rFonts w:ascii="Times New Roman" w:cs="Times New Roman" w:eastAsia="Times New Roman" w:hAnsi="Times New Roman"/>
          <w:sz w:val="18"/>
          <w:szCs w:val="18"/>
          <w:color w:val="auto"/>
        </w:rPr>
        <w:t>” means, as of any date of determination, the amount on deposit in the Series 2009-3 Reserve Account (after giving effect to any deposits thereto and withdrawals and releases therefrom on such date).</w:t>
      </w:r>
    </w:p>
    <w:p>
      <w:pPr>
        <w:spacing w:after="0" w:line="1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Series 2009-3 Cash Collateral Account</w:t>
      </w:r>
      <w:r>
        <w:rPr>
          <w:rFonts w:ascii="Times New Roman" w:cs="Times New Roman" w:eastAsia="Times New Roman" w:hAnsi="Times New Roman"/>
          <w:sz w:val="18"/>
          <w:szCs w:val="18"/>
          <w:color w:val="auto"/>
        </w:rPr>
        <w:t>” is defined in Section 3.8(e).</w:t>
      </w:r>
    </w:p>
    <w:p>
      <w:pPr>
        <w:spacing w:after="0" w:line="17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Series 2009-3 Cash Collateral Account Collateral</w:t>
      </w:r>
      <w:r>
        <w:rPr>
          <w:rFonts w:ascii="Times New Roman" w:cs="Times New Roman" w:eastAsia="Times New Roman" w:hAnsi="Times New Roman"/>
          <w:sz w:val="18"/>
          <w:szCs w:val="18"/>
          <w:color w:val="auto"/>
        </w:rPr>
        <w:t>” is defined in Section 3.8(a).</w:t>
      </w:r>
    </w:p>
    <w:p>
      <w:pPr>
        <w:spacing w:after="0" w:line="171" w:lineRule="exact"/>
        <w:rPr>
          <w:sz w:val="20"/>
          <w:szCs w:val="20"/>
          <w:color w:val="auto"/>
        </w:rPr>
      </w:pPr>
    </w:p>
    <w:p>
      <w:pPr>
        <w:ind w:right="180" w:firstLine="913"/>
        <w:spacing w:after="0" w:line="291"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Series 2009-3 Cash Collateral Account Surplus</w:t>
      </w:r>
      <w:r>
        <w:rPr>
          <w:rFonts w:ascii="Times New Roman" w:cs="Times New Roman" w:eastAsia="Times New Roman" w:hAnsi="Times New Roman"/>
          <w:sz w:val="16"/>
          <w:szCs w:val="16"/>
          <w:color w:val="auto"/>
        </w:rPr>
        <w:t xml:space="preserve">” means, with respect to any Distribution Date, the lesser of (a) the Series 2009-3 Available Cash Collateral Account Amount and (b) the lesser of (A) the excess, if any, of the Series 2009-3 Liquidity Amount (after giving effect to any withdrawal from the Series 2009-3 Reserve Account on such Distribution Date) over the Series 2009-3 Required Liquidity Amount on such Distribution Date and (B) the excess, if any, of the Series 2009-3 Enhancement Amount (after giving effect to any withdrawal from the Series 2009-3 Reserve Account on such Distribution Date) over the Series 2009-3 Required Enhancement Amount on such Distribution Date;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xml:space="preserve">, that, on any date after the Series 2009-3 Letter of Credit Termination Date, the Series 2009-3 Cash Collateral Account Surplus shall mean the excess, if any, of (x) the Series 2009-3 Available Cash Collateral Account Amount over (y) the Series 2009-3 Demand Note Payment Amount </w:t>
      </w:r>
      <w:r>
        <w:rPr>
          <w:rFonts w:ascii="Times New Roman" w:cs="Times New Roman" w:eastAsia="Times New Roman" w:hAnsi="Times New Roman"/>
          <w:sz w:val="16"/>
          <w:szCs w:val="16"/>
          <w:u w:val="single" w:color="auto"/>
          <w:color w:val="auto"/>
        </w:rPr>
        <w:t>minus</w:t>
      </w:r>
      <w:r>
        <w:rPr>
          <w:rFonts w:ascii="Times New Roman" w:cs="Times New Roman" w:eastAsia="Times New Roman" w:hAnsi="Times New Roman"/>
          <w:sz w:val="16"/>
          <w:szCs w:val="16"/>
          <w:color w:val="auto"/>
        </w:rPr>
        <w:t xml:space="preserve"> the Pre-Preference Period Demand Note Payments as of such date.</w:t>
      </w:r>
    </w:p>
    <w:p>
      <w:pPr>
        <w:spacing w:after="0" w:line="113" w:lineRule="exact"/>
        <w:rPr>
          <w:sz w:val="20"/>
          <w:szCs w:val="20"/>
          <w:color w:val="auto"/>
        </w:rPr>
      </w:pPr>
    </w:p>
    <w:p>
      <w:pPr>
        <w:ind w:right="40" w:firstLine="913"/>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Series 2009-3 Cash Collateral Percentage</w:t>
      </w:r>
      <w:r>
        <w:rPr>
          <w:rFonts w:ascii="Times New Roman" w:cs="Times New Roman" w:eastAsia="Times New Roman" w:hAnsi="Times New Roman"/>
          <w:sz w:val="18"/>
          <w:szCs w:val="18"/>
          <w:color w:val="auto"/>
        </w:rPr>
        <w:t>” means, as of any date of determination, the percentage equivalent of a fraction, the numerator of which is the Series 2009-3 Available Cash Collateral Amount as of such date and the denominator of which is the Series 2009-3 Letter of Credit Liquidity Amount as of such date.</w:t>
      </w:r>
    </w:p>
    <w:p>
      <w:pPr>
        <w:spacing w:after="0" w:line="13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Series 2009-3 Closing Date</w:t>
      </w:r>
      <w:r>
        <w:rPr>
          <w:rFonts w:ascii="Times New Roman" w:cs="Times New Roman" w:eastAsia="Times New Roman" w:hAnsi="Times New Roman"/>
          <w:sz w:val="18"/>
          <w:szCs w:val="18"/>
          <w:color w:val="auto"/>
        </w:rPr>
        <w:t>” is defined in Section 2.1(a).</w:t>
      </w:r>
    </w:p>
    <w:p>
      <w:pPr>
        <w:spacing w:after="0" w:line="171" w:lineRule="exact"/>
        <w:rPr>
          <w:sz w:val="20"/>
          <w:szCs w:val="20"/>
          <w:color w:val="auto"/>
        </w:rPr>
      </w:pPr>
    </w:p>
    <w:p>
      <w:pPr>
        <w:ind w:right="240" w:firstLine="913"/>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Series 2009-3 Collateral</w:t>
      </w:r>
      <w:r>
        <w:rPr>
          <w:rFonts w:ascii="Times New Roman" w:cs="Times New Roman" w:eastAsia="Times New Roman" w:hAnsi="Times New Roman"/>
          <w:sz w:val="18"/>
          <w:szCs w:val="18"/>
          <w:color w:val="auto"/>
        </w:rPr>
        <w:t>” means the Collateral, each Series 2009-3 Letter of Credit, each Series 2009-3 Demand Note, the Series 2009-3 Interest Rate Cap Collateral, the Series 2009-3 Distribution Account Collateral, the Series 2009-3 Cash Collateral Account Collateral and the Series 2009-3 Reserve Account Collateral.</w:t>
      </w:r>
    </w:p>
    <w:p>
      <w:pPr>
        <w:spacing w:after="0" w:line="13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Series 2009-3 Collection Account</w:t>
      </w:r>
      <w:r>
        <w:rPr>
          <w:rFonts w:ascii="Times New Roman" w:cs="Times New Roman" w:eastAsia="Times New Roman" w:hAnsi="Times New Roman"/>
          <w:sz w:val="18"/>
          <w:szCs w:val="18"/>
          <w:color w:val="auto"/>
        </w:rPr>
        <w:t>” is defined in Section 3.1(b).</w:t>
      </w:r>
    </w:p>
    <w:p>
      <w:pPr>
        <w:spacing w:after="0" w:line="171" w:lineRule="exact"/>
        <w:rPr>
          <w:sz w:val="20"/>
          <w:szCs w:val="20"/>
          <w:color w:val="auto"/>
        </w:rPr>
      </w:pPr>
    </w:p>
    <w:p>
      <w:pPr>
        <w:ind w:right="640" w:firstLine="913"/>
        <w:spacing w:after="0" w:line="27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Series 2009-3 Demand Note</w:t>
      </w:r>
      <w:r>
        <w:rPr>
          <w:rFonts w:ascii="Times New Roman" w:cs="Times New Roman" w:eastAsia="Times New Roman" w:hAnsi="Times New Roman"/>
          <w:sz w:val="18"/>
          <w:szCs w:val="18"/>
          <w:color w:val="auto"/>
        </w:rPr>
        <w:t xml:space="preserve">” means each demand note made by a Demand Note Issuer, substantially in the form of </w:t>
      </w:r>
      <w:r>
        <w:rPr>
          <w:rFonts w:ascii="Times New Roman" w:cs="Times New Roman" w:eastAsia="Times New Roman" w:hAnsi="Times New Roman"/>
          <w:sz w:val="18"/>
          <w:szCs w:val="18"/>
          <w:u w:val="single" w:color="auto"/>
          <w:color w:val="auto"/>
        </w:rPr>
        <w:t>Exhibit D</w:t>
      </w:r>
      <w:r>
        <w:rPr>
          <w:rFonts w:ascii="Times New Roman" w:cs="Times New Roman" w:eastAsia="Times New Roman" w:hAnsi="Times New Roman"/>
          <w:sz w:val="18"/>
          <w:szCs w:val="18"/>
          <w:color w:val="auto"/>
        </w:rPr>
        <w:t xml:space="preserve"> as amended, modified or restated from time to time.</w:t>
      </w:r>
    </w:p>
    <w:p>
      <w:pPr>
        <w:spacing w:after="0" w:line="120" w:lineRule="exact"/>
        <w:rPr>
          <w:sz w:val="20"/>
          <w:szCs w:val="20"/>
          <w:color w:val="auto"/>
        </w:rPr>
      </w:pPr>
    </w:p>
    <w:p>
      <w:pPr>
        <w:ind w:right="440" w:firstLine="913"/>
        <w:spacing w:after="0" w:line="27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Series 2009-3 Demand Note Payment Amount</w:t>
      </w:r>
      <w:r>
        <w:rPr>
          <w:rFonts w:ascii="Times New Roman" w:cs="Times New Roman" w:eastAsia="Times New Roman" w:hAnsi="Times New Roman"/>
          <w:sz w:val="18"/>
          <w:szCs w:val="18"/>
          <w:color w:val="auto"/>
        </w:rPr>
        <w:t>” means, as of the Series 2009-3 Letter of Credit Termination Date, the aggregate amount of all proceeds of demands made on the Series 2009-3 Demand Notes pursuant to Section 3.5(c)(iii) or 3.5(d)(ii) that were deposited into</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400"/>
          </w:cols>
          <w:pgMar w:left="240" w:top="274" w:right="259" w:bottom="1440" w:gutter="0" w:footer="0" w:header="0"/>
        </w:sectPr>
      </w:pPr>
    </w:p>
    <w:bookmarkStart w:id="188" w:name="page189"/>
    <w:bookmarkEnd w:id="188"/>
    <w:p>
      <w:pPr>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the Series 2009-3 Distribution Account and paid to the Series 2009-3 Noteholders during the one-year period ending on the Series 2009-3 Letter of Credit Termination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an Event of Bankruptcy (or the occurrence of an event described in clause (a) of the definition thereof, without the lapse of a period of 60 consecutive days) with respect to a Demand Note Issuer shall have occurred during such one-year period, the Series 2009-3 Demand Note Payment Amount as of the Series 2009-3 Letter of Credit Termination Date shall equal the Series 2009-3 Demand Note Payment Amount as if it were calculated as of the date of such occurrence.</w:t>
      </w:r>
    </w:p>
    <w:p>
      <w:pPr>
        <w:spacing w:after="0" w:line="13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Series 2009-3 Deposit Date</w:t>
      </w:r>
      <w:r>
        <w:rPr>
          <w:rFonts w:ascii="Times New Roman" w:cs="Times New Roman" w:eastAsia="Times New Roman" w:hAnsi="Times New Roman"/>
          <w:sz w:val="18"/>
          <w:szCs w:val="18"/>
          <w:color w:val="auto"/>
        </w:rPr>
        <w:t>” is defined in Section 3.2.</w:t>
      </w:r>
    </w:p>
    <w:p>
      <w:pPr>
        <w:spacing w:after="0" w:line="17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Series 2009-3 Distribution Account</w:t>
      </w:r>
      <w:r>
        <w:rPr>
          <w:rFonts w:ascii="Times New Roman" w:cs="Times New Roman" w:eastAsia="Times New Roman" w:hAnsi="Times New Roman"/>
          <w:sz w:val="18"/>
          <w:szCs w:val="18"/>
          <w:color w:val="auto"/>
        </w:rPr>
        <w:t>” is defined in Section 3.9(a).</w:t>
      </w:r>
    </w:p>
    <w:p>
      <w:pPr>
        <w:spacing w:after="0" w:line="17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Series 2009-3 Distribution Account Collateral</w:t>
      </w:r>
      <w:r>
        <w:rPr>
          <w:rFonts w:ascii="Times New Roman" w:cs="Times New Roman" w:eastAsia="Times New Roman" w:hAnsi="Times New Roman"/>
          <w:sz w:val="18"/>
          <w:szCs w:val="18"/>
          <w:color w:val="auto"/>
        </w:rPr>
        <w:t>” is defined in Section 3.9(d).</w:t>
      </w:r>
    </w:p>
    <w:p>
      <w:pPr>
        <w:spacing w:after="0" w:line="171" w:lineRule="exact"/>
        <w:rPr>
          <w:sz w:val="20"/>
          <w:szCs w:val="20"/>
          <w:color w:val="auto"/>
        </w:rPr>
      </w:pPr>
    </w:p>
    <w:p>
      <w:pPr>
        <w:jc w:val="both"/>
        <w:ind w:firstLine="913"/>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Series 2009-3 Documents</w:t>
      </w:r>
      <w:r>
        <w:rPr>
          <w:rFonts w:ascii="Times New Roman" w:cs="Times New Roman" w:eastAsia="Times New Roman" w:hAnsi="Times New Roman"/>
          <w:sz w:val="18"/>
          <w:szCs w:val="18"/>
          <w:color w:val="auto"/>
        </w:rPr>
        <w:t>” means each of this Supplement, the Series 2009-3 Notes, the Series 2009-3 Interest Rate Cap, the Fee Letter, the Series 2009-3 Demand Notes, the Series 2009-3 Letter of Credit and any other related documents executed in connection with an issuance of the Series 2009-3 Notes or activities related thereto.</w:t>
      </w:r>
    </w:p>
    <w:p>
      <w:pPr>
        <w:spacing w:after="0" w:line="13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Series 2009-3 Eligible Letter of Credit Provider</w:t>
      </w:r>
      <w:r>
        <w:rPr>
          <w:rFonts w:ascii="Times New Roman" w:cs="Times New Roman" w:eastAsia="Times New Roman" w:hAnsi="Times New Roman"/>
          <w:sz w:val="16"/>
          <w:szCs w:val="16"/>
          <w:color w:val="auto"/>
        </w:rPr>
        <w:t>” means a Person satisfactory to ABCR and the Demand Note Issuers and having, at the time of the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issuance of the related Series 2009-3 Letter of Credit, a long-term senior unsecured debt, deposit, claims paying or credit (as the case may be) rating of at least</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from Standard &amp; Poor’s and a short-term senior unsecured debt, deposit, claims paying or credit (as the case may be) rating of at least “A-1” from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Standard &amp; Poor’s and a long-term senior unsecured debt, deposit, claims paying or credit (as the case may be) rating of at least “A1” from Moody’s and a short-</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term senior unsecured debt, deposit, claims paying or credit (as the case may be) rating of at least “P-1” from Moody’s that is a commercial bank having total</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assets in excess of $500,000,000;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if a Person is not a Series 2009-3 Letter of Credit Provider (or a letter of credit provider under the Supplement for</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any other Series of Notes), then such Person shall not be a Series 2009-3 Eligible Letter of Credit Provider until ABCR has provided 10 days’ prior notice to the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Rating Agencies, Standard &amp; Poor’s and the Administrative Agent that such a Person has been proposed as a Series 2009-3 Letter of Credit Provider.</w:t>
      </w:r>
    </w:p>
    <w:p>
      <w:pPr>
        <w:spacing w:after="0" w:line="159" w:lineRule="exact"/>
        <w:rPr>
          <w:sz w:val="20"/>
          <w:szCs w:val="20"/>
          <w:color w:val="auto"/>
        </w:rPr>
      </w:pPr>
    </w:p>
    <w:p>
      <w:pPr>
        <w:ind w:right="180" w:firstLine="913"/>
        <w:spacing w:after="0" w:line="27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Series 2009-3 Enhancement</w:t>
      </w:r>
      <w:r>
        <w:rPr>
          <w:rFonts w:ascii="Times New Roman" w:cs="Times New Roman" w:eastAsia="Times New Roman" w:hAnsi="Times New Roman"/>
          <w:sz w:val="18"/>
          <w:szCs w:val="18"/>
          <w:color w:val="auto"/>
        </w:rPr>
        <w:t>” means the Series 2009-3 Cash Collateral Account Collateral, the Series 2009-3 Letters of Credit, the Series 2009-3 Demand Notes, the Series 2009-3 Overcollateralization Amount and the Series 2009-3 Reserve Account Amount.</w:t>
      </w:r>
    </w:p>
    <w:p>
      <w:pPr>
        <w:spacing w:after="0" w:line="120" w:lineRule="exact"/>
        <w:rPr>
          <w:sz w:val="20"/>
          <w:szCs w:val="20"/>
          <w:color w:val="auto"/>
        </w:rPr>
      </w:pPr>
    </w:p>
    <w:p>
      <w:pPr>
        <w:ind w:right="80" w:firstLine="913"/>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Series 2009-3 Enhancement Amount</w:t>
      </w:r>
      <w:r>
        <w:rPr>
          <w:rFonts w:ascii="Times New Roman" w:cs="Times New Roman" w:eastAsia="Times New Roman" w:hAnsi="Times New Roman"/>
          <w:sz w:val="18"/>
          <w:szCs w:val="18"/>
          <w:color w:val="auto"/>
        </w:rPr>
        <w:t>” means, as of any date of determination, the sum of (i) the Series 2009-3 Overcollateralization Amount as of such date, (ii) the Series 2009-3 Letter of Credit Amount as of such date, (iii) the Series 2009-3 Available Reserve Account Amount as of such date and (iv) the amount of cash and Permitted Investments on deposit in the Series 2009-3 Collection Account (not including amounts allocable to the Series 2009-3 Accrued Interest Account) and the Series 2009-3 Excess Collection Account as of such date.</w:t>
      </w:r>
    </w:p>
    <w:p>
      <w:pPr>
        <w:spacing w:after="0" w:line="12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340"/>
          </w:cols>
          <w:pgMar w:left="240" w:top="274" w:right="319" w:bottom="1440" w:gutter="0" w:footer="0" w:header="0"/>
        </w:sectPr>
      </w:pPr>
    </w:p>
    <w:bookmarkStart w:id="189" w:name="page190"/>
    <w:bookmarkEnd w:id="189"/>
    <w:p>
      <w:pPr>
        <w:ind w:right="20" w:firstLine="913"/>
        <w:spacing w:after="0" w:line="27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Series 2009-3 Enhancement Deficiency</w:t>
      </w:r>
      <w:r>
        <w:rPr>
          <w:rFonts w:ascii="Times New Roman" w:cs="Times New Roman" w:eastAsia="Times New Roman" w:hAnsi="Times New Roman"/>
          <w:sz w:val="18"/>
          <w:szCs w:val="18"/>
          <w:color w:val="auto"/>
        </w:rPr>
        <w:t>” means, on any date of determination, the amount by which the Series 2009-3 Enhancement Amount is less than the Series 2009-3 Required Enhancement Amount as of such date.</w:t>
      </w:r>
    </w:p>
    <w:p>
      <w:pPr>
        <w:spacing w:after="0" w:line="1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Series 2009-3 Excess Collection Account</w:t>
      </w:r>
      <w:r>
        <w:rPr>
          <w:rFonts w:ascii="Times New Roman" w:cs="Times New Roman" w:eastAsia="Times New Roman" w:hAnsi="Times New Roman"/>
          <w:sz w:val="18"/>
          <w:szCs w:val="18"/>
          <w:color w:val="auto"/>
        </w:rPr>
        <w:t>” is defined in Section 3.1(b).</w:t>
      </w:r>
    </w:p>
    <w:p>
      <w:pPr>
        <w:spacing w:after="0" w:line="171" w:lineRule="exact"/>
        <w:rPr>
          <w:sz w:val="20"/>
          <w:szCs w:val="20"/>
          <w:color w:val="auto"/>
        </w:rPr>
      </w:pPr>
    </w:p>
    <w:p>
      <w:pPr>
        <w:ind w:right="420" w:firstLine="913"/>
        <w:spacing w:after="0" w:line="27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Series 2009-3 Expected Final Distribution Date</w:t>
      </w:r>
      <w:r>
        <w:rPr>
          <w:rFonts w:ascii="Times New Roman" w:cs="Times New Roman" w:eastAsia="Times New Roman" w:hAnsi="Times New Roman"/>
          <w:sz w:val="18"/>
          <w:szCs w:val="18"/>
          <w:color w:val="auto"/>
        </w:rPr>
        <w:t>” means the Distribution Date falling in the second calendar month after the calendar month in which the Series 2009-3 Revolving Period ends.</w:t>
      </w:r>
    </w:p>
    <w:p>
      <w:pPr>
        <w:spacing w:after="0" w:line="1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Series 2009-3 Incremental Enhancement Amount</w:t>
      </w:r>
      <w:r>
        <w:rPr>
          <w:rFonts w:ascii="Times New Roman" w:cs="Times New Roman" w:eastAsia="Times New Roman" w:hAnsi="Times New Roman"/>
          <w:sz w:val="18"/>
          <w:szCs w:val="18"/>
          <w:color w:val="auto"/>
        </w:rPr>
        <w:t>” means, as of any date of determination, the sum of:</w:t>
      </w:r>
    </w:p>
    <w:p>
      <w:pPr>
        <w:spacing w:after="0" w:line="90" w:lineRule="exact"/>
        <w:rPr>
          <w:sz w:val="20"/>
          <w:szCs w:val="20"/>
          <w:color w:val="auto"/>
        </w:rPr>
      </w:pPr>
    </w:p>
    <w:p>
      <w:pPr>
        <w:ind w:left="460" w:right="40" w:firstLine="443"/>
        <w:spacing w:after="0" w:line="289" w:lineRule="auto"/>
        <w:tabs>
          <w:tab w:leader="none" w:pos="1108" w:val="left"/>
        </w:tabs>
        <w:numPr>
          <w:ilvl w:val="1"/>
          <w:numId w:val="10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Series 2009-3 Percentage of the greater of (x) the excess, if any, of the Non-Program Vehicle Amount as of the immediately preceding Business Day </w:t>
      </w:r>
      <w:r>
        <w:rPr>
          <w:rFonts w:ascii="Times New Roman" w:cs="Times New Roman" w:eastAsia="Times New Roman" w:hAnsi="Times New Roman"/>
          <w:sz w:val="16"/>
          <w:szCs w:val="16"/>
          <w:u w:val="single" w:color="auto"/>
          <w:color w:val="auto"/>
        </w:rPr>
        <w:t>over</w:t>
      </w:r>
      <w:r>
        <w:rPr>
          <w:rFonts w:ascii="Times New Roman" w:cs="Times New Roman" w:eastAsia="Times New Roman" w:hAnsi="Times New Roman"/>
          <w:sz w:val="16"/>
          <w:szCs w:val="16"/>
          <w:color w:val="auto"/>
        </w:rPr>
        <w:t xml:space="preserve"> the Series 2009-3 Maximum Non-Program Vehicle Amount as of the immediately preceding Business Day and (y) the excess, if any, of</w:t>
      </w:r>
    </w:p>
    <w:p>
      <w:pPr>
        <w:spacing w:after="0" w:line="1" w:lineRule="exact"/>
        <w:rPr>
          <w:rFonts w:ascii="Times New Roman" w:cs="Times New Roman" w:eastAsia="Times New Roman" w:hAnsi="Times New Roman"/>
          <w:sz w:val="16"/>
          <w:szCs w:val="16"/>
          <w:color w:val="auto"/>
        </w:rPr>
      </w:pPr>
    </w:p>
    <w:p>
      <w:pPr>
        <w:ind w:left="460" w:firstLine="4"/>
        <w:spacing w:after="0" w:line="254" w:lineRule="auto"/>
        <w:tabs>
          <w:tab w:leader="none" w:pos="748"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Net Book Value of all Non-Program Vehicles (other than (i) Unaccepted Program Vehicles and (ii) Vehicles subject to a Manufacturer Program with a Specified Eligible Non-Program Manufacturer) leased under the AESOP I Operating Lease as of the immediately preceding Business Day </w:t>
      </w:r>
      <w:r>
        <w:rPr>
          <w:rFonts w:ascii="Times New Roman" w:cs="Times New Roman" w:eastAsia="Times New Roman" w:hAnsi="Times New Roman"/>
          <w:sz w:val="18"/>
          <w:szCs w:val="18"/>
          <w:u w:val="single" w:color="auto"/>
          <w:color w:val="auto"/>
        </w:rPr>
        <w:t>over</w:t>
      </w:r>
      <w:r>
        <w:rPr>
          <w:rFonts w:ascii="Times New Roman" w:cs="Times New Roman" w:eastAsia="Times New Roman" w:hAnsi="Times New Roman"/>
          <w:sz w:val="18"/>
          <w:szCs w:val="18"/>
          <w:color w:val="auto"/>
        </w:rPr>
        <w:t xml:space="preserve"> (B) the Series 2009-3 Maximum Non-Program Vehicle Percentage of the Net Book Value of all Vehicles leased under the AESOP I Operating Lease as of the immediately preceding Business Day;</w:t>
      </w:r>
    </w:p>
    <w:p>
      <w:pPr>
        <w:spacing w:after="0" w:line="56" w:lineRule="exact"/>
        <w:rPr>
          <w:rFonts w:ascii="Times New Roman" w:cs="Times New Roman" w:eastAsia="Times New Roman" w:hAnsi="Times New Roman"/>
          <w:sz w:val="18"/>
          <w:szCs w:val="18"/>
          <w:color w:val="auto"/>
        </w:rPr>
      </w:pPr>
    </w:p>
    <w:p>
      <w:pPr>
        <w:ind w:left="460" w:right="80" w:firstLine="443"/>
        <w:spacing w:after="0" w:line="256" w:lineRule="auto"/>
        <w:tabs>
          <w:tab w:leader="none" w:pos="1157" w:val="left"/>
        </w:tabs>
        <w:numPr>
          <w:ilvl w:val="1"/>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Series 2009-3 Percentage of the greater of (x) the excess, if any, of the aggregate Net Book Value of all Vehicles manufactured by Mitsubishi and leased under the Leases as of the immediately preceding Business Day </w:t>
      </w:r>
      <w:r>
        <w:rPr>
          <w:rFonts w:ascii="Times New Roman" w:cs="Times New Roman" w:eastAsia="Times New Roman" w:hAnsi="Times New Roman"/>
          <w:sz w:val="18"/>
          <w:szCs w:val="18"/>
          <w:u w:val="single" w:color="auto"/>
          <w:color w:val="auto"/>
        </w:rPr>
        <w:t>over</w:t>
      </w:r>
      <w:r>
        <w:rPr>
          <w:rFonts w:ascii="Times New Roman" w:cs="Times New Roman" w:eastAsia="Times New Roman" w:hAnsi="Times New Roman"/>
          <w:sz w:val="18"/>
          <w:szCs w:val="18"/>
          <w:color w:val="auto"/>
        </w:rPr>
        <w:t xml:space="preserve"> the Series 2009-3 Maximum Mitsubishi Amount as of the immediately preceding Business Day and (y) the excess, if any, of (A) the Net Book Value of all Vehicles manufactured by Mitsubishi and leased under the AESOP I Operating Lease as of the immediately preceding Business Day over (B) 10% of the Net Book Value of all Vehicles leased under the AESOP I Operating Lease as of the immediately preceding Business Day;</w:t>
      </w:r>
    </w:p>
    <w:p>
      <w:pPr>
        <w:spacing w:after="0" w:line="57" w:lineRule="exact"/>
        <w:rPr>
          <w:rFonts w:ascii="Times New Roman" w:cs="Times New Roman" w:eastAsia="Times New Roman" w:hAnsi="Times New Roman"/>
          <w:sz w:val="18"/>
          <w:szCs w:val="18"/>
          <w:color w:val="auto"/>
        </w:rPr>
      </w:pPr>
    </w:p>
    <w:p>
      <w:pPr>
        <w:ind w:left="460" w:right="20" w:firstLine="443"/>
        <w:spacing w:after="0" w:line="256" w:lineRule="auto"/>
        <w:tabs>
          <w:tab w:leader="none" w:pos="1205" w:val="left"/>
        </w:tabs>
        <w:numPr>
          <w:ilvl w:val="1"/>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Series 2009-3 Percentage of the greater of (x) the excess, if any, of the aggregate Net Book Value of all Vehicles manufactured by Isuzu or Subaru, individually, and leased under the Leases as of the immediately preceding Business Day over the Series 2009-3 Maximum Individual Isuzu/Subaru Amount as of the immediately preceding Business Day and (y) the excess, if any, of (A) the Net Book Value of all Vehicles manufactured by Isuzu or Subaru, individually, and leased under the AESOP I Operating Lease as of the immediately preceding Business Day over (B) 5% of the Net Book Value of all Vehicles leased under the AESOP I Operating Lease as of the immediately preceding Business Day;</w:t>
      </w:r>
    </w:p>
    <w:p>
      <w:pPr>
        <w:spacing w:after="0" w:line="57" w:lineRule="exact"/>
        <w:rPr>
          <w:rFonts w:ascii="Times New Roman" w:cs="Times New Roman" w:eastAsia="Times New Roman" w:hAnsi="Times New Roman"/>
          <w:sz w:val="18"/>
          <w:szCs w:val="18"/>
          <w:color w:val="auto"/>
        </w:rPr>
      </w:pPr>
    </w:p>
    <w:p>
      <w:pPr>
        <w:ind w:left="460" w:right="200" w:firstLine="443"/>
        <w:spacing w:after="0" w:line="262" w:lineRule="auto"/>
        <w:tabs>
          <w:tab w:leader="none" w:pos="1196" w:val="left"/>
        </w:tabs>
        <w:numPr>
          <w:ilvl w:val="1"/>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Series 2009-3 Percentage of the greater of (x) the excess, if any, of the aggregate Net Book Value of all Vehicles manufactured by Hyundai and leased under the Leases as of the immediately preceding Business Day over the Series 2009-3 Maximum Hyundai Amount as of the immediately preceding Business Day and</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400"/>
          </w:cols>
          <w:pgMar w:left="240" w:top="274" w:right="259" w:bottom="1440" w:gutter="0" w:footer="0" w:header="0"/>
        </w:sectPr>
      </w:pPr>
    </w:p>
    <w:bookmarkStart w:id="190" w:name="page191"/>
    <w:bookmarkEnd w:id="190"/>
    <w:p>
      <w:pPr>
        <w:ind w:left="460" w:firstLine="4"/>
        <w:spacing w:after="0" w:line="262" w:lineRule="auto"/>
        <w:tabs>
          <w:tab w:leader="none" w:pos="709"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excess, if any, of (A) the Net Book Value of all Vehicles manufactured by Hyundai and leased under the AESOP I Operating Lease as of the immediately preceding Business Day over (B) 20% of the Net Book Value of all Vehicles leased under the AESOP I Operating Lease as of the immediately preceding Business Day;</w:t>
      </w:r>
    </w:p>
    <w:p>
      <w:pPr>
        <w:spacing w:after="0" w:line="51" w:lineRule="exact"/>
        <w:rPr>
          <w:rFonts w:ascii="Times New Roman" w:cs="Times New Roman" w:eastAsia="Times New Roman" w:hAnsi="Times New Roman"/>
          <w:sz w:val="18"/>
          <w:szCs w:val="18"/>
          <w:color w:val="auto"/>
        </w:rPr>
      </w:pPr>
    </w:p>
    <w:p>
      <w:pPr>
        <w:ind w:left="460" w:right="40" w:firstLine="443"/>
        <w:spacing w:after="0" w:line="256" w:lineRule="auto"/>
        <w:tabs>
          <w:tab w:leader="none" w:pos="1147"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Series 2009-3 Percentage of the greater of (x) the excess, if any, of the aggregate Net Book Value of all Vehicles manufactured by Suzuki and leased under the Leases as of the immediately preceding Business Day over the Series 2009-3 Maximum Suzuki Amount as of the immediately preceding Business Day and (y) the excess, if any, of (A) the Net Book Value of all Vehicles manufactured by Suzuki and leased under the AESOP I Operating Lease as of the immediately preceding Business Day over (B) 7.5% of the Net Book Value of all Vehicles leased under the AESOP I Operating Lease as of the immediately preceding Business Day;</w:t>
      </w:r>
    </w:p>
    <w:p>
      <w:pPr>
        <w:spacing w:after="0" w:line="57" w:lineRule="exact"/>
        <w:rPr>
          <w:rFonts w:ascii="Times New Roman" w:cs="Times New Roman" w:eastAsia="Times New Roman" w:hAnsi="Times New Roman"/>
          <w:sz w:val="18"/>
          <w:szCs w:val="18"/>
          <w:color w:val="auto"/>
        </w:rPr>
      </w:pPr>
    </w:p>
    <w:p>
      <w:pPr>
        <w:ind w:left="460" w:right="100" w:firstLine="443"/>
        <w:spacing w:after="0" w:line="256" w:lineRule="auto"/>
        <w:tabs>
          <w:tab w:leader="none" w:pos="1196"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Series 2009-3 Percentage of the greater of (x) the excess, if any, of the aggregate Net Book Value of all Vehicles manufactured by Kia and leased under the Leases as of the immediately preceding Business Day over the Series 2009-3 Maximum Kia Amount as of the immediately preceding Business Day and (y) the excess, if any, of (A) the Net Book Value of all Vehicles manufactured by Kia and leased under the AESOP I Operating Lease as of the immediately preceding Business Day over (B) 10% of the Net Book Value of all Vehicles leased under the AESOP I Operating Lease as of the immediately preceding Business Day;</w:t>
      </w:r>
    </w:p>
    <w:p>
      <w:pPr>
        <w:spacing w:after="0" w:line="57" w:lineRule="exact"/>
        <w:rPr>
          <w:rFonts w:ascii="Times New Roman" w:cs="Times New Roman" w:eastAsia="Times New Roman" w:hAnsi="Times New Roman"/>
          <w:sz w:val="18"/>
          <w:szCs w:val="18"/>
          <w:color w:val="auto"/>
        </w:rPr>
      </w:pPr>
    </w:p>
    <w:p>
      <w:pPr>
        <w:ind w:left="460" w:right="160" w:firstLine="443"/>
        <w:spacing w:after="0" w:line="256" w:lineRule="auto"/>
        <w:tabs>
          <w:tab w:leader="none" w:pos="1244"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Series 2009-3 Percentage of the greater of (x) the excess, if any, of the Specified States Amount as of the immediately preceding Business Day over the Series 2009-3 Maximum Specified States Amount as of the immediately preceding Business Day and (y) the excess, if any, of (A) the Net Book Value of all Vehicles titled in the States of Ohio, Oklahoma and Nebraska and leased under the AESOP I Operating Lease as of the immediately preceding Business Day over (B) 7.5% of the Net Book Value of all Vehicles leased under the AESOP I Operating Lease as of the immediately preceding Business Day; and</w:t>
      </w:r>
    </w:p>
    <w:p>
      <w:pPr>
        <w:spacing w:after="0" w:line="57" w:lineRule="exact"/>
        <w:rPr>
          <w:rFonts w:ascii="Times New Roman" w:cs="Times New Roman" w:eastAsia="Times New Roman" w:hAnsi="Times New Roman"/>
          <w:sz w:val="18"/>
          <w:szCs w:val="18"/>
          <w:color w:val="auto"/>
        </w:rPr>
      </w:pPr>
    </w:p>
    <w:p>
      <w:pPr>
        <w:ind w:left="460" w:right="40" w:firstLine="443"/>
        <w:spacing w:after="0" w:line="256" w:lineRule="auto"/>
        <w:tabs>
          <w:tab w:leader="none" w:pos="1293"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Series 2009-3 Percentage of the greater of (x) the excess, if any, of the Non-Eligible Manufacturer Amount as of the immediately preceding Business Day over the Series 2009-3 Maximum Non-Eligible Manufacturer Amount as of the immediately preceding Business Day and (y) the excess, if any, of (A) the Net Book Value of all Vehicles manufactured by Manufacturers other than Eligible Non-Program Manufacturers and leased under the AESOP I Operating Lease as of the immediately preceding Business Day over (B) 3% of the Net Book Value of all Vehicles leased under the AESOP I Operating Lease as of the immediately preceding Business Day.</w:t>
      </w:r>
    </w:p>
    <w:p>
      <w:pPr>
        <w:spacing w:after="0" w:line="13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Series 2009-3 Initial Invested Amount</w:t>
      </w:r>
      <w:r>
        <w:rPr>
          <w:rFonts w:ascii="Times New Roman" w:cs="Times New Roman" w:eastAsia="Times New Roman" w:hAnsi="Times New Roman"/>
          <w:sz w:val="18"/>
          <w:szCs w:val="18"/>
          <w:color w:val="auto"/>
        </w:rPr>
        <w:t>” is defined in Section 2.3(a).</w:t>
      </w:r>
    </w:p>
    <w:p>
      <w:pPr>
        <w:spacing w:after="0" w:line="171" w:lineRule="exact"/>
        <w:rPr>
          <w:sz w:val="20"/>
          <w:szCs w:val="20"/>
          <w:color w:val="auto"/>
        </w:rPr>
      </w:pPr>
    </w:p>
    <w:p>
      <w:pPr>
        <w:ind w:right="20" w:firstLine="913"/>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Series 2009-3 Interest Period</w:t>
      </w:r>
      <w:r>
        <w:rPr>
          <w:rFonts w:ascii="Times New Roman" w:cs="Times New Roman" w:eastAsia="Times New Roman" w:hAnsi="Times New Roman"/>
          <w:sz w:val="18"/>
          <w:szCs w:val="18"/>
          <w:color w:val="auto"/>
        </w:rPr>
        <w:t xml:space="preserve">” means a period commencing on and including a Distribution Date and ending on and including the day preceding the next succeeding Distribution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initial Series 2009-3 Interest Period shall commence on and include the Series 2009-3 Closing Date and end on and include November 19, 2009.</w:t>
      </w:r>
    </w:p>
    <w:p>
      <w:pPr>
        <w:spacing w:after="0" w:line="1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400"/>
          </w:cols>
          <w:pgMar w:left="240" w:top="274" w:right="259" w:bottom="1440" w:gutter="0" w:footer="0" w:header="0"/>
        </w:sectPr>
      </w:pPr>
    </w:p>
    <w:bookmarkStart w:id="191" w:name="page192"/>
    <w:bookmarkEnd w:id="191"/>
    <w:p>
      <w:pPr>
        <w:ind w:left="9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Series 2009-3 Interest Rate Cap</w:t>
      </w:r>
      <w:r>
        <w:rPr>
          <w:rFonts w:ascii="Times New Roman" w:cs="Times New Roman" w:eastAsia="Times New Roman" w:hAnsi="Times New Roman"/>
          <w:sz w:val="18"/>
          <w:szCs w:val="18"/>
          <w:color w:val="auto"/>
        </w:rPr>
        <w:t>” has the meaning specified in Section 3.11(a).</w:t>
      </w:r>
    </w:p>
    <w:p>
      <w:pPr>
        <w:spacing w:after="0" w:line="17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Series 2009-3 Interest Rate Cap Collateral</w:t>
      </w:r>
      <w:r>
        <w:rPr>
          <w:rFonts w:ascii="Times New Roman" w:cs="Times New Roman" w:eastAsia="Times New Roman" w:hAnsi="Times New Roman"/>
          <w:sz w:val="18"/>
          <w:szCs w:val="18"/>
          <w:color w:val="auto"/>
        </w:rPr>
        <w:t>” has the meaning specified in Section 3.11(c).</w:t>
      </w:r>
    </w:p>
    <w:p>
      <w:pPr>
        <w:spacing w:after="0" w:line="171" w:lineRule="exact"/>
        <w:rPr>
          <w:sz w:val="20"/>
          <w:szCs w:val="20"/>
          <w:color w:val="auto"/>
        </w:rPr>
      </w:pPr>
    </w:p>
    <w:p>
      <w:pPr>
        <w:ind w:right="40" w:firstLine="913"/>
        <w:spacing w:after="0" w:line="27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Series 2009-3 Interest Rate Cap Proceeds</w:t>
      </w:r>
      <w:r>
        <w:rPr>
          <w:rFonts w:ascii="Times New Roman" w:cs="Times New Roman" w:eastAsia="Times New Roman" w:hAnsi="Times New Roman"/>
          <w:sz w:val="18"/>
          <w:szCs w:val="18"/>
          <w:color w:val="auto"/>
        </w:rPr>
        <w:t>” means the amounts received by the Trustee from an Interest Rate Cap Counterparty from time to time in respect of a Series 2009-3 Interest Rate Cap (including amounts received from a guarantor or from collateral).</w:t>
      </w:r>
    </w:p>
    <w:p>
      <w:pPr>
        <w:spacing w:after="0" w:line="120" w:lineRule="exact"/>
        <w:rPr>
          <w:sz w:val="20"/>
          <w:szCs w:val="20"/>
          <w:color w:val="auto"/>
        </w:rPr>
      </w:pPr>
    </w:p>
    <w:p>
      <w:pPr>
        <w:ind w:right="200" w:firstLine="913"/>
        <w:spacing w:after="0" w:line="27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Series 2009-3 Invested Amount</w:t>
      </w:r>
      <w:r>
        <w:rPr>
          <w:rFonts w:ascii="Times New Roman" w:cs="Times New Roman" w:eastAsia="Times New Roman" w:hAnsi="Times New Roman"/>
          <w:sz w:val="18"/>
          <w:szCs w:val="18"/>
          <w:color w:val="auto"/>
        </w:rPr>
        <w:t>” means, on any date of determination, the sum of the Purchaser Group Invested Amounts with respect to each of the Purchaser Groups on such date.</w:t>
      </w:r>
    </w:p>
    <w:p>
      <w:pPr>
        <w:spacing w:after="0" w:line="1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Series 2009-3 Invested Percentage</w:t>
      </w:r>
      <w:r>
        <w:rPr>
          <w:rFonts w:ascii="Times New Roman" w:cs="Times New Roman" w:eastAsia="Times New Roman" w:hAnsi="Times New Roman"/>
          <w:sz w:val="18"/>
          <w:szCs w:val="18"/>
          <w:color w:val="auto"/>
        </w:rPr>
        <w:t>” means as of any date of determination:</w:t>
      </w:r>
    </w:p>
    <w:p>
      <w:pPr>
        <w:spacing w:after="0" w:line="90" w:lineRule="exact"/>
        <w:rPr>
          <w:sz w:val="20"/>
          <w:szCs w:val="20"/>
          <w:color w:val="auto"/>
        </w:rPr>
      </w:pPr>
    </w:p>
    <w:p>
      <w:pPr>
        <w:ind w:left="460" w:right="100" w:firstLine="443"/>
        <w:spacing w:after="0" w:line="291" w:lineRule="auto"/>
        <w:tabs>
          <w:tab w:leader="none" w:pos="1137" w:val="left"/>
        </w:tabs>
        <w:numPr>
          <w:ilvl w:val="0"/>
          <w:numId w:val="1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when used with respect to Principal Collections, the percentage equivalent (which percentage shall never exceed 100%) of a fraction the numerator of which shall be equal to the sum of the Series 2009-3 Invested Amount and the Series 2009-3 Overcollateralization Amount, determined during the Series 2009-3 Revolving Period as of the end of the immediately preceding Business Day, or, during the Series 2009-3 Amortization Period, as of the end of the Series 2009-3 Revolving Period, and the denominator of which shall be the greater as of the end of the immediately preceding Business Day of (I) the Aggregate Asset Amount and (II) the sum of the numerators used to determine (i) invested percentages for allocations with respect to Principal Collections (for all Series of Notes and all classes of such Series of Notes) and (ii) overcollateralization amounts for allocations with respect to Principal Collections (for all Series of Notes that provide for credit enhancement in the form of overcollateralization); and</w:t>
      </w:r>
    </w:p>
    <w:p>
      <w:pPr>
        <w:spacing w:after="0" w:line="32" w:lineRule="exact"/>
        <w:rPr>
          <w:rFonts w:ascii="Times New Roman" w:cs="Times New Roman" w:eastAsia="Times New Roman" w:hAnsi="Times New Roman"/>
          <w:sz w:val="16"/>
          <w:szCs w:val="16"/>
          <w:color w:val="auto"/>
        </w:rPr>
      </w:pPr>
    </w:p>
    <w:p>
      <w:pPr>
        <w:ind w:left="460" w:firstLine="443"/>
        <w:spacing w:after="0" w:line="262" w:lineRule="auto"/>
        <w:tabs>
          <w:tab w:leader="none" w:pos="1147"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used with respect to Interest Collections, the percentage equivalent (which percentage shall never exceed 100%) of a fraction the numerator of which shall be the Accrued Amounts with respect to the Series 2009-3 Notes on such date of determination, and the denominator of which shall be the aggregate Accrued Amounts with respect to all Series of Notes on such date of determination.</w:t>
      </w:r>
    </w:p>
    <w:p>
      <w:pPr>
        <w:spacing w:after="0" w:line="132" w:lineRule="exact"/>
        <w:rPr>
          <w:sz w:val="20"/>
          <w:szCs w:val="20"/>
          <w:color w:val="auto"/>
        </w:rPr>
      </w:pPr>
    </w:p>
    <w:p>
      <w:pPr>
        <w:ind w:firstLine="913"/>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Series 2009-3 Lease Interest Payment Deficit</w:t>
      </w:r>
      <w:r>
        <w:rPr>
          <w:rFonts w:ascii="Times New Roman" w:cs="Times New Roman" w:eastAsia="Times New Roman" w:hAnsi="Times New Roman"/>
          <w:sz w:val="18"/>
          <w:szCs w:val="18"/>
          <w:color w:val="auto"/>
        </w:rPr>
        <w:t>” means on any Distribution Date an amount equal to the excess, if any, of (a) the aggregate amount of Interest Collections which pursuant to Section 3.2(a), (b) or (c) would have been allocated to the Series 2009-3 Accrued Interest Account if all payments of Monthly Base Rent required to have been made under the Leases from and excluding the preceding Distribution Date to and including such Distribution Date were made in full over (b) the aggregate amount of Interest Collections which pursuant to Section 3.2(a), (b) or (c) have been allocated to the Series 2009-3 Accrued Interest Account (excluding any amounts paid into the Series 2009-3 Accrued Interest Account pursuant to the proviso in Sections 3.2(b)(ii) and 3.2(c) (ii)) from and excluding the preceding Distribution Date to and including such Distribution Date.</w:t>
      </w:r>
    </w:p>
    <w:p>
      <w:pPr>
        <w:spacing w:after="0" w:line="13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Series 2009-3 Lease Payment Deficit</w:t>
      </w:r>
      <w:r>
        <w:rPr>
          <w:rFonts w:ascii="Times New Roman" w:cs="Times New Roman" w:eastAsia="Times New Roman" w:hAnsi="Times New Roman"/>
          <w:sz w:val="18"/>
          <w:szCs w:val="18"/>
          <w:color w:val="auto"/>
        </w:rPr>
        <w:t>” means either a Series 2009-3 Lease Interest Payment Deficit or a Series 2009-3 Lease Principal Payment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Deficit.</w:t>
      </w:r>
    </w:p>
    <w:p>
      <w:pPr>
        <w:spacing w:after="0" w:line="14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380"/>
          </w:cols>
          <w:pgMar w:left="240" w:top="274" w:right="279" w:bottom="1440" w:gutter="0" w:footer="0" w:header="0"/>
        </w:sectPr>
      </w:pPr>
    </w:p>
    <w:bookmarkStart w:id="192" w:name="page193"/>
    <w:bookmarkEnd w:id="192"/>
    <w:p>
      <w:pPr>
        <w:jc w:val="both"/>
        <w:ind w:right="100" w:firstLine="913"/>
        <w:spacing w:after="0" w:line="26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Series 2009-3 Lease Principal Payment Carryover Deficit</w:t>
      </w:r>
      <w:r>
        <w:rPr>
          <w:rFonts w:ascii="Times New Roman" w:cs="Times New Roman" w:eastAsia="Times New Roman" w:hAnsi="Times New Roman"/>
          <w:sz w:val="18"/>
          <w:szCs w:val="18"/>
          <w:color w:val="auto"/>
        </w:rPr>
        <w:t xml:space="preserve">” means (a) for the initial Distribution Date, zero and (b) for any other Distribution Date, the excess of (x) the Series 2009-3 Lease Principal Payment Deficit, if any, on the preceding Distribution Date </w:t>
      </w:r>
      <w:r>
        <w:rPr>
          <w:rFonts w:ascii="Times New Roman" w:cs="Times New Roman" w:eastAsia="Times New Roman" w:hAnsi="Times New Roman"/>
          <w:sz w:val="18"/>
          <w:szCs w:val="18"/>
          <w:u w:val="single" w:color="auto"/>
          <w:color w:val="auto"/>
        </w:rPr>
        <w:t>over</w:t>
      </w:r>
      <w:r>
        <w:rPr>
          <w:rFonts w:ascii="Times New Roman" w:cs="Times New Roman" w:eastAsia="Times New Roman" w:hAnsi="Times New Roman"/>
          <w:sz w:val="18"/>
          <w:szCs w:val="18"/>
          <w:color w:val="auto"/>
        </w:rPr>
        <w:t xml:space="preserve"> (y) the amount deposited in the Distribution Account on such preceding Distribution Date pursuant to Section 3.5(c) on account of such Series 2009-3 Lease Principal Payment Deficit.</w:t>
      </w:r>
    </w:p>
    <w:p>
      <w:pPr>
        <w:spacing w:after="0" w:line="132" w:lineRule="exact"/>
        <w:rPr>
          <w:sz w:val="20"/>
          <w:szCs w:val="20"/>
          <w:color w:val="auto"/>
        </w:rPr>
      </w:pPr>
    </w:p>
    <w:p>
      <w:pPr>
        <w:ind w:firstLine="913"/>
        <w:spacing w:after="0" w:line="27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Series 2009-3 Lease Principal Payment Deficit</w:t>
      </w:r>
      <w:r>
        <w:rPr>
          <w:rFonts w:ascii="Times New Roman" w:cs="Times New Roman" w:eastAsia="Times New Roman" w:hAnsi="Times New Roman"/>
          <w:sz w:val="18"/>
          <w:szCs w:val="18"/>
          <w:color w:val="auto"/>
        </w:rPr>
        <w:t>” means on any Distribution Date the sum of (a) the Series 2009-3 Monthly Lease Principal Payment Deficit for such Distribution Date and (b) the Series 2009-3 Lease Principal Payment Carryover Deficit for such Distribution Date.</w:t>
      </w:r>
    </w:p>
    <w:p>
      <w:pPr>
        <w:spacing w:after="0" w:line="120" w:lineRule="exact"/>
        <w:rPr>
          <w:sz w:val="20"/>
          <w:szCs w:val="20"/>
          <w:color w:val="auto"/>
        </w:rPr>
      </w:pPr>
    </w:p>
    <w:p>
      <w:pPr>
        <w:ind w:firstLine="913"/>
        <w:spacing w:after="0" w:line="27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Series 2009-3 Letter of Credit</w:t>
      </w:r>
      <w:r>
        <w:rPr>
          <w:rFonts w:ascii="Times New Roman" w:cs="Times New Roman" w:eastAsia="Times New Roman" w:hAnsi="Times New Roman"/>
          <w:sz w:val="18"/>
          <w:szCs w:val="18"/>
          <w:color w:val="auto"/>
        </w:rPr>
        <w:t xml:space="preserve">” means an irrevocable letter of credit, if any, substantially in the form of </w:t>
      </w:r>
      <w:r>
        <w:rPr>
          <w:rFonts w:ascii="Times New Roman" w:cs="Times New Roman" w:eastAsia="Times New Roman" w:hAnsi="Times New Roman"/>
          <w:sz w:val="18"/>
          <w:szCs w:val="18"/>
          <w:u w:val="single" w:color="auto"/>
          <w:color w:val="auto"/>
        </w:rPr>
        <w:t>Exhibit E</w:t>
      </w:r>
      <w:r>
        <w:rPr>
          <w:rFonts w:ascii="Times New Roman" w:cs="Times New Roman" w:eastAsia="Times New Roman" w:hAnsi="Times New Roman"/>
          <w:sz w:val="18"/>
          <w:szCs w:val="18"/>
          <w:color w:val="auto"/>
        </w:rPr>
        <w:t xml:space="preserve"> issued by a Series 2009-3 Eligible Letter of Credit Provider in favor of the Trustee for the benefit of the Series 2009-3 Noteholders.</w:t>
      </w:r>
    </w:p>
    <w:p>
      <w:pPr>
        <w:spacing w:after="0" w:line="120" w:lineRule="exact"/>
        <w:rPr>
          <w:sz w:val="20"/>
          <w:szCs w:val="20"/>
          <w:color w:val="auto"/>
        </w:rPr>
      </w:pPr>
    </w:p>
    <w:p>
      <w:pPr>
        <w:ind w:right="20" w:firstLine="913"/>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Series 2009-3 Letter of Credit Amount</w:t>
      </w:r>
      <w:r>
        <w:rPr>
          <w:rFonts w:ascii="Times New Roman" w:cs="Times New Roman" w:eastAsia="Times New Roman" w:hAnsi="Times New Roman"/>
          <w:sz w:val="18"/>
          <w:szCs w:val="18"/>
          <w:color w:val="auto"/>
        </w:rPr>
        <w:t>” means, as of any date of determination, the lesser of (a) the sum of (i) the aggregate amount available to be drawn on such date under each Series 2009-3 Letter of Credit on which no draw has been made pursuant to Section 3.8(c), as specified therein, and (ii) if the Series 2009-3 Cash Collateral Account has been established and funded pursuant to Section 3.8, the Series 2009-3 Available Cash Collateral Account Amount on such date and (b) the aggregate outstanding principal amount of the Series 2009-3 Demand Notes on such date.</w:t>
      </w:r>
    </w:p>
    <w:p>
      <w:pPr>
        <w:spacing w:after="0" w:line="136" w:lineRule="exact"/>
        <w:rPr>
          <w:sz w:val="20"/>
          <w:szCs w:val="20"/>
          <w:color w:val="auto"/>
        </w:rPr>
      </w:pPr>
    </w:p>
    <w:p>
      <w:pPr>
        <w:ind w:right="420" w:firstLine="913"/>
        <w:spacing w:after="0" w:line="27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Series 2009-3 Letter of Credit Expiration Date</w:t>
      </w:r>
      <w:r>
        <w:rPr>
          <w:rFonts w:ascii="Times New Roman" w:cs="Times New Roman" w:eastAsia="Times New Roman" w:hAnsi="Times New Roman"/>
          <w:sz w:val="18"/>
          <w:szCs w:val="18"/>
          <w:color w:val="auto"/>
        </w:rPr>
        <w:t>” means, with respect to any Series 2009-3 Letter of Credit, the expiration date set forth in such Series 2009-3 Letter of Credit, as such date may be extended in accordance with the terms of such Series 2009-3 Letter of Credit.</w:t>
      </w:r>
    </w:p>
    <w:p>
      <w:pPr>
        <w:spacing w:after="0" w:line="120" w:lineRule="exact"/>
        <w:rPr>
          <w:sz w:val="20"/>
          <w:szCs w:val="20"/>
          <w:color w:val="auto"/>
        </w:rPr>
      </w:pPr>
    </w:p>
    <w:p>
      <w:pPr>
        <w:ind w:right="20" w:firstLine="913"/>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Series 2009-3 Letter of Credit Liquidity Amount</w:t>
      </w:r>
      <w:r>
        <w:rPr>
          <w:rFonts w:ascii="Times New Roman" w:cs="Times New Roman" w:eastAsia="Times New Roman" w:hAnsi="Times New Roman"/>
          <w:sz w:val="18"/>
          <w:szCs w:val="18"/>
          <w:color w:val="auto"/>
        </w:rPr>
        <w:t>” means, as of any date of determination, the sum of (a) the aggregate amount available to be drawn on such date under each Series 2009-3 Letter of Credit on which no draw has been made pursuant to Section 3.8(c), as specified therein, and (b) if the Series 2009-3 Cash Collateral Account has been established and funded pursuant to Section 3.8, the Series 2009-3 Available Cash Collateral Account Amount on such date.</w:t>
      </w:r>
    </w:p>
    <w:p>
      <w:pPr>
        <w:spacing w:after="0" w:line="13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Series 2009-3 Letter of Credit Provider</w:t>
      </w:r>
      <w:r>
        <w:rPr>
          <w:rFonts w:ascii="Times New Roman" w:cs="Times New Roman" w:eastAsia="Times New Roman" w:hAnsi="Times New Roman"/>
          <w:sz w:val="18"/>
          <w:szCs w:val="18"/>
          <w:color w:val="auto"/>
        </w:rPr>
        <w:t>” means the issuer of a Series 2009-3 Letter of Credit.</w:t>
      </w:r>
    </w:p>
    <w:p>
      <w:pPr>
        <w:spacing w:after="0" w:line="171" w:lineRule="exact"/>
        <w:rPr>
          <w:sz w:val="20"/>
          <w:szCs w:val="20"/>
          <w:color w:val="auto"/>
        </w:rPr>
      </w:pPr>
    </w:p>
    <w:p>
      <w:pPr>
        <w:ind w:firstLine="913"/>
        <w:spacing w:after="0" w:line="27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Series 2009-3 Letter of Credit Termination Date</w:t>
      </w:r>
      <w:r>
        <w:rPr>
          <w:rFonts w:ascii="Times New Roman" w:cs="Times New Roman" w:eastAsia="Times New Roman" w:hAnsi="Times New Roman"/>
          <w:sz w:val="18"/>
          <w:szCs w:val="18"/>
          <w:color w:val="auto"/>
        </w:rPr>
        <w:t>” means the first to occur of (a) the date on which the Series 2009-3 Notes are fully paid and (b) the Series 2009-3 Termination Date.</w:t>
      </w:r>
    </w:p>
    <w:p>
      <w:pPr>
        <w:spacing w:after="0" w:line="120" w:lineRule="exact"/>
        <w:rPr>
          <w:sz w:val="20"/>
          <w:szCs w:val="20"/>
          <w:color w:val="auto"/>
        </w:rPr>
      </w:pPr>
    </w:p>
    <w:p>
      <w:pPr>
        <w:ind w:right="80" w:firstLine="913"/>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Series 2009-3 Limited Liquidation Event of Default</w:t>
      </w:r>
      <w:r>
        <w:rPr>
          <w:rFonts w:ascii="Times New Roman" w:cs="Times New Roman" w:eastAsia="Times New Roman" w:hAnsi="Times New Roman"/>
          <w:sz w:val="18"/>
          <w:szCs w:val="18"/>
          <w:color w:val="auto"/>
        </w:rPr>
        <w:t xml:space="preserve">” means, so long as such event or condition continues, any event or condition of the type specified in clauses (a) through (i) of Article IV;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any event or condition of the type specified in clauses (a) through (i) of Article IV shall not constitute a Series 2009-3 Limited Liquidation Event of Default if the Trustee shall have received the written consent of each of the Series 2009-3 Noteholders waiving the occurrence of such Series 2009-3 Limited Liquidation Event of Default.</w:t>
      </w:r>
    </w:p>
    <w:p>
      <w:pPr>
        <w:spacing w:after="0" w:line="1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380"/>
          </w:cols>
          <w:pgMar w:left="240" w:top="274" w:right="279" w:bottom="1440" w:gutter="0" w:footer="0" w:header="0"/>
        </w:sectPr>
      </w:pPr>
    </w:p>
    <w:bookmarkStart w:id="193" w:name="page194"/>
    <w:bookmarkEnd w:id="193"/>
    <w:p>
      <w:pPr>
        <w:jc w:val="both"/>
        <w:ind w:right="260" w:firstLine="913"/>
        <w:spacing w:after="0" w:line="27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Series 2009-3 Liquidity Amount</w:t>
      </w:r>
      <w:r>
        <w:rPr>
          <w:rFonts w:ascii="Times New Roman" w:cs="Times New Roman" w:eastAsia="Times New Roman" w:hAnsi="Times New Roman"/>
          <w:sz w:val="18"/>
          <w:szCs w:val="18"/>
          <w:color w:val="auto"/>
        </w:rPr>
        <w:t>” means, as of any date of determination, the sum of (a) the Series 2009-3 Letter of Credit Liquidity Amount on such date and (b) the Series 2009-3 Available Reserve Account Amount on such date.</w:t>
      </w:r>
    </w:p>
    <w:p>
      <w:pPr>
        <w:spacing w:after="0" w:line="120" w:lineRule="exact"/>
        <w:rPr>
          <w:sz w:val="20"/>
          <w:szCs w:val="20"/>
          <w:color w:val="auto"/>
        </w:rPr>
      </w:pPr>
    </w:p>
    <w:p>
      <w:pPr>
        <w:ind w:right="200" w:firstLine="913"/>
        <w:spacing w:after="0" w:line="27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Series 2009-3 Maximum Amount</w:t>
      </w:r>
      <w:r>
        <w:rPr>
          <w:rFonts w:ascii="Times New Roman" w:cs="Times New Roman" w:eastAsia="Times New Roman" w:hAnsi="Times New Roman"/>
          <w:sz w:val="18"/>
          <w:szCs w:val="18"/>
          <w:color w:val="auto"/>
        </w:rPr>
        <w:t>” means any of the Series 2009-3 Maximum Manufacturer Amounts, the Series 2009-3 Maximum Non-Eligible Manufacturer Amount, the Series 2009-3 Maximum Non-Program Vehicle Amount or the Series 2009-3 Maximum Specified States Amount.</w:t>
      </w:r>
    </w:p>
    <w:p>
      <w:pPr>
        <w:spacing w:after="0" w:line="120" w:lineRule="exact"/>
        <w:rPr>
          <w:sz w:val="20"/>
          <w:szCs w:val="20"/>
          <w:color w:val="auto"/>
        </w:rPr>
      </w:pPr>
    </w:p>
    <w:p>
      <w:pPr>
        <w:ind w:right="160" w:firstLine="913"/>
        <w:spacing w:after="0" w:line="27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Series 2009-3 Maximum Hyundai Amount</w:t>
      </w:r>
      <w:r>
        <w:rPr>
          <w:rFonts w:ascii="Times New Roman" w:cs="Times New Roman" w:eastAsia="Times New Roman" w:hAnsi="Times New Roman"/>
          <w:sz w:val="18"/>
          <w:szCs w:val="18"/>
          <w:color w:val="auto"/>
        </w:rPr>
        <w:t>” means, as of any day, an amount equal to 20% of the aggregate Net Book Value of all Vehicles leased under the Leases on such day.</w:t>
      </w:r>
    </w:p>
    <w:p>
      <w:pPr>
        <w:spacing w:after="0" w:line="120" w:lineRule="exact"/>
        <w:rPr>
          <w:sz w:val="20"/>
          <w:szCs w:val="20"/>
          <w:color w:val="auto"/>
        </w:rPr>
      </w:pPr>
    </w:p>
    <w:p>
      <w:pPr>
        <w:ind w:right="140" w:firstLine="913"/>
        <w:spacing w:after="0" w:line="27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Series 2009-3 Maximum Individual Isuzu/Subaru Amount</w:t>
      </w:r>
      <w:r>
        <w:rPr>
          <w:rFonts w:ascii="Times New Roman" w:cs="Times New Roman" w:eastAsia="Times New Roman" w:hAnsi="Times New Roman"/>
          <w:sz w:val="18"/>
          <w:szCs w:val="18"/>
          <w:color w:val="auto"/>
        </w:rPr>
        <w:t>” means, as of any day, with respect to Isuzu or Subaru individually, an amount equal to 5% of the aggregate Net Book Value of all Vehicles leased under the Leases on such day.</w:t>
      </w:r>
    </w:p>
    <w:p>
      <w:pPr>
        <w:spacing w:after="0" w:line="120" w:lineRule="exact"/>
        <w:rPr>
          <w:sz w:val="20"/>
          <w:szCs w:val="20"/>
          <w:color w:val="auto"/>
        </w:rPr>
      </w:pPr>
    </w:p>
    <w:p>
      <w:pPr>
        <w:jc w:val="both"/>
        <w:ind w:right="260" w:firstLine="913"/>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Series 2009-3 Maximum Invested Amount</w:t>
      </w:r>
      <w:r>
        <w:rPr>
          <w:rFonts w:ascii="Times New Roman" w:cs="Times New Roman" w:eastAsia="Times New Roman" w:hAnsi="Times New Roman"/>
          <w:sz w:val="18"/>
          <w:szCs w:val="18"/>
          <w:color w:val="auto"/>
        </w:rPr>
        <w:t>” means, on any date of determination, the sum of the Maximum Purchaser Group Invested Amounts with respect to each of the Purchaser Groups on such date. The Series 2009-3 Maximum Invested Amount shall be reduced by the Maximum Purchaser Group Invested Amount of each Non-Extending Purchaser Group on the Scheduled Expiry Date with respect to such Purchaser Group.</w:t>
      </w:r>
    </w:p>
    <w:p>
      <w:pPr>
        <w:spacing w:after="0" w:line="132" w:lineRule="exact"/>
        <w:rPr>
          <w:sz w:val="20"/>
          <w:szCs w:val="20"/>
          <w:color w:val="auto"/>
        </w:rPr>
      </w:pPr>
    </w:p>
    <w:p>
      <w:pPr>
        <w:ind w:right="60" w:firstLine="913"/>
        <w:spacing w:after="0" w:line="27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Series 2009-3 Maximum Kia Amount</w:t>
      </w:r>
      <w:r>
        <w:rPr>
          <w:rFonts w:ascii="Times New Roman" w:cs="Times New Roman" w:eastAsia="Times New Roman" w:hAnsi="Times New Roman"/>
          <w:sz w:val="18"/>
          <w:szCs w:val="18"/>
          <w:color w:val="auto"/>
        </w:rPr>
        <w:t>” means, as of any day, an amount equal to 10% of the aggregate Net Book Value of all Vehicles leased under the Leases on such day.</w:t>
      </w:r>
    </w:p>
    <w:p>
      <w:pPr>
        <w:spacing w:after="0" w:line="120" w:lineRule="exact"/>
        <w:rPr>
          <w:sz w:val="20"/>
          <w:szCs w:val="20"/>
          <w:color w:val="auto"/>
        </w:rPr>
      </w:pPr>
    </w:p>
    <w:p>
      <w:pPr>
        <w:ind w:right="140" w:firstLine="913"/>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Series 2009-3 Maximum Manufacturer Amount</w:t>
      </w:r>
      <w:r>
        <w:rPr>
          <w:rFonts w:ascii="Times New Roman" w:cs="Times New Roman" w:eastAsia="Times New Roman" w:hAnsi="Times New Roman"/>
          <w:sz w:val="18"/>
          <w:szCs w:val="18"/>
          <w:color w:val="auto"/>
        </w:rPr>
        <w:t>” means, as of any day, any of the Series 2009-3 Maximum Mitsubishi Amount, the Series 2009-3 Maximum Individual Isuzu/Subaru Amount, the Series 2009-3 Maximum Hyundai Amount, the Series 2009-3 Maximum Kia Amount or the Series 2009-3 Maximum Suzuki Amount.</w:t>
      </w:r>
    </w:p>
    <w:p>
      <w:pPr>
        <w:spacing w:after="0" w:line="132" w:lineRule="exact"/>
        <w:rPr>
          <w:sz w:val="20"/>
          <w:szCs w:val="20"/>
          <w:color w:val="auto"/>
        </w:rPr>
      </w:pPr>
    </w:p>
    <w:p>
      <w:pPr>
        <w:ind w:firstLine="913"/>
        <w:spacing w:after="0" w:line="27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Series 2009-3 Maximum Mitsubishi Amount</w:t>
      </w:r>
      <w:r>
        <w:rPr>
          <w:rFonts w:ascii="Times New Roman" w:cs="Times New Roman" w:eastAsia="Times New Roman" w:hAnsi="Times New Roman"/>
          <w:sz w:val="18"/>
          <w:szCs w:val="18"/>
          <w:color w:val="auto"/>
        </w:rPr>
        <w:t>” means, as of any day, an amount equal to 10% of the aggregate Net Book Value of all Vehicles leased under the Leases on such day.</w:t>
      </w:r>
    </w:p>
    <w:p>
      <w:pPr>
        <w:spacing w:after="0" w:line="120" w:lineRule="exact"/>
        <w:rPr>
          <w:sz w:val="20"/>
          <w:szCs w:val="20"/>
          <w:color w:val="auto"/>
        </w:rPr>
      </w:pPr>
    </w:p>
    <w:p>
      <w:pPr>
        <w:ind w:right="40" w:firstLine="913"/>
        <w:spacing w:after="0" w:line="27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Series 2009-3 Maximum Non-Eligible Manufacturer Amount</w:t>
      </w:r>
      <w:r>
        <w:rPr>
          <w:rFonts w:ascii="Times New Roman" w:cs="Times New Roman" w:eastAsia="Times New Roman" w:hAnsi="Times New Roman"/>
          <w:sz w:val="18"/>
          <w:szCs w:val="18"/>
          <w:color w:val="auto"/>
        </w:rPr>
        <w:t>” means, as of any day, an amount equal to 3% of the aggregate Net Book Value of all Vehicles leased under the Leases on such day.</w:t>
      </w:r>
    </w:p>
    <w:p>
      <w:pPr>
        <w:spacing w:after="0" w:line="120" w:lineRule="exact"/>
        <w:rPr>
          <w:sz w:val="20"/>
          <w:szCs w:val="20"/>
          <w:color w:val="auto"/>
        </w:rPr>
      </w:pPr>
    </w:p>
    <w:p>
      <w:pPr>
        <w:ind w:right="400" w:firstLine="913"/>
        <w:spacing w:after="0" w:line="27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Series 2009-3 Maximum Non-Program Vehicle Amount</w:t>
      </w:r>
      <w:r>
        <w:rPr>
          <w:rFonts w:ascii="Times New Roman" w:cs="Times New Roman" w:eastAsia="Times New Roman" w:hAnsi="Times New Roman"/>
          <w:sz w:val="18"/>
          <w:szCs w:val="18"/>
          <w:color w:val="auto"/>
        </w:rPr>
        <w:t>” means, as of any day, an amount equal to the Series 2009-3 Maximum Non-Program Vehicle Percentage of the aggregate Net Book Value of all Vehicles leased under the Leases on such day.</w:t>
      </w:r>
    </w:p>
    <w:p>
      <w:pPr>
        <w:spacing w:after="0" w:line="120" w:lineRule="exact"/>
        <w:rPr>
          <w:sz w:val="20"/>
          <w:szCs w:val="20"/>
          <w:color w:val="auto"/>
        </w:rPr>
      </w:pPr>
    </w:p>
    <w:p>
      <w:pPr>
        <w:ind w:right="140" w:firstLine="913"/>
        <w:spacing w:after="0" w:line="310"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Series 2009-3 Maximum Non-Program Vehicle Percentage</w:t>
      </w:r>
      <w:r>
        <w:rPr>
          <w:rFonts w:ascii="Times New Roman" w:cs="Times New Roman" w:eastAsia="Times New Roman" w:hAnsi="Times New Roman"/>
          <w:sz w:val="16"/>
          <w:szCs w:val="16"/>
          <w:color w:val="auto"/>
        </w:rPr>
        <w:t>” means, as of any date of determination, the sum of (a) 85% and (b) a fraction, expressed as a percentage, the numerator of which is the aggregate Net Book Value of all Redesignated Vehicles manufactured by a Bankrupt Manufacturer or a Manufacturer with respect to which a Manufacturer Event of Default has occurred, and in each case leased under the AESOP I Operating Lease or the Finance</w:t>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400"/>
          </w:cols>
          <w:pgMar w:left="240" w:top="274" w:right="259" w:bottom="1440" w:gutter="0" w:footer="0" w:header="0"/>
        </w:sectPr>
      </w:pPr>
    </w:p>
    <w:bookmarkStart w:id="194" w:name="page195"/>
    <w:bookmarkEnd w:id="194"/>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Lease as of such date, and the denominator of which is the aggregate Net Book Value of all Vehicles leased under the Leases as of such date.</w:t>
      </w:r>
    </w:p>
    <w:p>
      <w:pPr>
        <w:spacing w:after="0" w:line="171" w:lineRule="exact"/>
        <w:rPr>
          <w:sz w:val="20"/>
          <w:szCs w:val="20"/>
          <w:color w:val="auto"/>
        </w:rPr>
      </w:pPr>
    </w:p>
    <w:p>
      <w:pPr>
        <w:ind w:right="60" w:firstLine="913"/>
        <w:spacing w:after="0" w:line="27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Series 2009-3 Maximum Specified States Amount</w:t>
      </w:r>
      <w:r>
        <w:rPr>
          <w:rFonts w:ascii="Times New Roman" w:cs="Times New Roman" w:eastAsia="Times New Roman" w:hAnsi="Times New Roman"/>
          <w:sz w:val="18"/>
          <w:szCs w:val="18"/>
          <w:color w:val="auto"/>
        </w:rPr>
        <w:t>” means, as of any day, an amount equal to 7.5% of the aggregate Net Book Value of all Vehicles leased under the Leases on such day.</w:t>
      </w:r>
    </w:p>
    <w:p>
      <w:pPr>
        <w:spacing w:after="0" w:line="120" w:lineRule="exact"/>
        <w:rPr>
          <w:sz w:val="20"/>
          <w:szCs w:val="20"/>
          <w:color w:val="auto"/>
        </w:rPr>
      </w:pPr>
    </w:p>
    <w:p>
      <w:pPr>
        <w:ind w:right="220" w:firstLine="913"/>
        <w:spacing w:after="0" w:line="27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Series 2009-3 Maximum Suzuki Amount</w:t>
      </w:r>
      <w:r>
        <w:rPr>
          <w:rFonts w:ascii="Times New Roman" w:cs="Times New Roman" w:eastAsia="Times New Roman" w:hAnsi="Times New Roman"/>
          <w:sz w:val="18"/>
          <w:szCs w:val="18"/>
          <w:color w:val="auto"/>
        </w:rPr>
        <w:t>” means, as of any day, an amount equal to 7.5% of the aggregate Net Book Value of all Vehicles leased under the Leases on such day.</w:t>
      </w:r>
    </w:p>
    <w:p>
      <w:pPr>
        <w:spacing w:after="0" w:line="120" w:lineRule="exact"/>
        <w:rPr>
          <w:sz w:val="20"/>
          <w:szCs w:val="20"/>
          <w:color w:val="auto"/>
        </w:rPr>
      </w:pPr>
    </w:p>
    <w:p>
      <w:pPr>
        <w:ind w:right="200" w:firstLine="913"/>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Series 2009-3 Monthly Interest</w:t>
      </w:r>
      <w:r>
        <w:rPr>
          <w:rFonts w:ascii="Times New Roman" w:cs="Times New Roman" w:eastAsia="Times New Roman" w:hAnsi="Times New Roman"/>
          <w:sz w:val="18"/>
          <w:szCs w:val="18"/>
          <w:color w:val="auto"/>
        </w:rPr>
        <w:t>” means, with respect to any Series 2009-3 Interest Period, an amount equal to the product of (a) the average daily Series 2009-3 Invested Amount during such Series 2009-3 Interest Period, (b) the Series 2009-3 Note Rate for such Series 2009-3 Interest Period and (c) the number of days in such Series 2009-3 Interest Rate Period divided by 360.</w:t>
      </w:r>
    </w:p>
    <w:p>
      <w:pPr>
        <w:spacing w:after="0" w:line="132" w:lineRule="exact"/>
        <w:rPr>
          <w:sz w:val="20"/>
          <w:szCs w:val="20"/>
          <w:color w:val="auto"/>
        </w:rPr>
      </w:pPr>
    </w:p>
    <w:p>
      <w:pPr>
        <w:ind w:right="20" w:firstLine="913"/>
        <w:spacing w:after="0" w:line="287"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Series 2009-3 Monthly Lease Principal Payment Deficit</w:t>
      </w:r>
      <w:r>
        <w:rPr>
          <w:rFonts w:ascii="Times New Roman" w:cs="Times New Roman" w:eastAsia="Times New Roman" w:hAnsi="Times New Roman"/>
          <w:sz w:val="16"/>
          <w:szCs w:val="16"/>
          <w:color w:val="auto"/>
        </w:rPr>
        <w:t>” means on any Distribution Date an amount equal to the excess, if any, of (a) the aggregate amount of Principal Collections which pursuant to Section 3.2(a), (b) or (c) would have been allocated to the Series 2009-3 Collection Account if all payments required to have been made under the Leases from and excluding the preceding Distribution Date to and including such Distribution Date were made in full over</w:t>
      </w:r>
    </w:p>
    <w:p>
      <w:pPr>
        <w:spacing w:after="0" w:line="1" w:lineRule="exact"/>
        <w:rPr>
          <w:sz w:val="20"/>
          <w:szCs w:val="20"/>
          <w:color w:val="auto"/>
        </w:rPr>
      </w:pPr>
    </w:p>
    <w:p>
      <w:pPr>
        <w:ind w:right="200" w:firstLine="8"/>
        <w:spacing w:after="0" w:line="255" w:lineRule="auto"/>
        <w:tabs>
          <w:tab w:leader="none" w:pos="249"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amount of Principal Collections which pursuant to Section 3.2(a), (b) or (c) have been allocated to the Series 2009-3 Collection Account (without giving effect to any amounts paid into the Series 2009-3 Accrued Interest Account pursuant to the proviso in Sections 3.2(b)(ii) and/or 3.2(c)(ii)) from and excluding the preceding Distribution Date to and including such Distribution Date.</w:t>
      </w:r>
    </w:p>
    <w:p>
      <w:pPr>
        <w:spacing w:after="0" w:line="138" w:lineRule="exact"/>
        <w:rPr>
          <w:sz w:val="20"/>
          <w:szCs w:val="20"/>
          <w:color w:val="auto"/>
        </w:rPr>
      </w:pPr>
    </w:p>
    <w:p>
      <w:pPr>
        <w:ind w:right="20" w:firstLine="913"/>
        <w:spacing w:after="0" w:line="301"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Series 2009-3 Moody’s Highest Enhanced Vehicle Percentage</w:t>
      </w:r>
      <w:r>
        <w:rPr>
          <w:rFonts w:ascii="Times New Roman" w:cs="Times New Roman" w:eastAsia="Times New Roman" w:hAnsi="Times New Roman"/>
          <w:sz w:val="16"/>
          <w:szCs w:val="16"/>
          <w:color w:val="auto"/>
        </w:rPr>
        <w:t>” means, as of any date of determination, a fraction, expressed as a percentage, (a) the numerator of which is the aggregate Net Book Value of all Vehicles leased under the AESOP I Operating Lease that are either not subject to a Manufacturer Program (including by reason of rejection in a bankruptcy or repudiation by the Manufacturer) or not eligible for repurchase under a Manufacturer Program as of such date and (b) the denominator of which is the aggregate Net Book Value of all Vehicles leased under the AESOP I Operating Lease as of such date.</w:t>
      </w:r>
    </w:p>
    <w:p>
      <w:pPr>
        <w:spacing w:after="0" w:line="103" w:lineRule="exact"/>
        <w:rPr>
          <w:sz w:val="20"/>
          <w:szCs w:val="20"/>
          <w:color w:val="auto"/>
        </w:rPr>
      </w:pPr>
    </w:p>
    <w:p>
      <w:pPr>
        <w:ind w:firstLine="913"/>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Series 2009-3 Moody’s Highest Enhancement Rate</w:t>
      </w:r>
      <w:r>
        <w:rPr>
          <w:rFonts w:ascii="Times New Roman" w:cs="Times New Roman" w:eastAsia="Times New Roman" w:hAnsi="Times New Roman"/>
          <w:sz w:val="18"/>
          <w:szCs w:val="18"/>
          <w:color w:val="auto"/>
        </w:rPr>
        <w:t xml:space="preserve">” means, as of any date of determination, the greater of (a) 56.5% and (b) the sum of (i) 56.5% and (ii) the highest, for any calendar month within the preceding twelve calendar months, of the greater of (x) an amount (not less than zero) equal to 100%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the Measurement Month Average for the immediately preceding Measurement Month and (y) an amount (not less than zero) equal to 100%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the Market Value Average as of the Determination Date within such calendar month (excluding the Market Value Average for any Determination Date which has not yet occurred).</w:t>
      </w:r>
    </w:p>
    <w:p>
      <w:pPr>
        <w:spacing w:after="0" w:line="139" w:lineRule="exact"/>
        <w:rPr>
          <w:sz w:val="20"/>
          <w:szCs w:val="20"/>
          <w:color w:val="auto"/>
        </w:rPr>
      </w:pPr>
    </w:p>
    <w:p>
      <w:pPr>
        <w:ind w:right="140" w:firstLine="913"/>
        <w:spacing w:after="0" w:line="27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Series 2009-3 Moody’s Intermediate Enhanced Vehicle Percentage</w:t>
      </w:r>
      <w:r>
        <w:rPr>
          <w:rFonts w:ascii="Times New Roman" w:cs="Times New Roman" w:eastAsia="Times New Roman" w:hAnsi="Times New Roman"/>
          <w:sz w:val="18"/>
          <w:szCs w:val="18"/>
          <w:color w:val="auto"/>
        </w:rPr>
        <w:t xml:space="preserve">” means, as of any date of determination, 100%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the sum of (a) the Series 2009-3 Moody’s Lowest</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400"/>
          </w:cols>
          <w:pgMar w:left="240" w:top="274" w:right="259" w:bottom="1440" w:gutter="0" w:footer="0" w:header="0"/>
        </w:sectPr>
      </w:pPr>
    </w:p>
    <w:bookmarkStart w:id="195" w:name="page196"/>
    <w:bookmarkEnd w:id="195"/>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Enhanced Vehicle Percentage and (b) the Series 2009-3 Moody’s Highest Enhanced Vehicle Percentage.</w:t>
      </w:r>
    </w:p>
    <w:p>
      <w:pPr>
        <w:spacing w:after="0" w:line="17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Series 2009-3 Moody’s Intermediate Enhancement Rate</w:t>
      </w:r>
      <w:r>
        <w:rPr>
          <w:rFonts w:ascii="Times New Roman" w:cs="Times New Roman" w:eastAsia="Times New Roman" w:hAnsi="Times New Roman"/>
          <w:sz w:val="18"/>
          <w:szCs w:val="18"/>
          <w:color w:val="auto"/>
        </w:rPr>
        <w:t>” means, as of any date of determination, 56.5%.</w:t>
      </w:r>
    </w:p>
    <w:p>
      <w:pPr>
        <w:spacing w:after="0" w:line="171" w:lineRule="exact"/>
        <w:rPr>
          <w:sz w:val="20"/>
          <w:szCs w:val="20"/>
          <w:color w:val="auto"/>
        </w:rPr>
      </w:pPr>
    </w:p>
    <w:p>
      <w:pPr>
        <w:ind w:right="80" w:firstLine="913"/>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Series 2009-3 Moody’s Lowest Enhanced Vehicle Percentage</w:t>
      </w:r>
      <w:r>
        <w:rPr>
          <w:rFonts w:ascii="Times New Roman" w:cs="Times New Roman" w:eastAsia="Times New Roman" w:hAnsi="Times New Roman"/>
          <w:sz w:val="18"/>
          <w:szCs w:val="18"/>
          <w:color w:val="auto"/>
        </w:rPr>
        <w:t>” means, as of any date of determination, a fraction, expressed as a percentage, (a) the numerator of which is the sum, without duplication, of (1) the aggregate Net Book Value of all Program Vehicles leased under the AESOP I Operating Lease that are manufactured by Eligible Program Manufacturers having long-term senior unsecured debt ratings of “Baa2” or higher from Moody’s as of such date, (2) so long as any Eligible Non-Program Manufacturer has a long-term senior unsecured debt rating of “Baa2” or higher from Moody’s and no Manufacturer Event of Default has occurred and is continuing with respect to such Eligible Non-Program Manufacturer, the aggregate Net Book Value of all Non-Program Vehicles leased under the AESOP I Operating Lease manufactured by each such Eligible Non-Program Manufacturer that are subject to a Manufacturer Program and remain eligible for repurchase thereunder as of such date and (3) the lesser of (A) the sum of (x) if as of such date any Eligible Program Manufacturer has a long-term senior unsecured debt rating of “Baa3” from Moody’s, the aggregate Net Book Value of all Program Vehicles leased under the AESOP I Operating Lease manufactured by each such Eligible Program Manufacturer as of such date and (y) if as of such date any Eligible Non-Program Manufacturer has a long-term senior unsecured debt rating of “Baa3” from Moody’s and no Manufacturer Event of Default has occurred and is continuing with respect to such Eligible Non-Program Manufacturer, the aggregate Net Book Value of all Non-Program Vehicles leased under the AESOP I Operating Lease manufactured by each such Eligible Non-Program Manufacturer that are subject to a Manufacturer Program and remain eligible for repurchase thereunder as of such date and (B) 10% of the aggregate Net Book Value of all Vehicles leased under the AESOP I Operating Lease as of such date and (b) the denominator of which is the aggregate Net Book Value of all Vehicles leased under the AESOP I Operating Lease as of such date.</w:t>
      </w:r>
    </w:p>
    <w:p>
      <w:pPr>
        <w:spacing w:after="0" w:line="14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Series 2009-3 Moody’s Lowest Enhancement Rate</w:t>
      </w:r>
      <w:r>
        <w:rPr>
          <w:rFonts w:ascii="Times New Roman" w:cs="Times New Roman" w:eastAsia="Times New Roman" w:hAnsi="Times New Roman"/>
          <w:sz w:val="18"/>
          <w:szCs w:val="18"/>
          <w:color w:val="auto"/>
        </w:rPr>
        <w:t>” means, as of any date of determination, 25.0%.</w:t>
      </w:r>
    </w:p>
    <w:p>
      <w:pPr>
        <w:spacing w:after="0" w:line="17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Series 2009-3 Moody’s Required Enhancement Percentage</w:t>
      </w:r>
      <w:r>
        <w:rPr>
          <w:rFonts w:ascii="Times New Roman" w:cs="Times New Roman" w:eastAsia="Times New Roman" w:hAnsi="Times New Roman"/>
          <w:sz w:val="18"/>
          <w:szCs w:val="18"/>
          <w:color w:val="auto"/>
        </w:rPr>
        <w:t>” means, as of any date of determination, the greater of (a) 50.0% and (b) the sum of</w:t>
      </w:r>
    </w:p>
    <w:p>
      <w:pPr>
        <w:spacing w:after="0" w:line="21" w:lineRule="exact"/>
        <w:rPr>
          <w:sz w:val="20"/>
          <w:szCs w:val="20"/>
          <w:color w:val="auto"/>
        </w:rPr>
      </w:pPr>
    </w:p>
    <w:p>
      <w:pPr>
        <w:ind w:firstLine="8"/>
        <w:spacing w:after="0" w:line="254" w:lineRule="auto"/>
        <w:tabs>
          <w:tab w:leader="none" w:pos="21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product of (A) the Series 2009-3 Moody’s Lowest Enhancement Rate and (B) the Series 2009-3 Moody’s Lowest Enhanced Vehicle Percentage as of such date, (ii) the product of (A) the Series 2009-3 Moody’s Intermediate Enhancement Rate as of such date and (B) the Series 2009-3 Moody’s Intermediate Enhanced Vehicle Percentage as of such date, and (iii) the product of (A) the Series 2009-3 Moody’s Highest Enhancement Rate as of such date and (B) the Series 2009-3 Moody’s Highest Enhanced Vehicle Percentage as of such date.</w:t>
      </w:r>
    </w:p>
    <w:p>
      <w:pPr>
        <w:spacing w:after="0" w:line="138" w:lineRule="exact"/>
        <w:rPr>
          <w:sz w:val="20"/>
          <w:szCs w:val="20"/>
          <w:color w:val="auto"/>
        </w:rPr>
      </w:pPr>
    </w:p>
    <w:p>
      <w:pPr>
        <w:ind w:right="100" w:firstLine="913"/>
        <w:spacing w:after="0" w:line="27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Series 2009-3 Note</w:t>
      </w:r>
      <w:r>
        <w:rPr>
          <w:rFonts w:ascii="Times New Roman" w:cs="Times New Roman" w:eastAsia="Times New Roman" w:hAnsi="Times New Roman"/>
          <w:sz w:val="18"/>
          <w:szCs w:val="18"/>
          <w:color w:val="auto"/>
        </w:rPr>
        <w:t xml:space="preserve">” means any one of the Series 2009-3 Variable Funding Rental Car Asset Backed Notes, executed by ABRCF authenticated and delivered by or on behalf of the Trustee, substantially in the form of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420"/>
          </w:cols>
          <w:pgMar w:left="240" w:top="274" w:right="239" w:bottom="1440" w:gutter="0" w:footer="0" w:header="0"/>
        </w:sectPr>
      </w:pPr>
    </w:p>
    <w:bookmarkStart w:id="196" w:name="page197"/>
    <w:bookmarkEnd w:id="196"/>
    <w:p>
      <w:pPr>
        <w:ind w:right="160" w:firstLine="913"/>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Series 2009-3 Note Rate</w:t>
      </w:r>
      <w:r>
        <w:rPr>
          <w:rFonts w:ascii="Times New Roman" w:cs="Times New Roman" w:eastAsia="Times New Roman" w:hAnsi="Times New Roman"/>
          <w:sz w:val="18"/>
          <w:szCs w:val="18"/>
          <w:color w:val="auto"/>
        </w:rPr>
        <w:t xml:space="preserve">” means for any Series 2009-3 Interest Period, the interest rate equal to the product of (a) the percentage equivalent of a fraction, the numerator of which is equal to the sum of the Monthly Funding Costs with respect to each Purchaser Group for such Series 2009-3 Interest Period and the denominator of which is equal to the average daily Series 2009-3 Invested Amount during such Series 2009-3 Interest Period and (b) a fraction, the numerator of which is 360 and the denominator of which is the number of days in such Series 2009-3 Interest Period;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Series 2009-3 Note Rate will in no event be higher than the maximum rate permitted by applicable law.</w:t>
      </w:r>
    </w:p>
    <w:p>
      <w:pPr>
        <w:spacing w:after="0" w:line="13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Series 2009-3 Noteholder</w:t>
      </w:r>
      <w:r>
        <w:rPr>
          <w:rFonts w:ascii="Times New Roman" w:cs="Times New Roman" w:eastAsia="Times New Roman" w:hAnsi="Times New Roman"/>
          <w:sz w:val="18"/>
          <w:szCs w:val="18"/>
          <w:color w:val="auto"/>
        </w:rPr>
        <w:t>” means a Person in whose name a Series 2009-3 Note is registered in the Note Register.</w:t>
      </w:r>
    </w:p>
    <w:p>
      <w:pPr>
        <w:spacing w:after="0" w:line="171" w:lineRule="exact"/>
        <w:rPr>
          <w:sz w:val="20"/>
          <w:szCs w:val="20"/>
          <w:color w:val="auto"/>
        </w:rPr>
      </w:pPr>
    </w:p>
    <w:p>
      <w:pPr>
        <w:ind w:right="80" w:firstLine="913"/>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Series 2009-3 Overcollateralization Amount</w:t>
      </w:r>
      <w:r>
        <w:rPr>
          <w:rFonts w:ascii="Times New Roman" w:cs="Times New Roman" w:eastAsia="Times New Roman" w:hAnsi="Times New Roman"/>
          <w:sz w:val="18"/>
          <w:szCs w:val="18"/>
          <w:color w:val="auto"/>
        </w:rPr>
        <w:t>” means (i) as of any date on which no AESOP I Operating Lease Vehicle Deficiency exists, the Series 2009-3 Required Overcollateralization Amount as of such date and (ii) as of any date on which an AESOP I Operating Lease Vehicle Deficiency exists, the excess, if any, of (x) the Series 2009-3 AESOP I Operating Lease Loan Agreement Borrowing Base as of such date over (y) the Series 2009-3 Invested Amount as of such date.</w:t>
      </w:r>
    </w:p>
    <w:p>
      <w:pPr>
        <w:spacing w:after="0" w:line="13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Series 2009-3 Past Due Rent Payment</w:t>
      </w:r>
      <w:r>
        <w:rPr>
          <w:rFonts w:ascii="Times New Roman" w:cs="Times New Roman" w:eastAsia="Times New Roman" w:hAnsi="Times New Roman"/>
          <w:sz w:val="18"/>
          <w:szCs w:val="18"/>
          <w:color w:val="auto"/>
        </w:rPr>
        <w:t>” is defined in Section 3.2(f).</w:t>
      </w:r>
    </w:p>
    <w:p>
      <w:pPr>
        <w:spacing w:after="0" w:line="171" w:lineRule="exact"/>
        <w:rPr>
          <w:sz w:val="20"/>
          <w:szCs w:val="20"/>
          <w:color w:val="auto"/>
        </w:rPr>
      </w:pPr>
    </w:p>
    <w:p>
      <w:pPr>
        <w:ind w:right="60" w:firstLine="913"/>
        <w:spacing w:after="0" w:line="339"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Series 2009-3 Percentage</w:t>
      </w:r>
      <w:r>
        <w:rPr>
          <w:rFonts w:ascii="Times New Roman" w:cs="Times New Roman" w:eastAsia="Times New Roman" w:hAnsi="Times New Roman"/>
          <w:sz w:val="16"/>
          <w:szCs w:val="16"/>
          <w:color w:val="auto"/>
        </w:rPr>
        <w:t>” means, as of any date of determination, a fraction, expressed as a percentage, the numerator of which is the Series 2009-3 Invested Amount as of such date and the denominator of which is the sum of the Invested Amount of each Series of Notes outstanding as of such date.</w:t>
      </w:r>
    </w:p>
    <w:p>
      <w:pPr>
        <w:spacing w:after="0" w:line="7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Series 2009-3 Principal Allocation</w:t>
      </w:r>
      <w:r>
        <w:rPr>
          <w:rFonts w:ascii="Times New Roman" w:cs="Times New Roman" w:eastAsia="Times New Roman" w:hAnsi="Times New Roman"/>
          <w:sz w:val="18"/>
          <w:szCs w:val="18"/>
          <w:color w:val="auto"/>
        </w:rPr>
        <w:t>” is defined in Section 3.2(a)(ii).</w:t>
      </w:r>
    </w:p>
    <w:p>
      <w:pPr>
        <w:spacing w:after="0" w:line="171" w:lineRule="exact"/>
        <w:rPr>
          <w:sz w:val="20"/>
          <w:szCs w:val="20"/>
          <w:color w:val="auto"/>
        </w:rPr>
      </w:pPr>
    </w:p>
    <w:p>
      <w:pPr>
        <w:ind w:right="360" w:firstLine="913"/>
        <w:spacing w:after="0" w:line="339"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Series 2009-3 Reimbursement Agreement</w:t>
      </w:r>
      <w:r>
        <w:rPr>
          <w:rFonts w:ascii="Times New Roman" w:cs="Times New Roman" w:eastAsia="Times New Roman" w:hAnsi="Times New Roman"/>
          <w:sz w:val="16"/>
          <w:szCs w:val="16"/>
          <w:color w:val="auto"/>
        </w:rPr>
        <w:t>” means any and each agreement providing for the reimbursement of a Series 2009-3 Letter of Credit Provider for draws under its Series 2009-3 Letter of Credit as the same may be amended, supplemented, restated or otherwise modified from time to time.</w:t>
      </w:r>
    </w:p>
    <w:p>
      <w:pPr>
        <w:spacing w:after="0" w:line="74" w:lineRule="exact"/>
        <w:rPr>
          <w:sz w:val="20"/>
          <w:szCs w:val="20"/>
          <w:color w:val="auto"/>
        </w:rPr>
      </w:pPr>
    </w:p>
    <w:p>
      <w:pPr>
        <w:ind w:right="20" w:firstLine="913"/>
        <w:spacing w:after="0" w:line="27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Series 2009-3 Required AESOP I Operating Lease Vehicle Amount</w:t>
      </w:r>
      <w:r>
        <w:rPr>
          <w:rFonts w:ascii="Times New Roman" w:cs="Times New Roman" w:eastAsia="Times New Roman" w:hAnsi="Times New Roman"/>
          <w:sz w:val="18"/>
          <w:szCs w:val="18"/>
          <w:color w:val="auto"/>
        </w:rPr>
        <w:t>” means, as of any date of determination, the sum of the Series 2009-3 Required Overcollateralization Amount and the Series 2009-3 Invested Amount as of such date.</w:t>
      </w:r>
    </w:p>
    <w:p>
      <w:pPr>
        <w:spacing w:after="0" w:line="120" w:lineRule="exact"/>
        <w:rPr>
          <w:sz w:val="20"/>
          <w:szCs w:val="20"/>
          <w:color w:val="auto"/>
        </w:rPr>
      </w:pPr>
    </w:p>
    <w:p>
      <w:pPr>
        <w:jc w:val="both"/>
        <w:ind w:firstLine="913"/>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Series 2009-3 Required Enhancement Amount</w:t>
      </w:r>
      <w:r>
        <w:rPr>
          <w:rFonts w:ascii="Times New Roman" w:cs="Times New Roman" w:eastAsia="Times New Roman" w:hAnsi="Times New Roman"/>
          <w:sz w:val="18"/>
          <w:szCs w:val="18"/>
          <w:color w:val="auto"/>
        </w:rPr>
        <w:t>” means, as of any date of determination, the sum of (i) the product of (x) the Series 2009-3 Moody’s Required Enhancement Percentage as of such date and (y) the Series 2009-3 Invested Amount as of such date and (ii) the Series 2009-3 Incremental Enhancement Amount as of such date.</w:t>
      </w:r>
    </w:p>
    <w:p>
      <w:pPr>
        <w:spacing w:after="0" w:line="132" w:lineRule="exact"/>
        <w:rPr>
          <w:sz w:val="20"/>
          <w:szCs w:val="20"/>
          <w:color w:val="auto"/>
        </w:rPr>
      </w:pPr>
    </w:p>
    <w:p>
      <w:pPr>
        <w:ind w:right="140" w:firstLine="913"/>
        <w:spacing w:after="0" w:line="339"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Series 2009-3 Required Liquidity Amount</w:t>
      </w:r>
      <w:r>
        <w:rPr>
          <w:rFonts w:ascii="Times New Roman" w:cs="Times New Roman" w:eastAsia="Times New Roman" w:hAnsi="Times New Roman"/>
          <w:sz w:val="16"/>
          <w:szCs w:val="16"/>
          <w:color w:val="auto"/>
        </w:rPr>
        <w:t>” means, with respect to any Distribution Date, an amount equal to 8.75% of the Series 2009-3 Invested Amount on such Distribution Date (after giving effect to any payments of principal to be made on the Series 2009-3 Notes on such Distribution Date).</w:t>
      </w:r>
    </w:p>
    <w:p>
      <w:pPr>
        <w:spacing w:after="0" w:line="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400"/>
          </w:cols>
          <w:pgMar w:left="240" w:top="274" w:right="259" w:bottom="1440" w:gutter="0" w:footer="0" w:header="0"/>
        </w:sectPr>
      </w:pPr>
    </w:p>
    <w:bookmarkStart w:id="197" w:name="page198"/>
    <w:bookmarkEnd w:id="197"/>
    <w:p>
      <w:pPr>
        <w:ind w:firstLine="913"/>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Series 2009-3 Required Overcollateralization Amount</w:t>
      </w:r>
      <w:r>
        <w:rPr>
          <w:rFonts w:ascii="Times New Roman" w:cs="Times New Roman" w:eastAsia="Times New Roman" w:hAnsi="Times New Roman"/>
          <w:sz w:val="18"/>
          <w:szCs w:val="18"/>
          <w:color w:val="auto"/>
        </w:rPr>
        <w:t>” means, as of any date of determination, the excess, if any, of the Series 2009-3 Required Enhancement Amount over the sum of (i) the Series 2009-3 Letter of Credit Amount as of such date, (ii) the Series 2009-3 Available Reserve Account Amount on such date and (iii) the amount of cash and Permitted Investments on deposit in the Series 2009-3 Collection Account (not including amounts allocable to the Series 2009-3 Accrued Interest Account) and the Series 2009-3 Excess Collection Account on such date.</w:t>
      </w:r>
    </w:p>
    <w:p>
      <w:pPr>
        <w:spacing w:after="0" w:line="13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Series 2009-3 Required Reserve Account Amount</w:t>
      </w:r>
      <w:r>
        <w:rPr>
          <w:rFonts w:ascii="Times New Roman" w:cs="Times New Roman" w:eastAsia="Times New Roman" w:hAnsi="Times New Roman"/>
          <w:sz w:val="16"/>
          <w:szCs w:val="16"/>
          <w:color w:val="auto"/>
        </w:rPr>
        <w:t>” means, with respect to any Distribution Date, an amount equal to the sum of (a) the greater of</w:t>
      </w:r>
    </w:p>
    <w:p>
      <w:pPr>
        <w:spacing w:after="0" w:line="44" w:lineRule="exact"/>
        <w:rPr>
          <w:sz w:val="20"/>
          <w:szCs w:val="20"/>
          <w:color w:val="auto"/>
        </w:rPr>
      </w:pPr>
    </w:p>
    <w:p>
      <w:pPr>
        <w:ind w:right="220" w:firstLine="8"/>
        <w:spacing w:after="0" w:line="281" w:lineRule="auto"/>
        <w:tabs>
          <w:tab w:leader="none" w:pos="210" w:val="left"/>
        </w:tabs>
        <w:numPr>
          <w:ilvl w:val="0"/>
          <w:numId w:val="1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excess, if any, of the Series 2009-3 Required Liquidity Amount on such Distribution Date over the Series 2009-3 Letter of Credit Liquidity Amount on such Distribution Date (after giving effect to any payments of principal to be made on the Series 2009-3 Notes on such Distribution Date) and (ii) the excess, if any, of the Series 2009-3 Required Enhancement Amount over the Series 2009-3 Enhancement Amount (excluding therefrom the Series 2009-3 Available Reserve Account Amount and calculated after giving effect to any payments of principal to be made on the Series 2009-3 Notes) on such Distribution Date and</w:t>
      </w:r>
    </w:p>
    <w:p>
      <w:pPr>
        <w:spacing w:after="0" w:line="2" w:lineRule="exact"/>
        <w:rPr>
          <w:rFonts w:ascii="Times New Roman" w:cs="Times New Roman" w:eastAsia="Times New Roman" w:hAnsi="Times New Roman"/>
          <w:sz w:val="16"/>
          <w:szCs w:val="16"/>
          <w:color w:val="auto"/>
        </w:rPr>
      </w:pPr>
    </w:p>
    <w:p>
      <w:pPr>
        <w:ind w:left="260" w:hanging="252"/>
        <w:spacing w:after="0"/>
        <w:tabs>
          <w:tab w:leader="none" w:pos="26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Demand Note Preference Payment Amount.</w:t>
      </w:r>
    </w:p>
    <w:p>
      <w:pPr>
        <w:spacing w:after="0" w:line="15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Series 2009-3 Reserve Account</w:t>
      </w:r>
      <w:r>
        <w:rPr>
          <w:rFonts w:ascii="Times New Roman" w:cs="Times New Roman" w:eastAsia="Times New Roman" w:hAnsi="Times New Roman"/>
          <w:sz w:val="18"/>
          <w:szCs w:val="18"/>
          <w:color w:val="auto"/>
        </w:rPr>
        <w:t>” is defined in Section 3.7(a).</w:t>
      </w:r>
    </w:p>
    <w:p>
      <w:pPr>
        <w:spacing w:after="0" w:line="17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Series 2009-3 Reserve Account Collateral</w:t>
      </w:r>
      <w:r>
        <w:rPr>
          <w:rFonts w:ascii="Times New Roman" w:cs="Times New Roman" w:eastAsia="Times New Roman" w:hAnsi="Times New Roman"/>
          <w:sz w:val="18"/>
          <w:szCs w:val="18"/>
          <w:color w:val="auto"/>
        </w:rPr>
        <w:t>” is defined in Section 3.7(d).</w:t>
      </w:r>
    </w:p>
    <w:p>
      <w:pPr>
        <w:spacing w:after="0" w:line="171" w:lineRule="exact"/>
        <w:rPr>
          <w:sz w:val="20"/>
          <w:szCs w:val="20"/>
          <w:color w:val="auto"/>
        </w:rPr>
      </w:pPr>
    </w:p>
    <w:p>
      <w:pPr>
        <w:ind w:right="260" w:firstLine="913"/>
        <w:spacing w:after="0" w:line="27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Series 2009-3 Reserve Account Surplus</w:t>
      </w:r>
      <w:r>
        <w:rPr>
          <w:rFonts w:ascii="Times New Roman" w:cs="Times New Roman" w:eastAsia="Times New Roman" w:hAnsi="Times New Roman"/>
          <w:sz w:val="18"/>
          <w:szCs w:val="18"/>
          <w:color w:val="auto"/>
        </w:rPr>
        <w:t>” means, with respect to any Distribution Date, the excess, if any, of the Series 2009-3 Available Reserve Account Amount over the Series 2009-3 Required Reserve Account Amount on such Distribution Date.</w:t>
      </w:r>
    </w:p>
    <w:p>
      <w:pPr>
        <w:spacing w:after="0" w:line="120" w:lineRule="exact"/>
        <w:rPr>
          <w:sz w:val="20"/>
          <w:szCs w:val="20"/>
          <w:color w:val="auto"/>
        </w:rPr>
      </w:pPr>
    </w:p>
    <w:p>
      <w:pPr>
        <w:ind w:right="120" w:firstLine="913"/>
        <w:spacing w:after="0" w:line="27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Series 2009-3 Revolving Period</w:t>
      </w:r>
      <w:r>
        <w:rPr>
          <w:rFonts w:ascii="Times New Roman" w:cs="Times New Roman" w:eastAsia="Times New Roman" w:hAnsi="Times New Roman"/>
          <w:sz w:val="18"/>
          <w:szCs w:val="18"/>
          <w:color w:val="auto"/>
        </w:rPr>
        <w:t>” means the period from and including, the Series 2009-3 Closing Date to the commencement of the Series 2009-3 Amortization Period.</w:t>
      </w:r>
    </w:p>
    <w:p>
      <w:pPr>
        <w:spacing w:after="0" w:line="1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Series 2009-3 Shortfall</w:t>
      </w:r>
      <w:r>
        <w:rPr>
          <w:rFonts w:ascii="Times New Roman" w:cs="Times New Roman" w:eastAsia="Times New Roman" w:hAnsi="Times New Roman"/>
          <w:sz w:val="18"/>
          <w:szCs w:val="18"/>
          <w:color w:val="auto"/>
        </w:rPr>
        <w:t>” is defined in Section 3.3(f).</w:t>
      </w:r>
    </w:p>
    <w:p>
      <w:pPr>
        <w:spacing w:after="0" w:line="171" w:lineRule="exact"/>
        <w:rPr>
          <w:sz w:val="20"/>
          <w:szCs w:val="20"/>
          <w:color w:val="auto"/>
        </w:rPr>
      </w:pPr>
    </w:p>
    <w:p>
      <w:pPr>
        <w:ind w:right="40" w:firstLine="913"/>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Series 2009-3 Standard &amp; Poor’s Additional Enhancement Amount</w:t>
      </w:r>
      <w:r>
        <w:rPr>
          <w:rFonts w:ascii="Times New Roman" w:cs="Times New Roman" w:eastAsia="Times New Roman" w:hAnsi="Times New Roman"/>
          <w:sz w:val="18"/>
          <w:szCs w:val="18"/>
          <w:color w:val="auto"/>
        </w:rPr>
        <w:t xml:space="preserve">” means, as of any date of determination, the excess, if any, of (x) the Series 2009-3 Standard &amp; Poor’s Enhancement Amount as of such date over (y) the Series 2009-3 Required Enhancement Amount as of such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as of any date of determination following the occurrence and during the continuance of a Liquidation Event of Default or a Series 2009-3 Limited Liquidation Event of Default, the “Series 2009-3 Standard &amp; Poor’s Additional Enhancement Amount” shall equal the Series 2009-3 Standard &amp; Poor’s Additional Enhancement Amount as of the date immediately preceding the occurrence of such Liquidation Event of Default or Series 2009-3 Limited Liquidation Event of Default.</w:t>
      </w:r>
    </w:p>
    <w:p>
      <w:pPr>
        <w:spacing w:after="0" w:line="139" w:lineRule="exact"/>
        <w:rPr>
          <w:sz w:val="20"/>
          <w:szCs w:val="20"/>
          <w:color w:val="auto"/>
        </w:rPr>
      </w:pPr>
    </w:p>
    <w:p>
      <w:pPr>
        <w:ind w:right="60" w:firstLine="913"/>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Series 2009-3 Standard &amp; Poor’s Enhancement Amount</w:t>
      </w:r>
      <w:r>
        <w:rPr>
          <w:rFonts w:ascii="Times New Roman" w:cs="Times New Roman" w:eastAsia="Times New Roman" w:hAnsi="Times New Roman"/>
          <w:sz w:val="18"/>
          <w:szCs w:val="18"/>
          <w:color w:val="auto"/>
        </w:rPr>
        <w:t>” means, as of any date of determination, the sum of (i) the product of (x) the Series 2009-3 Standard &amp; Poor’s Enhancement Percentage as of such date and (y) the Series 2009-3 Invested Amount as of such date, (ii) the Series 2009-3 Incremental Enhancement Amount, as of such date and (iii) the excess, if any of (x) the Standard &amp; Poor’s Excluded Receivable Amount over (y) the Moody’s Excluded Receivable Amount as of such date.</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420"/>
          </w:cols>
          <w:pgMar w:left="240" w:top="274" w:right="239" w:bottom="1440" w:gutter="0" w:footer="0" w:header="0"/>
        </w:sectPr>
      </w:pPr>
    </w:p>
    <w:bookmarkStart w:id="198" w:name="page199"/>
    <w:bookmarkEnd w:id="198"/>
    <w:p>
      <w:pPr>
        <w:ind w:left="920"/>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Times New Roman" w:cs="Times New Roman" w:eastAsia="Times New Roman" w:hAnsi="Times New Roman"/>
          <w:sz w:val="16"/>
          <w:szCs w:val="16"/>
          <w:u w:val="single" w:color="auto"/>
          <w:color w:val="auto"/>
        </w:rPr>
        <w:t>Series 2009-3 Standard &amp; Poor’s Enhancement Percentage</w:t>
      </w:r>
      <w:r>
        <w:rPr>
          <w:rFonts w:ascii="Times New Roman" w:cs="Times New Roman" w:eastAsia="Times New Roman" w:hAnsi="Times New Roman"/>
          <w:sz w:val="16"/>
          <w:szCs w:val="16"/>
          <w:color w:val="auto"/>
        </w:rPr>
        <w:t>” means, as of any date of determination, the greater of (a) 50.00% and (b) the sum of</w:t>
      </w:r>
    </w:p>
    <w:p>
      <w:pPr>
        <w:spacing w:after="0" w:line="44" w:lineRule="exact"/>
        <w:rPr>
          <w:sz w:val="20"/>
          <w:szCs w:val="20"/>
          <w:color w:val="auto"/>
        </w:rPr>
      </w:pPr>
    </w:p>
    <w:p>
      <w:pPr>
        <w:ind w:right="100" w:firstLine="8"/>
        <w:spacing w:after="0" w:line="254" w:lineRule="auto"/>
        <w:tabs>
          <w:tab w:leader="none" w:pos="21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50.00% and (ii) the highest, for any calendar month within the preceding twelve calendar months, of the greater of (x) an amount (not less than zero) equal to 100%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the Measurement Month Average for the immediately preceding Measurement Month and (y) an amount (not less than zero) equal to 100%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the Market Value Average as of the Determination Date within such calendar month (excluding the Market Value Average for any Determination Date which has not yet occurred).</w:t>
      </w:r>
    </w:p>
    <w:p>
      <w:pPr>
        <w:spacing w:after="0" w:line="138" w:lineRule="exact"/>
        <w:rPr>
          <w:sz w:val="20"/>
          <w:szCs w:val="20"/>
          <w:color w:val="auto"/>
        </w:rPr>
      </w:pPr>
    </w:p>
    <w:p>
      <w:pPr>
        <w:ind w:right="80" w:firstLine="913"/>
        <w:spacing w:after="0" w:line="27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Series 2009-3 Termination Date</w:t>
      </w:r>
      <w:r>
        <w:rPr>
          <w:rFonts w:ascii="Times New Roman" w:cs="Times New Roman" w:eastAsia="Times New Roman" w:hAnsi="Times New Roman"/>
          <w:sz w:val="18"/>
          <w:szCs w:val="18"/>
          <w:color w:val="auto"/>
        </w:rPr>
        <w:t>” means the Distribution Date falling in the fourteenth calendar month after the calendar month in which the Series 2009-3 Revolving Period ends.</w:t>
      </w:r>
    </w:p>
    <w:p>
      <w:pPr>
        <w:spacing w:after="0" w:line="120" w:lineRule="exact"/>
        <w:rPr>
          <w:sz w:val="20"/>
          <w:szCs w:val="20"/>
          <w:color w:val="auto"/>
        </w:rPr>
      </w:pPr>
    </w:p>
    <w:p>
      <w:pPr>
        <w:ind w:right="260" w:firstLine="913"/>
        <w:spacing w:after="0" w:line="27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Series 2009-3 Unpaid Demand Amount</w:t>
      </w:r>
      <w:r>
        <w:rPr>
          <w:rFonts w:ascii="Times New Roman" w:cs="Times New Roman" w:eastAsia="Times New Roman" w:hAnsi="Times New Roman"/>
          <w:sz w:val="18"/>
          <w:szCs w:val="18"/>
          <w:color w:val="auto"/>
        </w:rPr>
        <w:t>” means, with respect to any single draw pursuant to Section 3.5(c) or (d) on the Series 2009-3 Letters of Credit, the aggregate amount drawn by the Trustee on all Series 2009-3 Letters of Credit.</w:t>
      </w:r>
    </w:p>
    <w:p>
      <w:pPr>
        <w:spacing w:after="0" w:line="1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Standard &amp; Poor’s</w:t>
      </w:r>
      <w:r>
        <w:rPr>
          <w:rFonts w:ascii="Times New Roman" w:cs="Times New Roman" w:eastAsia="Times New Roman" w:hAnsi="Times New Roman"/>
          <w:sz w:val="18"/>
          <w:szCs w:val="18"/>
          <w:color w:val="auto"/>
        </w:rPr>
        <w:t>” means Standard &amp; Poor’s Ratings Services, a division of The McGraw-Hill Companies, Inc.</w:t>
      </w:r>
    </w:p>
    <w:p>
      <w:pPr>
        <w:spacing w:after="0" w:line="171" w:lineRule="exact"/>
        <w:rPr>
          <w:sz w:val="20"/>
          <w:szCs w:val="20"/>
          <w:color w:val="auto"/>
        </w:rPr>
      </w:pPr>
    </w:p>
    <w:p>
      <w:pPr>
        <w:ind w:right="80" w:firstLine="913"/>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Standard &amp; Poor’s Excluded Manufacturer Receivable Specified Percentage</w:t>
      </w:r>
      <w:r>
        <w:rPr>
          <w:rFonts w:ascii="Times New Roman" w:cs="Times New Roman" w:eastAsia="Times New Roman" w:hAnsi="Times New Roman"/>
          <w:sz w:val="18"/>
          <w:szCs w:val="18"/>
          <w:color w:val="auto"/>
        </w:rPr>
        <w:t xml:space="preserve">” means, as of any date of determination, with respect to each Standard &amp; Poor’s Non-Investment Grade Manufacturer as of such date, the percentage (not to exceed 100%) most recently specified in writing by Standard &amp; Poor’s to ABRCF and the Trustee with respect to such Standard &amp; Poor’s Non-Investment Grade Manufacturer;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as of the Effective Date the Standard &amp; Poor’s Excluded Manufacturer Receivable Specified Percentage for each Standard &amp; Poor’s Non-Investment Grade Manufacturer shall be 100%;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the initial Standard &amp; Poor’s Excluded Manufacturer Receivable Specified Percentage with respect to any Manufacturer that becomes a Standard &amp; Poor’s Non-Investment Grade Manufacturer after the Effective Date shall be 100%.</w:t>
      </w:r>
    </w:p>
    <w:p>
      <w:pPr>
        <w:spacing w:after="0" w:line="139" w:lineRule="exact"/>
        <w:rPr>
          <w:sz w:val="20"/>
          <w:szCs w:val="20"/>
          <w:color w:val="auto"/>
        </w:rPr>
      </w:pPr>
    </w:p>
    <w:p>
      <w:pPr>
        <w:ind w:firstLine="913"/>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Standard &amp; Poor’s Excluded Receivable Amount</w:t>
      </w:r>
      <w:r>
        <w:rPr>
          <w:rFonts w:ascii="Times New Roman" w:cs="Times New Roman" w:eastAsia="Times New Roman" w:hAnsi="Times New Roman"/>
          <w:sz w:val="18"/>
          <w:szCs w:val="18"/>
          <w:color w:val="auto"/>
        </w:rPr>
        <w:t>” means, as of any date of determination, the sum of the following amounts with respect to each Standard &amp; Poor’s Non-Investment Grade Manufacturer as of such date: the product of (i) to the extent such amounts are included in the calculation of the AESOP I Operating Lease Loan Agreement Borrowing Base as of such date, all amounts receivable, as of such date, by AESOP Leasing or the Intermediary from such Standard &amp; Poor’s Non-Investment Grade Manufacturer and (ii) the Standard &amp; Poor’s Excluded Manufacturer Receivable Specified Percentage for such Standard &amp; Poor’s Non-Investment Grade Manufacturer as of such date.</w:t>
      </w:r>
    </w:p>
    <w:p>
      <w:pPr>
        <w:spacing w:after="0" w:line="139" w:lineRule="exact"/>
        <w:rPr>
          <w:sz w:val="20"/>
          <w:szCs w:val="20"/>
          <w:color w:val="auto"/>
        </w:rPr>
      </w:pPr>
    </w:p>
    <w:p>
      <w:pPr>
        <w:ind w:right="200" w:firstLine="913"/>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Standard &amp; Poor’s Non-Investment Grade Manufacturer</w:t>
      </w:r>
      <w:r>
        <w:rPr>
          <w:rFonts w:ascii="Times New Roman" w:cs="Times New Roman" w:eastAsia="Times New Roman" w:hAnsi="Times New Roman"/>
          <w:sz w:val="18"/>
          <w:szCs w:val="18"/>
          <w:color w:val="auto"/>
        </w:rPr>
        <w:t xml:space="preserve">” means, as of any date of determination, any Manufacturer that (i) is not a Bankrupt Manufacturer and (ii) does not have a long-term senior unsecured debt rating of at least “AA-” from Standard &amp; Poor’s;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Manufacturer whose long-term senior unsecured debt rating is downgraded from at least “AA-” to below “AA-” by Standard &amp; Poor’s after the A&amp;R Effective Date shall not be deemed a Standard &amp; Poor’s Non-Investment Grade Manufacturer until the thirtieth (30</w:t>
      </w:r>
      <w:r>
        <w:rPr>
          <w:rFonts w:ascii="Times New Roman" w:cs="Times New Roman" w:eastAsia="Times New Roman" w:hAnsi="Times New Roman"/>
          <w:sz w:val="11"/>
          <w:szCs w:val="11"/>
          <w:color w:val="auto"/>
        </w:rPr>
        <w:t>th</w:t>
      </w:r>
      <w:r>
        <w:rPr>
          <w:rFonts w:ascii="Times New Roman" w:cs="Times New Roman" w:eastAsia="Times New Roman" w:hAnsi="Times New Roman"/>
          <w:sz w:val="18"/>
          <w:szCs w:val="18"/>
          <w:color w:val="auto"/>
        </w:rPr>
        <w:t>) calendar day following such downgrade.</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400"/>
          </w:cols>
          <w:pgMar w:left="240" w:top="274" w:right="259" w:bottom="1440" w:gutter="0" w:footer="0" w:header="0"/>
        </w:sectPr>
      </w:pPr>
    </w:p>
    <w:bookmarkStart w:id="199" w:name="page200"/>
    <w:bookmarkEnd w:id="199"/>
    <w:p>
      <w:pPr>
        <w:ind w:right="60" w:firstLine="913"/>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Statutory Reserve Rate</w:t>
      </w:r>
      <w:r>
        <w:rPr>
          <w:rFonts w:ascii="Times New Roman" w:cs="Times New Roman" w:eastAsia="Times New Roman" w:hAnsi="Times New Roman"/>
          <w:sz w:val="18"/>
          <w:szCs w:val="18"/>
          <w:color w:val="auto"/>
        </w:rPr>
        <w:t xml:space="preserve">” means a fraction (expressed as a decimal), the numerator of which is the number one and the denominator of which is the number one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the aggregate of the maximum reserve percentages (including any marginal, special, emergency or supplemental reserves) expressed as a decimal (rounded up to the nearest 1/100th of 1%) established by the Board with respect to the Adjusted LIBO Rate, for eurocurrency funding (currently referred to as “Eurocurrency Liabilities” in Regulation D of the Board). Such reserve percentages shall include those imposed pursuant to Regulation D. Eurodollar Tranches shall be deemed to constitute eurocurrency funding and to be subject to such reserve requirements without benefit of or credit for proration, exemptions or offsets that may be available from time to time under such Regulation D or comparable regulation. The Statutory Reserve Rate shall be adjusted automatically on and as of the effective date of any change in the reserve percentage.</w:t>
      </w:r>
    </w:p>
    <w:p>
      <w:pPr>
        <w:spacing w:after="0" w:line="14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Supplement</w:t>
      </w:r>
      <w:r>
        <w:rPr>
          <w:rFonts w:ascii="Times New Roman" w:cs="Times New Roman" w:eastAsia="Times New Roman" w:hAnsi="Times New Roman"/>
          <w:sz w:val="18"/>
          <w:szCs w:val="18"/>
          <w:color w:val="auto"/>
        </w:rPr>
        <w:t>” is defined in the recitals hereto.</w:t>
      </w:r>
    </w:p>
    <w:p>
      <w:pPr>
        <w:spacing w:after="0" w:line="17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means any and all present or future taxes, levies, imposts, duties, deductions, charges or withholdings imposed by any Governmental</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Authority.</w:t>
      </w:r>
    </w:p>
    <w:p>
      <w:pPr>
        <w:spacing w:after="0" w:line="15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Termination Date Disbursement</w:t>
      </w:r>
      <w:r>
        <w:rPr>
          <w:rFonts w:ascii="Times New Roman" w:cs="Times New Roman" w:eastAsia="Times New Roman" w:hAnsi="Times New Roman"/>
          <w:sz w:val="18"/>
          <w:szCs w:val="18"/>
          <w:color w:val="auto"/>
        </w:rPr>
        <w:t>” means an amount drawn under a Series 2009-3 Letter of Credit pursuant to a Certificate of Termination Date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Demand.</w:t>
      </w:r>
    </w:p>
    <w:p>
      <w:pPr>
        <w:spacing w:after="0" w:line="15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Termination Disbursement</w:t>
      </w:r>
      <w:r>
        <w:rPr>
          <w:rFonts w:ascii="Times New Roman" w:cs="Times New Roman" w:eastAsia="Times New Roman" w:hAnsi="Times New Roman"/>
          <w:sz w:val="18"/>
          <w:szCs w:val="18"/>
          <w:color w:val="auto"/>
        </w:rPr>
        <w:t>” means an amount drawn under a Series 2009-3 Letter of Credit pursuant to a Certificate of Termination Demand.</w:t>
      </w:r>
    </w:p>
    <w:p>
      <w:pPr>
        <w:spacing w:after="0" w:line="17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Transfer Supplement</w:t>
      </w:r>
      <w:r>
        <w:rPr>
          <w:rFonts w:ascii="Times New Roman" w:cs="Times New Roman" w:eastAsia="Times New Roman" w:hAnsi="Times New Roman"/>
          <w:sz w:val="18"/>
          <w:szCs w:val="18"/>
          <w:color w:val="auto"/>
        </w:rPr>
        <w:t>” is defined in Section 11.1(c).</w:t>
      </w:r>
    </w:p>
    <w:p>
      <w:pPr>
        <w:spacing w:after="0" w:line="17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Transferee</w:t>
      </w:r>
      <w:r>
        <w:rPr>
          <w:rFonts w:ascii="Times New Roman" w:cs="Times New Roman" w:eastAsia="Times New Roman" w:hAnsi="Times New Roman"/>
          <w:sz w:val="18"/>
          <w:szCs w:val="18"/>
          <w:color w:val="auto"/>
        </w:rPr>
        <w:t>” is defined in Section 11.1(f).</w:t>
      </w:r>
    </w:p>
    <w:p>
      <w:pPr>
        <w:spacing w:after="0" w:line="17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Trustee</w:t>
      </w:r>
      <w:r>
        <w:rPr>
          <w:rFonts w:ascii="Times New Roman" w:cs="Times New Roman" w:eastAsia="Times New Roman" w:hAnsi="Times New Roman"/>
          <w:sz w:val="18"/>
          <w:szCs w:val="18"/>
          <w:color w:val="auto"/>
        </w:rPr>
        <w:t>” is defined in the recitals hereto.</w:t>
      </w:r>
    </w:p>
    <w:p>
      <w:pPr>
        <w:spacing w:after="0" w:line="171" w:lineRule="exact"/>
        <w:rPr>
          <w:sz w:val="20"/>
          <w:szCs w:val="20"/>
          <w:color w:val="auto"/>
        </w:rPr>
      </w:pPr>
    </w:p>
    <w:p>
      <w:pPr>
        <w:ind w:right="160" w:firstLine="913"/>
        <w:spacing w:after="0" w:line="27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Unpaid Demand Note Disbursement</w:t>
      </w:r>
      <w:r>
        <w:rPr>
          <w:rFonts w:ascii="Times New Roman" w:cs="Times New Roman" w:eastAsia="Times New Roman" w:hAnsi="Times New Roman"/>
          <w:sz w:val="18"/>
          <w:szCs w:val="18"/>
          <w:color w:val="auto"/>
        </w:rPr>
        <w:t>” means an amount drawn under a Series 2009-3 Letter of Credit pursuant to a Certificate of Unpaid Demand Note Demand.</w:t>
      </w:r>
    </w:p>
    <w:p>
      <w:pPr>
        <w:spacing w:after="0" w:line="120" w:lineRule="exact"/>
        <w:rPr>
          <w:sz w:val="20"/>
          <w:szCs w:val="20"/>
          <w:color w:val="auto"/>
        </w:rPr>
      </w:pPr>
    </w:p>
    <w:p>
      <w:pPr>
        <w:ind w:firstLine="913"/>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Voting Stock</w:t>
      </w:r>
      <w:r>
        <w:rPr>
          <w:rFonts w:ascii="Times New Roman" w:cs="Times New Roman" w:eastAsia="Times New Roman" w:hAnsi="Times New Roman"/>
          <w:sz w:val="18"/>
          <w:szCs w:val="18"/>
          <w:color w:val="auto"/>
        </w:rPr>
        <w:t>” means, with respect to any Person, the common stock or membership interests of such Person and any other security of, or ownership interest in, such Person having ordinary voting power to elect a majority of the board of directors or a majority of the managers (or other Persons serving similar functions) of such Person.</w:t>
      </w:r>
    </w:p>
    <w:p>
      <w:pPr>
        <w:spacing w:after="0" w:line="13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Waiver Event</w:t>
      </w:r>
      <w:r>
        <w:rPr>
          <w:rFonts w:ascii="Times New Roman" w:cs="Times New Roman" w:eastAsia="Times New Roman" w:hAnsi="Times New Roman"/>
          <w:sz w:val="18"/>
          <w:szCs w:val="18"/>
          <w:color w:val="auto"/>
        </w:rPr>
        <w:t>” means the occurrence of the delivery of a Waiver Request and the subsequent waiver of any Series 2009-3 Maximum Amount.</w:t>
      </w:r>
    </w:p>
    <w:p>
      <w:pPr>
        <w:spacing w:after="0" w:line="17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Waiver Request</w:t>
      </w:r>
      <w:r>
        <w:rPr>
          <w:rFonts w:ascii="Times New Roman" w:cs="Times New Roman" w:eastAsia="Times New Roman" w:hAnsi="Times New Roman"/>
          <w:sz w:val="18"/>
          <w:szCs w:val="18"/>
          <w:color w:val="auto"/>
        </w:rPr>
        <w:t>” is defined in Article V.</w:t>
      </w:r>
    </w:p>
    <w:p>
      <w:pPr>
        <w:spacing w:after="0" w:line="250"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171"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8"/>
          <w:szCs w:val="18"/>
          <w:b w:val="1"/>
          <w:bCs w:val="1"/>
          <w:color w:val="auto"/>
        </w:rPr>
        <w:t>PURCHASE AND SALE OF SERIES 2009-3 NOTES;</w:t>
      </w:r>
    </w:p>
    <w:p>
      <w:pPr>
        <w:spacing w:after="0" w:line="23" w:lineRule="exact"/>
        <w:rPr>
          <w:sz w:val="20"/>
          <w:szCs w:val="20"/>
          <w:color w:val="auto"/>
        </w:rPr>
      </w:pPr>
    </w:p>
    <w:p>
      <w:pPr>
        <w:ind w:left="920" w:right="2780" w:firstLine="1888"/>
        <w:spacing w:after="0" w:line="423" w:lineRule="auto"/>
        <w:rPr>
          <w:sz w:val="20"/>
          <w:szCs w:val="20"/>
          <w:color w:val="auto"/>
        </w:rPr>
      </w:pPr>
      <w:r>
        <w:rPr>
          <w:rFonts w:ascii="Times New Roman" w:cs="Times New Roman" w:eastAsia="Times New Roman" w:hAnsi="Times New Roman"/>
          <w:sz w:val="18"/>
          <w:szCs w:val="18"/>
          <w:b w:val="1"/>
          <w:bCs w:val="1"/>
          <w:color w:val="auto"/>
        </w:rPr>
        <w:t xml:space="preserve">INCREASES AND DECREASES OF SERIES 2009-3 INVESTED AMOUNT </w:t>
      </w:r>
      <w:r>
        <w:rPr>
          <w:rFonts w:ascii="Times New Roman" w:cs="Times New Roman" w:eastAsia="Times New Roman" w:hAnsi="Times New Roman"/>
          <w:sz w:val="18"/>
          <w:szCs w:val="18"/>
          <w:color w:val="auto"/>
        </w:rPr>
        <w:t xml:space="preserve">Section 2.1. </w:t>
      </w:r>
      <w:r>
        <w:rPr>
          <w:rFonts w:ascii="Times New Roman" w:cs="Times New Roman" w:eastAsia="Times New Roman" w:hAnsi="Times New Roman"/>
          <w:sz w:val="18"/>
          <w:szCs w:val="18"/>
          <w:u w:val="single" w:color="auto"/>
          <w:color w:val="auto"/>
        </w:rPr>
        <w:t>Purchases of the Series 2009-3 Notes</w:t>
      </w:r>
      <w:r>
        <w:rPr>
          <w:rFonts w:ascii="Times New Roman" w:cs="Times New Roman" w:eastAsia="Times New Roman" w:hAnsi="Times New Roman"/>
          <w:sz w:val="18"/>
          <w:szCs w:val="18"/>
          <w:color w:val="auto"/>
        </w:rPr>
        <w:t>.</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400"/>
          </w:cols>
          <w:pgMar w:left="240" w:top="274" w:right="259" w:bottom="1440" w:gutter="0" w:footer="0" w:header="0"/>
        </w:sectPr>
      </w:pPr>
    </w:p>
    <w:bookmarkStart w:id="200" w:name="page201"/>
    <w:bookmarkEnd w:id="200"/>
    <w:p>
      <w:pPr>
        <w:ind w:left="-20" w:firstLine="921"/>
        <w:spacing w:after="0" w:line="252" w:lineRule="auto"/>
        <w:tabs>
          <w:tab w:leader="none" w:pos="1132"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Initial Purchases</w:t>
      </w:r>
      <w:r>
        <w:rPr>
          <w:rFonts w:ascii="Times New Roman" w:cs="Times New Roman" w:eastAsia="Times New Roman" w:hAnsi="Times New Roman"/>
          <w:sz w:val="18"/>
          <w:szCs w:val="18"/>
          <w:color w:val="auto"/>
        </w:rPr>
        <w:t>. Subject to the terms and conditions of this Supplement, including delivery of notice in accordance with Section 2.3, (i) each CP Conduit Purchaser may, in its sole discretion, purchase a Series 2009-3 Note in an amount equal to all or a portion of its Commitment Percentage of the Series 2009-3 Initial Invested Amount on any Business Day during the period from the Effective Date (the “</w:t>
      </w:r>
      <w:r>
        <w:rPr>
          <w:rFonts w:ascii="Times New Roman" w:cs="Times New Roman" w:eastAsia="Times New Roman" w:hAnsi="Times New Roman"/>
          <w:sz w:val="18"/>
          <w:szCs w:val="18"/>
          <w:u w:val="single" w:color="auto"/>
          <w:color w:val="auto"/>
        </w:rPr>
        <w:t>Series 2009-3 Closing Date</w:t>
      </w:r>
      <w:r>
        <w:rPr>
          <w:rFonts w:ascii="Times New Roman" w:cs="Times New Roman" w:eastAsia="Times New Roman" w:hAnsi="Times New Roman"/>
          <w:sz w:val="18"/>
          <w:szCs w:val="18"/>
          <w:color w:val="auto"/>
        </w:rPr>
        <w:t>”) to and including the Expiry Date with respect to such CP Conduit Purchaser, and if such CP Conduit Purchaser shall have notified the Administrative Agent and the Funding Agent with respect to such CP Conduit Purchaser that it has elected not to fund a Series 2009-3 Note in an amount equal to its Commitment Percentage of the Series 2009-3 Initial Invested Amount on the Series 2009-3 Closing Date, each APA Bank with respect to such CP Conduit Purchaser shall fund on the Series 2009-3 Closing Date its APA Bank Percentage of that portion of such Series 2009-3 Note not to be funded by such CP Conduit Purchaser and (ii) thereafter, (A) if a CP Conduit Purchaser shall have purchased a Series 2009-3 Note on the Series 2009-3 Closing Date, such CP Conduit Purchaser may, in its sole discretion, maintain its Series 2009-3 Note, subject to increase or decrease during the period from the Series 2009-3 Closing Date to and including the Expiry Date with respect to such CP Conduit Purchaser, in accordance with the provisions of this Supplement and (B) the APA Banks with respect to such CP Conduit Purchaser shall maintain their respective APA Bank Percentages of the Series 2009-3 Note with respect to such Purchaser Group, subject to increase or decrease during the period from the Series 2009-3 Closing Date to and including the Expiry Date with respect to such CP Conduit Purchaser, in accordance with the provisions of this Supplement. Payments by each CP Conduit Purchaser and/or the APA Banks with respect to such CP Conduit Purchaser shall be made in immediately available funds on the Series 2009-3 Closing Date to the Funding Agent with respect to such CP Conduit Purchaser for remittance to the Trustee for deposit into the Series 2009-3 Collection Account.</w:t>
      </w:r>
    </w:p>
    <w:p>
      <w:pPr>
        <w:spacing w:after="0" w:line="143" w:lineRule="exact"/>
        <w:rPr>
          <w:rFonts w:ascii="Times New Roman" w:cs="Times New Roman" w:eastAsia="Times New Roman" w:hAnsi="Times New Roman"/>
          <w:sz w:val="18"/>
          <w:szCs w:val="18"/>
          <w:color w:val="auto"/>
        </w:rPr>
      </w:pPr>
    </w:p>
    <w:p>
      <w:pPr>
        <w:jc w:val="both"/>
        <w:ind w:left="-20" w:right="200" w:firstLine="921"/>
        <w:spacing w:after="0" w:line="258" w:lineRule="auto"/>
        <w:tabs>
          <w:tab w:leader="none" w:pos="1141"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Maximum Purchaser Group Invested Amounts</w:t>
      </w:r>
      <w:r>
        <w:rPr>
          <w:rFonts w:ascii="Times New Roman" w:cs="Times New Roman" w:eastAsia="Times New Roman" w:hAnsi="Times New Roman"/>
          <w:sz w:val="18"/>
          <w:szCs w:val="18"/>
          <w:color w:val="auto"/>
        </w:rPr>
        <w:t>. Notwithstanding anything to the contrary contained in this Supplement, at no time shall a Purchaser Group be required to make the initial purchase of a Series 2009-3 Note or increase its Purchaser Group Invested Amount if the Purchaser Group Invested Amount with respect to such Purchaser Group, after giving effect to such purchase or increase, would exceed the Maximum Purchaser Group Invested Amount with respect to such Purchaser Group at such time.</w:t>
      </w:r>
    </w:p>
    <w:p>
      <w:pPr>
        <w:spacing w:after="0" w:line="136" w:lineRule="exact"/>
        <w:rPr>
          <w:rFonts w:ascii="Times New Roman" w:cs="Times New Roman" w:eastAsia="Times New Roman" w:hAnsi="Times New Roman"/>
          <w:sz w:val="18"/>
          <w:szCs w:val="18"/>
          <w:color w:val="auto"/>
        </w:rPr>
      </w:pPr>
    </w:p>
    <w:p>
      <w:pPr>
        <w:ind w:left="-20" w:right="80" w:firstLine="921"/>
        <w:spacing w:after="0" w:line="275" w:lineRule="auto"/>
        <w:tabs>
          <w:tab w:leader="none" w:pos="1132"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Form of Series 2009-3 Notes</w:t>
      </w:r>
      <w:r>
        <w:rPr>
          <w:rFonts w:ascii="Times New Roman" w:cs="Times New Roman" w:eastAsia="Times New Roman" w:hAnsi="Times New Roman"/>
          <w:sz w:val="18"/>
          <w:szCs w:val="18"/>
          <w:color w:val="auto"/>
        </w:rPr>
        <w:t xml:space="preserve">. The Series 2009-3 Notes shall be issued in fully registered form without interest coupons, substantially in the form set forth in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w:t>
      </w:r>
    </w:p>
    <w:p>
      <w:pPr>
        <w:spacing w:after="0" w:line="120"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 xml:space="preserve">Section 2.2. </w:t>
      </w:r>
      <w:r>
        <w:rPr>
          <w:rFonts w:ascii="Times New Roman" w:cs="Times New Roman" w:eastAsia="Times New Roman" w:hAnsi="Times New Roman"/>
          <w:sz w:val="18"/>
          <w:szCs w:val="18"/>
          <w:u w:val="single" w:color="auto"/>
          <w:color w:val="auto"/>
        </w:rPr>
        <w:t>Delivery</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ind w:left="-20" w:right="20" w:firstLine="921"/>
        <w:spacing w:after="0" w:line="258" w:lineRule="auto"/>
        <w:tabs>
          <w:tab w:leader="none" w:pos="1132"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Series 2009-3 Closing Date, ABRCF shall sign and shall direct the Trustee in writing pursuant to Section 2.2 of the Base Indenture to duly authenticate, and the Trustee, upon receiving such direction, shall so authenticate a Series 2009-3 Note in the name of the Funding Agent with respect to each Purchaser Group in an amount equal to the Maximum Purchaser Group Invested Amount with respect to such Purchaser Group and deliver such Series 2009-3 Note to such Funding Agent in accordance with such written directions.</w:t>
      </w:r>
    </w:p>
    <w:p>
      <w:pPr>
        <w:spacing w:after="0" w:line="136" w:lineRule="exact"/>
        <w:rPr>
          <w:rFonts w:ascii="Times New Roman" w:cs="Times New Roman" w:eastAsia="Times New Roman" w:hAnsi="Times New Roman"/>
          <w:sz w:val="18"/>
          <w:szCs w:val="18"/>
          <w:color w:val="auto"/>
        </w:rPr>
      </w:pPr>
    </w:p>
    <w:p>
      <w:pPr>
        <w:ind w:left="-20" w:right="320" w:firstLine="921"/>
        <w:spacing w:after="0" w:line="275" w:lineRule="auto"/>
        <w:tabs>
          <w:tab w:leader="none" w:pos="1142"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shall maintain a record of the actual Purchaser Group Invested Amount outstanding with respect to each Purchaser Group and the actual Series 2009-3 Invested Amount outstanding on any date of determination, which, absent manifest error,</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400"/>
          </w:cols>
          <w:pgMar w:left="260" w:top="274" w:right="239" w:bottom="1440" w:gutter="0" w:footer="0" w:header="0"/>
        </w:sectPr>
      </w:pPr>
    </w:p>
    <w:bookmarkStart w:id="201" w:name="page202"/>
    <w:bookmarkEnd w:id="201"/>
    <w:p>
      <w:pPr>
        <w:jc w:val="both"/>
        <w:ind w:right="140"/>
        <w:spacing w:after="0" w:line="310"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shall constitute </w:t>
      </w:r>
      <w:r>
        <w:rPr>
          <w:rFonts w:ascii="Times New Roman" w:cs="Times New Roman" w:eastAsia="Times New Roman" w:hAnsi="Times New Roman"/>
          <w:sz w:val="16"/>
          <w:szCs w:val="16"/>
          <w:u w:val="single" w:color="auto"/>
          <w:color w:val="auto"/>
        </w:rPr>
        <w:t>prima facie</w:t>
      </w:r>
      <w:r>
        <w:rPr>
          <w:rFonts w:ascii="Times New Roman" w:cs="Times New Roman" w:eastAsia="Times New Roman" w:hAnsi="Times New Roman"/>
          <w:sz w:val="16"/>
          <w:szCs w:val="16"/>
          <w:color w:val="auto"/>
        </w:rPr>
        <w:t xml:space="preserve"> evidence of the outstanding Purchaser Group Invested Amounts and outstanding Series 2009-3 Invested Amount from time to time. Upon a written request from the Trustee, the Administrative Agent shall provide in writing the identity of the Purchaser Groups, the related Funding Agents, the Purchaser Group Invested Amount for each Purchaser Group and the Commitment Percentage with respect to such Purchaser Group to the Trustee.</w:t>
      </w:r>
    </w:p>
    <w:p>
      <w:pPr>
        <w:spacing w:after="0" w:line="9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 xml:space="preserve">Section 2.3. </w:t>
      </w:r>
      <w:r>
        <w:rPr>
          <w:rFonts w:ascii="Times New Roman" w:cs="Times New Roman" w:eastAsia="Times New Roman" w:hAnsi="Times New Roman"/>
          <w:sz w:val="18"/>
          <w:szCs w:val="18"/>
          <w:u w:val="single" w:color="auto"/>
          <w:color w:val="auto"/>
        </w:rPr>
        <w:t>Procedure for Initial Issuance and for Increasing the Series 2009-3 Invested Amount</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ind w:right="20" w:firstLine="921"/>
        <w:spacing w:after="0" w:line="288" w:lineRule="auto"/>
        <w:tabs>
          <w:tab w:leader="none" w:pos="1152" w:val="left"/>
        </w:tabs>
        <w:numPr>
          <w:ilvl w:val="2"/>
          <w:numId w:val="1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Subject to Section 2.3(c), (i) on the Series 2009-3 Closing Date, each CP Conduit Purchaser may agree, in its sole discretion, to purchase, and the APA Banks with respect to such CP Conduit Purchaser shall agree to purchase, a Series 2009-3 Note in accordance with Section 2.1 and (ii) on any Business Day during the period from the Effective Date to and including the Expiry Date with respect to a CP Conduit Purchaser, such CP Conduit Purchaser may agree, in its sole discretion, and each APA Bank with respect to such CP Conduit Purchaser hereby agrees that the Purchaser Group Invested Amount with respect to such Purchaser Group may be increased by an amount equal to its APA Bank Percentage of the Commitment Percentage with respect to such Purchaser Group of the Increase Amount (an “</w:t>
      </w:r>
      <w:r>
        <w:rPr>
          <w:rFonts w:ascii="Times New Roman" w:cs="Times New Roman" w:eastAsia="Times New Roman" w:hAnsi="Times New Roman"/>
          <w:sz w:val="16"/>
          <w:szCs w:val="16"/>
          <w:u w:val="single" w:color="auto"/>
          <w:color w:val="auto"/>
        </w:rPr>
        <w:t>Increase</w:t>
      </w:r>
      <w:r>
        <w:rPr>
          <w:rFonts w:ascii="Times New Roman" w:cs="Times New Roman" w:eastAsia="Times New Roman" w:hAnsi="Times New Roman"/>
          <w:sz w:val="16"/>
          <w:szCs w:val="16"/>
          <w:color w:val="auto"/>
        </w:rPr>
        <w:t>”), upon the request of ABRCF (each date on which an increase in the Series 2009-3 Invested Amount occurs hereunder being herein referred to as the “</w:t>
      </w:r>
      <w:r>
        <w:rPr>
          <w:rFonts w:ascii="Times New Roman" w:cs="Times New Roman" w:eastAsia="Times New Roman" w:hAnsi="Times New Roman"/>
          <w:sz w:val="16"/>
          <w:szCs w:val="16"/>
          <w:u w:val="single" w:color="auto"/>
          <w:color w:val="auto"/>
        </w:rPr>
        <w:t>Increase Date</w:t>
      </w:r>
      <w:r>
        <w:rPr>
          <w:rFonts w:ascii="Times New Roman" w:cs="Times New Roman" w:eastAsia="Times New Roman" w:hAnsi="Times New Roman"/>
          <w:sz w:val="16"/>
          <w:szCs w:val="16"/>
          <w:color w:val="auto"/>
        </w:rPr>
        <w:t xml:space="preserve">” applicable to such Increase);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xml:space="preserve">, that ABRCF shall have given the Administrative Agent (with a copy to the Trustee) irrevocable written notice (effective upon receipt), by telecopy (receipt confirmed), substantially in the form of </w:t>
      </w:r>
      <w:r>
        <w:rPr>
          <w:rFonts w:ascii="Times New Roman" w:cs="Times New Roman" w:eastAsia="Times New Roman" w:hAnsi="Times New Roman"/>
          <w:sz w:val="16"/>
          <w:szCs w:val="16"/>
          <w:u w:val="single" w:color="auto"/>
          <w:color w:val="auto"/>
        </w:rPr>
        <w:t>Exhibit B</w:t>
      </w:r>
      <w:r>
        <w:rPr>
          <w:rFonts w:ascii="Times New Roman" w:cs="Times New Roman" w:eastAsia="Times New Roman" w:hAnsi="Times New Roman"/>
          <w:sz w:val="16"/>
          <w:szCs w:val="16"/>
          <w:color w:val="auto"/>
        </w:rPr>
        <w:t>, of such request no later than 3:00 p.m. (New York City time) on the second Business Day prior to the Series 2009-3 Closing Date or such Increase Date, as the case may be. Such notice shall state (x) the Series 2009-3 Closing Date or the Increase Date, as the case may be, and (y) the initial invested amount (the “</w:t>
      </w:r>
      <w:r>
        <w:rPr>
          <w:rFonts w:ascii="Times New Roman" w:cs="Times New Roman" w:eastAsia="Times New Roman" w:hAnsi="Times New Roman"/>
          <w:sz w:val="16"/>
          <w:szCs w:val="16"/>
          <w:u w:val="single" w:color="auto"/>
          <w:color w:val="auto"/>
        </w:rPr>
        <w:t>Series 2009-3 Initial Invested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Amount</w:t>
      </w:r>
      <w:r>
        <w:rPr>
          <w:rFonts w:ascii="Times New Roman" w:cs="Times New Roman" w:eastAsia="Times New Roman" w:hAnsi="Times New Roman"/>
          <w:sz w:val="16"/>
          <w:szCs w:val="16"/>
          <w:color w:val="auto"/>
        </w:rPr>
        <w:t>”) or the proposed amount of the increase in the Series 2009-3 Invested Amount (an “</w:t>
      </w:r>
      <w:r>
        <w:rPr>
          <w:rFonts w:ascii="Times New Roman" w:cs="Times New Roman" w:eastAsia="Times New Roman" w:hAnsi="Times New Roman"/>
          <w:sz w:val="16"/>
          <w:szCs w:val="16"/>
          <w:u w:val="single" w:color="auto"/>
          <w:color w:val="auto"/>
        </w:rPr>
        <w:t>Increase Amount</w:t>
      </w:r>
      <w:r>
        <w:rPr>
          <w:rFonts w:ascii="Times New Roman" w:cs="Times New Roman" w:eastAsia="Times New Roman" w:hAnsi="Times New Roman"/>
          <w:sz w:val="16"/>
          <w:szCs w:val="16"/>
          <w:color w:val="auto"/>
        </w:rPr>
        <w:t>”), as the case may be.</w:t>
      </w:r>
    </w:p>
    <w:p>
      <w:pPr>
        <w:spacing w:after="0" w:line="331" w:lineRule="exact"/>
        <w:rPr>
          <w:rFonts w:ascii="Times New Roman" w:cs="Times New Roman" w:eastAsia="Times New Roman" w:hAnsi="Times New Roman"/>
          <w:sz w:val="16"/>
          <w:szCs w:val="16"/>
          <w:color w:val="auto"/>
        </w:rPr>
      </w:pPr>
    </w:p>
    <w:p>
      <w:pPr>
        <w:ind w:firstLine="921"/>
        <w:spacing w:after="0" w:line="258" w:lineRule="auto"/>
        <w:tabs>
          <w:tab w:leader="none" w:pos="1162" w:val="left"/>
        </w:tabs>
        <w:numPr>
          <w:ilvl w:val="2"/>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CP Conduit Purchaser elects not to fund the full amount of its Commitment Percentage of the Series 2009-3 Initial Invested Amount or a requested Increase, such CP Conduit Purchaser shall notify the Administrative Agent and the Funding Agent with respect to such CP Conduit Purchaser, and each APA Bank with respect to such CP Conduit Purchaser shall fund its APA Bank Percentage of the portion of the Commitment Percentage with respect to such Purchaser Group of the Series 2009-3 Initial Invested Amount or such Increase, as the case may be, not funded by such CP Conduit Purchaser.</w:t>
      </w:r>
    </w:p>
    <w:p>
      <w:pPr>
        <w:spacing w:after="0" w:line="136" w:lineRule="exact"/>
        <w:rPr>
          <w:rFonts w:ascii="Times New Roman" w:cs="Times New Roman" w:eastAsia="Times New Roman" w:hAnsi="Times New Roman"/>
          <w:sz w:val="18"/>
          <w:szCs w:val="18"/>
          <w:color w:val="auto"/>
        </w:rPr>
      </w:pPr>
    </w:p>
    <w:p>
      <w:pPr>
        <w:ind w:right="220" w:firstLine="921"/>
        <w:spacing w:after="0" w:line="275" w:lineRule="auto"/>
        <w:tabs>
          <w:tab w:leader="none" w:pos="1152" w:val="left"/>
        </w:tabs>
        <w:numPr>
          <w:ilvl w:val="2"/>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Purchaser Group shall be required to make the initial purchase of a Series 2009-3 Note on the Series 2009-3 Closing Date or to increase its Purchaser Group Invested Amount on any Increase Date hereunder unless:</w:t>
      </w:r>
    </w:p>
    <w:p>
      <w:pPr>
        <w:spacing w:after="0" w:line="38" w:lineRule="exact"/>
        <w:rPr>
          <w:rFonts w:ascii="Times New Roman" w:cs="Times New Roman" w:eastAsia="Times New Roman" w:hAnsi="Times New Roman"/>
          <w:sz w:val="18"/>
          <w:szCs w:val="18"/>
          <w:color w:val="auto"/>
        </w:rPr>
      </w:pPr>
    </w:p>
    <w:p>
      <w:pPr>
        <w:ind w:left="1120" w:hanging="217"/>
        <w:spacing w:after="0"/>
        <w:tabs>
          <w:tab w:leader="none" w:pos="1120" w:val="left"/>
        </w:tabs>
        <w:numPr>
          <w:ilvl w:val="1"/>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Purchaser Group’s Commitment Percentage of the Series 2009-3 Initial Invested Amount or such Increase Amount is equal to</w:t>
      </w:r>
    </w:p>
    <w:p>
      <w:pPr>
        <w:spacing w:after="0" w:line="21" w:lineRule="exact"/>
        <w:rPr>
          <w:rFonts w:ascii="Times New Roman" w:cs="Times New Roman" w:eastAsia="Times New Roman" w:hAnsi="Times New Roman"/>
          <w:sz w:val="18"/>
          <w:szCs w:val="18"/>
          <w:color w:val="auto"/>
        </w:rPr>
      </w:pPr>
    </w:p>
    <w:p>
      <w:pPr>
        <w:ind w:left="460" w:right="340" w:firstLine="4"/>
        <w:spacing w:after="0" w:line="261" w:lineRule="auto"/>
        <w:tabs>
          <w:tab w:leader="none" w:pos="748"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$1,000,000 or an integral multiple of $100,000 in excess thereof or (B) if less, the excess of the Maximum Purchaser Group Invested Amount with respect to such Purchaser Group over the Purchaser Group Invested Amount with respect to such Purchaser Group;</w:t>
      </w:r>
    </w:p>
    <w:p>
      <w:pPr>
        <w:spacing w:after="0" w:line="11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400"/>
          </w:cols>
          <w:pgMar w:left="240" w:top="274" w:right="259" w:bottom="1440" w:gutter="0" w:footer="0" w:header="0"/>
        </w:sectPr>
      </w:pPr>
    </w:p>
    <w:bookmarkStart w:id="202" w:name="page203"/>
    <w:bookmarkEnd w:id="202"/>
    <w:p>
      <w:pPr>
        <w:ind w:left="460" w:right="140" w:firstLine="443"/>
        <w:spacing w:after="0" w:line="275" w:lineRule="auto"/>
        <w:tabs>
          <w:tab w:leader="none" w:pos="1157"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after giving effect to the Series 2009-3 Initial Invested Amount or such Increase Amount, the Purchaser Group Invested Amount with respect to such Purchaser Group would not exceed the Maximum Purchaser Group Invested Amount with respect to such Purchaser Group;</w:t>
      </w:r>
    </w:p>
    <w:p>
      <w:pPr>
        <w:spacing w:after="0" w:line="38" w:lineRule="exact"/>
        <w:rPr>
          <w:rFonts w:ascii="Times New Roman" w:cs="Times New Roman" w:eastAsia="Times New Roman" w:hAnsi="Times New Roman"/>
          <w:sz w:val="18"/>
          <w:szCs w:val="18"/>
          <w:color w:val="auto"/>
        </w:rPr>
      </w:pPr>
    </w:p>
    <w:p>
      <w:pPr>
        <w:ind w:left="460" w:right="420" w:firstLine="443"/>
        <w:spacing w:after="0" w:line="275" w:lineRule="auto"/>
        <w:tabs>
          <w:tab w:leader="none" w:pos="1205"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giving effect to the Series 2009-3 Initial Invested Amount or such Increase Amount, no AESOP I Operating Lease Vehicle Deficiency would occur and be continuing;</w:t>
      </w:r>
    </w:p>
    <w:p>
      <w:pPr>
        <w:spacing w:after="0" w:line="38" w:lineRule="exact"/>
        <w:rPr>
          <w:rFonts w:ascii="Times New Roman" w:cs="Times New Roman" w:eastAsia="Times New Roman" w:hAnsi="Times New Roman"/>
          <w:sz w:val="18"/>
          <w:szCs w:val="18"/>
          <w:color w:val="auto"/>
        </w:rPr>
      </w:pPr>
    </w:p>
    <w:p>
      <w:pPr>
        <w:ind w:left="460" w:firstLine="443"/>
        <w:spacing w:after="0" w:line="275" w:lineRule="auto"/>
        <w:tabs>
          <w:tab w:leader="none" w:pos="1196"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Amortization Event or Potential Amortization Event would occur and be continuing prior to or after giving effect to such Series 2009-3 Initial Invested Amount or such Increase;</w:t>
      </w:r>
    </w:p>
    <w:p>
      <w:pPr>
        <w:spacing w:after="0" w:line="38" w:lineRule="exact"/>
        <w:rPr>
          <w:rFonts w:ascii="Times New Roman" w:cs="Times New Roman" w:eastAsia="Times New Roman" w:hAnsi="Times New Roman"/>
          <w:sz w:val="18"/>
          <w:szCs w:val="18"/>
          <w:color w:val="auto"/>
        </w:rPr>
      </w:pPr>
    </w:p>
    <w:p>
      <w:pPr>
        <w:ind w:left="1160" w:hanging="257"/>
        <w:spacing w:after="0"/>
        <w:tabs>
          <w:tab w:leader="none" w:pos="116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more than two Increases have occurred in the four Business Days immediately preceding the date of such Increase;</w:t>
      </w:r>
    </w:p>
    <w:p>
      <w:pPr>
        <w:spacing w:after="0" w:line="90" w:lineRule="exact"/>
        <w:rPr>
          <w:rFonts w:ascii="Times New Roman" w:cs="Times New Roman" w:eastAsia="Times New Roman" w:hAnsi="Times New Roman"/>
          <w:sz w:val="18"/>
          <w:szCs w:val="18"/>
          <w:color w:val="auto"/>
        </w:rPr>
      </w:pPr>
    </w:p>
    <w:p>
      <w:pPr>
        <w:ind w:left="460" w:right="20" w:firstLine="443"/>
        <w:spacing w:after="0" w:line="258" w:lineRule="auto"/>
        <w:tabs>
          <w:tab w:leader="none" w:pos="1196"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representations and warranties made by each of ABRCF, the Lessees, the Lessors and the Administrator in the Base Indenture, this Supplement and the Related Documents to which each is a party are true and correct in all material respects on and as of the Series 2009-3 Closing Date or such Increase Date, as the case may be, as if made on and as of such date (except to the extent such representations and warranties are expressly made as of another date); and</w:t>
      </w:r>
    </w:p>
    <w:p>
      <w:pPr>
        <w:spacing w:after="0" w:line="55" w:lineRule="exact"/>
        <w:rPr>
          <w:rFonts w:ascii="Times New Roman" w:cs="Times New Roman" w:eastAsia="Times New Roman" w:hAnsi="Times New Roman"/>
          <w:sz w:val="18"/>
          <w:szCs w:val="18"/>
          <w:color w:val="auto"/>
        </w:rPr>
      </w:pPr>
    </w:p>
    <w:p>
      <w:pPr>
        <w:ind w:left="1240" w:hanging="337"/>
        <w:spacing w:after="0"/>
        <w:tabs>
          <w:tab w:leader="none" w:pos="124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conditions precedent to the making of any Loan under the applicable Loan Agreements would be satisfied.</w:t>
      </w:r>
    </w:p>
    <w:p>
      <w:pPr>
        <w:spacing w:after="0" w:line="171"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ABRCF’s acceptance of funds in connection with (x) the initial purchase of Series 2009-3 Notes on the Series 2009-3 Closing Date and (y) each Increase occurring on any Increase Date shall constitute a representation and warranty by ABRCF to the Purchaser Groups as of the Series 2009-3 Closing Date or such Increase Date (except to the extent such representations and warranties are expressly made as of another date), as the case may be, that all of the conditions contained in this Section 2.3(c) have been satisfied.</w:t>
      </w:r>
    </w:p>
    <w:p>
      <w:pPr>
        <w:spacing w:after="0" w:line="136" w:lineRule="exact"/>
        <w:rPr>
          <w:sz w:val="20"/>
          <w:szCs w:val="20"/>
          <w:color w:val="auto"/>
        </w:rPr>
      </w:pPr>
    </w:p>
    <w:p>
      <w:pPr>
        <w:ind w:right="20" w:firstLine="921"/>
        <w:spacing w:after="0" w:line="253" w:lineRule="auto"/>
        <w:tabs>
          <w:tab w:leader="none" w:pos="1162"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receipt of any notice required by Section 2.3(a) from ABRCF, the Administrative Agent shall forward (by telecopy or electronic messaging system) a copy of such notice to the Funding Agent with respect to each Purchaser Group, no later than 5:00 p.m. (New York City time) on the day received. After receipt by any Funding Agent with respect to a Purchaser Group of such notice from the Administrative Agent, such Funding Agent shall, so long as the conditions set forth in Sections 2.3(a) and (c) are satisfied, promptly provide telephonic notice to the related CP Conduit Purchaser and the related APA Banks, of the Increase Date and of such Purchaser Group’s Commitment Percentage of the Increase Amount. If such CP Conduit Purchaser elects to fund all or a portion of its Commitment Percentage of the Increase Amount, such CP Conduit Purchaser shall pay in immediately available funds its Commitment Percentage (or any portion thereof) of the amount of such Increase on the related Increase Date to the Funding Agent with respect to such Purchaser Group for deposit into the Series 2009-3 Collection Account. If such CP Conduit Purchaser does not fund the full amount of its Commitment Percentage of the Increase Amount and the related APA Banks are required</w:t>
      </w:r>
    </w:p>
    <w:p>
      <w:pPr>
        <w:spacing w:after="0" w:line="1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400"/>
          </w:cols>
          <w:pgMar w:left="240" w:top="274" w:right="259" w:bottom="1440" w:gutter="0" w:footer="0" w:header="0"/>
        </w:sectPr>
      </w:pPr>
    </w:p>
    <w:bookmarkStart w:id="203" w:name="page204"/>
    <w:bookmarkEnd w:id="203"/>
    <w:p>
      <w:pPr>
        <w:jc w:val="both"/>
        <w:ind w:right="20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to fund the portion thereof not funded by the CP Conduit Purchaser, each such APA Bank shall pay in immediately available funds its APA Bank Percentage of such portion on the related Increase Date to the Funding Agent with respect to such Purchaser Group for deposit in the Series 2009-3 Collection Account. Each Funding Agent shall remit the amounts received by it from its CP Conduit Purchaser or the related APA Banks pursuant to this Section 2.3(d) to the Trustee for deposit into the Series 2009-3 Collection Account.</w:t>
      </w:r>
    </w:p>
    <w:p>
      <w:pPr>
        <w:spacing w:after="0" w:line="136" w:lineRule="exact"/>
        <w:rPr>
          <w:sz w:val="20"/>
          <w:szCs w:val="20"/>
          <w:color w:val="auto"/>
        </w:rPr>
      </w:pPr>
    </w:p>
    <w:p>
      <w:pPr>
        <w:ind w:right="40" w:firstLine="913"/>
        <w:spacing w:after="0" w:line="258" w:lineRule="auto"/>
        <w:rPr>
          <w:sz w:val="20"/>
          <w:szCs w:val="20"/>
          <w:color w:val="auto"/>
        </w:rPr>
      </w:pPr>
      <w:r>
        <w:rPr>
          <w:rFonts w:ascii="Times New Roman" w:cs="Times New Roman" w:eastAsia="Times New Roman" w:hAnsi="Times New Roman"/>
          <w:sz w:val="18"/>
          <w:szCs w:val="18"/>
          <w:color w:val="auto"/>
        </w:rPr>
        <w:t xml:space="preserve">Section 2.4. </w:t>
      </w:r>
      <w:r>
        <w:rPr>
          <w:rFonts w:ascii="Times New Roman" w:cs="Times New Roman" w:eastAsia="Times New Roman" w:hAnsi="Times New Roman"/>
          <w:sz w:val="18"/>
          <w:szCs w:val="18"/>
          <w:u w:val="single" w:color="auto"/>
          <w:color w:val="auto"/>
        </w:rPr>
        <w:t>Sales by CP Conduit Purchasers of Series 2009-3 Notes to APA Banks</w:t>
      </w:r>
      <w:r>
        <w:rPr>
          <w:rFonts w:ascii="Times New Roman" w:cs="Times New Roman" w:eastAsia="Times New Roman" w:hAnsi="Times New Roman"/>
          <w:sz w:val="18"/>
          <w:szCs w:val="18"/>
          <w:color w:val="auto"/>
        </w:rPr>
        <w:t>. Notwithstanding any limitation to the contrary contained herein, each CP Conduit Purchaser may, in its own discretion, at any time, sell or assign all or any portion of its interest in its Series 2009-3 Note to any Conduit Assignee or to the APA Banks with respect to such CP Conduit Purchaser pursuant to, and subject to the terms and conditions of, the Asset Purchase Agreement with respect to such CP Conduit Purchaser.</w:t>
      </w:r>
    </w:p>
    <w:p>
      <w:pPr>
        <w:spacing w:after="0" w:line="13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 xml:space="preserve">Section 2.5. </w:t>
      </w:r>
      <w:r>
        <w:rPr>
          <w:rFonts w:ascii="Times New Roman" w:cs="Times New Roman" w:eastAsia="Times New Roman" w:hAnsi="Times New Roman"/>
          <w:sz w:val="18"/>
          <w:szCs w:val="18"/>
          <w:u w:val="single" w:color="auto"/>
          <w:color w:val="auto"/>
        </w:rPr>
        <w:t>Procedure for Decreasing the Series 2009-3 Invested Amount; Optional Termination</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ind w:firstLine="921"/>
        <w:spacing w:after="0" w:line="252" w:lineRule="auto"/>
        <w:tabs>
          <w:tab w:leader="none" w:pos="1152"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any Business Day prior to the occurrence of an Amortization Event, upon the written request of ABRCF or the Administrator on behalf of ABRCF, the Series 2009-3 Invested Amount may be reduced (a “</w:t>
      </w:r>
      <w:r>
        <w:rPr>
          <w:rFonts w:ascii="Times New Roman" w:cs="Times New Roman" w:eastAsia="Times New Roman" w:hAnsi="Times New Roman"/>
          <w:sz w:val="18"/>
          <w:szCs w:val="18"/>
          <w:u w:val="single" w:color="auto"/>
          <w:color w:val="auto"/>
        </w:rPr>
        <w:t>Decrease</w:t>
      </w:r>
      <w:r>
        <w:rPr>
          <w:rFonts w:ascii="Times New Roman" w:cs="Times New Roman" w:eastAsia="Times New Roman" w:hAnsi="Times New Roman"/>
          <w:sz w:val="18"/>
          <w:szCs w:val="18"/>
          <w:color w:val="auto"/>
        </w:rPr>
        <w:t xml:space="preserve">”) by the Trustee’s withdrawing (as set forth in such request) funds on deposit in the Series 2009-3 Excess Collection Account on such Business Day in an amount not to exceed the amount of such funds on deposit therein on such Business Day (after giving effect to any application pursuant to clauses (i), (ii) and (iii) of Section 3.2(e)), depositing such funds into the Series 2009-3 Distribution Account and distributing such funds to the Administrative Agent on such Business Day in accordance with Section 3.5(b);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ABRCF shall have given the Administrative Agent (with a copy to the Trustee) irrevocable written notice (effective upon receipt) of the amount of such Decrease prior to 9:30 a.m. (New York City time) on the second Business Day prior to such Decrease;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any such Decrease shall be in an amount equal to $10,000,000 and integral multiples of $1,000,000 in excess thereof (or if such Decrease will be used to reduce one or more Non-Extending Purchaser Group’s Purchaser Group Invested Amounts, such Decrease may be in such amount as is necessary to reduce the Purchaser Group Invested Amounts of all such Non-Extending Purchaser Groups to zero). Upon each Decrease, the Administrative Agent shall indicate in its records such Decrease and the Purchaser Group Invested Amount outstanding with respect to each Purchaser Group after giving effect to such Decrease. Upon receipt of any notice required by Section 2.5(a) from ABRCF, the Administrative Agent shall forward (by telecopy or electronic messaging system) a copy of such notice to the Funding Agent with respect to each Purchaser Group, no later than 1:00 p.m. (New York City time) on the Business Day received.</w:t>
      </w:r>
    </w:p>
    <w:p>
      <w:pPr>
        <w:spacing w:after="0" w:line="145" w:lineRule="exact"/>
        <w:rPr>
          <w:rFonts w:ascii="Times New Roman" w:cs="Times New Roman" w:eastAsia="Times New Roman" w:hAnsi="Times New Roman"/>
          <w:sz w:val="18"/>
          <w:szCs w:val="18"/>
          <w:color w:val="auto"/>
        </w:rPr>
      </w:pPr>
    </w:p>
    <w:p>
      <w:pPr>
        <w:ind w:right="140" w:firstLine="921"/>
        <w:spacing w:after="0" w:line="256" w:lineRule="auto"/>
        <w:tabs>
          <w:tab w:leader="none" w:pos="1162"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any Business Day, ABRCF shall have the right to deliver an irrevocable written notice (an “</w:t>
      </w:r>
      <w:r>
        <w:rPr>
          <w:rFonts w:ascii="Times New Roman" w:cs="Times New Roman" w:eastAsia="Times New Roman" w:hAnsi="Times New Roman"/>
          <w:sz w:val="18"/>
          <w:szCs w:val="18"/>
          <w:u w:val="single" w:color="auto"/>
          <w:color w:val="auto"/>
        </w:rPr>
        <w:t>Optional Termination Notice</w:t>
      </w:r>
      <w:r>
        <w:rPr>
          <w:rFonts w:ascii="Times New Roman" w:cs="Times New Roman" w:eastAsia="Times New Roman" w:hAnsi="Times New Roman"/>
          <w:sz w:val="18"/>
          <w:szCs w:val="18"/>
          <w:color w:val="auto"/>
        </w:rPr>
        <w:t>”) to the Administrative Agent, the Trustee, the Administrator, Standard &amp; Poor’s and the Rating Agencies in which ABRCF declares that the Commitments shall terminate on the date (the “</w:t>
      </w:r>
      <w:r>
        <w:rPr>
          <w:rFonts w:ascii="Times New Roman" w:cs="Times New Roman" w:eastAsia="Times New Roman" w:hAnsi="Times New Roman"/>
          <w:sz w:val="18"/>
          <w:szCs w:val="18"/>
          <w:u w:val="single" w:color="auto"/>
          <w:color w:val="auto"/>
        </w:rPr>
        <w:t>Optional Termination Date</w:t>
      </w:r>
      <w:r>
        <w:rPr>
          <w:rFonts w:ascii="Times New Roman" w:cs="Times New Roman" w:eastAsia="Times New Roman" w:hAnsi="Times New Roman"/>
          <w:sz w:val="18"/>
          <w:szCs w:val="18"/>
          <w:color w:val="auto"/>
        </w:rPr>
        <w:t>”) set forth in such notice (which date, in any event, shall be a Distribution Date not less than twenty Business Days from the date on which such notice is delivered). Upon receipt of any Optional Termination Notice from ABRCF, the Administrative Agent shall promptly notify the Funding Agent with respect to each Purchaser Group thereof.</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400"/>
          </w:cols>
          <w:pgMar w:left="240" w:top="274" w:right="259" w:bottom="1440" w:gutter="0" w:footer="0" w:header="0"/>
        </w:sectPr>
      </w:pPr>
    </w:p>
    <w:bookmarkStart w:id="204" w:name="page205"/>
    <w:bookmarkEnd w:id="204"/>
    <w:p>
      <w:pPr>
        <w:ind w:left="-40" w:right="200" w:firstLine="921"/>
        <w:spacing w:after="0" w:line="275" w:lineRule="auto"/>
        <w:tabs>
          <w:tab w:leader="none" w:pos="1112"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From and after the Optional Termination Date, the Series 2009-3 Amortization Period shall commence for all purposes under this Supplement, the Base Indenture and the Related Documents.</w:t>
      </w:r>
    </w:p>
    <w:p>
      <w:pPr>
        <w:spacing w:after="0" w:line="119" w:lineRule="exact"/>
        <w:rPr>
          <w:rFonts w:ascii="Times New Roman" w:cs="Times New Roman" w:eastAsia="Times New Roman" w:hAnsi="Times New Roman"/>
          <w:sz w:val="18"/>
          <w:szCs w:val="18"/>
          <w:color w:val="auto"/>
        </w:rPr>
      </w:pPr>
    </w:p>
    <w:p>
      <w:pPr>
        <w:ind w:left="-40" w:right="40" w:firstLine="921"/>
        <w:spacing w:after="0" w:line="310" w:lineRule="auto"/>
        <w:tabs>
          <w:tab w:leader="none" w:pos="1122" w:val="left"/>
        </w:tabs>
        <w:numPr>
          <w:ilvl w:val="0"/>
          <w:numId w:val="1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there are Principal Collections on deposit in the Series 2009-3 Excess Collection Account on any Business Day on which the Purchaser Group Invested Amount with respect to any Non-Extending Purchaser Group shall not have been reduced to zero and ABRCF would be permitted under the terms of Section 2.5(a) to effect a Decrease with such funds, ABRCF shall request such a Decrease in accordance with Section 2.5(a) on the earliest possible date.</w:t>
      </w:r>
    </w:p>
    <w:p>
      <w:pPr>
        <w:spacing w:after="0" w:line="9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 xml:space="preserve">Section 2.6. </w:t>
      </w:r>
      <w:r>
        <w:rPr>
          <w:rFonts w:ascii="Times New Roman" w:cs="Times New Roman" w:eastAsia="Times New Roman" w:hAnsi="Times New Roman"/>
          <w:sz w:val="18"/>
          <w:szCs w:val="18"/>
          <w:u w:val="single" w:color="auto"/>
          <w:color w:val="auto"/>
        </w:rPr>
        <w:t>Increases and Reductions of the Commitments; Extensions of the Commitments</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ind w:left="-40" w:right="40" w:firstLine="921"/>
        <w:spacing w:after="0" w:line="262" w:lineRule="auto"/>
        <w:tabs>
          <w:tab w:leader="none" w:pos="1112"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ABRCF may from time to time request that any Purchaser Group agree to increase the amount set forth opposite the name of the CP Conduit Purchaser included in such Purchaser Group on Schedule I. An increase in such amount shall be effective hereunder if such Purchaser Group shall have agreed in its sole discretion to such increase;</w:t>
      </w:r>
    </w:p>
    <w:p>
      <w:pPr>
        <w:spacing w:after="0" w:line="51" w:lineRule="exact"/>
        <w:rPr>
          <w:sz w:val="20"/>
          <w:szCs w:val="20"/>
          <w:color w:val="auto"/>
        </w:rPr>
      </w:pPr>
    </w:p>
    <w:p>
      <w:pPr>
        <w:ind w:left="420" w:firstLine="443"/>
        <w:spacing w:after="0" w:line="256" w:lineRule="auto"/>
        <w:tabs>
          <w:tab w:leader="none" w:pos="1117"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ABRCF may, from time to time, with two (2) Business Day notice to the Trustee, increase the Series 2009-3 Maximum Invested Amount without the consent of the Administrative Agent or any of the APA Banks by transferring the Dollar equivalent (determined using the currency exchange rate in effect as of the close of business three (3) Business Days prior to such transfer) of all or a portion of the Canadian Commitments of the APA Banks under the Canadian Variable Funding Note Facility on a pro rata basis to the Commitments of such APA Banks, subject to the terms and conditions of the Canadian Variable Funding Note Facility; and</w:t>
      </w:r>
    </w:p>
    <w:p>
      <w:pPr>
        <w:spacing w:after="0" w:line="57" w:lineRule="exact"/>
        <w:rPr>
          <w:rFonts w:ascii="Times New Roman" w:cs="Times New Roman" w:eastAsia="Times New Roman" w:hAnsi="Times New Roman"/>
          <w:sz w:val="18"/>
          <w:szCs w:val="18"/>
          <w:color w:val="auto"/>
        </w:rPr>
      </w:pPr>
    </w:p>
    <w:p>
      <w:pPr>
        <w:ind w:left="420" w:right="180" w:firstLine="443"/>
        <w:spacing w:after="0" w:line="258" w:lineRule="auto"/>
        <w:tabs>
          <w:tab w:leader="none" w:pos="1165"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 I shall be deemed to be amended to reflect any increase in the Maximum Purchaser Group Invested Amount of any Purchaser Group upon notice by ABRCF to the Administrative Agent and the Trustee of (x) the consent of such Purchaser Group in the case of an increase pursuant to clause (i) above and (y) the satisfaction of the conditions precedent to such transfer under the Canadian Variable Funding Note Facility in the case of an increase pursuant to clause (ii) above.</w:t>
      </w:r>
    </w:p>
    <w:p>
      <w:pPr>
        <w:spacing w:after="0" w:line="136" w:lineRule="exact"/>
        <w:rPr>
          <w:rFonts w:ascii="Times New Roman" w:cs="Times New Roman" w:eastAsia="Times New Roman" w:hAnsi="Times New Roman"/>
          <w:sz w:val="18"/>
          <w:szCs w:val="18"/>
          <w:color w:val="auto"/>
        </w:rPr>
      </w:pPr>
    </w:p>
    <w:p>
      <w:pPr>
        <w:ind w:left="-40" w:right="180" w:firstLine="921"/>
        <w:spacing w:after="0" w:line="254" w:lineRule="auto"/>
        <w:tabs>
          <w:tab w:leader="none" w:pos="1122" w:val="left"/>
        </w:tabs>
        <w:numPr>
          <w:ilvl w:val="1"/>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ABRCF desires to extend the Scheduled Expiry Date with respect to the Purchaser Groups, ABRCF shall notify the Administrative Agent at least 60 days prior to such Scheduled Expiry Date of its desire to extend the Scheduled Expiry Date with respect to the Purchaser Groups, whereupon the Administrative Agent shall notify the Funding Agent with respect to each Purchaser Group of ABRCF’s desire to so extend the Scheduled Expiry Date. Each Funding Agent, on behalf of its Purchaser Group, shall notify the Administrative Agent and ABRCF in writing of whether such Purchaser Group agrees to an extension of the Scheduled Expiry Date with respect to such Purchaser Group;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failure by a Funding Agent to respond to such request shall not be construed as a consent by such Purchaser Group to such extension. The decision to extend or not extend shall be made by each Purchaser Group in its sole discretion. In the event that any Purchaser Group desires to extend its Scheduled Expiry</w:t>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340"/>
          </w:cols>
          <w:pgMar w:left="280" w:top="274" w:right="279" w:bottom="1440" w:gutter="0" w:footer="0" w:header="0"/>
        </w:sectPr>
      </w:pPr>
    </w:p>
    <w:bookmarkStart w:id="205" w:name="page206"/>
    <w:bookmarkEnd w:id="205"/>
    <w:p>
      <w:pPr>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Date for an amount that is less than its Maximum Purchaser Group Invested Amount prior to ABRCF’s request for an extension, ABRCF, in its sole discretion,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may accept such extension;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such Purchaser Group (x) shall be deemed to be a Non-Extending Purchaser Group for purposes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Section 3.5 having a Purchaser Group Invested Amount equal to the excess of its Purchaser Group Invested Amount over a percentage of its Maximum Purchaser</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Group Invested Amount that will be available after the extension of its Scheduled Expiry Date equal to the percentage equivalent of a fraction, the numerator of</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which is the sum of the Purchaser Group Invested Amounts with respect to all Extending Purchaser Groups, other than such Purchaser Group and any other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Purchaser Group reducing its Maximum Purchaser Group Invested Amount, and the denominator of which is the sum of the Maximum Purchaser Group Invested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Amounts of all Extending Purchaser Groups, other than such Purchaser Group and any other Purchaser Group reducing its Maximum Purchaser Group Invested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Amount and (y) shall be deemed to be an Extending Purchaser Group with a Maximum Purchaser Group Invested Amount equal to the portion of its Maximum</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Purchaser Group Invested Amount that will be available after the extension of its Scheduled Expiry Date. In connection with any request by ABRCF to extend the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Scheduled Expiry Date pursuant to this Section 2.6(b), ABRCF shall provide (i) to the Administrative Agent, who shall provide to each Purchaser Group, on or</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prior to the effective date of any such extension, a certificate of the principal financial officer of ABRCF to the effect set forth in Schedule 8.3(d) of the Base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Indenture and (ii) notice to the Rating Agencies and Standard &amp; Poor’s of its request to extend the Scheduled Expiry Date.</w:t>
      </w:r>
    </w:p>
    <w:p>
      <w:pPr>
        <w:spacing w:after="0" w:line="159" w:lineRule="exact"/>
        <w:rPr>
          <w:sz w:val="20"/>
          <w:szCs w:val="20"/>
          <w:color w:val="auto"/>
        </w:rPr>
      </w:pPr>
    </w:p>
    <w:p>
      <w:pPr>
        <w:ind w:right="40" w:firstLine="921"/>
        <w:spacing w:after="0" w:line="253" w:lineRule="auto"/>
        <w:tabs>
          <w:tab w:leader="none" w:pos="1152"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 any Business Day during the Series 2009-3 Revolving Period, ABRCF may, upon two (2) Business Days’ prior written notice to the Administrative Agent (effective upon receipt) (with copies to the Administrator and the Trustee) reduce the Series 2009-3 Maximum Invested Amount in an amount equal to $10,000,000 or a whole multiple of $1,000,000 in excess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such termination or reduction shall be permitted if, after giving effect thereto and to any reduction in the Series 2009-3 Invested Amount on such date, the Purchaser Group Invested Amount with respect to any Purchaser Group would exceed the Maximum Purchaser Group Invested Amount with respect to such Purchaser Group then in effect. Any reduction in the Series 2009-3 Maximum Invested Amount shall be made on a </w:t>
      </w:r>
      <w:r>
        <w:rPr>
          <w:rFonts w:ascii="Times New Roman" w:cs="Times New Roman" w:eastAsia="Times New Roman" w:hAnsi="Times New Roman"/>
          <w:sz w:val="18"/>
          <w:szCs w:val="18"/>
          <w:u w:val="single" w:color="auto"/>
          <w:color w:val="auto"/>
        </w:rPr>
        <w:t>pro rata</w:t>
      </w:r>
      <w:r>
        <w:rPr>
          <w:rFonts w:ascii="Times New Roman" w:cs="Times New Roman" w:eastAsia="Times New Roman" w:hAnsi="Times New Roman"/>
          <w:sz w:val="18"/>
          <w:szCs w:val="18"/>
          <w:color w:val="auto"/>
        </w:rPr>
        <w:t xml:space="preserve"> basis to the Maximum Purchaser Group Invested Amounts with respect to the Purchaser Groups, based on the Maximum Purchaser Group Invested Amount with respect to each Purchaser Group. Once reduced, the Maximum Purchaser Group Invested Amounts may not be subsequently reinstated without each such Purchaser Group’s prior written consent, which consent shall be granted or not in the sole discretion of such Purchaser Group.</w:t>
      </w:r>
    </w:p>
    <w:p>
      <w:pPr>
        <w:spacing w:after="0" w:line="143" w:lineRule="exact"/>
        <w:rPr>
          <w:rFonts w:ascii="Times New Roman" w:cs="Times New Roman" w:eastAsia="Times New Roman" w:hAnsi="Times New Roman"/>
          <w:sz w:val="18"/>
          <w:szCs w:val="18"/>
          <w:color w:val="auto"/>
        </w:rPr>
      </w:pPr>
    </w:p>
    <w:p>
      <w:pPr>
        <w:ind w:right="60" w:firstLine="921"/>
        <w:spacing w:after="0" w:line="254" w:lineRule="auto"/>
        <w:tabs>
          <w:tab w:leader="none" w:pos="1162"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after receiving a request for extension of its Scheduled Expiry Date from ABRCF pursuant to Section 2.6(b), the Funding Agent with respect to a CP Conduit Purchaser notifies ABRCF in writing of its decision not to extend its Scheduled Expiry Date as requested or fails to respond to ABRCF’s request within 30 days of its receipt of such request, at the request of ABRCF, such CP Conduit Purchaser and the APA Banks with respect to such CP Conduit Purchaser shall on a Distribution Date thereafter selected by ABRCF (or such other date as may be agreed by ABRCF, the Funding Agent and the Administrative Agent) assign all or any portion of their respective rights and obligations under this Supplement and the Series 2009-3 Notes pursuant to Section 11.1 to a replacement CP Conduit Purchaser and the APA Banks with respect to such replacement CP Conduit Purchaser selected by ABRCF upon payment by the replacement CP Conduit Purchaser and the APA Banks with respect to such replacement CP</w:t>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420"/>
          </w:cols>
          <w:pgMar w:left="240" w:top="274" w:right="239" w:bottom="1440" w:gutter="0" w:footer="0" w:header="0"/>
        </w:sectPr>
      </w:pPr>
    </w:p>
    <w:bookmarkStart w:id="206" w:name="page207"/>
    <w:bookmarkEnd w:id="206"/>
    <w:p>
      <w:pPr>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Conduit Purchaser (or upon payment by ABRCF as agreed to by ABRCF, the assignor and the assignee) of an amount equal to the sum of (i) the Purchaser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Invested Amount with respect to such Non-Extending Purchaser Group, and (ii) (A) if such Purchaser Group includes a Match Funding CP Conduit Purchaser,</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sum of (x) all accrued and unpaid Discount on all outstanding Commercial Paper issued by, or for the benefit of, such Match Funding CP Conduit Purchaser</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fund the CP Funded Amount with respect to such Match Funding CP Conduit Purchaser from the issuance date(s) thereof to but excluding the date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Purchase Effective Date</w:t>
      </w:r>
      <w:r>
        <w:rPr>
          <w:rFonts w:ascii="Times New Roman" w:cs="Times New Roman" w:eastAsia="Times New Roman" w:hAnsi="Times New Roman"/>
          <w:sz w:val="16"/>
          <w:szCs w:val="16"/>
          <w:color w:val="auto"/>
        </w:rPr>
        <w:t>”) of the assignment to the replacement CP Conduit Purchaser and the APA Banks with respect to such CP Conduit Purchaser and (y) the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aggregate Discount to accrue on all outstanding Commercial Paper issued by, or for the benefit of, such Match Funding CP Conduit Purchaser to fund the CP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Funded Amount with respect to such Match Funding CP Conduit Purchaser from and including the Purchase Effective Date to and excluding the maturity date of</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CP Tranche with respect to such Match Funding CP Conduit Purchaser or (B) if such Non-Extending Purchaser Group includes a Pooled Funding CP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Conduit Purchaser, the sum of (x) the aggregate amount of accrued and unpaid Discount on or in respect of the Commercial Paper issued by, or for the benefit of,</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such Pooled Funding CP Conduit Purchaser allocated, in whole or in part, by the Funding Agent with respect to such Pooled Funding CP Conduit Purchaser, to</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fund the purchase or maintenance of the CP Funded Amount with respect to such Pooled Funding CP Conduit Purchaser as of the Purchase Effective Date and</w:t>
      </w:r>
    </w:p>
    <w:p>
      <w:pPr>
        <w:spacing w:after="0" w:line="32" w:lineRule="exact"/>
        <w:rPr>
          <w:sz w:val="20"/>
          <w:szCs w:val="20"/>
          <w:color w:val="auto"/>
        </w:rPr>
      </w:pPr>
    </w:p>
    <w:p>
      <w:pPr>
        <w:ind w:firstLine="8"/>
        <w:spacing w:after="0" w:line="286" w:lineRule="auto"/>
        <w:tabs>
          <w:tab w:leader="none" w:pos="249" w:val="left"/>
        </w:tabs>
        <w:numPr>
          <w:ilvl w:val="0"/>
          <w:numId w:val="1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aggregate amount of Discount to accrue on or in respect of the Commercial Paper issued by, or for the benefit of, such Pooled Funding CP Conduit Purchaser allocated, in whole or in part, by the Funding Agent with respect to such Pooled Funding CP Conduit Purchaser, to fund the purchase or maintenance of the CP Funded Amount with respect to such Pooled Funding CP Conduit Purchaser from and including the Purchase Effective Date to and excluding the maturity dates of such Commercial Paper, and (iii) all accrued and unpaid interest on the APA Bank Funded Amount with respect to such Purchaser Group, calculated at the Alternate Base Rate or the applicable Adjusted LIBO Rate </w:t>
      </w:r>
      <w:r>
        <w:rPr>
          <w:rFonts w:ascii="Times New Roman" w:cs="Times New Roman" w:eastAsia="Times New Roman" w:hAnsi="Times New Roman"/>
          <w:sz w:val="16"/>
          <w:szCs w:val="16"/>
          <w:u w:val="single" w:color="auto"/>
          <w:color w:val="auto"/>
        </w:rPr>
        <w:t>plus</w:t>
      </w:r>
      <w:r>
        <w:rPr>
          <w:rFonts w:ascii="Times New Roman" w:cs="Times New Roman" w:eastAsia="Times New Roman" w:hAnsi="Times New Roman"/>
          <w:sz w:val="16"/>
          <w:szCs w:val="16"/>
          <w:color w:val="auto"/>
        </w:rPr>
        <w:t xml:space="preserve"> the Applicable Margin as of the Purchase Effective Date, and (iv) for each day from but excluding the last day of the Series 2009-3 Interest Period immediately preceding the Purchase Effective Date, an amount equal to (x) the CP Funded Amount with respect to such Non-Extending Purchaser Group on such day </w:t>
      </w:r>
      <w:r>
        <w:rPr>
          <w:rFonts w:ascii="Times New Roman" w:cs="Times New Roman" w:eastAsia="Times New Roman" w:hAnsi="Times New Roman"/>
          <w:sz w:val="16"/>
          <w:szCs w:val="16"/>
          <w:u w:val="single" w:color="auto"/>
          <w:color w:val="auto"/>
        </w:rPr>
        <w:t>times</w:t>
      </w:r>
      <w:r>
        <w:rPr>
          <w:rFonts w:ascii="Times New Roman" w:cs="Times New Roman" w:eastAsia="Times New Roman" w:hAnsi="Times New Roman"/>
          <w:sz w:val="16"/>
          <w:szCs w:val="16"/>
          <w:color w:val="auto"/>
        </w:rPr>
        <w:t xml:space="preserve"> (y) the Program Fee Rate </w:t>
      </w:r>
      <w:r>
        <w:rPr>
          <w:rFonts w:ascii="Times New Roman" w:cs="Times New Roman" w:eastAsia="Times New Roman" w:hAnsi="Times New Roman"/>
          <w:sz w:val="16"/>
          <w:szCs w:val="16"/>
          <w:u w:val="single" w:color="auto"/>
          <w:color w:val="auto"/>
        </w:rPr>
        <w:t>divided</w:t>
      </w:r>
      <w:r>
        <w:rPr>
          <w:rFonts w:ascii="Times New Roman" w:cs="Times New Roman" w:eastAsia="Times New Roman" w:hAnsi="Times New Roman"/>
          <w:sz w:val="16"/>
          <w:szCs w:val="16"/>
          <w:color w:val="auto"/>
        </w:rPr>
        <w:t xml:space="preserve"> by (z) 360, and (v) for each day from but excluding the last day of the Series 2009-3 Interest Period immediately preceding the Purchase Effective Date, an amount equal to (x) the excess, if any, of the Commitment Amount with respect to such Non-Extending Purchaser Group over the Purchaser Group Invested Amount with respect to such Purchaser Group on such day </w:t>
      </w:r>
      <w:r>
        <w:rPr>
          <w:rFonts w:ascii="Times New Roman" w:cs="Times New Roman" w:eastAsia="Times New Roman" w:hAnsi="Times New Roman"/>
          <w:sz w:val="16"/>
          <w:szCs w:val="16"/>
          <w:u w:val="single" w:color="auto"/>
          <w:color w:val="auto"/>
        </w:rPr>
        <w:t>times</w:t>
      </w:r>
      <w:r>
        <w:rPr>
          <w:rFonts w:ascii="Times New Roman" w:cs="Times New Roman" w:eastAsia="Times New Roman" w:hAnsi="Times New Roman"/>
          <w:sz w:val="16"/>
          <w:szCs w:val="16"/>
          <w:color w:val="auto"/>
        </w:rPr>
        <w:t xml:space="preserve"> (y) the Commitment Fee Rate as of such date </w:t>
      </w:r>
      <w:r>
        <w:rPr>
          <w:rFonts w:ascii="Times New Roman" w:cs="Times New Roman" w:eastAsia="Times New Roman" w:hAnsi="Times New Roman"/>
          <w:sz w:val="16"/>
          <w:szCs w:val="16"/>
          <w:u w:val="single" w:color="auto"/>
          <w:color w:val="auto"/>
        </w:rPr>
        <w:t>divided</w:t>
      </w:r>
      <w:r>
        <w:rPr>
          <w:rFonts w:ascii="Times New Roman" w:cs="Times New Roman" w:eastAsia="Times New Roman" w:hAnsi="Times New Roman"/>
          <w:sz w:val="16"/>
          <w:szCs w:val="16"/>
          <w:color w:val="auto"/>
        </w:rPr>
        <w:t xml:space="preserve"> by (z) 360, and (vi) all Article VII Costs then due and payable to such Non-Extending Purchaser Group, and (vii) without duplication, any other amounts then due and payable to such Non-Extending Purchaser Group pursuant to this Supplement.</w:t>
      </w:r>
    </w:p>
    <w:p>
      <w:pPr>
        <w:spacing w:after="0" w:line="334" w:lineRule="exact"/>
        <w:rPr>
          <w:rFonts w:ascii="Times New Roman" w:cs="Times New Roman" w:eastAsia="Times New Roman" w:hAnsi="Times New Roman"/>
          <w:sz w:val="16"/>
          <w:szCs w:val="16"/>
          <w:color w:val="auto"/>
        </w:rPr>
      </w:pPr>
    </w:p>
    <w:p>
      <w:pPr>
        <w:ind w:right="20" w:firstLine="921"/>
        <w:spacing w:after="0" w:line="256" w:lineRule="auto"/>
        <w:tabs>
          <w:tab w:leader="none" w:pos="1152" w:val="left"/>
        </w:tabs>
        <w:numPr>
          <w:ilvl w:val="1"/>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ABRCF may at any time add a multi-seller commercial paper conduit as an additional CP Conduit Purchaser (an “</w:t>
      </w:r>
      <w:r>
        <w:rPr>
          <w:rFonts w:ascii="Times New Roman" w:cs="Times New Roman" w:eastAsia="Times New Roman" w:hAnsi="Times New Roman"/>
          <w:sz w:val="18"/>
          <w:szCs w:val="18"/>
          <w:u w:val="single" w:color="auto"/>
          <w:color w:val="auto"/>
        </w:rPr>
        <w:t>Additional CP Conduit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Purchaser</w:t>
      </w:r>
      <w:r>
        <w:rPr>
          <w:rFonts w:ascii="Times New Roman" w:cs="Times New Roman" w:eastAsia="Times New Roman" w:hAnsi="Times New Roman"/>
          <w:sz w:val="18"/>
          <w:szCs w:val="18"/>
          <w:color w:val="auto"/>
        </w:rPr>
        <w:t>”) and one or more banks providing support to the Additional CP Conduit Purchaser as APA Banks with respect to the Additional CP Conduit Purchaser (the “</w:t>
      </w:r>
      <w:r>
        <w:rPr>
          <w:rFonts w:ascii="Times New Roman" w:cs="Times New Roman" w:eastAsia="Times New Roman" w:hAnsi="Times New Roman"/>
          <w:sz w:val="18"/>
          <w:szCs w:val="18"/>
          <w:u w:val="single" w:color="auto"/>
          <w:color w:val="auto"/>
        </w:rPr>
        <w:t>Related Additional APA Banks</w:t>
      </w:r>
      <w:r>
        <w:rPr>
          <w:rFonts w:ascii="Times New Roman" w:cs="Times New Roman" w:eastAsia="Times New Roman" w:hAnsi="Times New Roman"/>
          <w:sz w:val="18"/>
          <w:szCs w:val="18"/>
          <w:color w:val="auto"/>
        </w:rPr>
        <w:t>”), with the prior written consent of the Administrative Agent (which consent shall not be unreasonably withheld), by providing at least ten Business Days written notice to the Administrative Agent and the Trustee of (i) the names of the Additional CP Conduit Purchaser, the Related Additional APA Banks and the funding agent with respect to the Additional CP Conduit Purchaser and the</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420"/>
          </w:cols>
          <w:pgMar w:left="240" w:top="274" w:right="239" w:bottom="1440" w:gutter="0" w:footer="0" w:header="0"/>
        </w:sectPr>
      </w:pPr>
    </w:p>
    <w:bookmarkStart w:id="207" w:name="page208"/>
    <w:bookmarkEnd w:id="207"/>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Related Additional APA Banks (the “</w:t>
      </w:r>
      <w:r>
        <w:rPr>
          <w:rFonts w:ascii="Times New Roman" w:cs="Times New Roman" w:eastAsia="Times New Roman" w:hAnsi="Times New Roman"/>
          <w:sz w:val="18"/>
          <w:szCs w:val="18"/>
          <w:u w:val="single" w:color="auto"/>
          <w:color w:val="auto"/>
        </w:rPr>
        <w:t>Additional Funding Agent</w:t>
      </w:r>
      <w:r>
        <w:rPr>
          <w:rFonts w:ascii="Times New Roman" w:cs="Times New Roman" w:eastAsia="Times New Roman" w:hAnsi="Times New Roman"/>
          <w:sz w:val="18"/>
          <w:szCs w:val="18"/>
          <w:color w:val="auto"/>
        </w:rPr>
        <w:t>”), (ii) the date on which ABRCF desires to effect such addition (the “</w:t>
      </w:r>
      <w:r>
        <w:rPr>
          <w:rFonts w:ascii="Times New Roman" w:cs="Times New Roman" w:eastAsia="Times New Roman" w:hAnsi="Times New Roman"/>
          <w:sz w:val="18"/>
          <w:szCs w:val="18"/>
          <w:u w:val="single" w:color="auto"/>
          <w:color w:val="auto"/>
        </w:rPr>
        <w:t>Purchaser Group Addition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Date</w:t>
      </w:r>
      <w:r>
        <w:rPr>
          <w:rFonts w:ascii="Times New Roman" w:cs="Times New Roman" w:eastAsia="Times New Roman" w:hAnsi="Times New Roman"/>
          <w:sz w:val="18"/>
          <w:szCs w:val="18"/>
          <w:color w:val="auto"/>
        </w:rPr>
        <w:t>”), (iii) the proposed Maximum Purchaser Group Invested Amount with respect to the Additional CP Conduit Purchaser and the Related Additional APA Banks and (iv) the Commitment Percentage of each Purchaser Group on the Purchaser Group Addition Date, after giving effect to the addition of the Additional CP Conduit Purchaser and the Related Additional APA Banks. On the Purchaser Group Addition Date, each CP Conduit Purchaser, the APA Banks with respect to such CP Conduit Purchaser and the Funding Agent with respect to such CP Conduit Purchaser shall make an assignment and assumption to the Additional CP Conduit Purchaser, the Related Additional APA Banks and the Additional Funding Agent pursuant to Section 11.1, as directed by the Administrative Agent, with the result that after giving effect thereto, the Purchaser Group Invested Amount with respect to each such Purchaser Group shall equal the product of (x) the Series 2009-3 Invested Amount on the Purchaser Group Addition Date and (y) the Commitment Percentage of such Purchaser Group on the Purchaser Group Addition Date, after giving effect to the addition of the Additional CP Conduit Purchaser and the Related Additional APA Banks. No Purchaser Group shall be required to make any assignment unless such assigning Purchaser Group shall receive in cash an amount equal to the reduction in its Series 2009-3 Invested Amount.</w:t>
      </w:r>
    </w:p>
    <w:p>
      <w:pPr>
        <w:spacing w:after="0" w:line="139" w:lineRule="exact"/>
        <w:rPr>
          <w:sz w:val="20"/>
          <w:szCs w:val="20"/>
          <w:color w:val="auto"/>
        </w:rPr>
      </w:pPr>
    </w:p>
    <w:p>
      <w:pPr>
        <w:ind w:firstLine="921"/>
        <w:spacing w:after="0" w:line="291" w:lineRule="auto"/>
        <w:tabs>
          <w:tab w:leader="none" w:pos="1132" w:val="left"/>
        </w:tabs>
        <w:numPr>
          <w:ilvl w:val="1"/>
          <w:numId w:val="1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any Business Day during the Series 2009-3 Revolving Period, ABRCF may transfer all or a portion of the Commitment of each APA Bank to the Canadian Commitment of such APA Bank under the Canadian Variable Funding Note Facility by providing at least thirty (30) days’ irrevocable prior written notice to the Administrator, the Administrative Agent, the Trustee and the Canadian Agent specifying the scheduled date of the transfer (which shall be a Business Day) and the amount of such transfer. Subject to the satisfaction of the conditions set forth in Section 2.6(g), such transfer shall be effective on the scheduled date specified in ABRCF’s notice. The initial transfer will be required to be in an amount equal to $20,000,000 or a multiple of $1,000,000 in excess thereof and any subsequent transfer will be required to be in an amount equal to $10,000,000 or a multiple of $1,000,000 in excess thereof and will be made by each APA Bank ratably based upon the ratio that the Commitment of such APA Bank bears to the aggregate Commitments of all APA Banks.</w:t>
      </w:r>
    </w:p>
    <w:p>
      <w:pPr>
        <w:spacing w:after="0" w:line="113" w:lineRule="exact"/>
        <w:rPr>
          <w:rFonts w:ascii="Times New Roman" w:cs="Times New Roman" w:eastAsia="Times New Roman" w:hAnsi="Times New Roman"/>
          <w:sz w:val="16"/>
          <w:szCs w:val="16"/>
          <w:color w:val="auto"/>
        </w:rPr>
      </w:pPr>
    </w:p>
    <w:p>
      <w:pPr>
        <w:ind w:left="1160" w:hanging="239"/>
        <w:spacing w:after="0"/>
        <w:tabs>
          <w:tab w:leader="none" w:pos="1160" w:val="left"/>
        </w:tabs>
        <w:numPr>
          <w:ilvl w:val="1"/>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transfer of the Commitments pursuant to Section 2.6(f) will be permitted only if, after giving effect to the proposed transfer on such</w:t>
      </w:r>
    </w:p>
    <w:p>
      <w:pPr>
        <w:spacing w:after="0" w:line="2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Day:</w:t>
      </w:r>
    </w:p>
    <w:p>
      <w:pPr>
        <w:spacing w:after="0" w:line="77" w:lineRule="exact"/>
        <w:rPr>
          <w:rFonts w:ascii="Times New Roman" w:cs="Times New Roman" w:eastAsia="Times New Roman" w:hAnsi="Times New Roman"/>
          <w:sz w:val="18"/>
          <w:szCs w:val="18"/>
          <w:color w:val="auto"/>
        </w:rPr>
      </w:pPr>
    </w:p>
    <w:p>
      <w:pPr>
        <w:ind w:left="460" w:right="220" w:firstLine="443"/>
        <w:spacing w:after="0" w:line="275" w:lineRule="auto"/>
        <w:tabs>
          <w:tab w:leader="none" w:pos="1108"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Purchaser Group Invested Amount with respect to any Purchaser Group shall not exceed the Maximum Purchaser Group Invested Amount with respect to such Purchaser Group;</w:t>
      </w:r>
    </w:p>
    <w:p>
      <w:pPr>
        <w:spacing w:after="0" w:line="38" w:lineRule="exact"/>
        <w:rPr>
          <w:rFonts w:ascii="Times New Roman" w:cs="Times New Roman" w:eastAsia="Times New Roman" w:hAnsi="Times New Roman"/>
          <w:sz w:val="18"/>
          <w:szCs w:val="18"/>
          <w:color w:val="auto"/>
        </w:rPr>
      </w:pPr>
    </w:p>
    <w:p>
      <w:pPr>
        <w:ind w:left="1160" w:hanging="257"/>
        <w:spacing w:after="0"/>
        <w:tabs>
          <w:tab w:leader="none" w:pos="116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Amortization Event or Potential Amortization Event shall have occurred and be continuing;</w:t>
      </w:r>
    </w:p>
    <w:p>
      <w:pPr>
        <w:spacing w:after="0" w:line="90" w:lineRule="exact"/>
        <w:rPr>
          <w:rFonts w:ascii="Times New Roman" w:cs="Times New Roman" w:eastAsia="Times New Roman" w:hAnsi="Times New Roman"/>
          <w:sz w:val="18"/>
          <w:szCs w:val="18"/>
          <w:color w:val="auto"/>
        </w:rPr>
      </w:pPr>
    </w:p>
    <w:p>
      <w:pPr>
        <w:ind w:left="460" w:right="500" w:firstLine="443"/>
        <w:spacing w:after="0" w:line="275" w:lineRule="auto"/>
        <w:tabs>
          <w:tab w:leader="none" w:pos="1205"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potential amortization event, amortization event, default or event of default shall have occurred and be continuing under the Canadian Variable Funding Note Facility; and</w:t>
      </w:r>
    </w:p>
    <w:p>
      <w:pPr>
        <w:spacing w:after="0" w:line="10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340"/>
          </w:cols>
          <w:pgMar w:left="240" w:top="274" w:right="319" w:bottom="1440" w:gutter="0" w:footer="0" w:header="0"/>
        </w:sectPr>
      </w:pPr>
    </w:p>
    <w:bookmarkStart w:id="208" w:name="page209"/>
    <w:bookmarkEnd w:id="208"/>
    <w:p>
      <w:pPr>
        <w:ind w:left="460" w:right="20" w:firstLine="443"/>
        <w:spacing w:after="0" w:line="275" w:lineRule="auto"/>
        <w:tabs>
          <w:tab w:leader="none" w:pos="1196"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number of transfers effected by ABRCF pursuant to Section 2.6(f) during any one year period, including the proposed transfer, is less than or equal to four.</w:t>
      </w:r>
    </w:p>
    <w:p>
      <w:pPr>
        <w:spacing w:after="0" w:line="120" w:lineRule="exact"/>
        <w:rPr>
          <w:sz w:val="20"/>
          <w:szCs w:val="20"/>
          <w:color w:val="auto"/>
        </w:rPr>
      </w:pPr>
    </w:p>
    <w:p>
      <w:pPr>
        <w:jc w:val="both"/>
        <w:ind w:right="320"/>
        <w:spacing w:after="0" w:line="262" w:lineRule="auto"/>
        <w:rPr>
          <w:sz w:val="20"/>
          <w:szCs w:val="20"/>
          <w:color w:val="auto"/>
        </w:rPr>
      </w:pPr>
      <w:r>
        <w:rPr>
          <w:rFonts w:ascii="Times New Roman" w:cs="Times New Roman" w:eastAsia="Times New Roman" w:hAnsi="Times New Roman"/>
          <w:sz w:val="18"/>
          <w:szCs w:val="18"/>
          <w:color w:val="auto"/>
        </w:rPr>
        <w:t>Upon satisfaction of all the conditions set forth above the Commitment of each APA Bank shall be reduced by the amount thereof transferred to the Canadian Variable Funding Note Facility and Schedule I hereto shall deemed to be amended to reflect the decrease in the Maximum Purchaser Group Invested Amount with respect to the Purchaser Group of which such APA Bank is a member as a result of such Commitment reduction.</w:t>
      </w:r>
    </w:p>
    <w:p>
      <w:pPr>
        <w:spacing w:after="0" w:line="13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 xml:space="preserve">Section 2.7. </w:t>
      </w:r>
      <w:r>
        <w:rPr>
          <w:rFonts w:ascii="Times New Roman" w:cs="Times New Roman" w:eastAsia="Times New Roman" w:hAnsi="Times New Roman"/>
          <w:sz w:val="18"/>
          <w:szCs w:val="18"/>
          <w:u w:val="single" w:color="auto"/>
          <w:color w:val="auto"/>
        </w:rPr>
        <w:t>Interest; Fees</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ind w:left="1160" w:hanging="239"/>
        <w:spacing w:after="0"/>
        <w:tabs>
          <w:tab w:leader="none" w:pos="116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shall be payable on the Series 2009-3 Notes on each Distribution Date pursuant to Section 3.3.</w:t>
      </w:r>
    </w:p>
    <w:p>
      <w:pPr>
        <w:spacing w:after="0" w:line="171" w:lineRule="exact"/>
        <w:rPr>
          <w:rFonts w:ascii="Times New Roman" w:cs="Times New Roman" w:eastAsia="Times New Roman" w:hAnsi="Times New Roman"/>
          <w:sz w:val="18"/>
          <w:szCs w:val="18"/>
          <w:color w:val="auto"/>
        </w:rPr>
      </w:pPr>
    </w:p>
    <w:p>
      <w:pPr>
        <w:ind w:firstLine="921"/>
        <w:spacing w:after="0" w:line="252" w:lineRule="auto"/>
        <w:tabs>
          <w:tab w:leader="none" w:pos="1162"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any Business Day, ABRCF may, subject to Section 2.7(c), elect to allocate all or any portion of the Available CP Funding Amount with respect to any Match Funding CP Conduit Purchaser, to one or more CP Tranches with CP Rate Periods commencing on such Business Day by giving the Administrative Agent and the Funding Agent with respect to such Match Funding CP Conduit Purchaser irrevocable written or telephonic (confirmed in writing) notice thereof, which notice must be received by such Funding Agent prior to 3:00 p.m. (New York City time) on the second Business Day prior to such Business Day. Such notice shall specify (i) the applicable Business Day, (ii) the CP Rate Period for each CP Tranche to which a portion of the Available CP Funding Amount with respect to such Purchaser Group is to be allocated and (iii) the portion of such Available CP Funding Amount being allocated to each such CP Tranche. On any Business Day, ABRCF may, subject to Sections 2.7(c) and 7.4, elect to allocate all or any portion of the Available APA Bank Funding Amount with respect to any Purchaser Group to one or more Eurodollar Tranches with Eurodollar Periods commencing on such Business Day by giving the Administrative Agent and the Funding Agent with respect to such Purchaser Group irrevocable written or telephonic (confirmed in writing) notice thereof, which notice must be received by such Funding Agent prior to 1:00 p.m. (New York City time) three Business Days prior to such Business Day. Such notice shall specify (i) the applicable Business Day, (ii) the Eurodollar Period for each Eurodollar Tranche to which a portion of the Available APA Bank Funding Amount with respect to such Purchaser Group is to be allocated and (iii) the portion of such Available APA Bank Funding Amount being allocated to each such Eurodollar Tranche. Upon receipt of any such notice, the Funding Agent with respect to a Purchaser Group shall notify the CP Conduit Purchaser and the APA Bank with respect to such Purchaser Group of the contents of such notice promptly upon receipt thereof.</w:t>
      </w:r>
    </w:p>
    <w:p>
      <w:pPr>
        <w:spacing w:after="0" w:line="144" w:lineRule="exact"/>
        <w:rPr>
          <w:rFonts w:ascii="Times New Roman" w:cs="Times New Roman" w:eastAsia="Times New Roman" w:hAnsi="Times New Roman"/>
          <w:sz w:val="18"/>
          <w:szCs w:val="18"/>
          <w:color w:val="auto"/>
        </w:rPr>
      </w:pPr>
    </w:p>
    <w:p>
      <w:pPr>
        <w:ind w:right="40" w:firstLine="921"/>
        <w:spacing w:after="0" w:line="256" w:lineRule="auto"/>
        <w:tabs>
          <w:tab w:leader="none" w:pos="1152"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contained in this Section 2.7, (i) (A) each Match Funding CP Conduit Purchaser shall approve the length of each CP Rate Period and the portion of the Available CP Funding Amount with respect to such Match Funding CP Conduit Purchaser allocated to such CP Rate Period, (B) such Match Funding CP Conduit Purchaser may select, in its sole discretion, any new CP Rate Period if (x) ABRCF does not provide notice of a new CP Rate Period on a timely basis or (y) the Funding Agent with respect to such Match Funding CP Conduit Purchaser, on behalf of such Match Funding CP Conduit Purchaser, determines, in its sole discretion, that the CP Rate Period requested by ABRCF is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400"/>
          </w:cols>
          <w:pgMar w:left="240" w:top="274" w:right="259" w:bottom="1440" w:gutter="0" w:footer="0" w:header="0"/>
        </w:sectPr>
      </w:pPr>
    </w:p>
    <w:bookmarkStart w:id="209" w:name="page210"/>
    <w:bookmarkEnd w:id="209"/>
    <w:p>
      <w:pPr>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unavailable or for any reason commercially undesirable and (C) the portion of the Available CP Funding Amount with respect to such Match Funding CP Conduit Purchaser allocable to each CP Tranche must be in an amount equal to $1,000,000 or an integral multiple of $100,000 in excess thereof and (ii) (A) the portion of the Available APA Bank Funding Amount with respect to any Purchaser Group allocable to each Eurodollar Tranche must be in an amount equal to $100,000 or an integral multiple of $100,000 in excess thereof, (B) no more than 7 Eurodollar Tranches with respect to such Purchaser Group shall be outstanding at any one time, (C) after the occurrence and during the continuance of any Amortization Event or Potential Amortization Event, ABRCF may not elect to allocate any portion of the Available APA Bank Funding Amount with respect to any Purchaser Group to a Eurodollar Tranche and (D) during the Series 2009-3 Amortization Period, ABRCF may not select any Eurodollar Period that does not end on or prior to the next succeeding Distribution Date.</w:t>
      </w:r>
    </w:p>
    <w:p>
      <w:pPr>
        <w:spacing w:after="0" w:line="141" w:lineRule="exact"/>
        <w:rPr>
          <w:sz w:val="20"/>
          <w:szCs w:val="20"/>
          <w:color w:val="auto"/>
        </w:rPr>
      </w:pPr>
    </w:p>
    <w:p>
      <w:pPr>
        <w:ind w:right="60" w:firstLine="921"/>
        <w:spacing w:after="0" w:line="253" w:lineRule="auto"/>
        <w:tabs>
          <w:tab w:leader="none" w:pos="1162"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any Business Day, a Match Funding CP Conduit Purchaser may elect that ABRCF no longer be permitted to select CP Tranches in accordance with Sections 2.7(b) and (c) in respect of the CP Conduit Funded Amount with respect to such CP Conduit Purchaser by giving ABRCF and the Administrative Agent irrevocable written notice thereof, which notice must be received by ABRCF and the Administrative Agent at least one Business Day prior to such Business Day. On any Business Day, a Pooled Funding CP Conduit Purchaser may with the prior written consent of the Administrator (which consent shall not be unreasonably withheld) elect thereafter to allow ABRCF to select CP Tranches in accordance with Sections 2.7(b) and (c) in respect of the CP Conduit Funded Amount with respect to such CP Conduit Purchaser by giving ABRCF and the Administrative Agent irrevocable written notice thereof, which notice and consent must be received by ABRCF and the Administrative Agent at least one Business Day prior to such election. Any CP Conduit Purchaser making an election to change the manner in which its funding costs in respect of its Series 2009-3 Note are allocated in accordance with this Section 2.7(d) will be both a Match Funding CP Conduit Purchaser and a Pooled Funding CP Conduit Purchaser during the period that its Series 2009-3 Note is funded on both a “pooled” and “match funded” basis and its Monthly Funding Costs during that period will be calculated accordingly.</w:t>
      </w:r>
    </w:p>
    <w:p>
      <w:pPr>
        <w:spacing w:after="0" w:line="140" w:lineRule="exact"/>
        <w:rPr>
          <w:rFonts w:ascii="Times New Roman" w:cs="Times New Roman" w:eastAsia="Times New Roman" w:hAnsi="Times New Roman"/>
          <w:sz w:val="18"/>
          <w:szCs w:val="18"/>
          <w:color w:val="auto"/>
        </w:rPr>
      </w:pPr>
    </w:p>
    <w:p>
      <w:pPr>
        <w:ind w:firstLine="921"/>
        <w:spacing w:after="0" w:line="293" w:lineRule="auto"/>
        <w:tabs>
          <w:tab w:leader="none" w:pos="1152" w:val="left"/>
        </w:tabs>
        <w:numPr>
          <w:ilvl w:val="0"/>
          <w:numId w:val="1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ABRCF shall pay with funds available pursuant to Section 3.3(a) to the Administrative Agent, for the account of each Purchaser Group, on each Distribution Date, a commitment fee with respect to the Series 2009-3 Interest Period ending on the day preceding such Distribution Date (the “</w:t>
      </w:r>
      <w:r>
        <w:rPr>
          <w:rFonts w:ascii="Times New Roman" w:cs="Times New Roman" w:eastAsia="Times New Roman" w:hAnsi="Times New Roman"/>
          <w:sz w:val="16"/>
          <w:szCs w:val="16"/>
          <w:u w:val="single" w:color="auto"/>
          <w:color w:val="auto"/>
        </w:rPr>
        <w:t>Commitment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Fee</w:t>
      </w:r>
      <w:r>
        <w:rPr>
          <w:rFonts w:ascii="Times New Roman" w:cs="Times New Roman" w:eastAsia="Times New Roman" w:hAnsi="Times New Roman"/>
          <w:sz w:val="16"/>
          <w:szCs w:val="16"/>
          <w:color w:val="auto"/>
        </w:rPr>
        <w:t>”) during the period from the Series 2009-3 Closing Date to and including the Expiry Date with respect to such Purchaser Group in an aggregate amount equal to the sum of the amount for each day in such Series 2009-3 Interest Period equal to (i) the product of (x) the Commitment Fee Rate for such day and (y) the excess of (1) the Commitment Amount with respect to such Purchaser Group on such day over (2) the Purchaser Group Invested Amount with respect to such Purchaser Group on such day, divided by (ii) 360. The Commitment Fees shall be payable monthly in arrears on each Distribution Date.</w:t>
      </w:r>
    </w:p>
    <w:p>
      <w:pPr>
        <w:spacing w:after="0" w:line="110" w:lineRule="exact"/>
        <w:rPr>
          <w:rFonts w:ascii="Times New Roman" w:cs="Times New Roman" w:eastAsia="Times New Roman" w:hAnsi="Times New Roman"/>
          <w:sz w:val="16"/>
          <w:szCs w:val="16"/>
          <w:color w:val="auto"/>
        </w:rPr>
      </w:pPr>
    </w:p>
    <w:p>
      <w:pPr>
        <w:jc w:val="both"/>
        <w:ind w:right="160" w:firstLine="921"/>
        <w:spacing w:after="0" w:line="262" w:lineRule="auto"/>
        <w:tabs>
          <w:tab w:leader="none" w:pos="1132"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Calculations of per annum rates under this Supplement shall be made on the basis of a 360- (or 365-/366- in the case of interest on the Floating Tranche based on the Prime Rate) day year. Calculations of Commitment Fees shall be made on the basis of a 360-day year. Each determination of the Adjusted LIBOR Rate by the Administrative Agent shall be conclusive and binding upon each of the parties hereto in the absence of manifest error.</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400"/>
          </w:cols>
          <w:pgMar w:left="240" w:top="274" w:right="259" w:bottom="1440" w:gutter="0" w:footer="0" w:header="0"/>
        </w:sectPr>
      </w:pPr>
    </w:p>
    <w:bookmarkStart w:id="210" w:name="page211"/>
    <w:bookmarkEnd w:id="210"/>
    <w:p>
      <w:pPr>
        <w:ind w:right="380" w:firstLine="913"/>
        <w:spacing w:after="0" w:line="287"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2.8. </w:t>
      </w:r>
      <w:r>
        <w:rPr>
          <w:rFonts w:ascii="Times New Roman" w:cs="Times New Roman" w:eastAsia="Times New Roman" w:hAnsi="Times New Roman"/>
          <w:sz w:val="16"/>
          <w:szCs w:val="16"/>
          <w:u w:val="single" w:color="auto"/>
          <w:color w:val="auto"/>
        </w:rPr>
        <w:t>Indemnification by ABRCF</w:t>
      </w:r>
      <w:r>
        <w:rPr>
          <w:rFonts w:ascii="Times New Roman" w:cs="Times New Roman" w:eastAsia="Times New Roman" w:hAnsi="Times New Roman"/>
          <w:sz w:val="16"/>
          <w:szCs w:val="16"/>
          <w:color w:val="auto"/>
        </w:rPr>
        <w:t>. ABRCF agrees to indemnify and hold harmless the Trustee, the Administrative Agent, each Funding Agent, each CP Conduit Purchaser, each APA Bank and each of their respective officers, directors, agents and employees (each, a “</w:t>
      </w:r>
      <w:r>
        <w:rPr>
          <w:rFonts w:ascii="Times New Roman" w:cs="Times New Roman" w:eastAsia="Times New Roman" w:hAnsi="Times New Roman"/>
          <w:sz w:val="16"/>
          <w:szCs w:val="16"/>
          <w:u w:val="single" w:color="auto"/>
          <w:color w:val="auto"/>
        </w:rPr>
        <w:t>Company indemnified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person</w:t>
      </w:r>
      <w:r>
        <w:rPr>
          <w:rFonts w:ascii="Times New Roman" w:cs="Times New Roman" w:eastAsia="Times New Roman" w:hAnsi="Times New Roman"/>
          <w:sz w:val="16"/>
          <w:szCs w:val="16"/>
          <w:color w:val="auto"/>
        </w:rPr>
        <w:t>”) from and against any loss, liability, expense, damage or injury suffered or sustained by (a “</w:t>
      </w:r>
      <w:r>
        <w:rPr>
          <w:rFonts w:ascii="Times New Roman" w:cs="Times New Roman" w:eastAsia="Times New Roman" w:hAnsi="Times New Roman"/>
          <w:sz w:val="16"/>
          <w:szCs w:val="16"/>
          <w:u w:val="single" w:color="auto"/>
          <w:color w:val="auto"/>
        </w:rPr>
        <w:t>Claim</w:t>
      </w:r>
      <w:r>
        <w:rPr>
          <w:rFonts w:ascii="Times New Roman" w:cs="Times New Roman" w:eastAsia="Times New Roman" w:hAnsi="Times New Roman"/>
          <w:sz w:val="16"/>
          <w:szCs w:val="16"/>
          <w:color w:val="auto"/>
        </w:rPr>
        <w:t>”) such Company indemnified person by reason of</w:t>
      </w:r>
    </w:p>
    <w:p>
      <w:pPr>
        <w:spacing w:after="0" w:line="1" w:lineRule="exact"/>
        <w:rPr>
          <w:sz w:val="20"/>
          <w:szCs w:val="20"/>
          <w:color w:val="auto"/>
        </w:rPr>
      </w:pPr>
    </w:p>
    <w:p>
      <w:pPr>
        <w:ind w:firstLine="8"/>
        <w:spacing w:after="0" w:line="287" w:lineRule="auto"/>
        <w:tabs>
          <w:tab w:leader="none" w:pos="210" w:val="left"/>
        </w:tabs>
        <w:numPr>
          <w:ilvl w:val="0"/>
          <w:numId w:val="1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any acts, omissions or alleged acts or omissions arising out of, or relating to, activities of ABRCF pursuant to the Indenture or the other Related Documents to which it is a party, (ii) a breach of any representation or warranty made or deemed made by ABRCF (or any of its officers) in the Indenture or other Related Document or (iii) a failure by ABRCF to comply with any applicable law or regulation or to perform its covenants, agreements, duties or obligations required to be performed or observed by it in accordance with the provisions of the Indenture or the other Related Documents, including, but not limited to, any judgment, award, settlement, reasonable attorneys’ fees and other reasonable costs or expenses incurred in connection with the defense of any actual or threatened action, proceeding or claim, except to the extent such loss, liability, expense, damage or injury resulted from the gross negligence, bad faith or willful misconduct of such Company indemnified person or its officers, directors, agents, principals, employees or employers or includes any Excluded Taxes;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any payments made by ABRCF pursuant to this Section 2.8 shall be made solely from funds available pursuant to Section 3.3(e), shall be non-recourse other than with respect to such funds, and shall not constitute a claim against ABRCF to the extent that such funds are insufficient to make such payment.</w:t>
      </w:r>
    </w:p>
    <w:p>
      <w:pPr>
        <w:spacing w:after="0" w:line="11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 xml:space="preserve">Section 2.9. </w:t>
      </w:r>
      <w:r>
        <w:rPr>
          <w:rFonts w:ascii="Times New Roman" w:cs="Times New Roman" w:eastAsia="Times New Roman" w:hAnsi="Times New Roman"/>
          <w:sz w:val="18"/>
          <w:szCs w:val="18"/>
          <w:u w:val="single" w:color="auto"/>
          <w:color w:val="auto"/>
        </w:rPr>
        <w:t>Funding Agents</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ind w:right="100" w:firstLine="921"/>
        <w:spacing w:after="0" w:line="291" w:lineRule="auto"/>
        <w:tabs>
          <w:tab w:leader="none" w:pos="1152" w:val="left"/>
        </w:tabs>
        <w:numPr>
          <w:ilvl w:val="0"/>
          <w:numId w:val="1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Funding Agent with respect to each Purchaser Group is hereby authorized to record on each Business Day the CP Funded Amount with respect to such Purchaser Group and the aggregate amount of Discount accruing with respect thereto on such Business Day and the APA Bank Funded Amount with respect to such Purchaser Group and the amount of interest accruing with respect thereto on such Business Day and, based on such recordations, to determine the Monthly Funding Costs with respect to each Series 2009-3 Interest Period and such Purchaser Group. Any such recordation by a Funding Agent, absent manifest error, shall constitute prima facie evidence of the accuracy of the information so recorded. Furthermore, the Funding Agent with respect to each Purchaser Group will maintain records sufficient to identify the percentage interest of the related CP Conduit Purchaser and each APA Bank with respect to such Purchaser Group holding an interest in the Series 2009-3 Note registered in the name of such Funding Agent and any amounts owing thereunder.</w:t>
      </w:r>
    </w:p>
    <w:p>
      <w:pPr>
        <w:spacing w:after="0" w:line="113" w:lineRule="exact"/>
        <w:rPr>
          <w:rFonts w:ascii="Times New Roman" w:cs="Times New Roman" w:eastAsia="Times New Roman" w:hAnsi="Times New Roman"/>
          <w:sz w:val="16"/>
          <w:szCs w:val="16"/>
          <w:color w:val="auto"/>
        </w:rPr>
      </w:pPr>
    </w:p>
    <w:p>
      <w:pPr>
        <w:ind w:right="20" w:firstLine="921"/>
        <w:spacing w:after="0" w:line="256" w:lineRule="auto"/>
        <w:tabs>
          <w:tab w:leader="none" w:pos="1162"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receipt of funds from the Administrative Agent on each Distribution Date and the date of any Decrease, each Funding Agent shall pay such funds to the related CP Conduit Purchaser and/or the related APA Bank owed such funds in accordance with the recordations maintained by it in accordance with Section 2.9(a) and the Asset Purchase Agreement with respect to such CP Conduit Purchaser. If a Funding Agent shall have paid to any CP Conduit Purchaser or APA Bank any funds that (i) must be returned for any reason (including bankruptcy) or (ii) exceeds that which such CP Conduit Purchaser or APA Bank was entitled to receive, such amount shall be promptly repaid to such Funding Agent by such CP Conduit Purchaser or APA Bank.</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400"/>
          </w:cols>
          <w:pgMar w:left="240" w:top="274" w:right="259" w:bottom="1440" w:gutter="0" w:footer="0" w:header="0"/>
        </w:sectPr>
      </w:pPr>
    </w:p>
    <w:bookmarkStart w:id="211" w:name="page212"/>
    <w:bookmarkEnd w:id="211"/>
    <w:p>
      <w:pPr>
        <w:ind w:left="520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III</w:t>
      </w:r>
    </w:p>
    <w:p>
      <w:pPr>
        <w:spacing w:after="0" w:line="171"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b w:val="1"/>
          <w:bCs w:val="1"/>
          <w:color w:val="auto"/>
        </w:rPr>
        <w:t>SERIES 2009-3 ALLOCATIONS</w:t>
      </w:r>
    </w:p>
    <w:p>
      <w:pPr>
        <w:spacing w:after="0" w:line="17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With respect to the Series 2009-3 Notes, the following shall apply:</w:t>
      </w:r>
    </w:p>
    <w:p>
      <w:pPr>
        <w:spacing w:after="0" w:line="17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 xml:space="preserve">Section 3.1. </w:t>
      </w:r>
      <w:r>
        <w:rPr>
          <w:rFonts w:ascii="Times New Roman" w:cs="Times New Roman" w:eastAsia="Times New Roman" w:hAnsi="Times New Roman"/>
          <w:sz w:val="18"/>
          <w:szCs w:val="18"/>
          <w:u w:val="single" w:color="auto"/>
          <w:color w:val="auto"/>
        </w:rPr>
        <w:t>Establishment of Series 2009-3 Collection Account, Series 2009-3 Excess Collection Account and Series 2009-3 Accrued Interest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Account</w:t>
      </w:r>
      <w:r>
        <w:rPr>
          <w:rFonts w:ascii="Times New Roman" w:cs="Times New Roman" w:eastAsia="Times New Roman" w:hAnsi="Times New Roman"/>
          <w:sz w:val="18"/>
          <w:szCs w:val="18"/>
          <w:color w:val="auto"/>
        </w:rPr>
        <w:t>.</w:t>
      </w:r>
    </w:p>
    <w:p>
      <w:pPr>
        <w:spacing w:after="0" w:line="159" w:lineRule="exact"/>
        <w:rPr>
          <w:sz w:val="20"/>
          <w:szCs w:val="20"/>
          <w:color w:val="auto"/>
        </w:rPr>
      </w:pPr>
    </w:p>
    <w:p>
      <w:pPr>
        <w:ind w:left="1160" w:hanging="239"/>
        <w:spacing w:after="0"/>
        <w:tabs>
          <w:tab w:leader="none" w:pos="116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Collections allocable to the Series 2009-3 Notes shall be allocated to the Collection Account.</w:t>
      </w:r>
    </w:p>
    <w:p>
      <w:pPr>
        <w:spacing w:after="0" w:line="171" w:lineRule="exact"/>
        <w:rPr>
          <w:rFonts w:ascii="Times New Roman" w:cs="Times New Roman" w:eastAsia="Times New Roman" w:hAnsi="Times New Roman"/>
          <w:sz w:val="18"/>
          <w:szCs w:val="18"/>
          <w:color w:val="auto"/>
        </w:rPr>
      </w:pPr>
    </w:p>
    <w:p>
      <w:pPr>
        <w:ind w:right="100" w:firstLine="921"/>
        <w:spacing w:after="0" w:line="258" w:lineRule="auto"/>
        <w:tabs>
          <w:tab w:leader="none" w:pos="1162"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will create three administrative subaccounts within the Collection Account for the benefit of the Series 2009-3 Noteholders: the Series 2009-3 Collection Account (such sub-account, the “</w:t>
      </w:r>
      <w:r>
        <w:rPr>
          <w:rFonts w:ascii="Times New Roman" w:cs="Times New Roman" w:eastAsia="Times New Roman" w:hAnsi="Times New Roman"/>
          <w:sz w:val="18"/>
          <w:szCs w:val="18"/>
          <w:u w:val="single" w:color="auto"/>
          <w:color w:val="auto"/>
        </w:rPr>
        <w:t>Series 2009-3 Collection Account</w:t>
      </w:r>
      <w:r>
        <w:rPr>
          <w:rFonts w:ascii="Times New Roman" w:cs="Times New Roman" w:eastAsia="Times New Roman" w:hAnsi="Times New Roman"/>
          <w:sz w:val="18"/>
          <w:szCs w:val="18"/>
          <w:color w:val="auto"/>
        </w:rPr>
        <w:t>”), the Series 2009-3 Excess Collection Account (such sub-account, the “</w:t>
      </w:r>
      <w:r>
        <w:rPr>
          <w:rFonts w:ascii="Times New Roman" w:cs="Times New Roman" w:eastAsia="Times New Roman" w:hAnsi="Times New Roman"/>
          <w:sz w:val="18"/>
          <w:szCs w:val="18"/>
          <w:u w:val="single" w:color="auto"/>
          <w:color w:val="auto"/>
        </w:rPr>
        <w:t>Series 2009-3 Excess Collection Account</w:t>
      </w:r>
      <w:r>
        <w:rPr>
          <w:rFonts w:ascii="Times New Roman" w:cs="Times New Roman" w:eastAsia="Times New Roman" w:hAnsi="Times New Roman"/>
          <w:sz w:val="18"/>
          <w:szCs w:val="18"/>
          <w:color w:val="auto"/>
        </w:rPr>
        <w:t>”) and the Series 2009-3 Accrued Interest Account (such sub-account, the “</w:t>
      </w:r>
      <w:r>
        <w:rPr>
          <w:rFonts w:ascii="Times New Roman" w:cs="Times New Roman" w:eastAsia="Times New Roman" w:hAnsi="Times New Roman"/>
          <w:sz w:val="18"/>
          <w:szCs w:val="18"/>
          <w:u w:val="single" w:color="auto"/>
          <w:color w:val="auto"/>
        </w:rPr>
        <w:t>Series 2009-3 Accrued Interest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Account</w:t>
      </w:r>
      <w:r>
        <w:rPr>
          <w:rFonts w:ascii="Times New Roman" w:cs="Times New Roman" w:eastAsia="Times New Roman" w:hAnsi="Times New Roman"/>
          <w:sz w:val="18"/>
          <w:szCs w:val="18"/>
          <w:color w:val="auto"/>
        </w:rPr>
        <w:t>”).</w:t>
      </w:r>
    </w:p>
    <w:p>
      <w:pPr>
        <w:spacing w:after="0" w:line="136" w:lineRule="exact"/>
        <w:rPr>
          <w:sz w:val="20"/>
          <w:szCs w:val="20"/>
          <w:color w:val="auto"/>
        </w:rPr>
      </w:pPr>
    </w:p>
    <w:p>
      <w:pPr>
        <w:ind w:right="60" w:firstLine="913"/>
        <w:spacing w:after="0" w:line="258" w:lineRule="auto"/>
        <w:rPr>
          <w:sz w:val="20"/>
          <w:szCs w:val="20"/>
          <w:color w:val="auto"/>
        </w:rPr>
      </w:pPr>
      <w:r>
        <w:rPr>
          <w:rFonts w:ascii="Times New Roman" w:cs="Times New Roman" w:eastAsia="Times New Roman" w:hAnsi="Times New Roman"/>
          <w:sz w:val="18"/>
          <w:szCs w:val="18"/>
          <w:color w:val="auto"/>
        </w:rPr>
        <w:t xml:space="preserve">Section 3.2. </w:t>
      </w:r>
      <w:r>
        <w:rPr>
          <w:rFonts w:ascii="Times New Roman" w:cs="Times New Roman" w:eastAsia="Times New Roman" w:hAnsi="Times New Roman"/>
          <w:sz w:val="18"/>
          <w:szCs w:val="18"/>
          <w:u w:val="single" w:color="auto"/>
          <w:color w:val="auto"/>
        </w:rPr>
        <w:t>Allocations with Respect to the Series 2009-3 Notes</w:t>
      </w:r>
      <w:r>
        <w:rPr>
          <w:rFonts w:ascii="Times New Roman" w:cs="Times New Roman" w:eastAsia="Times New Roman" w:hAnsi="Times New Roman"/>
          <w:sz w:val="18"/>
          <w:szCs w:val="18"/>
          <w:color w:val="auto"/>
        </w:rPr>
        <w:t>. The net proceeds from the initial sale of the Series 2009-3 Notes and any Increase will be deposited into the Collection Account. On each Business Day on which Collections are deposited into the Collection Account (each such date, a “</w:t>
      </w:r>
      <w:r>
        <w:rPr>
          <w:rFonts w:ascii="Times New Roman" w:cs="Times New Roman" w:eastAsia="Times New Roman" w:hAnsi="Times New Roman"/>
          <w:sz w:val="18"/>
          <w:szCs w:val="18"/>
          <w:u w:val="single" w:color="auto"/>
          <w:color w:val="auto"/>
        </w:rPr>
        <w:t>Series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2009-3 Deposit Date</w:t>
      </w:r>
      <w:r>
        <w:rPr>
          <w:rFonts w:ascii="Times New Roman" w:cs="Times New Roman" w:eastAsia="Times New Roman" w:hAnsi="Times New Roman"/>
          <w:sz w:val="18"/>
          <w:szCs w:val="18"/>
          <w:color w:val="auto"/>
        </w:rPr>
        <w:t>”), the Administrator will direct the Trustee in writing pursuant to the Administration Agreement to allocate all amounts deposited into the Collection Account in accordance with the provisions of this Section 3.2:</w:t>
      </w:r>
    </w:p>
    <w:p>
      <w:pPr>
        <w:spacing w:after="0" w:line="136" w:lineRule="exact"/>
        <w:rPr>
          <w:sz w:val="20"/>
          <w:szCs w:val="20"/>
          <w:color w:val="auto"/>
        </w:rPr>
      </w:pPr>
    </w:p>
    <w:p>
      <w:pPr>
        <w:jc w:val="both"/>
        <w:ind w:right="40" w:firstLine="921"/>
        <w:spacing w:after="0" w:line="262" w:lineRule="auto"/>
        <w:tabs>
          <w:tab w:leader="none" w:pos="1152"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Allocations of Collections During the Series 2009-3 Revolving Period</w:t>
      </w:r>
      <w:r>
        <w:rPr>
          <w:rFonts w:ascii="Times New Roman" w:cs="Times New Roman" w:eastAsia="Times New Roman" w:hAnsi="Times New Roman"/>
          <w:sz w:val="18"/>
          <w:szCs w:val="18"/>
          <w:color w:val="auto"/>
        </w:rPr>
        <w:t>. During the Series 2009-3 Revolving Period, the Administrator will direct the Trustee in writing pursuant to the Administration Agreement to allocate on each day, prior to 11:00 a.m. (New York City time) on each Series 2009-3 Deposit Date, all amounts deposited into the Collection Account as set forth below:</w:t>
      </w:r>
    </w:p>
    <w:p>
      <w:pPr>
        <w:spacing w:after="0" w:line="51" w:lineRule="exact"/>
        <w:rPr>
          <w:rFonts w:ascii="Times New Roman" w:cs="Times New Roman" w:eastAsia="Times New Roman" w:hAnsi="Times New Roman"/>
          <w:sz w:val="18"/>
          <w:szCs w:val="18"/>
          <w:color w:val="auto"/>
        </w:rPr>
      </w:pPr>
    </w:p>
    <w:p>
      <w:pPr>
        <w:ind w:left="920" w:right="80" w:firstLine="421"/>
        <w:spacing w:after="0" w:line="258" w:lineRule="auto"/>
        <w:tabs>
          <w:tab w:leader="none" w:pos="1549" w:val="left"/>
        </w:tabs>
        <w:numPr>
          <w:ilvl w:val="1"/>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allocate to the Series 2009-3 Collection Account an amount equal to the sum of (A) the Series 2009-3 Invested Percentage (as of such day) of the aggregate amount of Interest Collections on such day and (B) any Series 2009-3 Interest Rate Cap Proceeds received by the Trustee on such day. All such amounts allocated to the Series 2009-3 Collection Account shall be further allocated to the Series 2009-3 Accrued Interest Account; and</w:t>
      </w:r>
    </w:p>
    <w:p>
      <w:pPr>
        <w:spacing w:after="0" w:line="55" w:lineRule="exact"/>
        <w:rPr>
          <w:rFonts w:ascii="Times New Roman" w:cs="Times New Roman" w:eastAsia="Times New Roman" w:hAnsi="Times New Roman"/>
          <w:sz w:val="18"/>
          <w:szCs w:val="18"/>
          <w:color w:val="auto"/>
        </w:rPr>
      </w:pPr>
    </w:p>
    <w:p>
      <w:pPr>
        <w:ind w:left="920" w:right="220" w:firstLine="421"/>
        <w:spacing w:after="0" w:line="258" w:lineRule="auto"/>
        <w:tabs>
          <w:tab w:leader="none" w:pos="1598" w:val="left"/>
        </w:tabs>
        <w:numPr>
          <w:ilvl w:val="1"/>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allocate to the Series 2009-3 Excess Collection Account the sum of (A) the Series 2009-3 Invested Percentage (as of such day) of the aggregate amount of Principal Collections on such day (for any such day, the “</w:t>
      </w:r>
      <w:r>
        <w:rPr>
          <w:rFonts w:ascii="Times New Roman" w:cs="Times New Roman" w:eastAsia="Times New Roman" w:hAnsi="Times New Roman"/>
          <w:sz w:val="18"/>
          <w:szCs w:val="18"/>
          <w:u w:val="single" w:color="auto"/>
          <w:color w:val="auto"/>
        </w:rPr>
        <w:t>Series 2009-3 Principal Allocation</w:t>
      </w:r>
      <w:r>
        <w:rPr>
          <w:rFonts w:ascii="Times New Roman" w:cs="Times New Roman" w:eastAsia="Times New Roman" w:hAnsi="Times New Roman"/>
          <w:sz w:val="18"/>
          <w:szCs w:val="18"/>
          <w:color w:val="auto"/>
        </w:rPr>
        <w:t xml:space="preserve">”) and (B) the proceeds from the initial issuance of the Series 2009-3 Notes and from any Increase;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if a Waiver Event shall have occurred, then such allocation shall be modified as provided in Article V.</w:t>
      </w:r>
    </w:p>
    <w:p>
      <w:pPr>
        <w:spacing w:after="0" w:line="136" w:lineRule="exact"/>
        <w:rPr>
          <w:rFonts w:ascii="Times New Roman" w:cs="Times New Roman" w:eastAsia="Times New Roman" w:hAnsi="Times New Roman"/>
          <w:sz w:val="18"/>
          <w:szCs w:val="18"/>
          <w:color w:val="auto"/>
        </w:rPr>
      </w:pPr>
    </w:p>
    <w:p>
      <w:pPr>
        <w:ind w:firstLine="921"/>
        <w:spacing w:after="0" w:line="275" w:lineRule="auto"/>
        <w:tabs>
          <w:tab w:leader="none" w:pos="1161"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Allocations of Collections During the Series 2009-3 Amortization Period</w:t>
      </w:r>
      <w:r>
        <w:rPr>
          <w:rFonts w:ascii="Times New Roman" w:cs="Times New Roman" w:eastAsia="Times New Roman" w:hAnsi="Times New Roman"/>
          <w:sz w:val="18"/>
          <w:szCs w:val="18"/>
          <w:color w:val="auto"/>
        </w:rPr>
        <w:t>. With respect to the Series 2009-3 Amortization Period, other than after the occurrence of</w:t>
      </w:r>
    </w:p>
    <w:p>
      <w:pPr>
        <w:spacing w:after="0" w:line="10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380"/>
          </w:cols>
          <w:pgMar w:left="240" w:top="272" w:right="279" w:bottom="1440" w:gutter="0" w:footer="0" w:header="0"/>
        </w:sectPr>
      </w:pPr>
    </w:p>
    <w:bookmarkStart w:id="212" w:name="page213"/>
    <w:bookmarkEnd w:id="212"/>
    <w:p>
      <w:pPr>
        <w:ind w:right="120"/>
        <w:spacing w:after="0" w:line="26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 Event of Bankruptcy with respect to ABCR, any other Lessee or any Permitted Sublessee, the Administrator will direct the Trustee in writing pursuant to the Administration Agreement to allocate, prior to 11:00 a.m. (New York City time) on any Series 2009-3 Deposit Date, all amounts deposited into the Collection Account as set forth below:</w:t>
      </w:r>
    </w:p>
    <w:p>
      <w:pPr>
        <w:spacing w:after="0" w:line="51" w:lineRule="exact"/>
        <w:rPr>
          <w:sz w:val="20"/>
          <w:szCs w:val="20"/>
          <w:color w:val="auto"/>
        </w:rPr>
      </w:pPr>
    </w:p>
    <w:p>
      <w:pPr>
        <w:ind w:left="920" w:right="140" w:firstLine="421"/>
        <w:spacing w:after="0" w:line="275" w:lineRule="auto"/>
        <w:tabs>
          <w:tab w:leader="none" w:pos="1549" w:val="left"/>
        </w:tabs>
        <w:numPr>
          <w:ilvl w:val="1"/>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allocate to the Series 2009-3 Collection Account an amount determined as set forth in Section 3.2(a)(i) above for such day, which amount shall be further allocated to the Series 2009-3 Accrued Interest Account; and</w:t>
      </w:r>
    </w:p>
    <w:p>
      <w:pPr>
        <w:spacing w:after="0" w:line="38" w:lineRule="exact"/>
        <w:rPr>
          <w:rFonts w:ascii="Times New Roman" w:cs="Times New Roman" w:eastAsia="Times New Roman" w:hAnsi="Times New Roman"/>
          <w:sz w:val="18"/>
          <w:szCs w:val="18"/>
          <w:color w:val="auto"/>
        </w:rPr>
      </w:pPr>
    </w:p>
    <w:p>
      <w:pPr>
        <w:ind w:left="920" w:firstLine="421"/>
        <w:spacing w:after="0" w:line="289" w:lineRule="auto"/>
        <w:tabs>
          <w:tab w:leader="none" w:pos="1598" w:val="left"/>
        </w:tabs>
        <w:numPr>
          <w:ilvl w:val="1"/>
          <w:numId w:val="1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allocate to the Series 2009-3 Collection Account an amount equal to the Series 2009-3 Principal Allocation for such day, which amount shall be used to make principal payments in respect of the Series 2009-3 Notes, ratably, without preference or priority of any kind, until the Series 2009-3 Invested Amount is paid in full; provided that if on any Determination Date (A) the Administrator determines that the amount anticipated to be available from Interest Collections allocable to the Series 2009-3 Notes, Series 2009-3 Interest Rate Cap Proceeds and other amounts available pursuant to Section 3.3 to pay Series 2009-3 Monthly Interest and the Commitment Fees on the next succeeding Distribution Date will be less than the Series 2009-3 Monthly Interest and Commitment Fees for the Series 2009-3 Interest Period ending on the day preceding such Distribution Date and (B) the Series 2009-3 Enhancement Amount is greater than zero, then the Administrator shall direct the Trustee in writing to reallocate a portion of the Principal Collections allocated to the Series 2009-3 Notes during the Related Month equal to the lesser of such insufficiency and the Series 2009-3 Enhancement Amount to the Series 2009-3 Accrued Interest Account to be treated as Interest Collections on such Distribution Date.</w:t>
      </w:r>
    </w:p>
    <w:p>
      <w:pPr>
        <w:spacing w:after="0" w:line="112" w:lineRule="exact"/>
        <w:rPr>
          <w:rFonts w:ascii="Times New Roman" w:cs="Times New Roman" w:eastAsia="Times New Roman" w:hAnsi="Times New Roman"/>
          <w:sz w:val="16"/>
          <w:szCs w:val="16"/>
          <w:color w:val="auto"/>
        </w:rPr>
      </w:pPr>
    </w:p>
    <w:p>
      <w:pPr>
        <w:ind w:right="160" w:firstLine="921"/>
        <w:spacing w:after="0" w:line="310" w:lineRule="auto"/>
        <w:tabs>
          <w:tab w:leader="none" w:pos="1152" w:val="left"/>
        </w:tabs>
        <w:numPr>
          <w:ilvl w:val="0"/>
          <w:numId w:val="1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Allocations of Collections after the Occurrence of an Event of Bankruptcy</w:t>
      </w:r>
      <w:r>
        <w:rPr>
          <w:rFonts w:ascii="Times New Roman" w:cs="Times New Roman" w:eastAsia="Times New Roman" w:hAnsi="Times New Roman"/>
          <w:sz w:val="16"/>
          <w:szCs w:val="16"/>
          <w:color w:val="auto"/>
        </w:rPr>
        <w:t>. After the occurrence of an Event of Bankruptcy with respect to ARAC, any other Lessee or any Permitted Sublessee, the Administrator will direct the Trustee in writing pursuant to the Administration Agreement to allocate, prior to 11:00 a.m. (New York City time) on any Series 2009-3 Deposit Date, all amounts deposited into the Collection Account as set forth below:</w:t>
      </w:r>
    </w:p>
    <w:p>
      <w:pPr>
        <w:spacing w:after="0" w:line="16" w:lineRule="exact"/>
        <w:rPr>
          <w:rFonts w:ascii="Times New Roman" w:cs="Times New Roman" w:eastAsia="Times New Roman" w:hAnsi="Times New Roman"/>
          <w:sz w:val="16"/>
          <w:szCs w:val="16"/>
          <w:color w:val="auto"/>
        </w:rPr>
      </w:pPr>
    </w:p>
    <w:p>
      <w:pPr>
        <w:jc w:val="both"/>
        <w:ind w:left="920" w:right="200" w:firstLine="421"/>
        <w:spacing w:after="0" w:line="301" w:lineRule="auto"/>
        <w:tabs>
          <w:tab w:leader="none" w:pos="1549" w:val="left"/>
        </w:tabs>
        <w:numPr>
          <w:ilvl w:val="1"/>
          <w:numId w:val="1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allocate to the Series 2009-3 Collection Account an amount equal to the sum of (A) the Series 2009-3 AESOP I Operating Lease Vehicle Percentage as of the date of the occurrence of such Event of Bankruptcy of the aggregate amount of Interest Collections made under the AESOP I Operating Lease Loan Agreement and (B) any Series 2009-3 Interest Rate Cap Proceeds received by the Trustee on such day. All such amounts allocated to the Series 2009-3 Collection Account shall be further allocated to the Series 2009-3 Accrued Interest Account; and</w:t>
      </w:r>
    </w:p>
    <w:p>
      <w:pPr>
        <w:spacing w:after="0" w:line="22" w:lineRule="exact"/>
        <w:rPr>
          <w:rFonts w:ascii="Times New Roman" w:cs="Times New Roman" w:eastAsia="Times New Roman" w:hAnsi="Times New Roman"/>
          <w:sz w:val="16"/>
          <w:szCs w:val="16"/>
          <w:color w:val="auto"/>
        </w:rPr>
      </w:pPr>
    </w:p>
    <w:p>
      <w:pPr>
        <w:ind w:left="920" w:right="20" w:firstLine="421"/>
        <w:spacing w:after="0" w:line="275" w:lineRule="auto"/>
        <w:tabs>
          <w:tab w:leader="none" w:pos="1598" w:val="left"/>
        </w:tabs>
        <w:numPr>
          <w:ilvl w:val="1"/>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allocate to the Series 2009-3 Collection Account an amount equal to the Series 2009-3 AESOP I Operating Lease Vehicle Percentage as of the date of the occurrence of such Event of Bankruptcy of the aggregate amount of</w:t>
      </w:r>
    </w:p>
    <w:p>
      <w:pPr>
        <w:spacing w:after="0" w:line="10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360"/>
          </w:cols>
          <w:pgMar w:left="240" w:top="274" w:right="299" w:bottom="1440" w:gutter="0" w:footer="0" w:header="0"/>
        </w:sectPr>
      </w:pPr>
    </w:p>
    <w:bookmarkStart w:id="213" w:name="page214"/>
    <w:bookmarkEnd w:id="213"/>
    <w:p>
      <w:pPr>
        <w:ind w:left="92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Principal Collections made under the AESOP I Operating Lease Loan Agreement, which amount shall be used to make principal payments in respect of the Series 2009-3 Notes until the Series 2009-3 Notes have been paid in full;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on any Determination Date (A) the Administrator determines that the amount anticipated to be available from Interest Collections allocable to the Series 2009-3 Notes, Series 2009-3 Interest Rate Cap Proceeds and other amounts available pursuant to Section 3.3 to pay Series 2009-3 Monthly Interest and the Commitment Fees on the next succeeding Distribution Date will be less than the Series 2009-3 Monthly Interest and Commitment Fees for the Series 2009-3 Interest Period ending on the day preceding such Distribution Date and (B) the Series 2009-3 Enhancement Amount is greater than zero, then the Administrator shall direct the Trustee in writing to reallocate a portion of the Principal Collections allocated to the Series 2009-3 Notes during the Related Month equal to the lesser of such insufficiency and the Series 2009-3 Enhancement Amount to the Series 2009-3 Accrued Interest Account to be treated as Interest Collections on such Distribution Date.</w:t>
      </w:r>
    </w:p>
    <w:p>
      <w:pPr>
        <w:spacing w:after="0" w:line="143" w:lineRule="exact"/>
        <w:rPr>
          <w:sz w:val="20"/>
          <w:szCs w:val="20"/>
          <w:color w:val="auto"/>
        </w:rPr>
      </w:pPr>
    </w:p>
    <w:p>
      <w:pPr>
        <w:ind w:left="1160" w:hanging="239"/>
        <w:spacing w:after="0"/>
        <w:tabs>
          <w:tab w:leader="none" w:pos="1160" w:val="left"/>
        </w:tabs>
        <w:numPr>
          <w:ilvl w:val="1"/>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Allocations From Other Series</w:t>
      </w:r>
      <w:r>
        <w:rPr>
          <w:rFonts w:ascii="Times New Roman" w:cs="Times New Roman" w:eastAsia="Times New Roman" w:hAnsi="Times New Roman"/>
          <w:sz w:val="18"/>
          <w:szCs w:val="18"/>
          <w:color w:val="auto"/>
        </w:rPr>
        <w:t>. Amounts allocated to other Series of Notes that have been reallocated by ABRCF to the Series 2009-3 Notes</w:t>
      </w:r>
    </w:p>
    <w:p>
      <w:pPr>
        <w:spacing w:after="0" w:line="21" w:lineRule="exact"/>
        <w:rPr>
          <w:rFonts w:ascii="Times New Roman" w:cs="Times New Roman" w:eastAsia="Times New Roman" w:hAnsi="Times New Roman"/>
          <w:sz w:val="18"/>
          <w:szCs w:val="18"/>
          <w:color w:val="auto"/>
        </w:rPr>
      </w:pPr>
    </w:p>
    <w:p>
      <w:pPr>
        <w:ind w:right="40" w:firstLine="8"/>
        <w:spacing w:after="0" w:line="255" w:lineRule="auto"/>
        <w:tabs>
          <w:tab w:leader="none" w:pos="21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Series 2009-3 Revolving Period shall be allocated to the Series 2009-3 Excess Collection Account and applied in accordance with Section 3.2(e) and (ii) during the Series 2009-3 Amortization Period shall be allocated to the Series 2009-3 Collection Account and applied in accordance with Section 3.2(b)(ii) or 3.2(c)(ii), as the case may be, to make principal payments in respect of the Series 2009-3 Notes.</w:t>
      </w:r>
    </w:p>
    <w:p>
      <w:pPr>
        <w:spacing w:after="0" w:line="138" w:lineRule="exact"/>
        <w:rPr>
          <w:rFonts w:ascii="Times New Roman" w:cs="Times New Roman" w:eastAsia="Times New Roman" w:hAnsi="Times New Roman"/>
          <w:sz w:val="18"/>
          <w:szCs w:val="18"/>
          <w:color w:val="auto"/>
        </w:rPr>
      </w:pPr>
    </w:p>
    <w:p>
      <w:pPr>
        <w:ind w:right="40" w:firstLine="921"/>
        <w:spacing w:after="0" w:line="285" w:lineRule="auto"/>
        <w:tabs>
          <w:tab w:leader="none" w:pos="1152" w:val="left"/>
        </w:tabs>
        <w:numPr>
          <w:ilvl w:val="1"/>
          <w:numId w:val="1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Series 2009-3 Excess Collection Account</w:t>
      </w:r>
      <w:r>
        <w:rPr>
          <w:rFonts w:ascii="Times New Roman" w:cs="Times New Roman" w:eastAsia="Times New Roman" w:hAnsi="Times New Roman"/>
          <w:sz w:val="16"/>
          <w:szCs w:val="16"/>
          <w:color w:val="auto"/>
        </w:rPr>
        <w:t>. Amounts allocated to the Series 2009-3 Excess Collection Account on any Series 2009-3 Deposit Date will be (i) first, used to reduce the Purchaser Group Invested Amount with respect to any Non-Extending Purchaser Group to the extent required pursuant to Section 2.5(d), (ii) second, deposited in the Series 2009-3 Reserve Account in an amount up to the excess, if any, of the Series 2009-3 Required Reserve Account Amount for such date, after giving effect to any Increase or Decrease on such date, over the Series 2009-3 Available Reserve Account Amount for such date,</w:t>
      </w:r>
    </w:p>
    <w:p>
      <w:pPr>
        <w:spacing w:after="0" w:line="2" w:lineRule="exact"/>
        <w:rPr>
          <w:rFonts w:ascii="Times New Roman" w:cs="Times New Roman" w:eastAsia="Times New Roman" w:hAnsi="Times New Roman"/>
          <w:sz w:val="16"/>
          <w:szCs w:val="16"/>
          <w:color w:val="auto"/>
        </w:rPr>
      </w:pPr>
    </w:p>
    <w:p>
      <w:pPr>
        <w:ind w:right="40" w:firstLine="8"/>
        <w:spacing w:after="0" w:line="281" w:lineRule="auto"/>
        <w:tabs>
          <w:tab w:leader="none" w:pos="307" w:val="left"/>
        </w:tabs>
        <w:numPr>
          <w:ilvl w:val="0"/>
          <w:numId w:val="1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third, to the extent directed by ABRCF used to pay the principal amount of other Series of Notes that are then required to be paid, (iv) fourth, to the extent directed in writing by the Administrator, used to make a voluntary Decrease in the Series 2009-3 Invested Amount, (v) fifth, to the extent directed in writing by the Administrator used to make a voluntary decrease in the Invested Amount of any other Series of Notes that may be reduced in accordance with the Indenture, (vi) sixth, released to AESOP Leasing in an amount equal to (A) the Loan Agreement’s Share with respect to the AESOP I Operating Lease Loan Agreement as of such date times (B) 100% minus the Loan Payment Allocation Percentage with respect to the AESOP I Operating Lease Loan Agreement as of such date times</w:t>
      </w:r>
    </w:p>
    <w:p>
      <w:pPr>
        <w:spacing w:after="0" w:line="3" w:lineRule="exact"/>
        <w:rPr>
          <w:rFonts w:ascii="Times New Roman" w:cs="Times New Roman" w:eastAsia="Times New Roman" w:hAnsi="Times New Roman"/>
          <w:sz w:val="16"/>
          <w:szCs w:val="16"/>
          <w:color w:val="auto"/>
        </w:rPr>
      </w:pPr>
    </w:p>
    <w:p>
      <w:pPr>
        <w:jc w:val="both"/>
        <w:ind w:right="60"/>
        <w:spacing w:after="0" w:line="302"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(C) the amount of any remaining funds and (vii) seventh, paid to ABRCF for any use permitted under the Related Documents, including to make Loans under the Loan Agreements to the extent the Borrowers have requested Loans thereunder and Eligible Vehicles are available for financing thereunder;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in the case of clauses (v), (vi) and (vii), that no AESOP I Operating Lease Vehicle Deficiency would result therefrom or exist immediately thereafter. Upon the occurrence</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420"/>
          </w:cols>
          <w:pgMar w:left="240" w:top="274" w:right="239" w:bottom="1440" w:gutter="0" w:footer="0" w:header="0"/>
        </w:sectPr>
      </w:pPr>
    </w:p>
    <w:bookmarkStart w:id="214" w:name="page215"/>
    <w:bookmarkEnd w:id="214"/>
    <w:p>
      <w:pPr>
        <w:ind w:right="380"/>
        <w:spacing w:after="0" w:line="339"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of an Amortization Event, funds on deposit in the Series 2009-3 Excess Collection Account will be withdrawn by the Trustee, deposited in the Series 2009-3 Collection Account and allocated as Principal Collections to reduce the Series 2009-3 Invested Amount on the immediately succeeding Distribution Date.</w:t>
      </w:r>
    </w:p>
    <w:p>
      <w:pPr>
        <w:spacing w:after="0" w:line="74" w:lineRule="exact"/>
        <w:rPr>
          <w:sz w:val="20"/>
          <w:szCs w:val="20"/>
          <w:color w:val="auto"/>
        </w:rPr>
      </w:pPr>
    </w:p>
    <w:p>
      <w:pPr>
        <w:ind w:firstLine="921"/>
        <w:spacing w:after="0" w:line="254" w:lineRule="auto"/>
        <w:tabs>
          <w:tab w:leader="none" w:pos="1132"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Past Due Rental Payments</w:t>
      </w:r>
      <w:r>
        <w:rPr>
          <w:rFonts w:ascii="Times New Roman" w:cs="Times New Roman" w:eastAsia="Times New Roman" w:hAnsi="Times New Roman"/>
          <w:sz w:val="18"/>
          <w:szCs w:val="18"/>
          <w:color w:val="auto"/>
        </w:rPr>
        <w:t>. Notwithstanding Section 3.2(a), if after the occurrence of a Series 2009-3 Lease Payment Deficit, the Lessees shall make payments of Monthly Base Rent or other amounts payable by the Lessees under the Leases on or prior to the fifth Business Day after the occurrence of such Series 2009-3 Lease Payment Deficit (a “</w:t>
      </w:r>
      <w:r>
        <w:rPr>
          <w:rFonts w:ascii="Times New Roman" w:cs="Times New Roman" w:eastAsia="Times New Roman" w:hAnsi="Times New Roman"/>
          <w:sz w:val="18"/>
          <w:szCs w:val="18"/>
          <w:u w:val="single" w:color="auto"/>
          <w:color w:val="auto"/>
        </w:rPr>
        <w:t>Past Due Rent Payment</w:t>
      </w:r>
      <w:r>
        <w:rPr>
          <w:rFonts w:ascii="Times New Roman" w:cs="Times New Roman" w:eastAsia="Times New Roman" w:hAnsi="Times New Roman"/>
          <w:sz w:val="18"/>
          <w:szCs w:val="18"/>
          <w:color w:val="auto"/>
        </w:rPr>
        <w:t>”), the Administrator shall direct the Trustee in writing pursuant to the Administration Agreement to allocate to the Series 2009-3 Collection Account an amount equal to the Series 2009-3 Invested Percentage as of the date of the occurrence of such Series 2009-3 Lease Payment Deficit of the Collections attributable to such Past Due Rent Payment (the “</w:t>
      </w:r>
      <w:r>
        <w:rPr>
          <w:rFonts w:ascii="Times New Roman" w:cs="Times New Roman" w:eastAsia="Times New Roman" w:hAnsi="Times New Roman"/>
          <w:sz w:val="18"/>
          <w:szCs w:val="18"/>
          <w:u w:val="single" w:color="auto"/>
          <w:color w:val="auto"/>
        </w:rPr>
        <w:t>Series 2009-3 Past Due Rent Payment</w:t>
      </w:r>
      <w:r>
        <w:rPr>
          <w:rFonts w:ascii="Times New Roman" w:cs="Times New Roman" w:eastAsia="Times New Roman" w:hAnsi="Times New Roman"/>
          <w:sz w:val="18"/>
          <w:szCs w:val="18"/>
          <w:color w:val="auto"/>
        </w:rPr>
        <w:t>”). The Administrator shall instruct the Trustee in writing pursuant to the Administration Agreement to withdraw from the Series 2009-3 Collection Account and apply the Series 2009-3 Past Due Rent Payment in the following order:</w:t>
      </w:r>
    </w:p>
    <w:p>
      <w:pPr>
        <w:spacing w:after="0" w:line="60" w:lineRule="exact"/>
        <w:rPr>
          <w:rFonts w:ascii="Times New Roman" w:cs="Times New Roman" w:eastAsia="Times New Roman" w:hAnsi="Times New Roman"/>
          <w:sz w:val="18"/>
          <w:szCs w:val="18"/>
          <w:color w:val="auto"/>
        </w:rPr>
      </w:pPr>
    </w:p>
    <w:p>
      <w:pPr>
        <w:ind w:left="920" w:right="60" w:firstLine="421"/>
        <w:spacing w:after="0" w:line="258" w:lineRule="auto"/>
        <w:tabs>
          <w:tab w:leader="none" w:pos="1549" w:val="left"/>
        </w:tabs>
        <w:numPr>
          <w:ilvl w:val="1"/>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occurrence of such Series 2009-3 Lease Payment Deficit resulted in a withdrawal being made from the Series 2009-3 Reserve Account pursuant to Section 3.3(b), deposit in the Series 2009-3 Reserve Account an amount equal to the lesser of (x) the Series 2009-3 Past Due Rent Payment and (y) the excess, if any, of the Series 2009-3 Required Reserve Account Amount over the Series 2009-3 Available Reserve Account Amount on such day;</w:t>
      </w:r>
    </w:p>
    <w:p>
      <w:pPr>
        <w:spacing w:after="0" w:line="55" w:lineRule="exact"/>
        <w:rPr>
          <w:rFonts w:ascii="Times New Roman" w:cs="Times New Roman" w:eastAsia="Times New Roman" w:hAnsi="Times New Roman"/>
          <w:sz w:val="18"/>
          <w:szCs w:val="18"/>
          <w:color w:val="auto"/>
        </w:rPr>
      </w:pPr>
    </w:p>
    <w:p>
      <w:pPr>
        <w:ind w:left="920" w:right="300" w:firstLine="421"/>
        <w:spacing w:after="0" w:line="293" w:lineRule="auto"/>
        <w:tabs>
          <w:tab w:leader="none" w:pos="1598" w:val="left"/>
        </w:tabs>
        <w:numPr>
          <w:ilvl w:val="1"/>
          <w:numId w:val="1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 occurrence of the related Series 2009-3 Lease Payment Deficit resulted in one or more Lease Deficit Disbursements being made under the Series 2009-3 Letters of Credit, pay to each Series 2009-3 Letter of Credit Provider who made such a Lease Deficit Disbursement for application in accordance with the provisions of the applicable Series 2009-3 Reimbursement Agreement an amount equal to the lesser of (x) the unreimbursed amount of such Series 2009-3 Letter of Credit Provider’s Lease Deficit Disbursement and (y) such Series 2009-3 Letter of Credit Provider’s pro rata share, calculated on the basis of the unreimbursed amount of each Series 2009-3 Letter of Credit Provider’s Lease Deficit Disbursement, of the amount of the Series 2009-3 Past Due Rent Payment remaining after payment pursuant to clause (i) above;</w:t>
      </w:r>
    </w:p>
    <w:p>
      <w:pPr>
        <w:spacing w:after="0" w:line="29" w:lineRule="exact"/>
        <w:rPr>
          <w:rFonts w:ascii="Times New Roman" w:cs="Times New Roman" w:eastAsia="Times New Roman" w:hAnsi="Times New Roman"/>
          <w:sz w:val="16"/>
          <w:szCs w:val="16"/>
          <w:color w:val="auto"/>
        </w:rPr>
      </w:pPr>
    </w:p>
    <w:p>
      <w:pPr>
        <w:ind w:left="920" w:right="180" w:firstLine="421"/>
        <w:spacing w:after="0" w:line="258" w:lineRule="auto"/>
        <w:tabs>
          <w:tab w:leader="none" w:pos="1647" w:val="left"/>
        </w:tabs>
        <w:numPr>
          <w:ilvl w:val="1"/>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occurrence of such Series 2009-3 Lease Payment Deficit resulted in a withdrawal being made from the Series 2009-3 Cash Collateral Account, deposit in the Series 2009-3 Cash Collateral Account an amount equal to the lesser of (x) the amount of the Series 2009-3 Past Due Rent Payment remaining after any payment pursuant to clauses (i) and (ii) above and (y) the amount withdrawn from the Series 2009-3 Cash Collateral Account on account of such Series 2009-3 Lease Payment Deficit;</w:t>
      </w:r>
    </w:p>
    <w:p>
      <w:pPr>
        <w:spacing w:after="0" w:line="55" w:lineRule="exact"/>
        <w:rPr>
          <w:rFonts w:ascii="Times New Roman" w:cs="Times New Roman" w:eastAsia="Times New Roman" w:hAnsi="Times New Roman"/>
          <w:sz w:val="18"/>
          <w:szCs w:val="18"/>
          <w:color w:val="auto"/>
        </w:rPr>
      </w:pPr>
    </w:p>
    <w:p>
      <w:pPr>
        <w:ind w:left="920" w:right="180" w:firstLine="421"/>
        <w:spacing w:after="0" w:line="275" w:lineRule="auto"/>
        <w:tabs>
          <w:tab w:leader="none" w:pos="1637" w:val="left"/>
        </w:tabs>
        <w:numPr>
          <w:ilvl w:val="1"/>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allocate to the Series 2009-3 Accrued Interest Account the amount, if any, by which the Series 2009-3 Lease Interest Payment Deficit, if any, relating</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400"/>
          </w:cols>
          <w:pgMar w:left="240" w:top="274" w:right="259" w:bottom="1440" w:gutter="0" w:footer="0" w:header="0"/>
        </w:sectPr>
      </w:pPr>
    </w:p>
    <w:bookmarkStart w:id="215" w:name="page216"/>
    <w:bookmarkEnd w:id="215"/>
    <w:p>
      <w:pPr>
        <w:ind w:left="9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to such Series 2009-3 Lease Payment Deficit exceeds the amount of the Series 2009-3 Past Due Rent Payment applied pursuant to clauses (i),</w:t>
      </w:r>
    </w:p>
    <w:p>
      <w:pPr>
        <w:spacing w:after="0" w:line="21" w:lineRule="exact"/>
        <w:rPr>
          <w:sz w:val="20"/>
          <w:szCs w:val="20"/>
          <w:color w:val="auto"/>
        </w:rPr>
      </w:pPr>
    </w:p>
    <w:p>
      <w:pPr>
        <w:ind w:left="1180" w:hanging="259"/>
        <w:spacing w:after="0"/>
        <w:tabs>
          <w:tab w:leader="none" w:pos="118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(iii) above; and</w:t>
      </w:r>
    </w:p>
    <w:p>
      <w:pPr>
        <w:spacing w:after="0" w:line="77" w:lineRule="exact"/>
        <w:rPr>
          <w:rFonts w:ascii="Times New Roman" w:cs="Times New Roman" w:eastAsia="Times New Roman" w:hAnsi="Times New Roman"/>
          <w:sz w:val="18"/>
          <w:szCs w:val="18"/>
          <w:color w:val="auto"/>
        </w:rPr>
      </w:pPr>
    </w:p>
    <w:p>
      <w:pPr>
        <w:ind w:left="920" w:right="260" w:firstLine="421"/>
        <w:spacing w:after="0" w:line="275" w:lineRule="auto"/>
        <w:tabs>
          <w:tab w:leader="none" w:pos="1588" w:val="left"/>
        </w:tabs>
        <w:numPr>
          <w:ilvl w:val="1"/>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treat the remaining amount of the Series 2009-3 Past Due Rent Payment as Principal Collections allocated to the Series 2009-3 Notes in accordance with Section 3.2(a)(ii) or 3.2(b)(ii), as the case may be.</w:t>
      </w:r>
    </w:p>
    <w:p>
      <w:pPr>
        <w:spacing w:after="0" w:line="120" w:lineRule="exact"/>
        <w:rPr>
          <w:sz w:val="20"/>
          <w:szCs w:val="20"/>
          <w:color w:val="auto"/>
        </w:rPr>
      </w:pPr>
    </w:p>
    <w:p>
      <w:pPr>
        <w:ind w:firstLine="913"/>
        <w:spacing w:after="0" w:line="285" w:lineRule="auto"/>
        <w:rPr>
          <w:sz w:val="20"/>
          <w:szCs w:val="20"/>
          <w:color w:val="auto"/>
        </w:rPr>
      </w:pPr>
      <w:r>
        <w:rPr>
          <w:rFonts w:ascii="Times New Roman" w:cs="Times New Roman" w:eastAsia="Times New Roman" w:hAnsi="Times New Roman"/>
          <w:sz w:val="16"/>
          <w:szCs w:val="16"/>
          <w:color w:val="auto"/>
        </w:rPr>
        <w:t xml:space="preserve">Section 3.3. </w:t>
      </w:r>
      <w:r>
        <w:rPr>
          <w:rFonts w:ascii="Times New Roman" w:cs="Times New Roman" w:eastAsia="Times New Roman" w:hAnsi="Times New Roman"/>
          <w:sz w:val="16"/>
          <w:szCs w:val="16"/>
          <w:u w:val="single" w:color="auto"/>
          <w:color w:val="auto"/>
        </w:rPr>
        <w:t>Payments to Noteholders</w:t>
      </w:r>
      <w:r>
        <w:rPr>
          <w:rFonts w:ascii="Times New Roman" w:cs="Times New Roman" w:eastAsia="Times New Roman" w:hAnsi="Times New Roman"/>
          <w:sz w:val="16"/>
          <w:szCs w:val="16"/>
          <w:color w:val="auto"/>
        </w:rPr>
        <w:t>. The Funding Agent with respect to each Purchaser Group shall provide written notice to the Administrative Agent (x) no later than two Business Days prior to each Determination Date, setting forth the Monthly Funding Costs with respect to such Purchaser Group with respect to the portion of the current Series 2009-3 Interest Period ending on such Business Day and a reasonable estimation of the Monthly Funding Costs with respect to such Purchaser Group for the remainder of such Series 2009-3 Interest Period and (y) within three Business Days after the end of each calendar month, setting forth the Monthly Funding Costs (calculated as if such calendar month was a Series 2009-3 Interest Period) with respect to such Purchaser Group for such calendar month. The Administrative Agent shall, within two Business Days following its receipt of such information from each Funding Agent, compile the information provided in such written notice pursuant to (x) or (y) above, as applicable, into one written notice for all Purchaser Groups and forward such notice to the Administrator. If the actual amount of the Monthly Funding Costs with respect to any Purchaser Group for a Series 2009-3 Interest Period is less than or greater than the amount thereof estimated by the Funding Agent with respect to such Purchaser Group on a Determination Date, such Funding Agent shall notify the Administrator and the Administrative Agent thereof on the next succeeding Determination Date and the Administrator will reduce or increase the Monthly Funding Costs with respect to such Purchaser Group for the next succeeding Series 2009-3 Interest Period accordingly. The Administrator shall determine the Series 2009-3 Note Rate for the last Series 2009-3 Interest Period on the Determination Date immediately preceding the final Distribution Date based on the information provided by the Funding Agents. If a Funding Agent determines that the actual Monthly Funding Costs with respect to its Purchaser Group for the last Series 2009-3 Interest Period will be more or less than the estimate thereof provided to the Administrator and informs the Administrator of such variance prior to the Distribution Date for such Series 2009-3 Interest Period, the Administrator will recalculate the Series 2009-3 Note Rate for such Series 2009-3 Interest Period. On each Determination Date, as provided below, the Administrator shall instruct the Paying Agent in writing pursuant to the Administration Agreement to withdraw, and on the following Distribution Date the Paying Agent, acting in accordance with such instructions, shall withdraw the amounts required to be withdrawn from the Collection Account pursuant to Section 3.3(a) below in respect of all funds available from Series 2009-3 Interest Rate Cap Proceeds and Interest Collections processed since the preceding Distribution Date and allocated to the holders of the Series 2009-3 Notes.</w:t>
      </w:r>
    </w:p>
    <w:p>
      <w:pPr>
        <w:spacing w:after="0" w:line="335" w:lineRule="exact"/>
        <w:rPr>
          <w:sz w:val="20"/>
          <w:szCs w:val="20"/>
          <w:color w:val="auto"/>
        </w:rPr>
      </w:pPr>
    </w:p>
    <w:p>
      <w:pPr>
        <w:jc w:val="both"/>
        <w:ind w:right="160" w:firstLine="921"/>
        <w:spacing w:after="0" w:line="258" w:lineRule="auto"/>
        <w:tabs>
          <w:tab w:leader="none" w:pos="1152"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Note Interest and Commitment Fees with respect to the Series 2009-3 Notes</w:t>
      </w:r>
      <w:r>
        <w:rPr>
          <w:rFonts w:ascii="Times New Roman" w:cs="Times New Roman" w:eastAsia="Times New Roman" w:hAnsi="Times New Roman"/>
          <w:sz w:val="18"/>
          <w:szCs w:val="18"/>
          <w:color w:val="auto"/>
        </w:rPr>
        <w:t>. On each Determination Date, the Administrator shall instruct the Trustee and the Paying Agent in writing pursuant to the Administration Agreement as to the amount to be withdrawn and paid pursuant to Section 3.4 from the Series 2009-3 Accrued Interest Account to the extent funds are anticipated to be available from Interest Collections allocable to the Series 2009-3 Notes and the Series 2009-3 Interest Rate Cap Proceeds</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400"/>
          </w:cols>
          <w:pgMar w:left="240" w:top="274" w:right="259" w:bottom="1440" w:gutter="0" w:footer="0" w:header="0"/>
        </w:sectPr>
      </w:pPr>
    </w:p>
    <w:bookmarkStart w:id="216" w:name="page217"/>
    <w:bookmarkEnd w:id="216"/>
    <w:p>
      <w:pPr>
        <w:ind w:right="2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processed from, but not including, the preceding Distribution Date through the succeeding Distribution Date in respect of (x) first, an amount equal to the Series 2009-3 Monthly Interest for the Series 2009-3 Interest Period ending on the day preceding the related Distribution Date, (y) second, an amount equal to the Commitment Fees for each Purchaser Group for the Series 2009-3 Interest Period ending on the day preceding the related Distribution Date and (z) third, an amount equal to the amount of any unpaid Series 2009-3 Shortfall as of the preceding Distribution Date (together with any accrued interest on such Series 2009-3 Shortfall). On the following Distribution Date, the Trustee shall withdraw the amounts described in the first sentence of this Section 3.3(a) from the Series 2009-3 Accrued Interest Account and deposit such amounts in the Series 2009-3 Distribution Account.</w:t>
      </w:r>
    </w:p>
    <w:p>
      <w:pPr>
        <w:spacing w:after="0" w:line="139" w:lineRule="exact"/>
        <w:rPr>
          <w:sz w:val="20"/>
          <w:szCs w:val="20"/>
          <w:color w:val="auto"/>
        </w:rPr>
      </w:pPr>
    </w:p>
    <w:p>
      <w:pPr>
        <w:ind w:right="80" w:firstLine="921"/>
        <w:spacing w:after="0" w:line="296" w:lineRule="auto"/>
        <w:tabs>
          <w:tab w:leader="none" w:pos="1161" w:val="left"/>
        </w:tabs>
        <w:numPr>
          <w:ilvl w:val="0"/>
          <w:numId w:val="1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Withdrawals from Series 2009-3 Reserve Account</w:t>
      </w:r>
      <w:r>
        <w:rPr>
          <w:rFonts w:ascii="Times New Roman" w:cs="Times New Roman" w:eastAsia="Times New Roman" w:hAnsi="Times New Roman"/>
          <w:sz w:val="16"/>
          <w:szCs w:val="16"/>
          <w:color w:val="auto"/>
        </w:rPr>
        <w:t>. If the Administrator determines on any Distribution Date that the amounts available from the Series 2009-3 Accrued Interest Account are insufficient to pay the sum of the amounts described in clauses (x), (y) and (z) of Section 3.3(a) above on such Distribution Date, the Administrator shall instruct the Trustee in writing to withdraw from the Series 2009-3 Reserve Account and deposit in the Series 2009-3 Distribution Account on such Distribution Date an amount equal to the lesser of the Series 2009-3 Available Reserve Account Amount and such insufficiency. The Trustee shall withdraw such amount from the Series 2009-3 Reserve Account and deposit such amount in the Series 2009-3 Distribution Account.</w:t>
      </w:r>
    </w:p>
    <w:p>
      <w:pPr>
        <w:spacing w:after="0" w:line="107" w:lineRule="exact"/>
        <w:rPr>
          <w:rFonts w:ascii="Times New Roman" w:cs="Times New Roman" w:eastAsia="Times New Roman" w:hAnsi="Times New Roman"/>
          <w:sz w:val="16"/>
          <w:szCs w:val="16"/>
          <w:color w:val="auto"/>
        </w:rPr>
      </w:pPr>
    </w:p>
    <w:p>
      <w:pPr>
        <w:ind w:right="380" w:firstLine="921"/>
        <w:spacing w:after="0" w:line="339" w:lineRule="auto"/>
        <w:tabs>
          <w:tab w:leader="none" w:pos="1152" w:val="left"/>
        </w:tabs>
        <w:numPr>
          <w:ilvl w:val="0"/>
          <w:numId w:val="1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Lease Payment Deficit Notice</w:t>
      </w:r>
      <w:r>
        <w:rPr>
          <w:rFonts w:ascii="Times New Roman" w:cs="Times New Roman" w:eastAsia="Times New Roman" w:hAnsi="Times New Roman"/>
          <w:sz w:val="16"/>
          <w:szCs w:val="16"/>
          <w:color w:val="auto"/>
        </w:rPr>
        <w:t xml:space="preserve">. On or before 10:00 a.m. (New York City time) on each Distribution Date, the Administrator shall notify the Trustee of the amount of any Series 2009-3 Lease Payment Deficit, such notification to be in the form of </w:t>
      </w:r>
      <w:r>
        <w:rPr>
          <w:rFonts w:ascii="Times New Roman" w:cs="Times New Roman" w:eastAsia="Times New Roman" w:hAnsi="Times New Roman"/>
          <w:sz w:val="16"/>
          <w:szCs w:val="16"/>
          <w:u w:val="single" w:color="auto"/>
          <w:color w:val="auto"/>
        </w:rPr>
        <w:t>Exhibit F</w:t>
      </w:r>
      <w:r>
        <w:rPr>
          <w:rFonts w:ascii="Times New Roman" w:cs="Times New Roman" w:eastAsia="Times New Roman" w:hAnsi="Times New Roman"/>
          <w:sz w:val="16"/>
          <w:szCs w:val="16"/>
          <w:color w:val="auto"/>
        </w:rPr>
        <w:t xml:space="preserve"> (each a “</w:t>
      </w:r>
      <w:r>
        <w:rPr>
          <w:rFonts w:ascii="Times New Roman" w:cs="Times New Roman" w:eastAsia="Times New Roman" w:hAnsi="Times New Roman"/>
          <w:sz w:val="16"/>
          <w:szCs w:val="16"/>
          <w:u w:val="single" w:color="auto"/>
          <w:color w:val="auto"/>
        </w:rPr>
        <w:t>Lease Payment Deficit Notice</w:t>
      </w:r>
      <w:r>
        <w:rPr>
          <w:rFonts w:ascii="Times New Roman" w:cs="Times New Roman" w:eastAsia="Times New Roman" w:hAnsi="Times New Roman"/>
          <w:sz w:val="16"/>
          <w:szCs w:val="16"/>
          <w:color w:val="auto"/>
        </w:rPr>
        <w:t>”).</w:t>
      </w:r>
    </w:p>
    <w:p>
      <w:pPr>
        <w:spacing w:after="0" w:line="74" w:lineRule="exact"/>
        <w:rPr>
          <w:rFonts w:ascii="Times New Roman" w:cs="Times New Roman" w:eastAsia="Times New Roman" w:hAnsi="Times New Roman"/>
          <w:sz w:val="16"/>
          <w:szCs w:val="16"/>
          <w:color w:val="auto"/>
        </w:rPr>
      </w:pPr>
    </w:p>
    <w:p>
      <w:pPr>
        <w:ind w:firstLine="921"/>
        <w:spacing w:after="0" w:line="253" w:lineRule="auto"/>
        <w:tabs>
          <w:tab w:leader="none" w:pos="1161"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Draws on Series 2009-3 Letters of Credit For Series 2009-3 Lease Interest Payment Deficits</w:t>
      </w:r>
      <w:r>
        <w:rPr>
          <w:rFonts w:ascii="Times New Roman" w:cs="Times New Roman" w:eastAsia="Times New Roman" w:hAnsi="Times New Roman"/>
          <w:sz w:val="18"/>
          <w:szCs w:val="18"/>
          <w:color w:val="auto"/>
        </w:rPr>
        <w:t xml:space="preserve">. If the Administrator determines on the Business Day immediately preceding any Distribution Date that on such Distribution Date there will exist a Series 2009-3 Lease Interest Payment Deficit, the Administrator shall, on or prior to 3:00 p.m. (New York City time) on such Business Day, instruct the Trustee in writing to draw on the Series 2009-3 Letters of Credit, if any, and, the Trustee shall, by 5:00 p.m. (New York City time) on such Business Day draw an amount (identified by the Administrator) equal to the least of (i) such Series 2009-3 Lease Interest Payment Deficit, (ii) the excess, if any, of the sum of the amounts described in clauses (x), (y) and (z) of Section 3.3(a) above for such Distribution Date over the amounts available from the Series 2009-3 Accrued Interest Account on such Distribution Date plus the amount withdrawn from the Series 2009-3 Reserve Account pursuant to Section 3.3(b) and (iii) the Series 2009-3 Letter of Credit Liquidity Amount on the Series 2009-3 Letters of Credit by presenting to each Series 2009-3 Letter of Credit Provider a Certificate of Lease Deficit Demand and shall cause the Lease Deficit Disbursements to be deposited in the Series 2009-3 Distribution Account on such Distribution Date for distribution in accordance with Section 3.4;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the Series 2009-3 Cash Collateral Account has been established and funded, the Trustee shall withdraw from the Series 2009-3 Cash Collateral Account and deposit in the Series 2009-3 Distribution Account an</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400"/>
          </w:cols>
          <w:pgMar w:left="240" w:top="274" w:right="259" w:bottom="1440" w:gutter="0" w:footer="0" w:header="0"/>
        </w:sectPr>
      </w:pPr>
    </w:p>
    <w:bookmarkStart w:id="217" w:name="page218"/>
    <w:bookmarkEnd w:id="217"/>
    <w:p>
      <w:pPr>
        <w:ind w:right="60"/>
        <w:spacing w:after="0" w:line="26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amount equal to the lesser of (x) the Series 2009-3 Cash Collateral Percentage on such date of the least of the amounts described in clauses (i), (ii) and (iii) above and (y) the Series 2009-3 Available Cash Collateral Account Amount on such date and draw an amount equal to the remainder of such amount on the Series 2009-3 Letters of Credit.</w:t>
      </w:r>
    </w:p>
    <w:p>
      <w:pPr>
        <w:spacing w:after="0" w:line="132" w:lineRule="exact"/>
        <w:rPr>
          <w:sz w:val="20"/>
          <w:szCs w:val="20"/>
          <w:color w:val="auto"/>
        </w:rPr>
      </w:pPr>
    </w:p>
    <w:p>
      <w:pPr>
        <w:ind w:right="260" w:firstLine="921"/>
        <w:spacing w:after="0" w:line="262" w:lineRule="auto"/>
        <w:tabs>
          <w:tab w:leader="none" w:pos="1152"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Balance</w:t>
      </w:r>
      <w:r>
        <w:rPr>
          <w:rFonts w:ascii="Times New Roman" w:cs="Times New Roman" w:eastAsia="Times New Roman" w:hAnsi="Times New Roman"/>
          <w:sz w:val="18"/>
          <w:szCs w:val="18"/>
          <w:color w:val="auto"/>
        </w:rPr>
        <w:t>. On or prior to the second Business Day preceding each Distribution Date, the Administrator shall instruct the Trustee and the Paying Agent in writing pursuant to the Administration Agreement to pay the balance (after making the payments required in Section 3.3(a)), if any, of the amounts available from the Series 2009-3 Accrued Interest Account as follows:</w:t>
      </w:r>
    </w:p>
    <w:p>
      <w:pPr>
        <w:spacing w:after="0" w:line="51" w:lineRule="exact"/>
        <w:rPr>
          <w:rFonts w:ascii="Times New Roman" w:cs="Times New Roman" w:eastAsia="Times New Roman" w:hAnsi="Times New Roman"/>
          <w:sz w:val="18"/>
          <w:szCs w:val="18"/>
          <w:color w:val="auto"/>
        </w:rPr>
      </w:pPr>
    </w:p>
    <w:p>
      <w:pPr>
        <w:ind w:left="920" w:right="160" w:firstLine="421"/>
        <w:spacing w:after="0" w:line="287" w:lineRule="auto"/>
        <w:tabs>
          <w:tab w:leader="none" w:pos="1549" w:val="left"/>
        </w:tabs>
        <w:numPr>
          <w:ilvl w:val="1"/>
          <w:numId w:val="1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each Distribution Date during the Series 2009-3 Revolving Period, (1) first, to the Administrator, an amount equal to the Series 2009-3 Percentage as of the beginning of such Series 2009-3 Interest Period of the portion of the Monthly Administration Fee payable by ABRCF (as specified in clause (iii) of the definition thereof) for such Series 2009-3 Interest Period, (2) second, to the Trustee, an amount equal to the Series</w:t>
      </w:r>
    </w:p>
    <w:p>
      <w:pPr>
        <w:ind w:left="920"/>
        <w:spacing w:after="0" w:line="252" w:lineRule="auto"/>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2009-3 Percentage as of the beginning of such Series 2009-3 Interest Period of the Trustee’s fees for such Series 2009-3 Interest Period, (3) third, to the Series 2009-3 Distribution Account to pay any Article VII Costs, (4) fourth, to pay any Carrying Charges (other than Carrying Charges provided for above) to the Persons to whom such amounts are owed, an amount equal to the Series 2009-3 Percentage as of the beginning of such Series 2009-3 Interest Period of such Carrying Charges (other than Carrying Charges provided for above) for such Series 2009-3 Interest Period and (5) fifth, the balance, if any (“</w:t>
      </w:r>
      <w:r>
        <w:rPr>
          <w:rFonts w:ascii="Times New Roman" w:cs="Times New Roman" w:eastAsia="Times New Roman" w:hAnsi="Times New Roman"/>
          <w:sz w:val="18"/>
          <w:szCs w:val="18"/>
          <w:u w:val="single" w:color="auto"/>
          <w:color w:val="auto"/>
        </w:rPr>
        <w:t>Excess Collections</w:t>
      </w:r>
      <w:r>
        <w:rPr>
          <w:rFonts w:ascii="Times New Roman" w:cs="Times New Roman" w:eastAsia="Times New Roman" w:hAnsi="Times New Roman"/>
          <w:sz w:val="18"/>
          <w:szCs w:val="18"/>
          <w:color w:val="auto"/>
        </w:rPr>
        <w:t>”), shall be withdrawn by the Paying Agent from the Series 2009-3 Collection Account and deposited in the Series 2009-3 Excess Collection Account; and</w:t>
      </w:r>
    </w:p>
    <w:p>
      <w:pPr>
        <w:spacing w:after="0" w:line="61" w:lineRule="exact"/>
        <w:rPr>
          <w:rFonts w:ascii="Times New Roman" w:cs="Times New Roman" w:eastAsia="Times New Roman" w:hAnsi="Times New Roman"/>
          <w:sz w:val="16"/>
          <w:szCs w:val="16"/>
          <w:color w:val="auto"/>
        </w:rPr>
      </w:pPr>
    </w:p>
    <w:p>
      <w:pPr>
        <w:ind w:left="920" w:right="220" w:firstLine="421"/>
        <w:spacing w:after="0" w:line="285" w:lineRule="auto"/>
        <w:tabs>
          <w:tab w:leader="none" w:pos="1598" w:val="left"/>
        </w:tabs>
        <w:numPr>
          <w:ilvl w:val="1"/>
          <w:numId w:val="1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each Distribution Date during the Series 2009-3 Amortization Period, (1) first, to the Trustee, an amount equal to the Series 2009-3 Percentage as of the beginning of such Series 2009-3 Interest Period of the Trustee’s fees for such Series 2009-3 Interest Period, (2) second, to the Administrator, an amount equal to the Series 2009-3 Percentage as of the beginning of such Series 2009-3 Interest Period of the portion of the Monthly Administration Fee (as specified in clause (iii) of the definition thereof) payable by ABRCF for such Series 2009-3 Interest Period,</w:t>
      </w:r>
    </w:p>
    <w:p>
      <w:pPr>
        <w:spacing w:after="0" w:line="2" w:lineRule="exact"/>
        <w:rPr>
          <w:rFonts w:ascii="Times New Roman" w:cs="Times New Roman" w:eastAsia="Times New Roman" w:hAnsi="Times New Roman"/>
          <w:sz w:val="16"/>
          <w:szCs w:val="16"/>
          <w:color w:val="auto"/>
        </w:rPr>
      </w:pPr>
    </w:p>
    <w:p>
      <w:pPr>
        <w:ind w:left="920"/>
        <w:spacing w:after="0" w:line="254" w:lineRule="auto"/>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(3) third, to the Series 2009-3 Distribution Account to pay any Article VII Costs, (4) fourth, to pay any Carrying Charges (other than Carrying Charges provided for above) to the Persons to whom such amounts are owed, an amount equal to the Series 2009-3 Percentage as of the beginning of such Series 2009-3 Interest Period of such Carrying Charges (other than Carrying Charges provided for above) for such Series 2009-3 Interest Period and (5) fifth, the balance, if any, shall be treated as Principal Collections.</w:t>
      </w:r>
    </w:p>
    <w:p>
      <w:pPr>
        <w:spacing w:after="0" w:line="137" w:lineRule="exact"/>
        <w:rPr>
          <w:rFonts w:ascii="Times New Roman" w:cs="Times New Roman" w:eastAsia="Times New Roman" w:hAnsi="Times New Roman"/>
          <w:sz w:val="16"/>
          <w:szCs w:val="16"/>
          <w:color w:val="auto"/>
        </w:rPr>
      </w:pPr>
    </w:p>
    <w:p>
      <w:pPr>
        <w:ind w:right="220" w:firstLine="921"/>
        <w:spacing w:after="0" w:line="262" w:lineRule="auto"/>
        <w:tabs>
          <w:tab w:leader="none" w:pos="1132"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Shortfalls</w:t>
      </w:r>
      <w:r>
        <w:rPr>
          <w:rFonts w:ascii="Times New Roman" w:cs="Times New Roman" w:eastAsia="Times New Roman" w:hAnsi="Times New Roman"/>
          <w:sz w:val="18"/>
          <w:szCs w:val="18"/>
          <w:color w:val="auto"/>
        </w:rPr>
        <w:t xml:space="preserve">. If the amounts described in Section 3.3 are insufficient to pay the Series 2009-3 Monthly Interest and the Commitment Fees of the Purchaser Groups on any Distribution Date, payments of interest to the Series 2009-3 Noteholders and payments of Commitment Fees to the Purchaser Groups will be reduced on a </w:t>
      </w:r>
      <w:r>
        <w:rPr>
          <w:rFonts w:ascii="Times New Roman" w:cs="Times New Roman" w:eastAsia="Times New Roman" w:hAnsi="Times New Roman"/>
          <w:sz w:val="18"/>
          <w:szCs w:val="18"/>
          <w:u w:val="single" w:color="auto"/>
          <w:color w:val="auto"/>
        </w:rPr>
        <w:t>pro rata</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400"/>
          </w:cols>
          <w:pgMar w:left="240" w:top="274" w:right="259" w:bottom="1440" w:gutter="0" w:footer="0" w:header="0"/>
        </w:sectPr>
      </w:pPr>
    </w:p>
    <w:bookmarkStart w:id="218" w:name="page219"/>
    <w:bookmarkEnd w:id="218"/>
    <w:p>
      <w:pPr>
        <w:ind w:right="440"/>
        <w:spacing w:after="0" w:line="27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basis by the amount of such deficiency. The aggregate amount, if any, of such deficiency on any Distribution Date shall be referred to as the “</w:t>
      </w:r>
      <w:r>
        <w:rPr>
          <w:rFonts w:ascii="Times New Roman" w:cs="Times New Roman" w:eastAsia="Times New Roman" w:hAnsi="Times New Roman"/>
          <w:sz w:val="18"/>
          <w:szCs w:val="18"/>
          <w:u w:val="single" w:color="auto"/>
          <w:color w:val="auto"/>
        </w:rPr>
        <w:t>Series 2009-3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Shortfall</w:t>
      </w:r>
      <w:r>
        <w:rPr>
          <w:rFonts w:ascii="Times New Roman" w:cs="Times New Roman" w:eastAsia="Times New Roman" w:hAnsi="Times New Roman"/>
          <w:sz w:val="18"/>
          <w:szCs w:val="18"/>
          <w:color w:val="auto"/>
        </w:rPr>
        <w:t>.” Interest shall accrue on the Series 2009-3 Shortfall at the Alternate Base Rate plus 2% per annum.</w:t>
      </w:r>
    </w:p>
    <w:p>
      <w:pPr>
        <w:spacing w:after="0" w:line="120" w:lineRule="exact"/>
        <w:rPr>
          <w:sz w:val="20"/>
          <w:szCs w:val="20"/>
          <w:color w:val="auto"/>
        </w:rPr>
      </w:pPr>
    </w:p>
    <w:p>
      <w:pPr>
        <w:ind w:right="260" w:firstLine="913"/>
        <w:spacing w:after="0" w:line="289" w:lineRule="auto"/>
        <w:rPr>
          <w:sz w:val="20"/>
          <w:szCs w:val="20"/>
          <w:color w:val="auto"/>
        </w:rPr>
      </w:pPr>
      <w:r>
        <w:rPr>
          <w:rFonts w:ascii="Times New Roman" w:cs="Times New Roman" w:eastAsia="Times New Roman" w:hAnsi="Times New Roman"/>
          <w:sz w:val="16"/>
          <w:szCs w:val="16"/>
          <w:color w:val="auto"/>
        </w:rPr>
        <w:t xml:space="preserve">Section 3.4. </w:t>
      </w:r>
      <w:r>
        <w:rPr>
          <w:rFonts w:ascii="Times New Roman" w:cs="Times New Roman" w:eastAsia="Times New Roman" w:hAnsi="Times New Roman"/>
          <w:sz w:val="16"/>
          <w:szCs w:val="16"/>
          <w:u w:val="single" w:color="auto"/>
          <w:color w:val="auto"/>
        </w:rPr>
        <w:t>Payment of Note Interest and Commitment Fees</w:t>
      </w:r>
      <w:r>
        <w:rPr>
          <w:rFonts w:ascii="Times New Roman" w:cs="Times New Roman" w:eastAsia="Times New Roman" w:hAnsi="Times New Roman"/>
          <w:sz w:val="16"/>
          <w:szCs w:val="16"/>
          <w:color w:val="auto"/>
        </w:rPr>
        <w:t>. On each Distribution Date, subject to Section 9.8 of the Base Indenture, the Paying Agent shall, in accordance with Section 6.1 of the Base Indenture, pay to the Administrative Agent for the accounts of the Purchaser Groups from the Series</w:t>
      </w:r>
    </w:p>
    <w:p>
      <w:pPr>
        <w:spacing w:after="0" w:line="1"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6"/>
          <w:szCs w:val="16"/>
          <w:color w:val="auto"/>
        </w:rPr>
        <w:t xml:space="preserve">2009-3 Distribution Account the amounts deposited in the Series 2009-3 Distribution Account pursuant to Section 3.3. Upon the receipt of funds from the Paying Agent on each Distribution Date on account of Series 2009-3 Monthly Interest, the Administrative Agent shall pay to each Funding Agent with respect to a Purchaser Group an amount equal to the Monthly Funding Costs with respect to such Purchaser Group with respect to the Series 2009-3 Interest Period ending on the day preceding such Distribution Date </w:t>
      </w:r>
      <w:r>
        <w:rPr>
          <w:rFonts w:ascii="Times New Roman" w:cs="Times New Roman" w:eastAsia="Times New Roman" w:hAnsi="Times New Roman"/>
          <w:sz w:val="16"/>
          <w:szCs w:val="16"/>
          <w:u w:val="single" w:color="auto"/>
          <w:color w:val="auto"/>
        </w:rPr>
        <w:t>plus</w:t>
      </w:r>
      <w:r>
        <w:rPr>
          <w:rFonts w:ascii="Times New Roman" w:cs="Times New Roman" w:eastAsia="Times New Roman" w:hAnsi="Times New Roman"/>
          <w:sz w:val="16"/>
          <w:szCs w:val="16"/>
          <w:color w:val="auto"/>
        </w:rPr>
        <w:t xml:space="preserve"> the amount of any unpaid Series 2009-3 Shortfalls relating to unpaid Series 2009-3 Monthly Interest payable to such Purchaser Group as of the preceding Distribution Date, together with any interest thereon at the Alternate Base Rate plus 2% per annum. If the amount paid to the Administrative Agent on any Distribution Date pursuant to this Section 3.4 on account of Series 2009-3 Monthly Interest for the Series 2009-3 Interest Period ending on the day preceding such Distribution Date is less than such Series 2009-3 Monthly Interest, the Administrative Agent shall pay the amount available to the Funding Agents, on behalf of the Purchaser Groups, on a </w:t>
      </w:r>
      <w:r>
        <w:rPr>
          <w:rFonts w:ascii="Times New Roman" w:cs="Times New Roman" w:eastAsia="Times New Roman" w:hAnsi="Times New Roman"/>
          <w:sz w:val="16"/>
          <w:szCs w:val="16"/>
          <w:u w:val="single" w:color="auto"/>
          <w:color w:val="auto"/>
        </w:rPr>
        <w:t>pro rata</w:t>
      </w:r>
      <w:r>
        <w:rPr>
          <w:rFonts w:ascii="Times New Roman" w:cs="Times New Roman" w:eastAsia="Times New Roman" w:hAnsi="Times New Roman"/>
          <w:sz w:val="16"/>
          <w:szCs w:val="16"/>
          <w:color w:val="auto"/>
        </w:rPr>
        <w:t xml:space="preserve"> basis, based on the Monthly Funding Costs with respect to each Purchaser Group with respect to such Series 2009-3 Interest Period. Upon the receipt of funds from the Paying Agent on each Distribution Date on account of Commitment Fees, the Administrative Agent shall pay to each Funding Agent with respect to a Purchaser Group an amount equal to the Commitment Fee payable to such Purchaser Group with respect to the Series 2009-3 Interest Period ending on the day preceding such Distribution Date </w:t>
      </w:r>
      <w:r>
        <w:rPr>
          <w:rFonts w:ascii="Times New Roman" w:cs="Times New Roman" w:eastAsia="Times New Roman" w:hAnsi="Times New Roman"/>
          <w:sz w:val="16"/>
          <w:szCs w:val="16"/>
          <w:u w:val="single" w:color="auto"/>
          <w:color w:val="auto"/>
        </w:rPr>
        <w:t>plus</w:t>
      </w:r>
      <w:r>
        <w:rPr>
          <w:rFonts w:ascii="Times New Roman" w:cs="Times New Roman" w:eastAsia="Times New Roman" w:hAnsi="Times New Roman"/>
          <w:sz w:val="16"/>
          <w:szCs w:val="16"/>
          <w:color w:val="auto"/>
        </w:rPr>
        <w:t xml:space="preserve"> the amount of any unpaid Series 2009-3 Shortfalls relating to unpaid Commitment Fees payable to such Purchaser Group as of the preceding Distribution Date, together with any interest thereon at the Alternate Base Rate plus 2% per annum. If the amount paid to the Administrative Agent on any Distribution Date pursuant to this Section 3.4 on account of Commitment Fees is less than the Commitment Fees payable on such Distribution Date, the Administrative Agent shall pay the amount available to the Funding Agents, on behalf of the Purchaser Groups, on a </w:t>
      </w:r>
      <w:r>
        <w:rPr>
          <w:rFonts w:ascii="Times New Roman" w:cs="Times New Roman" w:eastAsia="Times New Roman" w:hAnsi="Times New Roman"/>
          <w:sz w:val="16"/>
          <w:szCs w:val="16"/>
          <w:u w:val="single" w:color="auto"/>
          <w:color w:val="auto"/>
        </w:rPr>
        <w:t>pro rata</w:t>
      </w:r>
      <w:r>
        <w:rPr>
          <w:rFonts w:ascii="Times New Roman" w:cs="Times New Roman" w:eastAsia="Times New Roman" w:hAnsi="Times New Roman"/>
          <w:sz w:val="16"/>
          <w:szCs w:val="16"/>
          <w:color w:val="auto"/>
        </w:rPr>
        <w:t xml:space="preserve"> basis, based on the Commitment Fee payable to each Purchaser Group on such Distribution Date. Upon the receipt of funds from the Trustee or the Paying Agent on any Distribution Date on account of Article VII Costs, the Administrative Agent shall pay such amounts to the Funding Agent with respect to the CP Conduit Purchaser or the APA Bank owed such amounts. If the amounts paid to the Administrative Agent on any Distribution Date pursuant to Section 3.3(e) on account of Article VII Costs are less than the Article VII Costs due and payable on such Distribution Date, the Administrative Agent shall pay the amounts available to the Funding Agents with respect to the CP Conduit Purchasers and APA Banks owed such amounts, on a </w:t>
      </w:r>
      <w:r>
        <w:rPr>
          <w:rFonts w:ascii="Times New Roman" w:cs="Times New Roman" w:eastAsia="Times New Roman" w:hAnsi="Times New Roman"/>
          <w:sz w:val="16"/>
          <w:szCs w:val="16"/>
          <w:u w:val="single" w:color="auto"/>
          <w:color w:val="auto"/>
        </w:rPr>
        <w:t>pro rata</w:t>
      </w:r>
      <w:r>
        <w:rPr>
          <w:rFonts w:ascii="Times New Roman" w:cs="Times New Roman" w:eastAsia="Times New Roman" w:hAnsi="Times New Roman"/>
          <w:sz w:val="16"/>
          <w:szCs w:val="16"/>
          <w:color w:val="auto"/>
        </w:rPr>
        <w:t xml:space="preserve"> basis, based on the Article VII Costs owing to such CP Conduit Purchasers and APA Banks. Due and unpaid Article VII Costs owing to a Purchaser Group shall accrue interest at the Alternate Base Rate </w:t>
      </w:r>
      <w:r>
        <w:rPr>
          <w:rFonts w:ascii="Times New Roman" w:cs="Times New Roman" w:eastAsia="Times New Roman" w:hAnsi="Times New Roman"/>
          <w:sz w:val="16"/>
          <w:szCs w:val="16"/>
          <w:u w:val="single" w:color="auto"/>
          <w:color w:val="auto"/>
        </w:rPr>
        <w:t>plus</w:t>
      </w:r>
      <w:r>
        <w:rPr>
          <w:rFonts w:ascii="Times New Roman" w:cs="Times New Roman" w:eastAsia="Times New Roman" w:hAnsi="Times New Roman"/>
          <w:sz w:val="16"/>
          <w:szCs w:val="16"/>
          <w:color w:val="auto"/>
        </w:rPr>
        <w:t xml:space="preserve"> 2%;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Article VII Costs shall not be considered due until the first Distribution Date following five days’ notice to ABRCF and the Administrator of such Article VII Costs.</w:t>
      </w:r>
    </w:p>
    <w:p>
      <w:pPr>
        <w:spacing w:after="0" w:line="200" w:lineRule="exact"/>
        <w:rPr>
          <w:sz w:val="20"/>
          <w:szCs w:val="20"/>
          <w:color w:val="auto"/>
        </w:rPr>
      </w:pPr>
    </w:p>
    <w:p>
      <w:pPr>
        <w:spacing w:after="0" w:line="34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 xml:space="preserve">Section 3.5. </w:t>
      </w:r>
      <w:r>
        <w:rPr>
          <w:rFonts w:ascii="Times New Roman" w:cs="Times New Roman" w:eastAsia="Times New Roman" w:hAnsi="Times New Roman"/>
          <w:sz w:val="18"/>
          <w:szCs w:val="18"/>
          <w:u w:val="single" w:color="auto"/>
          <w:color w:val="auto"/>
        </w:rPr>
        <w:t>Payment of Note Principal</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380"/>
          </w:cols>
          <w:pgMar w:left="240" w:top="274" w:right="279" w:bottom="1440" w:gutter="0" w:footer="0" w:header="0"/>
        </w:sectPr>
      </w:pPr>
    </w:p>
    <w:bookmarkStart w:id="219" w:name="page220"/>
    <w:bookmarkEnd w:id="219"/>
    <w:p>
      <w:pPr>
        <w:ind w:left="-20" w:right="40" w:firstLine="921"/>
        <w:spacing w:after="0" w:line="254" w:lineRule="auto"/>
        <w:tabs>
          <w:tab w:leader="none" w:pos="1132" w:val="left"/>
        </w:tabs>
        <w:numPr>
          <w:ilvl w:val="1"/>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Monthly Payments During Series 2009-3 Amortization Period</w:t>
      </w:r>
      <w:r>
        <w:rPr>
          <w:rFonts w:ascii="Times New Roman" w:cs="Times New Roman" w:eastAsia="Times New Roman" w:hAnsi="Times New Roman"/>
          <w:sz w:val="18"/>
          <w:szCs w:val="18"/>
          <w:color w:val="auto"/>
        </w:rPr>
        <w:t>. Commencing on the first Determination Date after the commencement of the Series 2009-3 Amortization Period, the Administrator shall instruct the Trustee and the Paying Agent in writing pursuant to the Administration Agreement and in accordance with this Section 3.5 as to (i) the amount allocated to the Series 2009-3 Notes during the Related Month pursuant to Section 3.2(b)(ii) or (c)(ii), as the case may be, (ii) any amounts to be withdrawn from the Series 2009-3 Reserve Account and deposited into the Series 2009-3 Distribution Account or (iii) any amounts to be drawn on the Series 2009-3 Demand Notes and/or on the Series 2009-3 Letters of Credit (or withdrawn from the Series 2009-3 Cash Collateral Account). On the Distribution Date following each such Determination Date, the Trustee shall withdraw the amount allocated to the Series 2009-3 Notes during the Related Month pursuant to Section 3.2(b)(ii) or (c)(ii), as the case may be, from the Series 2009-3 Collection Account and deposit such amount in the Series 2009-3 Distribution Account, to be paid to the holders of the Series 2009-3 Notes.</w:t>
      </w:r>
    </w:p>
    <w:p>
      <w:pPr>
        <w:spacing w:after="0" w:line="138" w:lineRule="exact"/>
        <w:rPr>
          <w:rFonts w:ascii="Times New Roman" w:cs="Times New Roman" w:eastAsia="Times New Roman" w:hAnsi="Times New Roman"/>
          <w:sz w:val="18"/>
          <w:szCs w:val="18"/>
          <w:color w:val="auto"/>
        </w:rPr>
      </w:pPr>
    </w:p>
    <w:p>
      <w:pPr>
        <w:ind w:left="-20" w:firstLine="921"/>
        <w:spacing w:after="0" w:line="256" w:lineRule="auto"/>
        <w:tabs>
          <w:tab w:leader="none" w:pos="1141" w:val="left"/>
        </w:tabs>
        <w:numPr>
          <w:ilvl w:val="1"/>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Decreases</w:t>
      </w:r>
      <w:r>
        <w:rPr>
          <w:rFonts w:ascii="Times New Roman" w:cs="Times New Roman" w:eastAsia="Times New Roman" w:hAnsi="Times New Roman"/>
          <w:sz w:val="18"/>
          <w:szCs w:val="18"/>
          <w:color w:val="auto"/>
        </w:rPr>
        <w:t>. On any Business Day during the Series 2009-3 Revolving Period on which a Decrease is to be made pursuant to Section 2.5, the Trustee shall withdraw from the Series 2009-3 Excess Collection Account in accordance with the written instructions of the Administrator, an amount equal to the lesser of (i) the funds then allocated to the Series 2009-3 Excess Collection Account (after giving effect to any application pursuant to clauses (i), (ii) and (iii) of Section 3.2(e)) and (ii) the amount of such Decrease, and deposit such amount in the Series 2009-3 Distribution Account, to be paid to the Administrative Agent for distribution in accordance with Section 3.5(f).</w:t>
      </w:r>
    </w:p>
    <w:p>
      <w:pPr>
        <w:spacing w:after="0" w:line="138" w:lineRule="exact"/>
        <w:rPr>
          <w:rFonts w:ascii="Times New Roman" w:cs="Times New Roman" w:eastAsia="Times New Roman" w:hAnsi="Times New Roman"/>
          <w:sz w:val="18"/>
          <w:szCs w:val="18"/>
          <w:color w:val="auto"/>
        </w:rPr>
      </w:pPr>
    </w:p>
    <w:p>
      <w:pPr>
        <w:ind w:left="-20" w:right="100" w:firstLine="921"/>
        <w:spacing w:after="0" w:line="275" w:lineRule="auto"/>
        <w:tabs>
          <w:tab w:leader="none" w:pos="1132" w:val="left"/>
        </w:tabs>
        <w:numPr>
          <w:ilvl w:val="1"/>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Principal Deficit Amount</w:t>
      </w:r>
      <w:r>
        <w:rPr>
          <w:rFonts w:ascii="Times New Roman" w:cs="Times New Roman" w:eastAsia="Times New Roman" w:hAnsi="Times New Roman"/>
          <w:sz w:val="18"/>
          <w:szCs w:val="18"/>
          <w:color w:val="auto"/>
        </w:rPr>
        <w:t>. On each Distribution Date on which the Principal Deficit Amount is greater than zero, amounts shall be transferred to the Series 2009-3 Distribution Account as follows:</w:t>
      </w:r>
    </w:p>
    <w:p>
      <w:pPr>
        <w:spacing w:after="0" w:line="38" w:lineRule="exact"/>
        <w:rPr>
          <w:rFonts w:ascii="Times New Roman" w:cs="Times New Roman" w:eastAsia="Times New Roman" w:hAnsi="Times New Roman"/>
          <w:sz w:val="18"/>
          <w:szCs w:val="18"/>
          <w:color w:val="auto"/>
        </w:rPr>
      </w:pPr>
    </w:p>
    <w:p>
      <w:pPr>
        <w:ind w:left="440" w:right="120" w:firstLine="443"/>
        <w:spacing w:after="0" w:line="256" w:lineRule="auto"/>
        <w:tabs>
          <w:tab w:leader="none" w:pos="1088"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Reserve Account Withdrawal</w:t>
      </w:r>
      <w:r>
        <w:rPr>
          <w:rFonts w:ascii="Times New Roman" w:cs="Times New Roman" w:eastAsia="Times New Roman" w:hAnsi="Times New Roman"/>
          <w:sz w:val="18"/>
          <w:szCs w:val="18"/>
          <w:color w:val="auto"/>
        </w:rPr>
        <w:t>. The Administrator shall instruct the Trustee in writing, prior to 12:00 noon (New York City time) on such Distribution Date, in the case of a Principal Deficit Amount resulting from a Series 2009-3 Lease Payment Deficit, or prior to 12:00 noon (New York City time) on the second Business Day prior to such Distribution Date, in the case of any other Principal Deficit Amount, to withdraw from the Series 2009-3 Reserve Account, an amount equal to the lesser of (x) the Series 2009-3 Available Reserve Account Amount and (y) such Principal Deficit Amount and deposit it in the Series 2009-3 Distribution Account on such Distribution Date.</w:t>
      </w:r>
    </w:p>
    <w:p>
      <w:pPr>
        <w:spacing w:after="0" w:line="57" w:lineRule="exact"/>
        <w:rPr>
          <w:rFonts w:ascii="Times New Roman" w:cs="Times New Roman" w:eastAsia="Times New Roman" w:hAnsi="Times New Roman"/>
          <w:sz w:val="18"/>
          <w:szCs w:val="18"/>
          <w:color w:val="auto"/>
        </w:rPr>
      </w:pPr>
    </w:p>
    <w:p>
      <w:pPr>
        <w:ind w:left="440" w:right="20" w:firstLine="443"/>
        <w:spacing w:after="0" w:line="254" w:lineRule="auto"/>
        <w:tabs>
          <w:tab w:leader="none" w:pos="1136"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Principal Draws on Series 2009-3 Letters of Credit</w:t>
      </w:r>
      <w:r>
        <w:rPr>
          <w:rFonts w:ascii="Times New Roman" w:cs="Times New Roman" w:eastAsia="Times New Roman" w:hAnsi="Times New Roman"/>
          <w:sz w:val="18"/>
          <w:szCs w:val="18"/>
          <w:color w:val="auto"/>
        </w:rPr>
        <w:t>. If the Administrator determines on the Business Day immediately preceding any Distribution Date during the Series 2009-3 Amortization Period that on such Distribution Date there will exist a Series 2009-3 Lease Principal Payment Deficit, the Administrator shall instruct the Trustee in writing to draw on the Series 2009-3 Letters of Credit, if any, as provided below. Upon receipt of a notice by the Trustee from the Administrator in respect of a Series 2009-3 Lease Principal Payment Deficit on or prior to 3:00 p.m. (New York City time) on the Business Day immediately preceding a Distribution Date, the Trustee shall, by 5:00 p.m. (New York City time) on such Business Day draw an amount equal to the least of (i) such Series 2009-3 Lease Principal Payment Deficit, (ii) the amount by which the Principal Deficit Amount for such Distribution Date exceeds the amount to be deposited in the</w:t>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380"/>
          </w:cols>
          <w:pgMar w:left="260" w:top="274" w:right="259" w:bottom="1440" w:gutter="0" w:footer="0" w:header="0"/>
        </w:sectPr>
      </w:pPr>
    </w:p>
    <w:bookmarkStart w:id="220" w:name="page221"/>
    <w:bookmarkEnd w:id="220"/>
    <w:p>
      <w:pPr>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Series 2009-3 Distribution Account in accordance with clause (i) of this Section 3.5(c) and (iii) the Series 2009-3 Letter of Credit Liquidity Amount on the Series 2009-3 Letters of Credit, by presenting to each Series 2009-3 Letter of Credit Provider a Certificate of Lease Deficit Demand and shall cause the Lease Deficit Disbursements to be deposited in the Series 2009-3 Distribution Account on such Distribution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the Series 2009-3 Cash Collateral Account has been established and funded, the Trustee shall withdraw from the Series 2009-3 Cash Collateral Account and deposit in the Series 2009-3 Distribution Account an amount equal to the lesser of (x) the Series 2009-3 Cash Collateral Percentage for such date of the least of the amounts described in clauses (i), (ii) and (iii) above and (y) the Series 2009-3 Available Cash Collateral Account Amount on such date and draw an amount equal to the remainder of such amount on the Series 2009-3 Letters of Credit.</w:t>
      </w:r>
    </w:p>
    <w:p>
      <w:pPr>
        <w:spacing w:after="0" w:line="60" w:lineRule="exact"/>
        <w:rPr>
          <w:sz w:val="20"/>
          <w:szCs w:val="20"/>
          <w:color w:val="auto"/>
        </w:rPr>
      </w:pPr>
    </w:p>
    <w:p>
      <w:pPr>
        <w:ind w:right="20" w:firstLine="443"/>
        <w:spacing w:after="0" w:line="253" w:lineRule="auto"/>
        <w:tabs>
          <w:tab w:leader="none" w:pos="745"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Demand Note Draw</w:t>
      </w:r>
      <w:r>
        <w:rPr>
          <w:rFonts w:ascii="Times New Roman" w:cs="Times New Roman" w:eastAsia="Times New Roman" w:hAnsi="Times New Roman"/>
          <w:sz w:val="18"/>
          <w:szCs w:val="18"/>
          <w:color w:val="auto"/>
        </w:rPr>
        <w:t xml:space="preserve">. If on any Determination Date, the Administrator determines that the Principal Deficit Amount on the next succeeding Distribution Date (after giving effect to any withdrawal from the Series 2009-3 Reserve Account pursuant to Section 3.5(c)(i) on such Distribution Date) will be greater than zero and there are any Series 2009-3 Letters of Credit on such date, prior to 10:00 a.m. (New York City time) on the second Business Day prior to such Distribution Date, the Administrator shall instruct the Trustee in writing to deliver a Demand Notice to the Demand Note Issuers demanding payment of an amount equal to the lesser of (A) the Principal Deficit Amount and (B) the Series 2009-3 Letter of Credit Amount. The Trustee shall, prior to 12:00 noon (New York City time) on the second Business Day preceding such Distribution Date, deliver such Demand Notice to the Demand Note Issuers;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an Event of Bankruptcy (or the occurrence of an event described in clause (a) of the definition thereof, without the lapse of a period of 60 consecutive days) with respect to a Demand Note Issuer shall have occurred and be continuing, the Trustee shall not be required to deliver such Demand Notice to such Demand Note Issuer. The Trustee shall cause the proceeds of any demand on the Series 2009-3 Demand Notes to be deposited into the Series 2009-3 Distribution Account.</w:t>
      </w:r>
    </w:p>
    <w:p>
      <w:pPr>
        <w:spacing w:after="0" w:line="59" w:lineRule="exact"/>
        <w:rPr>
          <w:rFonts w:ascii="Times New Roman" w:cs="Times New Roman" w:eastAsia="Times New Roman" w:hAnsi="Times New Roman"/>
          <w:sz w:val="18"/>
          <w:szCs w:val="18"/>
          <w:color w:val="auto"/>
        </w:rPr>
      </w:pPr>
    </w:p>
    <w:p>
      <w:pPr>
        <w:ind w:right="60" w:firstLine="443"/>
        <w:spacing w:after="0" w:line="253" w:lineRule="auto"/>
        <w:tabs>
          <w:tab w:leader="none" w:pos="735"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Letter of Credit Draw</w:t>
      </w:r>
      <w:r>
        <w:rPr>
          <w:rFonts w:ascii="Times New Roman" w:cs="Times New Roman" w:eastAsia="Times New Roman" w:hAnsi="Times New Roman"/>
          <w:sz w:val="18"/>
          <w:szCs w:val="18"/>
          <w:color w:val="auto"/>
        </w:rPr>
        <w:t xml:space="preserve">. In the event that either (x) on or prior to 10:00 a.m. (New York City time) on the Business Day prior to such Distribution Date, any Demand Note Issuer shall have failed to pay to the Trustee or deposit in the Series 2009-3 Distribution Account the amount specified in such Demand Notice in whole or in part or (y) due to the occurrence of an Event of Bankruptcy (or the occurrence of an event described in clause (a) of the definition thereof, without the lapse of a period of 60 consecutive days) with respect to any Demand Note Issuer, the Trustee shall not have delivered such Demand Notice to any Demand Note Issuer on the second Business Day preceding such Distribution Date, then, in the case of (x) or (y) the Trustee shall on such Business Day draw on the Series 2009-3 Letters of Credit an amount equal to the lesser of (i) Series 2009-3 Letter of Credit Amount and (ii) the aggregate amount that the Demand Note Issuers failed to pay under the Series 2009-3 Demand Notes (or, the amount that the Trustee failed to demand for payment thereunder) by presenting to each Series 2009-3 Letter of Credit Provider a Certificate of Unpaid Demand Note Demand;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the Series 2009-3 Cash Collateral Account has been established and funded, the Trustee shall withdraw from the Series 2009-3 Cash Collateral Account and</w:t>
      </w:r>
    </w:p>
    <w:p>
      <w:pPr>
        <w:spacing w:after="0" w:line="127"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0940"/>
          </w:cols>
          <w:pgMar w:left="700" w:top="274" w:right="259" w:bottom="1440" w:gutter="0" w:footer="0" w:header="0"/>
        </w:sectPr>
      </w:pPr>
    </w:p>
    <w:bookmarkStart w:id="221" w:name="page222"/>
    <w:bookmarkEnd w:id="221"/>
    <w:p>
      <w:pPr>
        <w:ind w:left="440" w:right="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deposit in the Series 2009-3 Distribution Account an amount equal to the lesser of (x) the Series 2009-3 Cash Collateral Percentage on such Business Day of the aggregate amount that the Demand Note Issuers failed to pay under the Series 2009-3 Demand Notes (or, the amount that the Trustee failed to demand for payment thereunder) and (y) the Series 2009-3 Available Cash Collateral Account Amount on such Business Day and draw an amount equal to the remainder of the aggregate amount that the Demand Note Issuers failed to pay under the Series 2009-3 Demand Notes (or, the amount that the Trustee failed to demand for payment thereunder) on the Series 2009-3 Letters of Credit. The Trustee shall deposit into, or cause the deposit of, the proceeds of any draw on the Series 2009-3 Letters of Credit and the proceeds of any withdrawal from the Series 2009-3 Cash Collateral Account to be deposited in the Series 2009-3 Distribution Account on such Distribution Date.</w:t>
      </w:r>
    </w:p>
    <w:p>
      <w:pPr>
        <w:spacing w:after="0" w:line="141" w:lineRule="exact"/>
        <w:rPr>
          <w:sz w:val="20"/>
          <w:szCs w:val="20"/>
          <w:color w:val="auto"/>
        </w:rPr>
      </w:pPr>
    </w:p>
    <w:p>
      <w:pPr>
        <w:ind w:left="-20" w:right="160" w:firstLine="921"/>
        <w:spacing w:after="0" w:line="275" w:lineRule="auto"/>
        <w:tabs>
          <w:tab w:leader="none" w:pos="1141" w:val="left"/>
        </w:tabs>
        <w:numPr>
          <w:ilvl w:val="1"/>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Series 2009-3 Termination Date</w:t>
      </w:r>
      <w:r>
        <w:rPr>
          <w:rFonts w:ascii="Times New Roman" w:cs="Times New Roman" w:eastAsia="Times New Roman" w:hAnsi="Times New Roman"/>
          <w:sz w:val="18"/>
          <w:szCs w:val="18"/>
          <w:color w:val="auto"/>
        </w:rPr>
        <w:t>. The entire Series 2009-3 Invested Amount shall be due and payable on the Series 2009-3 Termination Date. In connection therewith:</w:t>
      </w:r>
    </w:p>
    <w:p>
      <w:pPr>
        <w:spacing w:after="0" w:line="38" w:lineRule="exact"/>
        <w:rPr>
          <w:rFonts w:ascii="Times New Roman" w:cs="Times New Roman" w:eastAsia="Times New Roman" w:hAnsi="Times New Roman"/>
          <w:sz w:val="18"/>
          <w:szCs w:val="18"/>
          <w:color w:val="auto"/>
        </w:rPr>
      </w:pPr>
    </w:p>
    <w:p>
      <w:pPr>
        <w:ind w:left="440" w:right="140" w:firstLine="443"/>
        <w:spacing w:after="0" w:line="254" w:lineRule="auto"/>
        <w:tabs>
          <w:tab w:leader="none" w:pos="1088"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Reserve Account Withdrawal</w:t>
      </w:r>
      <w:r>
        <w:rPr>
          <w:rFonts w:ascii="Times New Roman" w:cs="Times New Roman" w:eastAsia="Times New Roman" w:hAnsi="Times New Roman"/>
          <w:sz w:val="18"/>
          <w:szCs w:val="18"/>
          <w:color w:val="auto"/>
        </w:rPr>
        <w:t>. If, after giving effect to the deposit into the Series 2009-3 Distribution Account of the amount to be deposited in accordance with Section 3.5(a), together with any amounts to be deposited therein in accordance with Section 3.5(c) on the Series 2009-3 Termination Date, the amount to be deposited in the Series 2009-3 Distribution Account with respect to the Series 2009-3 Termination Date is or will be less than the Series 2009-3 Invested Amount, then, prior to 12:00 noon (New York City time) on the second Business Day prior to the Series 2009-3 Termination Date, the Administrator shall instruct the Trustee in writing to withdraw from the Series 2009-3 Reserve Account, an amount equal to the lesser of the Series 2009-3 Available Reserve Account Amount and such insufficiency and deposit it in the Series 2009-3 Distribution Account on the Series 2009-3 Termination Date.</w:t>
      </w:r>
    </w:p>
    <w:p>
      <w:pPr>
        <w:spacing w:after="0" w:line="60" w:lineRule="exact"/>
        <w:rPr>
          <w:rFonts w:ascii="Times New Roman" w:cs="Times New Roman" w:eastAsia="Times New Roman" w:hAnsi="Times New Roman"/>
          <w:sz w:val="18"/>
          <w:szCs w:val="18"/>
          <w:color w:val="auto"/>
        </w:rPr>
      </w:pPr>
    </w:p>
    <w:p>
      <w:pPr>
        <w:ind w:left="440" w:firstLine="443"/>
        <w:spacing w:after="0" w:line="253" w:lineRule="auto"/>
        <w:tabs>
          <w:tab w:leader="none" w:pos="1136"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Demand Note Draw</w:t>
      </w:r>
      <w:r>
        <w:rPr>
          <w:rFonts w:ascii="Times New Roman" w:cs="Times New Roman" w:eastAsia="Times New Roman" w:hAnsi="Times New Roman"/>
          <w:sz w:val="18"/>
          <w:szCs w:val="18"/>
          <w:color w:val="auto"/>
        </w:rPr>
        <w:t>. If the amount to be deposited in the Series 2009-3 Distribution Account in accordance with Section 3.5(a) together with any amounts to be deposited therein in accordance with Section 3.5(c) and Section 3.5(d)(i) on the Series 2009-3 Termination Date is less than the Series 2009-3 Invested Amount, and there are any Series 2009-3 Letters of Credit on such date, then, prior to 10:00 a.m. (New York City time) on the second Business Day prior to the Series 2009-3 Termination Date, the Administrator shall instruct the Trustee in writing to make a demand (a “</w:t>
      </w:r>
      <w:r>
        <w:rPr>
          <w:rFonts w:ascii="Times New Roman" w:cs="Times New Roman" w:eastAsia="Times New Roman" w:hAnsi="Times New Roman"/>
          <w:sz w:val="18"/>
          <w:szCs w:val="18"/>
          <w:u w:val="single" w:color="auto"/>
          <w:color w:val="auto"/>
        </w:rPr>
        <w:t>Demand Notice</w:t>
      </w:r>
      <w:r>
        <w:rPr>
          <w:rFonts w:ascii="Times New Roman" w:cs="Times New Roman" w:eastAsia="Times New Roman" w:hAnsi="Times New Roman"/>
          <w:sz w:val="18"/>
          <w:szCs w:val="18"/>
          <w:color w:val="auto"/>
        </w:rPr>
        <w:t xml:space="preserve">”) substantially in the form attached hereto as </w:t>
      </w:r>
      <w:r>
        <w:rPr>
          <w:rFonts w:ascii="Times New Roman" w:cs="Times New Roman" w:eastAsia="Times New Roman" w:hAnsi="Times New Roman"/>
          <w:sz w:val="18"/>
          <w:szCs w:val="18"/>
          <w:u w:val="single" w:color="auto"/>
          <w:color w:val="auto"/>
        </w:rPr>
        <w:t>Exhibit G</w:t>
      </w:r>
      <w:r>
        <w:rPr>
          <w:rFonts w:ascii="Times New Roman" w:cs="Times New Roman" w:eastAsia="Times New Roman" w:hAnsi="Times New Roman"/>
          <w:sz w:val="18"/>
          <w:szCs w:val="18"/>
          <w:color w:val="auto"/>
        </w:rPr>
        <w:t xml:space="preserve"> on the Demand Note Issuers for payment under the Series 2009-3 Demand Notes in an amount equal to the lesser of (i) such insufficiency and (ii) the Series 2009-3 Letter of Credit Amount. The Trustee shall, prior to 12:00 noon (New York City time) on the second Business Day preceding the Series 2009-3 Termination Date, deliver such Demand Notice to the Demand Note Issuers;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an Event of Bankruptcy (or the occurrence of an event described in clause (a) of the definition thereof, without the lapse of a period of 60 consecutive days) with respect to a Demand Note Issuer shall have occurred and be continuing, the Trustee shall not be required to deliver such Demand Notice to such Demand Note Issuer. The Trustee shall cause the proceeds of any demand</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400"/>
          </w:cols>
          <w:pgMar w:left="260" w:top="274" w:right="239" w:bottom="1440" w:gutter="0" w:footer="0" w:header="0"/>
        </w:sectPr>
      </w:pPr>
    </w:p>
    <w:bookmarkStart w:id="222" w:name="page223"/>
    <w:bookmarkEnd w:id="222"/>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on the Series 2009-3 Demand Notes to be deposited into the Series 2009-3 Distribution Account on such Distribution Date.</w:t>
      </w:r>
    </w:p>
    <w:p>
      <w:pPr>
        <w:spacing w:after="0" w:line="90" w:lineRule="exact"/>
        <w:rPr>
          <w:sz w:val="20"/>
          <w:szCs w:val="20"/>
          <w:color w:val="auto"/>
        </w:rPr>
      </w:pPr>
    </w:p>
    <w:p>
      <w:pPr>
        <w:ind w:left="440" w:right="20" w:firstLine="443"/>
        <w:spacing w:after="0" w:line="287" w:lineRule="auto"/>
        <w:tabs>
          <w:tab w:leader="none" w:pos="1185" w:val="left"/>
        </w:tabs>
        <w:numPr>
          <w:ilvl w:val="1"/>
          <w:numId w:val="1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Letter of Credit Draw</w:t>
      </w:r>
      <w:r>
        <w:rPr>
          <w:rFonts w:ascii="Times New Roman" w:cs="Times New Roman" w:eastAsia="Times New Roman" w:hAnsi="Times New Roman"/>
          <w:sz w:val="16"/>
          <w:szCs w:val="16"/>
          <w:color w:val="auto"/>
        </w:rPr>
        <w:t xml:space="preserve">. In the event that either (x) on or prior to 10:00 a.m. (New York City time) on the Business Day immediately preceding any Distribution Date next succeeding any date on which a Demand Notice has been transmitted by the Trustee to the Demand Note Issuers pursuant to clause (ii) of this Section 3.5(d) any Demand Note Issuer shall have failed to pay to the Trustee or deposit into the Series 2009-3 Distribution Account the amount specified in such Demand Notice in whole or in part or (y) due to the occurrence of an Event of Bankruptcy (or the occurrence of an event described in clause (a) of the definition thereof, without the lapse of a period of 60 consecutive days) with respect to one or more of the Demand Note Issuers, the Trustee shall not have delivered such Demand Notice to any Demand Note Issuer on the second Business Day preceding the Series 2009-3 Termination Date, then, in the case of (x) or (y) the Trustee shall draw on the Series 2009-3 Letters of Credit by 12:00 noon (New York City time) on such Business Day an amount equal to the lesser of (a) the amount that the Demand Note Issuers failed to pay under the Series 2009-3 Demand Notes (or, the amount that the Trustee failed to demand for payment thereunder) and (b) the Series 2009-3 Letter of Credit Amount on such Business Day by presenting to each Series 2009-3 Letter of Credit Provider a Certificate of Unpaid Demand Note Demand;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that if the Series 2009-3 Cash Collateral Account has been established and funded, the Trustee shall withdraw from the Series 2009-3 Cash Collateral Account and deposit in the Series 2009-3 Distribution Account an amount equal to the lesser of (x) the Series 2009-3 Cash Collateral Percentage on such Business Day of the amount that the Demand Note Issuers failed to pay under the Series 2009-3 Demand Notes (or, the amount that the Trustee failed to demand for payment thereunder) and</w:t>
      </w:r>
    </w:p>
    <w:p>
      <w:pPr>
        <w:spacing w:after="0" w:line="181" w:lineRule="exact"/>
        <w:rPr>
          <w:rFonts w:ascii="Times New Roman" w:cs="Times New Roman" w:eastAsia="Times New Roman" w:hAnsi="Times New Roman"/>
          <w:sz w:val="16"/>
          <w:szCs w:val="16"/>
          <w:color w:val="auto"/>
        </w:rPr>
      </w:pPr>
    </w:p>
    <w:p>
      <w:pPr>
        <w:ind w:left="440" w:right="20" w:firstLine="4"/>
        <w:spacing w:after="0" w:line="253" w:lineRule="auto"/>
        <w:tabs>
          <w:tab w:leader="none" w:pos="689"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Series 2009-3 Available Cash Collateral Account Amount on such Business Day and draw an amount equal to the remainder of the amount that the Demand Note Issuers failed to pay under the Series 2009-3 Demand Notes (or, the amount that the Trustee failed to demand for payment thereunder) on the Series 2009-3 Letters of Credit. The Trustee shall deposit, or cause the deposit of, the proceeds of any draw on the Series 2009-3 Letters of Credit and the proceeds of any withdrawal from the Series 2009-3 Cash Collateral Account to be deposited in the Series 2009-3 Distribution Account on such Distribution Date.</w:t>
      </w:r>
    </w:p>
    <w:p>
      <w:pPr>
        <w:spacing w:after="0" w:line="139" w:lineRule="exact"/>
        <w:rPr>
          <w:sz w:val="20"/>
          <w:szCs w:val="20"/>
          <w:color w:val="auto"/>
        </w:rPr>
      </w:pPr>
    </w:p>
    <w:p>
      <w:pPr>
        <w:jc w:val="both"/>
        <w:ind w:left="-20" w:firstLine="921"/>
        <w:spacing w:after="0" w:line="258" w:lineRule="auto"/>
        <w:tabs>
          <w:tab w:leader="none" w:pos="1132"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Distribution</w:t>
      </w:r>
      <w:r>
        <w:rPr>
          <w:rFonts w:ascii="Times New Roman" w:cs="Times New Roman" w:eastAsia="Times New Roman" w:hAnsi="Times New Roman"/>
          <w:sz w:val="18"/>
          <w:szCs w:val="18"/>
          <w:color w:val="auto"/>
        </w:rPr>
        <w:t>. On each Distribution Date occurring on or after the date a withdrawal is made from the Series 2009-3 Collection Account pursuant to Section 3.5(a) or amounts are deposited in the Series 2009-3 Distribution Account pursuant to Section 3.5(c) and/or (d), the Paying Agent shall, in accordance with Section 6.1 of the Base Indenture, pay to the Administrative Agent for the accounts of the Purchaser Groups from the Series 2009-3 Distribution Account the amount deposited therein pursuant to Section 3.5(a), (c) and/or (d).</w:t>
      </w:r>
    </w:p>
    <w:p>
      <w:pPr>
        <w:spacing w:after="0" w:line="136" w:lineRule="exact"/>
        <w:rPr>
          <w:rFonts w:ascii="Times New Roman" w:cs="Times New Roman" w:eastAsia="Times New Roman" w:hAnsi="Times New Roman"/>
          <w:sz w:val="18"/>
          <w:szCs w:val="18"/>
          <w:color w:val="auto"/>
        </w:rPr>
      </w:pPr>
    </w:p>
    <w:p>
      <w:pPr>
        <w:ind w:left="-20" w:right="60" w:firstLine="921"/>
        <w:spacing w:after="0" w:line="310" w:lineRule="auto"/>
        <w:tabs>
          <w:tab w:leader="none" w:pos="1112" w:val="left"/>
        </w:tabs>
        <w:numPr>
          <w:ilvl w:val="0"/>
          <w:numId w:val="1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Payment of Funds from Decreases</w:t>
      </w:r>
      <w:r>
        <w:rPr>
          <w:rFonts w:ascii="Times New Roman" w:cs="Times New Roman" w:eastAsia="Times New Roman" w:hAnsi="Times New Roman"/>
          <w:sz w:val="16"/>
          <w:szCs w:val="16"/>
          <w:color w:val="auto"/>
        </w:rPr>
        <w:t xml:space="preserve">. Upon the receipt of funds on account of a Decrease from the Trustee, the Administrative Agent shall pay first, to each Funding Agent with respect to a Non-Extending Purchaser Group a </w:t>
      </w:r>
      <w:r>
        <w:rPr>
          <w:rFonts w:ascii="Times New Roman" w:cs="Times New Roman" w:eastAsia="Times New Roman" w:hAnsi="Times New Roman"/>
          <w:sz w:val="16"/>
          <w:szCs w:val="16"/>
          <w:u w:val="single" w:color="auto"/>
          <w:color w:val="auto"/>
        </w:rPr>
        <w:t>pro rata</w:t>
      </w:r>
      <w:r>
        <w:rPr>
          <w:rFonts w:ascii="Times New Roman" w:cs="Times New Roman" w:eastAsia="Times New Roman" w:hAnsi="Times New Roman"/>
          <w:sz w:val="16"/>
          <w:szCs w:val="16"/>
          <w:color w:val="auto"/>
        </w:rPr>
        <w:t xml:space="preserve"> amount of the Decrease, based on the Purchaser Group Invested Amounts with respect to such Non-Extending Purchaser Group relative to the Purchaser Group Invested Amounts with respect to all Non-Extending Purchaser</w:t>
      </w:r>
    </w:p>
    <w:p>
      <w:pPr>
        <w:spacing w:after="0" w:line="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400"/>
          </w:cols>
          <w:pgMar w:left="260" w:top="274" w:right="239" w:bottom="1440" w:gutter="0" w:footer="0" w:header="0"/>
        </w:sectPr>
      </w:pPr>
    </w:p>
    <w:bookmarkStart w:id="223" w:name="page224"/>
    <w:bookmarkEnd w:id="223"/>
    <w:p>
      <w:pPr>
        <w:ind w:right="2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Groups on the date of such Decrease and second, to each Funding Agent with respect to a Purchaser Group, such Purchaser Group’s Pro Rata Share of the remaining amount of such Decrease. Each Purchaser Group’s share of the amount of any Decrease on any Business Day shall be allocated by such Purchaser Group first to reduce the Available CP Funding Amount with respect to such Purchaser Group and the Available APA Bank Funding Amount with respect to such Purchaser Group on such Business Day and then to reduce the portion of the Purchaser Group Invested Amount with respect to such Purchaser Group allocated to CP Tranches and Eurodollar Tranches in such order as such Purchaser Group may select in order to minimize costs payable pursuant to Section 7.3. Upon the receipt of funds from the Trustee pursuant to Sections 3.5(a), (c) and/or (d) on any Distribution Date, the Administrative Agent shall pay to each Funding Agent with respect to a Purchaser Group, such Purchaser Group’s Pro Rata Share of such funds.</w:t>
      </w:r>
    </w:p>
    <w:p>
      <w:pPr>
        <w:spacing w:after="0" w:line="141" w:lineRule="exact"/>
        <w:rPr>
          <w:sz w:val="20"/>
          <w:szCs w:val="20"/>
          <w:color w:val="auto"/>
        </w:rPr>
      </w:pPr>
    </w:p>
    <w:p>
      <w:pPr>
        <w:ind w:firstLine="913"/>
        <w:spacing w:after="0" w:line="254" w:lineRule="auto"/>
        <w:rPr>
          <w:sz w:val="20"/>
          <w:szCs w:val="20"/>
          <w:color w:val="auto"/>
        </w:rPr>
      </w:pPr>
      <w:r>
        <w:rPr>
          <w:rFonts w:ascii="Times New Roman" w:cs="Times New Roman" w:eastAsia="Times New Roman" w:hAnsi="Times New Roman"/>
          <w:sz w:val="18"/>
          <w:szCs w:val="18"/>
          <w:color w:val="auto"/>
        </w:rPr>
        <w:t xml:space="preserve">Section 3.6. </w:t>
      </w:r>
      <w:r>
        <w:rPr>
          <w:rFonts w:ascii="Times New Roman" w:cs="Times New Roman" w:eastAsia="Times New Roman" w:hAnsi="Times New Roman"/>
          <w:sz w:val="18"/>
          <w:szCs w:val="18"/>
          <w:u w:val="single" w:color="auto"/>
          <w:color w:val="auto"/>
        </w:rPr>
        <w:t>Administrator’s Failure to Instruct the Trustee to Make a Deposit or Payment</w:t>
      </w:r>
      <w:r>
        <w:rPr>
          <w:rFonts w:ascii="Times New Roman" w:cs="Times New Roman" w:eastAsia="Times New Roman" w:hAnsi="Times New Roman"/>
          <w:sz w:val="18"/>
          <w:szCs w:val="18"/>
          <w:color w:val="auto"/>
        </w:rPr>
        <w:t xml:space="preserve">. If the Administrator fails to give notice or instructions to make any payment from or deposit into the Collection Account required to be given by the Administrator, at the time specified in the Administration Agreement or any other Related Document (including applicable grace periods), the Trustee shall make such payment or deposit into or from the Collection Account without such notice or instruction from the Administrator,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Administrator, upon request of the Trustee, promptly provides the Trustee with all information necessary to allow the Trustee to make such a payment or deposit. When any payment or deposit hereunder or under any other Related Document is required to be made by the Trustee or the Paying Agent at or prior to a specified time, the Administrator shall deliver any applicable written instructions with respect thereto reasonably in advance of such specified time.</w:t>
      </w:r>
    </w:p>
    <w:p>
      <w:pPr>
        <w:spacing w:after="0" w:line="14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 xml:space="preserve">Section 3.7. </w:t>
      </w:r>
      <w:r>
        <w:rPr>
          <w:rFonts w:ascii="Times New Roman" w:cs="Times New Roman" w:eastAsia="Times New Roman" w:hAnsi="Times New Roman"/>
          <w:sz w:val="18"/>
          <w:szCs w:val="18"/>
          <w:u w:val="single" w:color="auto"/>
          <w:color w:val="auto"/>
        </w:rPr>
        <w:t>Series 2009-3 Reserve Account</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ind w:right="140" w:firstLine="921"/>
        <w:spacing w:after="0" w:line="287" w:lineRule="auto"/>
        <w:tabs>
          <w:tab w:leader="none" w:pos="1152" w:val="left"/>
        </w:tabs>
        <w:numPr>
          <w:ilvl w:val="1"/>
          <w:numId w:val="1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Establishment of Series 2009-3 Reserve Account</w:t>
      </w:r>
      <w:r>
        <w:rPr>
          <w:rFonts w:ascii="Times New Roman" w:cs="Times New Roman" w:eastAsia="Times New Roman" w:hAnsi="Times New Roman"/>
          <w:sz w:val="16"/>
          <w:szCs w:val="16"/>
          <w:color w:val="auto"/>
        </w:rPr>
        <w:t>. ABRCF shall establish and maintain in the name of the Series 2009-3 Agent for the benefit of the Series 2009-3 Noteholders, or cause to be established and maintained, an account (the “</w:t>
      </w:r>
      <w:r>
        <w:rPr>
          <w:rFonts w:ascii="Times New Roman" w:cs="Times New Roman" w:eastAsia="Times New Roman" w:hAnsi="Times New Roman"/>
          <w:sz w:val="16"/>
          <w:szCs w:val="16"/>
          <w:u w:val="single" w:color="auto"/>
          <w:color w:val="auto"/>
        </w:rPr>
        <w:t>Series 2009-3 Reserve Account</w:t>
      </w:r>
      <w:r>
        <w:rPr>
          <w:rFonts w:ascii="Times New Roman" w:cs="Times New Roman" w:eastAsia="Times New Roman" w:hAnsi="Times New Roman"/>
          <w:sz w:val="16"/>
          <w:szCs w:val="16"/>
          <w:color w:val="auto"/>
        </w:rPr>
        <w:t>”), bearing a designation clearly indicating that the funds deposited therein are held for the benefit of the Series 2009-3 Noteholders. The Series 2009-3 Reserve Account shall be maintained</w:t>
      </w:r>
    </w:p>
    <w:p>
      <w:pPr>
        <w:ind w:firstLine="8"/>
        <w:spacing w:after="0" w:line="281" w:lineRule="auto"/>
        <w:tabs>
          <w:tab w:leader="none" w:pos="210" w:val="left"/>
        </w:tabs>
        <w:numPr>
          <w:ilvl w:val="0"/>
          <w:numId w:val="1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with a Qualified Institution, or (ii) as a segregated trust account with the corporate trust department of a depository institution or trust company having corporate trust powers and acting as trustee for funds deposited in the Series 2009-3 Reserve Account;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if at any time such Qualified Institution is no longer a Qualified Institution or the credit rating of any securities issued by such depositary institution or trust company shall be reduced to below “BBB-” by Standard &amp; Poors or “Baa2” by Moody’s, then ABRCF shall, within 30 days of such reduction, establish a new Series 2009-3 Reserve Account with a new Qualified Institution. If the Series 2009-3 Reserve Account is not maintained in accordance with the previous sentence, ABRCF shall establish a new Series</w:t>
      </w:r>
    </w:p>
    <w:p>
      <w:pPr>
        <w:spacing w:after="0" w:line="3" w:lineRule="exact"/>
        <w:rPr>
          <w:rFonts w:ascii="Times New Roman" w:cs="Times New Roman" w:eastAsia="Times New Roman" w:hAnsi="Times New Roman"/>
          <w:sz w:val="16"/>
          <w:szCs w:val="16"/>
          <w:color w:val="auto"/>
        </w:rPr>
      </w:pPr>
    </w:p>
    <w:p>
      <w:pPr>
        <w:ind w:right="120"/>
        <w:spacing w:after="0" w:line="255" w:lineRule="auto"/>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2009-3 Reserve Account, within ten (10) Business Days after obtaining knowledge of such fact, which complies with such sentence, and shall instruct the Series 2009-3 Agent in writing to transfer all cash and investments from the non-qualifying Series 2009-3 Reserve Account into the new Series 2009-3 Reserve Account. Initially, the Series 2009-3 Reserve Account will be established with The Bank of New York Mellon.</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420"/>
          </w:cols>
          <w:pgMar w:left="240" w:top="274" w:right="239" w:bottom="1440" w:gutter="0" w:footer="0" w:header="0"/>
        </w:sectPr>
      </w:pPr>
    </w:p>
    <w:bookmarkStart w:id="224" w:name="page225"/>
    <w:bookmarkEnd w:id="224"/>
    <w:p>
      <w:pPr>
        <w:ind w:right="20" w:firstLine="921"/>
        <w:spacing w:after="0" w:line="284" w:lineRule="auto"/>
        <w:tabs>
          <w:tab w:leader="none" w:pos="1161" w:val="left"/>
        </w:tabs>
        <w:numPr>
          <w:ilvl w:val="0"/>
          <w:numId w:val="1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Administration of the Series 2009-3 Reserve Account</w:t>
      </w:r>
      <w:r>
        <w:rPr>
          <w:rFonts w:ascii="Times New Roman" w:cs="Times New Roman" w:eastAsia="Times New Roman" w:hAnsi="Times New Roman"/>
          <w:sz w:val="16"/>
          <w:szCs w:val="16"/>
          <w:color w:val="auto"/>
        </w:rPr>
        <w:t xml:space="preserve">. The Administrator may instruct the institution maintaining the Series 2009-3 Reserve Account to invest funds on deposit in the Series 2009-3 Reserve Account from time to time in Permitted Investments;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that any such investment shall mature not later than the Business Day prior to the Distribution Date following the date on which such funds were received, unless any Permitted Investment held in the Series 2009-3 Reserve Account is held with the Paying Agent, then such investment may mature on such Distribution Date and such funds shall be available for withdrawal on or prior to such Distribution Date. All such Permitted Investments will be credited to the Series 2009-3 Reserve Account and any such Permitted Investments that constitute (i) physical property (and that is not either a United States security entitlement or a security entitlement) shall be physically delivered to the Trustee; (ii) United States security entitlements or security entitlements shall be controlled (as defined in Section 8-106 of the</w:t>
      </w:r>
    </w:p>
    <w:p>
      <w:pPr>
        <w:ind w:right="20"/>
        <w:spacing w:after="0" w:line="252" w:lineRule="auto"/>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New York UCC) by the Trustee pending maturity or disposition, and (iii) uncertificated securities (and not United States security entitlements) shall be delivered to the Trustee by causing the Trustee to become the registered holder of such securities. The Trustee shall, at the expense of ABRCF, take such action as is required to maintain the Trustee’s security interest in the Permitted Investments credited to the Series 2009-3 Reserve Account. ABRCF shall not direct the Trustee to dispose of (or permit the disposal of) any Permitted Investments prior to the maturity thereof to the extent such disposal would result in a loss of purchase price of such Permitted Investments. In the absence of written investment instructions hereunder, funds on deposit in the Series 2009-3 Reserve Account shall remain uninvested.</w:t>
      </w:r>
    </w:p>
    <w:p>
      <w:pPr>
        <w:spacing w:after="0" w:line="142" w:lineRule="exact"/>
        <w:rPr>
          <w:rFonts w:ascii="Times New Roman" w:cs="Times New Roman" w:eastAsia="Times New Roman" w:hAnsi="Times New Roman"/>
          <w:sz w:val="16"/>
          <w:szCs w:val="16"/>
          <w:color w:val="auto"/>
        </w:rPr>
      </w:pPr>
    </w:p>
    <w:p>
      <w:pPr>
        <w:ind w:right="160" w:firstLine="921"/>
        <w:spacing w:after="0" w:line="275" w:lineRule="auto"/>
        <w:tabs>
          <w:tab w:leader="none" w:pos="1152"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Earnings from Series 2009-3 Reserve Account</w:t>
      </w:r>
      <w:r>
        <w:rPr>
          <w:rFonts w:ascii="Times New Roman" w:cs="Times New Roman" w:eastAsia="Times New Roman" w:hAnsi="Times New Roman"/>
          <w:sz w:val="18"/>
          <w:szCs w:val="18"/>
          <w:color w:val="auto"/>
        </w:rPr>
        <w:t>. All interest and earnings (net of losses and investment expenses) paid on funds on deposit in the Series 2009-3 Reserve Account shall be deemed to be on deposit therein and available for distribution.</w:t>
      </w:r>
    </w:p>
    <w:p>
      <w:pPr>
        <w:spacing w:after="0" w:line="119" w:lineRule="exact"/>
        <w:rPr>
          <w:rFonts w:ascii="Times New Roman" w:cs="Times New Roman" w:eastAsia="Times New Roman" w:hAnsi="Times New Roman"/>
          <w:sz w:val="18"/>
          <w:szCs w:val="18"/>
          <w:color w:val="auto"/>
        </w:rPr>
      </w:pPr>
    </w:p>
    <w:p>
      <w:pPr>
        <w:ind w:firstLine="921"/>
        <w:spacing w:after="0" w:line="252" w:lineRule="auto"/>
        <w:tabs>
          <w:tab w:leader="none" w:pos="1161"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Series 2009-3 Reserve Account Constitutes Additional Collateral for Series 2009-3 Notes</w:t>
      </w:r>
      <w:r>
        <w:rPr>
          <w:rFonts w:ascii="Times New Roman" w:cs="Times New Roman" w:eastAsia="Times New Roman" w:hAnsi="Times New Roman"/>
          <w:sz w:val="18"/>
          <w:szCs w:val="18"/>
          <w:color w:val="auto"/>
        </w:rPr>
        <w:t>. In order to secure and provide for the repayment and payment of the ABRCF Obligations with respect to the Series 2009-3 Notes, ABRCF hereby grants a security interest in and assigns, pledges, grants, transfers and sets over to the Trustee, for the benefit of the Series 2009-3 Noteholders, all of ABRCF’s right, title and interest in and to the following (whether now or hereafter existing or acquired): (i) the Series 2009-3 Reserve Account, including any security entitlement thereto; (ii) all funds on deposit therein from time to time; (iii) all certificates and instruments, if any, representing or evidencing any or all of the Series 2009-3 Reserve Account or the funds on deposit therein from time to time; (iv) all investments made at any time and from time to time with monies in the Series 2009-3 Reserve Account, whether constituting securities, instruments, general intangibles, investment property, financial assets or other property; (v) all interest, dividends, cash, instruments and other property from time to time received, receivable or otherwise distributed in respect of or in exchange for the Series 2009-3 Reserve Account, the funds on deposit therein from time to time or the investments made with such funds; and (vi) all proceeds of any and all of the foregoing, including, without limitation, cash (the items in the foregoing clauses (i) through (vi) are referred to, collectively, as the “</w:t>
      </w:r>
      <w:r>
        <w:rPr>
          <w:rFonts w:ascii="Times New Roman" w:cs="Times New Roman" w:eastAsia="Times New Roman" w:hAnsi="Times New Roman"/>
          <w:sz w:val="18"/>
          <w:szCs w:val="18"/>
          <w:u w:val="single" w:color="auto"/>
          <w:color w:val="auto"/>
        </w:rPr>
        <w:t>Series 2009-3 Reserve Account Collateral</w:t>
      </w:r>
      <w:r>
        <w:rPr>
          <w:rFonts w:ascii="Times New Roman" w:cs="Times New Roman" w:eastAsia="Times New Roman" w:hAnsi="Times New Roman"/>
          <w:sz w:val="18"/>
          <w:szCs w:val="18"/>
          <w:color w:val="auto"/>
        </w:rPr>
        <w:t>”). The Trustee shall possess all right, title and interest in and to all funds on deposit from time to time in the Series 2009-3 Reserve Account and in all proceeds thereof, and shall be the only person authorized to originate entitlement orders in respect of the Series 2009-3 Reserve Account. The Series 2009-3 Reserve Account Collateral shall be under the sole dominion and control of the Trustee for the benefit of the Series</w:t>
      </w:r>
    </w:p>
    <w:p>
      <w:pPr>
        <w:spacing w:after="0" w:line="1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420"/>
          </w:cols>
          <w:pgMar w:left="240" w:top="274" w:right="239" w:bottom="1440" w:gutter="0" w:footer="0" w:header="0"/>
        </w:sectPr>
      </w:pPr>
    </w:p>
    <w:bookmarkStart w:id="225" w:name="page226"/>
    <w:bookmarkEnd w:id="225"/>
    <w:p>
      <w:pPr>
        <w:ind w:right="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2009-3 Noteholders. The Series 2009-3 Agent hereby agrees (i) to act as the securities intermediary (as defined in Section 8-102(a)(14) of the New York UCC) with respect to the Series 2009-3 Reserve Account; (ii) that its jurisdiction as securities intermediary is New York; (iii) that each item of property (whether investment property, financial asset, security, instrument or cash) credited to the Series 2009-3 Reserve Account shall be treated as a financial asset (as defined in Section 8-102(a)(9) of the New York UCC) and (iv) to comply with any entitlement order (as defined in Section 8-102(a)(8) of the New York UCC) issued by the Trustee.</w:t>
      </w:r>
    </w:p>
    <w:p>
      <w:pPr>
        <w:spacing w:after="0" w:line="139" w:lineRule="exact"/>
        <w:rPr>
          <w:sz w:val="20"/>
          <w:szCs w:val="20"/>
          <w:color w:val="auto"/>
        </w:rPr>
      </w:pPr>
    </w:p>
    <w:p>
      <w:pPr>
        <w:ind w:right="20" w:firstLine="921"/>
        <w:spacing w:after="0" w:line="253" w:lineRule="auto"/>
        <w:tabs>
          <w:tab w:leader="none" w:pos="1152"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Preference Amount Withdrawals from the Series 2009-3 Reserve Account or the Series 2009-3 Cash Collateral Account</w:t>
      </w:r>
      <w:r>
        <w:rPr>
          <w:rFonts w:ascii="Times New Roman" w:cs="Times New Roman" w:eastAsia="Times New Roman" w:hAnsi="Times New Roman"/>
          <w:sz w:val="18"/>
          <w:szCs w:val="18"/>
          <w:color w:val="auto"/>
        </w:rPr>
        <w:t>. If a member of a Purchaser Group notifies the Trustee in writing of the existence of a Preference Amount, then, subject to the satisfaction of the conditions set forth in the next succeeding sentence, on the Business Day on which those conditions are first satisfied, the Trustee shall withdraw from either (x) prior to the Series 2009-3 Letter of Credit Termination Date, the Series 2009-3 Reserve Account or (y) on or after the Series 2009-3 Letter of Credit Termination Date, the Series 2009-3 Cash Collateral Account and pay to the Funding Agent for such member an amount equal to such Preference Amount. Prior to any withdrawal from the Series 2009-3 Reserve Account or the Series 2009-3 Cash Collateral Account pursuant to this Section 3.7(e), the Trustee shall have received (i) a certified copy of the order requiring the return of such Preference Amount; (ii) an opinion of counsel satisfactory to the Trustee that such order is final and not subject to appeal; and (iii) a release as to any claim against ABRCF by the Purchaser Group for any amount paid in respect of such Preference Amount. On the Business Day after Series 2009-3 Letter of Credit Termination Date, the Trustee shall transfer the amount on deposit in the Series 2009-3 Reserve Account to the Series 2009-3 Cash Collateral Account.</w:t>
      </w:r>
    </w:p>
    <w:p>
      <w:pPr>
        <w:spacing w:after="0" w:line="140" w:lineRule="exact"/>
        <w:rPr>
          <w:rFonts w:ascii="Times New Roman" w:cs="Times New Roman" w:eastAsia="Times New Roman" w:hAnsi="Times New Roman"/>
          <w:sz w:val="18"/>
          <w:szCs w:val="18"/>
          <w:color w:val="auto"/>
        </w:rPr>
      </w:pPr>
    </w:p>
    <w:p>
      <w:pPr>
        <w:ind w:firstLine="921"/>
        <w:spacing w:after="0" w:line="258" w:lineRule="auto"/>
        <w:tabs>
          <w:tab w:leader="none" w:pos="1132"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Series 2009-3 Reserve Account Surplus</w:t>
      </w:r>
      <w:r>
        <w:rPr>
          <w:rFonts w:ascii="Times New Roman" w:cs="Times New Roman" w:eastAsia="Times New Roman" w:hAnsi="Times New Roman"/>
          <w:sz w:val="18"/>
          <w:szCs w:val="18"/>
          <w:color w:val="auto"/>
        </w:rPr>
        <w:t>. In the event that the Series 2009-3 Reserve Account Surplus on any Distribution Date, after giving effect to all withdrawals from the Series 2009-3 Reserve Account, is greater than zero, the Trustee, acting in accordance with the written instructions of the Administrator pursuant to the Administration Agreement, shall withdraw from the Series 2009-3 Reserve Account an amount equal to the Series 2009-3 Reserve Account Surplus and shall pay such amount to ABRCF.</w:t>
      </w:r>
    </w:p>
    <w:p>
      <w:pPr>
        <w:spacing w:after="0" w:line="136" w:lineRule="exact"/>
        <w:rPr>
          <w:rFonts w:ascii="Times New Roman" w:cs="Times New Roman" w:eastAsia="Times New Roman" w:hAnsi="Times New Roman"/>
          <w:sz w:val="18"/>
          <w:szCs w:val="18"/>
          <w:color w:val="auto"/>
        </w:rPr>
      </w:pPr>
    </w:p>
    <w:p>
      <w:pPr>
        <w:ind w:right="100" w:firstLine="921"/>
        <w:spacing w:after="0" w:line="258" w:lineRule="auto"/>
        <w:tabs>
          <w:tab w:leader="none" w:pos="1161"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of Series 2009-3 Reserve Account</w:t>
      </w:r>
      <w:r>
        <w:rPr>
          <w:rFonts w:ascii="Times New Roman" w:cs="Times New Roman" w:eastAsia="Times New Roman" w:hAnsi="Times New Roman"/>
          <w:sz w:val="18"/>
          <w:szCs w:val="18"/>
          <w:color w:val="auto"/>
        </w:rPr>
        <w:t>. Upon the termination of the Indenture pursuant to Section 11.1 of the Base Indenture, the Trustee, acting in accordance with the written instructions of the Administrator, after the prior payment of all amounts owing to the Series 2009-3 Noteholders and payable from the Series 2009-3 Reserve Account as provided herein, shall withdraw from the Series 2009-3 Reserve Account all amounts on deposit therein for payment to ABRCF.</w:t>
      </w:r>
    </w:p>
    <w:p>
      <w:pPr>
        <w:spacing w:after="0" w:line="13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 xml:space="preserve">Section 3.8. </w:t>
      </w:r>
      <w:r>
        <w:rPr>
          <w:rFonts w:ascii="Times New Roman" w:cs="Times New Roman" w:eastAsia="Times New Roman" w:hAnsi="Times New Roman"/>
          <w:sz w:val="18"/>
          <w:szCs w:val="18"/>
          <w:u w:val="single" w:color="auto"/>
          <w:color w:val="auto"/>
        </w:rPr>
        <w:t>Series 2009-3 Letters of Credit and Series 2009-3 Cash Collateral Account</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jc w:val="both"/>
        <w:ind w:right="140" w:firstLine="921"/>
        <w:spacing w:after="0" w:line="310" w:lineRule="auto"/>
        <w:tabs>
          <w:tab w:leader="none" w:pos="1152" w:val="left"/>
        </w:tabs>
        <w:numPr>
          <w:ilvl w:val="0"/>
          <w:numId w:val="1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Series 2009-3 Letters of Credit and Series 2009-3 Cash Collateral Account Constitute Additional Collateral for Series 2009-3 Notes</w:t>
      </w:r>
      <w:r>
        <w:rPr>
          <w:rFonts w:ascii="Times New Roman" w:cs="Times New Roman" w:eastAsia="Times New Roman" w:hAnsi="Times New Roman"/>
          <w:sz w:val="16"/>
          <w:szCs w:val="16"/>
          <w:color w:val="auto"/>
        </w:rPr>
        <w:t>. In order to secure and provide for the repayment and payment of ABRCF’s obligations with respect to the Series 2009-3 Notes, ABRCF hereby grants a security interest in and assigns, pledges, grants, transfers and sets over to the Trustee, for the benefit of the Series 2009-3 Noteholders, all of ABRCF’s right, title and</w:t>
      </w:r>
    </w:p>
    <w:p>
      <w:pPr>
        <w:spacing w:after="0" w:line="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400"/>
          </w:cols>
          <w:pgMar w:left="240" w:top="274" w:right="259" w:bottom="1440" w:gutter="0" w:footer="0" w:header="0"/>
        </w:sectPr>
      </w:pPr>
    </w:p>
    <w:bookmarkStart w:id="226" w:name="page227"/>
    <w:bookmarkEnd w:id="226"/>
    <w:p>
      <w:pPr>
        <w:ind w:right="120"/>
        <w:spacing w:after="0" w:line="287"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interest in and to the following (whether now or hereafter existing or acquired): (i) each Series 2009-3 Letter of Credit; (ii) the Series 2009-3 Cash Collateral Account, including any security entitlement thereto; (iii) all funds on deposit in the Series 2009-3 Cash Collateral Account from time to time; (iv) all certificates and instruments, if any, representing or evidencing any or all of the Series 2009-3 Cash Collateral Account or the funds on deposit therein from time to time;</w:t>
      </w:r>
    </w:p>
    <w:p>
      <w:pPr>
        <w:spacing w:after="0" w:line="1" w:lineRule="exact"/>
        <w:rPr>
          <w:sz w:val="20"/>
          <w:szCs w:val="20"/>
          <w:color w:val="auto"/>
        </w:rPr>
      </w:pPr>
    </w:p>
    <w:p>
      <w:pPr>
        <w:ind w:firstLine="8"/>
        <w:spacing w:after="0" w:line="286" w:lineRule="auto"/>
        <w:tabs>
          <w:tab w:leader="none" w:pos="249" w:val="left"/>
        </w:tabs>
        <w:numPr>
          <w:ilvl w:val="0"/>
          <w:numId w:val="1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investments made at any time and from time to time with monies in the Series 2009-3 Cash Collateral Account, whether constituting securities, instruments, general intangibles, investment property, financial assets or other property; (vi) all interest, dividends, cash, instruments and other property from time to time received, receivable or otherwise distributed in respect of or in exchange for the Series 2009-3 Cash Collateral Account, the funds on deposit therein from time to time or the investments made with such funds; and (vii) all proceeds of any and all of the foregoing, including, without limitation, cash (the items in the foregoing clauses (ii) through (vii) are referred to, collectively, as the “</w:t>
      </w:r>
      <w:r>
        <w:rPr>
          <w:rFonts w:ascii="Times New Roman" w:cs="Times New Roman" w:eastAsia="Times New Roman" w:hAnsi="Times New Roman"/>
          <w:sz w:val="16"/>
          <w:szCs w:val="16"/>
          <w:u w:val="single" w:color="auto"/>
          <w:color w:val="auto"/>
        </w:rPr>
        <w:t>Series 2009-3 Cash Collateral Account Collateral</w:t>
      </w:r>
      <w:r>
        <w:rPr>
          <w:rFonts w:ascii="Times New Roman" w:cs="Times New Roman" w:eastAsia="Times New Roman" w:hAnsi="Times New Roman"/>
          <w:sz w:val="16"/>
          <w:szCs w:val="16"/>
          <w:color w:val="auto"/>
        </w:rPr>
        <w:t>”). The Trustee shall, for the benefit of the Series 2009-3 Noteholders, possess all right, title and interest in all funds on deposit from time to time in the Series 2009-3 Cash Collateral Account and in all proceeds thereof, and shall be the only person authorized to originate entitlement orders in respect of the Series 2009-3 Cash Collateral Account. The Series 2009-3 Cash Collateral Account shall be under the sole dominion and control of the Trustee for the benefit of the Series 2009-3 Noteholders. The Series 2009-3 Agent hereby agrees (i) to act as the securities intermediary (as defined in Section 8-102(a)(14) of the New York UCC) with respect to the Series 2009-3 Cash Collateral Account; (ii) that its jurisdiction as securities intermediary is New York; (iii) that each item of property (whether investment property, financial asset, security, instrument or cash) credited to the Series 2009-3 Cash Collateral Account shall be treated as a financial asset (as defined in Section 8-102(a)(9) of the New York UCC) and (iv) to comply with any entitlement order (as defined in Section 8-102(a)(8) of the New York UCC) issued by the Trustee.</w:t>
      </w:r>
    </w:p>
    <w:p>
      <w:pPr>
        <w:spacing w:after="0" w:line="330" w:lineRule="exact"/>
        <w:rPr>
          <w:rFonts w:ascii="Times New Roman" w:cs="Times New Roman" w:eastAsia="Times New Roman" w:hAnsi="Times New Roman"/>
          <w:sz w:val="16"/>
          <w:szCs w:val="16"/>
          <w:color w:val="auto"/>
        </w:rPr>
      </w:pPr>
    </w:p>
    <w:p>
      <w:pPr>
        <w:ind w:firstLine="921"/>
        <w:spacing w:after="0" w:line="283" w:lineRule="auto"/>
        <w:tabs>
          <w:tab w:leader="none" w:pos="1161" w:val="left"/>
        </w:tabs>
        <w:numPr>
          <w:ilvl w:val="1"/>
          <w:numId w:val="1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Series 2009-3 Letter of Credit Expiration Date</w:t>
      </w:r>
      <w:r>
        <w:rPr>
          <w:rFonts w:ascii="Times New Roman" w:cs="Times New Roman" w:eastAsia="Times New Roman" w:hAnsi="Times New Roman"/>
          <w:sz w:val="16"/>
          <w:szCs w:val="16"/>
          <w:color w:val="auto"/>
        </w:rPr>
        <w:t>. If prior to the date which is ten (10) days prior to the then scheduled Series 2009-3 Letter of Credit Expiration Date with respect to any Series 2009-3 Letter of Credit, excluding the amount available to be drawn under such Series 2009-3 Letter of Credit but taking into account each substitute Series 2009-3 Letter of Credit which has been obtained from a Series 2009-3 Eligible Letter of Credit Provider and is in full force and effect on such date, the Series 2009-3 Enhancement Amount would be equal to or more than the Series 2009-3 Required Enhancement Amount and the Series 2009-3 Liquidity Amount would be equal to or greater than the Series 2009-3 Required Liquidity Amount, then the Administrator shall notify the Trustee in writing no later than two Business Days prior to such Series 2009-3 Letter of Credit Expiration Date of such determination. If prior to the date which is ten (10) days prior to the then scheduled Series 2009-3 Letter of Credit Expiration Date with respect to any Series 2009-3 Letter of Credit, excluding the amount available to be drawn under such Series 2009-3 Letter of Credit but taking into account each substitute Series 2009-3 Letter of Credit which has been obtained from a Series 2009-3 Eligible Letter of Credit Provider and is in full force and effect on such date, the Series 2009-3 Enhancement Amount would be less than the Series 2009-3 Required Enhancement Amount or the Series 2009-3 Liquidity Amount would be less than the Series 2009-3 Required Liquidity Amount, then the Administrator shall notify the Trustee in writing no later than two Business Days prior to such Series 2009-3 Letter of Credit Expiration Date of (x) the greater of</w:t>
      </w:r>
    </w:p>
    <w:p>
      <w:pPr>
        <w:spacing w:after="0" w:line="2"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(A) the excess, if any, of the Series 2009-3 Required Enhancement Amount over the Series 2009-3 Enhancement Amount,</w:t>
      </w:r>
    </w:p>
    <w:p>
      <w:pPr>
        <w:spacing w:after="0" w:line="1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400"/>
          </w:cols>
          <w:pgMar w:left="240" w:top="274" w:right="259" w:bottom="1440" w:gutter="0" w:footer="0" w:header="0"/>
        </w:sectPr>
      </w:pPr>
    </w:p>
    <w:bookmarkStart w:id="227" w:name="page228"/>
    <w:bookmarkEnd w:id="227"/>
    <w:p>
      <w:pPr>
        <w:ind w:right="40"/>
        <w:spacing w:after="0" w:line="289"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excluding the available amount under such expiring Series 2009-3 Letter of Credit but taking into account any substitute Series 2009-3 Letter of Credit which has been obtained from a Series 2009-3 Eligible Letter of Credit Provider and is in full force and effect, on such date, and (B) the excess, if any, of the Series 2009-3 Required Liquidity Amount over the Series 2009-3 Liquidity Amount, excluding the available amount under such expiring Series 2009-3 Letter of Credit but taking into account any substitute Series 2009-3 Letter of Credit which has been obtained from a Series 2009-3 Eligible Letter of Credit Provider and is in full force and effect, on such date, and (y) the amount available to be drawn on such expiring Series 2009-3 Letter of Credit on such date. Upon receipt of such notice by the Trustee on or prior to 10:00 a.m. (New York City time) on any Business Day, the Trustee shall, by 12:00 noon (New York City time) on such Business Day (or, in the case of any notice given to the Trustee after 10:00 a.m. (New York City time), by 12:00 noon (New York City time) on the next following Business Day), draw the lesser of the amounts set forth in clauses (x) and (y) above on such expiring Series 2009-3 Letter of Credit by presenting a Certificate of Termination Demand and shall cause the Termination Disbursement to be deposited in the Series 2009-3 Cash Collateral Account.</w:t>
      </w:r>
    </w:p>
    <w:p>
      <w:pPr>
        <w:spacing w:after="0" w:line="334" w:lineRule="exact"/>
        <w:rPr>
          <w:sz w:val="20"/>
          <w:szCs w:val="20"/>
          <w:color w:val="auto"/>
        </w:rPr>
      </w:pPr>
    </w:p>
    <w:p>
      <w:pPr>
        <w:ind w:right="120" w:firstLine="913"/>
        <w:spacing w:after="0" w:line="258" w:lineRule="auto"/>
        <w:rPr>
          <w:sz w:val="20"/>
          <w:szCs w:val="20"/>
          <w:color w:val="auto"/>
        </w:rPr>
      </w:pPr>
      <w:r>
        <w:rPr>
          <w:rFonts w:ascii="Times New Roman" w:cs="Times New Roman" w:eastAsia="Times New Roman" w:hAnsi="Times New Roman"/>
          <w:sz w:val="18"/>
          <w:szCs w:val="18"/>
          <w:color w:val="auto"/>
        </w:rPr>
        <w:t>If the Trustee does not receive the notice from the Administrator described in the first paragraph of this Section 3.8(b) on or prior to the date that is two Business Days prior to each Series 2009-3 Letter of Credit Expiration Date, the Trustee shall, by 12:00 noon (New York City time) on such Business Day draw the full amount of such Series 2009-3 Letter of Credit by presenting a Certificate of Termination Demand and shall cause the Termination Disbursement to be deposited in the Series 2009-3 Cash Collateral Account.</w:t>
      </w:r>
    </w:p>
    <w:p>
      <w:pPr>
        <w:spacing w:after="0" w:line="136" w:lineRule="exact"/>
        <w:rPr>
          <w:sz w:val="20"/>
          <w:szCs w:val="20"/>
          <w:color w:val="auto"/>
        </w:rPr>
      </w:pPr>
    </w:p>
    <w:p>
      <w:pPr>
        <w:ind w:left="1160" w:hanging="239"/>
        <w:spacing w:after="0"/>
        <w:tabs>
          <w:tab w:leader="none" w:pos="1160" w:val="left"/>
        </w:tabs>
        <w:numPr>
          <w:ilvl w:val="1"/>
          <w:numId w:val="1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Series 2009-3 Letter of Credit Providers</w:t>
      </w:r>
      <w:r>
        <w:rPr>
          <w:rFonts w:ascii="Times New Roman" w:cs="Times New Roman" w:eastAsia="Times New Roman" w:hAnsi="Times New Roman"/>
          <w:sz w:val="16"/>
          <w:szCs w:val="16"/>
          <w:color w:val="auto"/>
        </w:rPr>
        <w:t>. The Administrator shall notify the Trustee in writing within one Business Day of becoming aware that</w:t>
      </w:r>
    </w:p>
    <w:p>
      <w:pPr>
        <w:spacing w:after="0" w:line="44" w:lineRule="exact"/>
        <w:rPr>
          <w:rFonts w:ascii="Times New Roman" w:cs="Times New Roman" w:eastAsia="Times New Roman" w:hAnsi="Times New Roman"/>
          <w:sz w:val="16"/>
          <w:szCs w:val="16"/>
          <w:color w:val="auto"/>
        </w:rPr>
      </w:pPr>
    </w:p>
    <w:p>
      <w:pPr>
        <w:ind w:firstLine="8"/>
        <w:spacing w:after="0" w:line="286" w:lineRule="auto"/>
        <w:tabs>
          <w:tab w:leader="none" w:pos="210" w:val="left"/>
        </w:tabs>
        <w:numPr>
          <w:ilvl w:val="0"/>
          <w:numId w:val="1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long-term senior unsecured debt credit rating of any Series 2009-3 Letter of Credit Provider has fallen below “A” as determined by Standard &amp; Poor’s or “A1” as determined by Moody’s or (ii) the short-term senior unsecured debt credit rating of any Series 2009-3 Letter of Credit Provider has fallen below “A-1” as determined by Standard &amp; Poor’s or “P-1” as determined by Moody’s. At such time the Administrator shall also notify the Trustee of (i) the greater of (A) the excess, if any, of the Series 2009-3 Required Enhancement Amount over the Series 2009-3 Enhancement Amount, excluding the available amount under the Series 2009-3 Letter of Credit issued by such Series 2009-3 Letter of Credit Provider, on such date, and (B) the excess, if any, of the Series 2009-3 Required Liquidity Amount over the Series 2009-3 Liquidity Amount, excluding the available amount under such Series 2009-3 Letter of Credit, on such date, and (ii) the amount available to be drawn on such Series 2009-3 Letter of Credit on such date. Upon receipt of such notice by the Trustee on or prior to 10:00 a.m. (New York City time) on any Business Day, the Trustee shall, by 12:00 noon (New York City time) on such Business Day (or, in the case of any notice given to the Trustee after 10:00 a.m. (New York City time), by 12:00 noon (New York City time) on the next following Business Day), draw on such Series 2009-3 Letter of Credit in an amount equal to the lesser of the amounts in clause (i) and clause (ii) of the immediately preceding sentence on such Business Day by presenting a Certificate of Termination Demand and shall cause the Termination Disbursement to be deposited in the Series 2009-3 Cash Collateral Account.</w:t>
      </w:r>
    </w:p>
    <w:p>
      <w:pPr>
        <w:spacing w:after="0" w:line="334" w:lineRule="exact"/>
        <w:rPr>
          <w:rFonts w:ascii="Times New Roman" w:cs="Times New Roman" w:eastAsia="Times New Roman" w:hAnsi="Times New Roman"/>
          <w:sz w:val="16"/>
          <w:szCs w:val="16"/>
          <w:color w:val="auto"/>
        </w:rPr>
      </w:pPr>
    </w:p>
    <w:p>
      <w:pPr>
        <w:ind w:right="20" w:firstLine="921"/>
        <w:spacing w:after="0" w:line="275" w:lineRule="auto"/>
        <w:tabs>
          <w:tab w:leader="none" w:pos="1161" w:val="left"/>
        </w:tabs>
        <w:numPr>
          <w:ilvl w:val="1"/>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Draws on the Series 2009-3 Letters of Credit</w:t>
      </w:r>
      <w:r>
        <w:rPr>
          <w:rFonts w:ascii="Times New Roman" w:cs="Times New Roman" w:eastAsia="Times New Roman" w:hAnsi="Times New Roman"/>
          <w:sz w:val="18"/>
          <w:szCs w:val="18"/>
          <w:color w:val="auto"/>
        </w:rPr>
        <w:t>. If there is more than one Series 2009-3 Letter of Credit on the date of any draw on the Series 2009-3 Letters of Credit</w:t>
      </w:r>
    </w:p>
    <w:p>
      <w:pPr>
        <w:spacing w:after="0" w:line="1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400"/>
          </w:cols>
          <w:pgMar w:left="240" w:top="274" w:right="259" w:bottom="1440" w:gutter="0" w:footer="0" w:header="0"/>
        </w:sectPr>
      </w:pPr>
    </w:p>
    <w:bookmarkStart w:id="228" w:name="page229"/>
    <w:bookmarkEnd w:id="228"/>
    <w:p>
      <w:pPr>
        <w:jc w:val="both"/>
        <w:ind w:right="340"/>
        <w:spacing w:after="0" w:line="26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pursuant to the terms of this Supplement, the Administrator shall instruct the Trustee, in writing, to draw on each Series 2009-3 Letter of Credit in an amount equal to the LOC Pro Rata Share of the Series 2009-3 Letter of Credit Provider issuing such Series 2009-3 Letter of Credit of the amount of such draw on the Series 2009-3 Letters of Credit.</w:t>
      </w:r>
    </w:p>
    <w:p>
      <w:pPr>
        <w:spacing w:after="0" w:line="132" w:lineRule="exact"/>
        <w:rPr>
          <w:sz w:val="20"/>
          <w:szCs w:val="20"/>
          <w:color w:val="auto"/>
        </w:rPr>
      </w:pPr>
    </w:p>
    <w:p>
      <w:pPr>
        <w:ind w:right="40" w:firstLine="921"/>
        <w:spacing w:after="0" w:line="287" w:lineRule="auto"/>
        <w:tabs>
          <w:tab w:leader="none" w:pos="1152" w:val="left"/>
        </w:tabs>
        <w:numPr>
          <w:ilvl w:val="0"/>
          <w:numId w:val="1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Establishment of Series 2009-3 Cash Collateral Account</w:t>
      </w:r>
      <w:r>
        <w:rPr>
          <w:rFonts w:ascii="Times New Roman" w:cs="Times New Roman" w:eastAsia="Times New Roman" w:hAnsi="Times New Roman"/>
          <w:sz w:val="16"/>
          <w:szCs w:val="16"/>
          <w:color w:val="auto"/>
        </w:rPr>
        <w:t>. On or prior to the date of any drawing under a Series 2009-3 Letter of Credit pursuant to Section 3.8(b) or (c) above, ABRCF shall establish and maintain in the name of the Trustee for the benefit of the Series 2009-3 Noteholders, or cause to be established and maintained, an account (the “</w:t>
      </w:r>
      <w:r>
        <w:rPr>
          <w:rFonts w:ascii="Times New Roman" w:cs="Times New Roman" w:eastAsia="Times New Roman" w:hAnsi="Times New Roman"/>
          <w:sz w:val="16"/>
          <w:szCs w:val="16"/>
          <w:u w:val="single" w:color="auto"/>
          <w:color w:val="auto"/>
        </w:rPr>
        <w:t>Series 2009-3 Cash Collateral Account</w:t>
      </w:r>
      <w:r>
        <w:rPr>
          <w:rFonts w:ascii="Times New Roman" w:cs="Times New Roman" w:eastAsia="Times New Roman" w:hAnsi="Times New Roman"/>
          <w:sz w:val="16"/>
          <w:szCs w:val="16"/>
          <w:color w:val="auto"/>
        </w:rPr>
        <w:t xml:space="preserve">”), bearing a designation clearly indicating that the funds deposited therein are held for the benefit of the Series 2009-3 Noteholders. The Series 2009-3 Cash Collateral Account shall be maintained (i) with a Qualified Institution, or (ii) as a segregated trust account with the corporate trust department of a depository institution or trust company having corporate trust powers and acting as trustee for funds deposited in the Series 2009-3 Cash Collateral Account;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if at any time such Qualified Institution is no longer a Qualified Institution or the credit rating of any securities issued by such depository institution or trust company shall be reduced to below “BBB-” by Standard &amp; Poor’s or “Baa3” by Moody’s, then ABRCF shall, within 30 days of such reduction, establish a new Series 2009-3 Cash Collateral Account with a new Qualified Institution or a new segregated trust account with the corporate trust department of a depository institution or trust company having corporate trust powers and acting as trustee for funds deposited in the Series 2009-3 Cash Collateral Account. If a new Series 2009-3 Cash Collateral Account is established, ABRCF shall instruct the Trustee in writing to transfer all cash and investments from the non-qualifying Series 2009-3 Cash Collateral Account into the new Series 2009-3 Cash Collateral Account.</w:t>
      </w:r>
    </w:p>
    <w:p>
      <w:pPr>
        <w:spacing w:after="0" w:line="118" w:lineRule="exact"/>
        <w:rPr>
          <w:rFonts w:ascii="Times New Roman" w:cs="Times New Roman" w:eastAsia="Times New Roman" w:hAnsi="Times New Roman"/>
          <w:sz w:val="16"/>
          <w:szCs w:val="16"/>
          <w:color w:val="auto"/>
        </w:rPr>
      </w:pPr>
    </w:p>
    <w:p>
      <w:pPr>
        <w:ind w:firstLine="921"/>
        <w:spacing w:after="0" w:line="287" w:lineRule="auto"/>
        <w:tabs>
          <w:tab w:leader="none" w:pos="1132" w:val="left"/>
        </w:tabs>
        <w:numPr>
          <w:ilvl w:val="0"/>
          <w:numId w:val="1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Administration of the Series 2009-3 Cash Collateral Account</w:t>
      </w:r>
      <w:r>
        <w:rPr>
          <w:rFonts w:ascii="Times New Roman" w:cs="Times New Roman" w:eastAsia="Times New Roman" w:hAnsi="Times New Roman"/>
          <w:sz w:val="16"/>
          <w:szCs w:val="16"/>
          <w:color w:val="auto"/>
        </w:rPr>
        <w:t xml:space="preserve">. ABRCF may instruct (by standing instructions or otherwise) the institution maintaining the Series 2009-3 Cash Collateral Account to invest funds on deposit in the Series 2009-3 Cash Collateral Account from time to time in Permitted Investments;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that any such investment shall mature not later than the Business Day prior to the Distribution Date following the date on which such funds were received, unless any Permitted Investment held in the Series 2009-3 Cash Collateral Account is held with the Paying Agent, in which case such investment may mature on such Distribution Date so long as such funds shall be available for withdrawal on or prior to such Distribution Date. All such Permitted Investments will be credited to the Series 2009-3 Cash Collateral Account and any such Permitted Investments that constitute (i) physical property (and that is not either a United States security entitlement or a security entitlement) shall be physically delivered to the Trustee; (ii) United States security entitlements or security entitlements shall be controlled (as defined in Section 8-106 of the New York UCC) by the Trustee pending maturity or disposition, and (iii) uncertificated securities (and not United States security entitlements) shall be delivered to the Trustee by causing the Trustee to become the registered holder of such securities. The Trustee shall, at the expense of ABRCF, take such action as is required to maintain the Trustee’s security interest in the Permitted Investments credited to the Series 2009-3 Cash Collateral Account. ABRCF shall not direct the Trustee to dispose of (or permit the disposal of) any Permitted Investments prior to the maturity thereof to the extent such disposal would result in a loss of the purchase price of such Permitted Investment. In the absence of written investment instructions hereunder, funds on deposit in the Series 2009-3 Cash Collateral Account shall remain uninvested.</w:t>
      </w: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420"/>
          </w:cols>
          <w:pgMar w:left="240" w:top="274" w:right="239" w:bottom="1440" w:gutter="0" w:footer="0" w:header="0"/>
        </w:sectPr>
      </w:pPr>
    </w:p>
    <w:bookmarkStart w:id="229" w:name="page230"/>
    <w:bookmarkEnd w:id="229"/>
    <w:p>
      <w:pPr>
        <w:ind w:right="60" w:firstLine="921"/>
        <w:spacing w:after="0" w:line="275" w:lineRule="auto"/>
        <w:tabs>
          <w:tab w:leader="none" w:pos="1161"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Earnings from Series 2009-3 Cash Collateral Account</w:t>
      </w:r>
      <w:r>
        <w:rPr>
          <w:rFonts w:ascii="Times New Roman" w:cs="Times New Roman" w:eastAsia="Times New Roman" w:hAnsi="Times New Roman"/>
          <w:sz w:val="18"/>
          <w:szCs w:val="18"/>
          <w:color w:val="auto"/>
        </w:rPr>
        <w:t>. All interest and earnings (net of losses and investment expenses) paid on funds on deposit in the Series 2009-3 Cash Collateral Account shall be deemed to be on deposit therein and available for distribution.</w:t>
      </w:r>
    </w:p>
    <w:p>
      <w:pPr>
        <w:spacing w:after="0" w:line="119" w:lineRule="exact"/>
        <w:rPr>
          <w:rFonts w:ascii="Times New Roman" w:cs="Times New Roman" w:eastAsia="Times New Roman" w:hAnsi="Times New Roman"/>
          <w:sz w:val="18"/>
          <w:szCs w:val="18"/>
          <w:color w:val="auto"/>
        </w:rPr>
      </w:pPr>
    </w:p>
    <w:p>
      <w:pPr>
        <w:ind w:firstLine="921"/>
        <w:spacing w:after="0" w:line="255" w:lineRule="auto"/>
        <w:tabs>
          <w:tab w:leader="none" w:pos="1161"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Series 2009-3 Cash Collateral Account Surplus</w:t>
      </w:r>
      <w:r>
        <w:rPr>
          <w:rFonts w:ascii="Times New Roman" w:cs="Times New Roman" w:eastAsia="Times New Roman" w:hAnsi="Times New Roman"/>
          <w:sz w:val="18"/>
          <w:szCs w:val="18"/>
          <w:color w:val="auto"/>
        </w:rPr>
        <w:t xml:space="preserve">. In the event that the Series 2009-3 Cash Collateral Account Surplus on any Distribution Date (or, after the Series 2009-3 Letter of Credit Termination Date, on any date) is greater than zero, the Trustee, acting in accordance with the written instructions of the Administrator, shall withdraw from the Series 2009-3 Cash Collateral Account an amount equal to the Series 2009-3 Cash Collateral Account Surplus and shall pay such amount: </w:t>
      </w:r>
      <w:r>
        <w:rPr>
          <w:rFonts w:ascii="Times New Roman" w:cs="Times New Roman" w:eastAsia="Times New Roman" w:hAnsi="Times New Roman"/>
          <w:sz w:val="18"/>
          <w:szCs w:val="18"/>
          <w:u w:val="single" w:color="auto"/>
          <w:color w:val="auto"/>
        </w:rPr>
        <w:t>first</w:t>
      </w:r>
      <w:r>
        <w:rPr>
          <w:rFonts w:ascii="Times New Roman" w:cs="Times New Roman" w:eastAsia="Times New Roman" w:hAnsi="Times New Roman"/>
          <w:sz w:val="18"/>
          <w:szCs w:val="18"/>
          <w:color w:val="auto"/>
        </w:rPr>
        <w:t xml:space="preserve">, to the Series 2009-3 Letter of Credit Providers to the extent of any unreimbursed drawings under the related Series 2009-3 Reimbursement Agreement, for application in accordance with the provisions of the related Series 2009-3 Reimbursement Agreement, and, </w:t>
      </w:r>
      <w:r>
        <w:rPr>
          <w:rFonts w:ascii="Times New Roman" w:cs="Times New Roman" w:eastAsia="Times New Roman" w:hAnsi="Times New Roman"/>
          <w:sz w:val="18"/>
          <w:szCs w:val="18"/>
          <w:u w:val="single" w:color="auto"/>
          <w:color w:val="auto"/>
        </w:rPr>
        <w:t>second</w:t>
      </w:r>
      <w:r>
        <w:rPr>
          <w:rFonts w:ascii="Times New Roman" w:cs="Times New Roman" w:eastAsia="Times New Roman" w:hAnsi="Times New Roman"/>
          <w:sz w:val="18"/>
          <w:szCs w:val="18"/>
          <w:color w:val="auto"/>
        </w:rPr>
        <w:t>, to ABRCF any remaining amount.</w:t>
      </w:r>
    </w:p>
    <w:p>
      <w:pPr>
        <w:spacing w:after="0" w:line="139" w:lineRule="exact"/>
        <w:rPr>
          <w:rFonts w:ascii="Times New Roman" w:cs="Times New Roman" w:eastAsia="Times New Roman" w:hAnsi="Times New Roman"/>
          <w:sz w:val="18"/>
          <w:szCs w:val="18"/>
          <w:color w:val="auto"/>
        </w:rPr>
      </w:pPr>
    </w:p>
    <w:p>
      <w:pPr>
        <w:ind w:right="40" w:firstLine="921"/>
        <w:spacing w:after="0" w:line="255" w:lineRule="auto"/>
        <w:tabs>
          <w:tab w:leader="none" w:pos="1122"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of Series 2009-3 Cash Collateral Account</w:t>
      </w:r>
      <w:r>
        <w:rPr>
          <w:rFonts w:ascii="Times New Roman" w:cs="Times New Roman" w:eastAsia="Times New Roman" w:hAnsi="Times New Roman"/>
          <w:sz w:val="18"/>
          <w:szCs w:val="18"/>
          <w:color w:val="auto"/>
        </w:rPr>
        <w:t xml:space="preserve">. Upon the termination of this Supplement in accordance with its terms, the Trustee, acting in accordance with the written instructions of the Administrator, after the prior payment of all amounts owing to the Series 2009-3 Noteholders and payable from the Series 2009-3 Cash Collateral Account as provided herein, shall withdraw from the Series 2009-3 Cash Collateral Account all amounts on deposit therein (to the extent not withdrawn pursuant to Section 3.8(h) above) and shall pay such amounts: </w:t>
      </w:r>
      <w:r>
        <w:rPr>
          <w:rFonts w:ascii="Times New Roman" w:cs="Times New Roman" w:eastAsia="Times New Roman" w:hAnsi="Times New Roman"/>
          <w:sz w:val="18"/>
          <w:szCs w:val="18"/>
          <w:u w:val="single" w:color="auto"/>
          <w:color w:val="auto"/>
        </w:rPr>
        <w:t>first</w:t>
      </w:r>
      <w:r>
        <w:rPr>
          <w:rFonts w:ascii="Times New Roman" w:cs="Times New Roman" w:eastAsia="Times New Roman" w:hAnsi="Times New Roman"/>
          <w:sz w:val="18"/>
          <w:szCs w:val="18"/>
          <w:color w:val="auto"/>
        </w:rPr>
        <w:t xml:space="preserve">, to the Series 2009-3 Letter of Credit Providers to the extent of any unreimbursed drawings under the related Series 2009-3 Reimbursement Agreement, for application in accordance with the provisions of the related Series 2009-3 Reimbursement Agreement, and, </w:t>
      </w:r>
      <w:r>
        <w:rPr>
          <w:rFonts w:ascii="Times New Roman" w:cs="Times New Roman" w:eastAsia="Times New Roman" w:hAnsi="Times New Roman"/>
          <w:sz w:val="18"/>
          <w:szCs w:val="18"/>
          <w:u w:val="single" w:color="auto"/>
          <w:color w:val="auto"/>
        </w:rPr>
        <w:t>second</w:t>
      </w:r>
      <w:r>
        <w:rPr>
          <w:rFonts w:ascii="Times New Roman" w:cs="Times New Roman" w:eastAsia="Times New Roman" w:hAnsi="Times New Roman"/>
          <w:sz w:val="18"/>
          <w:szCs w:val="18"/>
          <w:color w:val="auto"/>
        </w:rPr>
        <w:t>, to ABRCF any remaining amount.</w:t>
      </w:r>
    </w:p>
    <w:p>
      <w:pPr>
        <w:spacing w:after="0" w:line="139" w:lineRule="exact"/>
        <w:rPr>
          <w:rFonts w:ascii="Times New Roman" w:cs="Times New Roman" w:eastAsia="Times New Roman" w:hAnsi="Times New Roman"/>
          <w:sz w:val="18"/>
          <w:szCs w:val="18"/>
          <w:color w:val="auto"/>
        </w:rPr>
      </w:pPr>
    </w:p>
    <w:p>
      <w:pPr>
        <w:ind w:right="100" w:firstLine="921"/>
        <w:spacing w:after="0" w:line="284" w:lineRule="auto"/>
        <w:tabs>
          <w:tab w:leader="none" w:pos="1122" w:val="left"/>
        </w:tabs>
        <w:numPr>
          <w:ilvl w:val="0"/>
          <w:numId w:val="1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Termination Date Demands on the Series 2009-3 Letters of Credit</w:t>
      </w:r>
      <w:r>
        <w:rPr>
          <w:rFonts w:ascii="Times New Roman" w:cs="Times New Roman" w:eastAsia="Times New Roman" w:hAnsi="Times New Roman"/>
          <w:sz w:val="16"/>
          <w:szCs w:val="16"/>
          <w:color w:val="auto"/>
        </w:rPr>
        <w:t>. Prior to 10:00 a.m. (New York City time) on the Business Day immediately succeeding the Series 2009-3 Letter of Credit Termination Date, the Administrator shall determine the Series 2009-3 Demand Note Payment Amount as of the Series 2009-3 Letter of Credit Termination Date. If the Series 2009-3 Demand Note Payment Amount is greater than zero, then the Administrator shall instruct the Trustee in writing to draw on the Series 2009-3 Letters of Credit. Upon receipt of any such notice by the Trustee on or prior to 11:00 a.m. (New York City time) on a Business Day, the Trustee shall, by 12:00 noon (New York City time) on such Business Day draw an amount equal to the lesser of (i) the excess of the Series 2009-3 Demand Note Payment Amount over the Series 2009-3 Available Reserve Account Amount (prior to giving effect to any transfer to the Series</w:t>
      </w:r>
    </w:p>
    <w:p>
      <w:pPr>
        <w:spacing w:after="0" w:line="2" w:lineRule="exact"/>
        <w:rPr>
          <w:rFonts w:ascii="Times New Roman" w:cs="Times New Roman" w:eastAsia="Times New Roman" w:hAnsi="Times New Roman"/>
          <w:sz w:val="16"/>
          <w:szCs w:val="16"/>
          <w:color w:val="auto"/>
        </w:rPr>
      </w:pPr>
    </w:p>
    <w:p>
      <w:pPr>
        <w:spacing w:after="0" w:line="252" w:lineRule="auto"/>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 xml:space="preserve">2009-3 Cash Collateral Account pursuant to Section 3.7(e) on such date) and (ii) the Series 2009-3 Letter of Credit Liquidity Amount on the Series 2009-3 Letters of Credit by presenting to each Series 2009-3 Letter of Credit Provider a Certificate of Termination Date Demand;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the Series 2009-3 Cash Collateral Account has been established and funded, the Trustee shall draw an amount equal to the product of (a) 100% minus the Series 2009-3 Cash Collateral Percentage and (b) the lesser of the amounts referred to in clause (i) or (ii) on such Business Day on the Series 2009-3 Letters of Credit as calculated by the Administrator and provided in writing to the Trustee. The Trustee shall cause the Termination Date Disbursement to be deposited in the Series 2009-3 Cash Collateral Account.</w:t>
      </w:r>
    </w:p>
    <w:p>
      <w:pPr>
        <w:spacing w:after="0" w:line="14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 xml:space="preserve">Section 3.9. </w:t>
      </w:r>
      <w:r>
        <w:rPr>
          <w:rFonts w:ascii="Times New Roman" w:cs="Times New Roman" w:eastAsia="Times New Roman" w:hAnsi="Times New Roman"/>
          <w:sz w:val="18"/>
          <w:szCs w:val="18"/>
          <w:u w:val="single" w:color="auto"/>
          <w:color w:val="auto"/>
        </w:rPr>
        <w:t>Series 2009-3 Distribution Account</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420"/>
          </w:cols>
          <w:pgMar w:left="240" w:top="274" w:right="239" w:bottom="1440" w:gutter="0" w:footer="0" w:header="0"/>
        </w:sectPr>
      </w:pPr>
    </w:p>
    <w:bookmarkStart w:id="230" w:name="page231"/>
    <w:bookmarkEnd w:id="230"/>
    <w:p>
      <w:pPr>
        <w:ind w:left="-20" w:firstLine="921"/>
        <w:spacing w:after="0" w:line="288" w:lineRule="auto"/>
        <w:tabs>
          <w:tab w:leader="none" w:pos="1132" w:val="left"/>
        </w:tabs>
        <w:numPr>
          <w:ilvl w:val="0"/>
          <w:numId w:val="1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Establishment of Series 2009-3 Distribution Account</w:t>
      </w:r>
      <w:r>
        <w:rPr>
          <w:rFonts w:ascii="Times New Roman" w:cs="Times New Roman" w:eastAsia="Times New Roman" w:hAnsi="Times New Roman"/>
          <w:sz w:val="16"/>
          <w:szCs w:val="16"/>
          <w:color w:val="auto"/>
        </w:rPr>
        <w:t>. The Trustee shall establish and maintain in the name of the Series 2009-3 Agent for the benefit of the Series 2009-3 Noteholders, or cause to be established and maintained, an account (the “</w:t>
      </w:r>
      <w:r>
        <w:rPr>
          <w:rFonts w:ascii="Times New Roman" w:cs="Times New Roman" w:eastAsia="Times New Roman" w:hAnsi="Times New Roman"/>
          <w:sz w:val="16"/>
          <w:szCs w:val="16"/>
          <w:u w:val="single" w:color="auto"/>
          <w:color w:val="auto"/>
        </w:rPr>
        <w:t>Series 2009-3 Distribution Account</w:t>
      </w:r>
      <w:r>
        <w:rPr>
          <w:rFonts w:ascii="Times New Roman" w:cs="Times New Roman" w:eastAsia="Times New Roman" w:hAnsi="Times New Roman"/>
          <w:sz w:val="16"/>
          <w:szCs w:val="16"/>
          <w:color w:val="auto"/>
        </w:rPr>
        <w:t xml:space="preserve">”), bearing a designation clearly indicating that the funds deposited therein are held for the benefit of the Series 2009-3 Noteholders. The Series 2009-3 Distribution Account shall be maintained (i) with a Qualified Institution, or (ii) as a segregated trust account with the corporate trust department of a depository institution or trust company having corporate trust powers and acting as trustee for funds deposited in the Series 2009-3 Distribution Account;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if at any time such Qualified Institution is no longer a Qualified Institution or the credit rating of any securities issued by such depositary institution or trust company shall be reduced to below “BBB-” by Standard &amp; Poor’s or “Baa3” by Moody’s, then ABRCF shall, within 30 days of such reduction, establish a new Series 2009-3 Distribution Account with a new Qualified Institution. If the Series 2009-3 Distribution Account is not maintained in accordance with the previous sentence, ABRCF shall establish a new Series 2009-3 Distribution Account, within ten (10) Business Days after obtaining knowledge of such fact, which complies with such sentence, and shall instruct the Series 2009-3 Agent in writing to transfer all cash and investments from the non-qualifying Series 2009-3 Distribution Account into the new Series 2009-3 Distribution Account. Initially, the Series 2009-3 Distribution Account will be established with The Bank of New York Mellon.</w:t>
      </w:r>
    </w:p>
    <w:p>
      <w:pPr>
        <w:spacing w:after="0" w:line="331" w:lineRule="exact"/>
        <w:rPr>
          <w:rFonts w:ascii="Times New Roman" w:cs="Times New Roman" w:eastAsia="Times New Roman" w:hAnsi="Times New Roman"/>
          <w:sz w:val="16"/>
          <w:szCs w:val="16"/>
          <w:color w:val="auto"/>
        </w:rPr>
      </w:pPr>
    </w:p>
    <w:p>
      <w:pPr>
        <w:ind w:left="-20" w:firstLine="921"/>
        <w:spacing w:after="0" w:line="252" w:lineRule="auto"/>
        <w:tabs>
          <w:tab w:leader="none" w:pos="1141"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Administration of the Series 2009-3 Distribution Account</w:t>
      </w:r>
      <w:r>
        <w:rPr>
          <w:rFonts w:ascii="Times New Roman" w:cs="Times New Roman" w:eastAsia="Times New Roman" w:hAnsi="Times New Roman"/>
          <w:sz w:val="18"/>
          <w:szCs w:val="18"/>
          <w:color w:val="auto"/>
        </w:rPr>
        <w:t xml:space="preserve">. The Administrator may instruct the institution maintaining the Series 2009-3 Distribution Account to invest funds on deposit in the Series 2009-3 Distribution Account from time to time in Permitted Investments;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any such investment shall mature not later than the Business Day prior to the Distribution Date following the date on which such funds were received, unless any Permitted Investment held in the Series 2009-3 Distribution Account is held with the Paying Agent, then such investment may mature on such Distribution Date and such funds shall be available for withdrawal on or prior to such Distribution Date. All such Permitted Investments will be credited to the Series 2009-3 Distribution Account and any such Permitted Investments that constitute (i) physical property (and that is not either a United States security entitlement or a security entitlement) shall be physically delivered to the Trustee; (ii) United States security entitlements or security entitlements shall be controlled (as defined in Section 8-106 of the New York UCC) by the Trustee pending maturity or disposition, and (iii) uncertificated securities (and not United States security entitlements) shall be delivered to the Trustee by causing the Trustee to become the registered holder of such securities. The Trustee shall, at the expense of ABRCF, take such action as is required to maintain the Trustee’s security interest in the Permitted Investments credited to the Series 2009-3 Distribution Account. ABRCF shall not direct the Trustee to dispose of (or permit the disposal of) any Permitted Investments prior to the maturity thereof to the extent such disposal would result in a loss of purchase price of such Permitted Investments. In the absence of written investment instructions hereunder, funds on deposit in the Series 2009-3 Distribution Account shall remain uninvested.</w:t>
      </w:r>
    </w:p>
    <w:p>
      <w:pPr>
        <w:spacing w:after="0" w:line="145" w:lineRule="exact"/>
        <w:rPr>
          <w:rFonts w:ascii="Times New Roman" w:cs="Times New Roman" w:eastAsia="Times New Roman" w:hAnsi="Times New Roman"/>
          <w:sz w:val="18"/>
          <w:szCs w:val="18"/>
          <w:color w:val="auto"/>
        </w:rPr>
      </w:pPr>
    </w:p>
    <w:p>
      <w:pPr>
        <w:ind w:left="-20" w:right="100" w:firstLine="921"/>
        <w:spacing w:after="0" w:line="275" w:lineRule="auto"/>
        <w:tabs>
          <w:tab w:leader="none" w:pos="1132"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Earnings from Series 2009-3 Distribution Account</w:t>
      </w:r>
      <w:r>
        <w:rPr>
          <w:rFonts w:ascii="Times New Roman" w:cs="Times New Roman" w:eastAsia="Times New Roman" w:hAnsi="Times New Roman"/>
          <w:sz w:val="18"/>
          <w:szCs w:val="18"/>
          <w:color w:val="auto"/>
        </w:rPr>
        <w:t>. All interest and earnings (net of losses and investment expenses) paid on funds on deposit in the Series 2009-3 Distribution Account shall be deemed to be on deposit and available for distribution.</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380"/>
          </w:cols>
          <w:pgMar w:left="260" w:top="274" w:right="259" w:bottom="1440" w:gutter="0" w:footer="0" w:header="0"/>
        </w:sectPr>
      </w:pPr>
    </w:p>
    <w:bookmarkStart w:id="231" w:name="page232"/>
    <w:bookmarkEnd w:id="231"/>
    <w:p>
      <w:pPr>
        <w:ind w:right="40" w:firstLine="921"/>
        <w:spacing w:after="0" w:line="287" w:lineRule="auto"/>
        <w:tabs>
          <w:tab w:leader="none" w:pos="1161" w:val="left"/>
        </w:tabs>
        <w:numPr>
          <w:ilvl w:val="1"/>
          <w:numId w:val="1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Series 2009-3 Distribution Account Constitutes Additional Collateral for Series 2009-3 Notes</w:t>
      </w:r>
      <w:r>
        <w:rPr>
          <w:rFonts w:ascii="Times New Roman" w:cs="Times New Roman" w:eastAsia="Times New Roman" w:hAnsi="Times New Roman"/>
          <w:sz w:val="16"/>
          <w:szCs w:val="16"/>
          <w:color w:val="auto"/>
        </w:rPr>
        <w:t>. In order to secure and provide for the repayment and payment of the ABRCF Obligations with respect to the Series 2009-3 Notes, ABRCF hereby grants a security interest in and assigns, pledges, grants, transfers and sets over to the Trustee, for the benefit of the Series 2009-3 Noteholders, all of ABRCF’s right, title and interest in and to the following (whether now or hereafter existing or acquired): (i) the Series 2009-3 Distribution Account, including any security entitlement thereto; (ii) all funds on deposit therein from time to time; (iii) all certificates and instruments, if any, representing or evidencing any or all of the Series 2009-3 Distribution Account or the funds on deposit therein from time to time; (iv) all investments made at any time and from time to time with monies in the Series 2009-3 Distribution Account, whether constituting securities, instruments, general intangibles, investment property, financial assets or other property; (v) all interest, dividends, cash, instruments and other property from time to time received, receivable or otherwise distributed in respect of or in exchange for the Series 2009-3 Distribution Account, the funds on deposit therein from time to time or the investments made with such funds; and (vi) all proceeds of any and all of the foregoing, including, without limitation, cash (the items in the foregoing clauses (i) through (vi) are referred to, collectively, as the “</w:t>
      </w:r>
      <w:r>
        <w:rPr>
          <w:rFonts w:ascii="Times New Roman" w:cs="Times New Roman" w:eastAsia="Times New Roman" w:hAnsi="Times New Roman"/>
          <w:sz w:val="16"/>
          <w:szCs w:val="16"/>
          <w:u w:val="single" w:color="auto"/>
          <w:color w:val="auto"/>
        </w:rPr>
        <w:t>Series 2009-3 Distribution Account Collateral</w:t>
      </w:r>
      <w:r>
        <w:rPr>
          <w:rFonts w:ascii="Times New Roman" w:cs="Times New Roman" w:eastAsia="Times New Roman" w:hAnsi="Times New Roman"/>
          <w:sz w:val="16"/>
          <w:szCs w:val="16"/>
          <w:color w:val="auto"/>
        </w:rPr>
        <w:t>”). The Trustee shall possess all right, title and interest in all funds on deposit from time to time in the Series 2009-3 Distribution Account and in and to all proceeds thereof, and shall be the only person authorized to originate entitlement orders in respect of the Series 2009-3 Distribution Account. The Series 2009-3 Distribution Account Collateral shall be under the sole dominion and control of the Trustee for the benefit of the Series 2009-3 Noteholders. The Series 2009-3 Agent hereby agrees</w:t>
      </w:r>
    </w:p>
    <w:p>
      <w:pPr>
        <w:spacing w:after="0" w:line="181" w:lineRule="exact"/>
        <w:rPr>
          <w:rFonts w:ascii="Times New Roman" w:cs="Times New Roman" w:eastAsia="Times New Roman" w:hAnsi="Times New Roman"/>
          <w:sz w:val="16"/>
          <w:szCs w:val="16"/>
          <w:color w:val="auto"/>
        </w:rPr>
      </w:pPr>
    </w:p>
    <w:p>
      <w:pPr>
        <w:ind w:right="40" w:firstLine="8"/>
        <w:spacing w:after="0" w:line="254" w:lineRule="auto"/>
        <w:tabs>
          <w:tab w:leader="none" w:pos="210"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act as the securities intermediary (as defined in Section 8-102(a)(14) of the New York UCC) with respect to the Series 2009-3 Distribution Account; (ii) that its jurisdiction as securities intermediary is New York; (iii) that each item of property (whether investment property, financial asset, security, instrument or cash) credited to the Series 2009-3 Distribution Account shall be treated as a financial asset (as defined in Section 8-102(a)(9) of the New York UCC) and (iv) to comply with any entitlement order (as defined in Section 8-102(a)(8) of the New York UCC) issued by the Trustee.</w:t>
      </w:r>
    </w:p>
    <w:p>
      <w:pPr>
        <w:spacing w:after="0" w:line="138" w:lineRule="exact"/>
        <w:rPr>
          <w:sz w:val="20"/>
          <w:szCs w:val="20"/>
          <w:color w:val="auto"/>
        </w:rPr>
      </w:pPr>
    </w:p>
    <w:p>
      <w:pPr>
        <w:ind w:firstLine="913"/>
        <w:spacing w:after="0" w:line="254" w:lineRule="auto"/>
        <w:rPr>
          <w:sz w:val="20"/>
          <w:szCs w:val="20"/>
          <w:color w:val="auto"/>
        </w:rPr>
      </w:pPr>
      <w:r>
        <w:rPr>
          <w:rFonts w:ascii="Times New Roman" w:cs="Times New Roman" w:eastAsia="Times New Roman" w:hAnsi="Times New Roman"/>
          <w:sz w:val="18"/>
          <w:szCs w:val="18"/>
          <w:color w:val="auto"/>
        </w:rPr>
        <w:t xml:space="preserve">Section 3.10. </w:t>
      </w:r>
      <w:r>
        <w:rPr>
          <w:rFonts w:ascii="Times New Roman" w:cs="Times New Roman" w:eastAsia="Times New Roman" w:hAnsi="Times New Roman"/>
          <w:sz w:val="18"/>
          <w:szCs w:val="18"/>
          <w:u w:val="single" w:color="auto"/>
          <w:color w:val="auto"/>
        </w:rPr>
        <w:t>Series 2009-3 Demand Notes Constitute Additional Collateral for Series 2009-3 Notes</w:t>
      </w:r>
      <w:r>
        <w:rPr>
          <w:rFonts w:ascii="Times New Roman" w:cs="Times New Roman" w:eastAsia="Times New Roman" w:hAnsi="Times New Roman"/>
          <w:sz w:val="18"/>
          <w:szCs w:val="18"/>
          <w:color w:val="auto"/>
        </w:rPr>
        <w:t>. In order to secure and provide for the repayment and payment of the obligations with respect to the Series 2009-3 Notes, ABRCF hereby grants a security interest in and assigns, pledges, grants, transfers and sets over to the Trustee, for the benefit of the Series 2009-3 Noteholders, all of ABRCF’s right, title and interest in and to the following (whether now or hereafter existing or acquired): (i) the Series 2009-3 Demand Notes; (ii) all certificates and instruments, if any, representing or evidencing the Series 2009-3 Demand Notes; and (iii) all proceeds of any and all of the foregoing, including, without limitation, cash. On the date hereof, ABRCF shall deliver to the Trustee, for the benefit of the Series 2009-3 Noteholders, each Series 2009-3 Demand Note, endorsed in blank. The Trustee, for the benefit of the Series 2009-3 Noteholders, shall be the only Person authorized to make a demand for payments on the Series 2009-3 Demand Notes.</w:t>
      </w:r>
    </w:p>
    <w:p>
      <w:pPr>
        <w:spacing w:after="0" w:line="141" w:lineRule="exact"/>
        <w:rPr>
          <w:sz w:val="20"/>
          <w:szCs w:val="20"/>
          <w:color w:val="auto"/>
        </w:rPr>
      </w:pPr>
    </w:p>
    <w:p>
      <w:pPr>
        <w:ind w:right="200" w:firstLine="913"/>
        <w:spacing w:after="0" w:line="262" w:lineRule="auto"/>
        <w:rPr>
          <w:sz w:val="20"/>
          <w:szCs w:val="20"/>
          <w:color w:val="auto"/>
        </w:rPr>
      </w:pPr>
      <w:r>
        <w:rPr>
          <w:rFonts w:ascii="Times New Roman" w:cs="Times New Roman" w:eastAsia="Times New Roman" w:hAnsi="Times New Roman"/>
          <w:sz w:val="18"/>
          <w:szCs w:val="18"/>
          <w:color w:val="auto"/>
        </w:rPr>
        <w:t xml:space="preserve">Section 3.11. </w:t>
      </w:r>
      <w:r>
        <w:rPr>
          <w:rFonts w:ascii="Times New Roman" w:cs="Times New Roman" w:eastAsia="Times New Roman" w:hAnsi="Times New Roman"/>
          <w:sz w:val="18"/>
          <w:szCs w:val="18"/>
          <w:u w:val="single" w:color="auto"/>
          <w:color w:val="auto"/>
        </w:rPr>
        <w:t>Series 2009-3 Interest Rate Caps</w:t>
      </w:r>
      <w:r>
        <w:rPr>
          <w:rFonts w:ascii="Times New Roman" w:cs="Times New Roman" w:eastAsia="Times New Roman" w:hAnsi="Times New Roman"/>
          <w:sz w:val="18"/>
          <w:szCs w:val="18"/>
          <w:color w:val="auto"/>
        </w:rPr>
        <w:t>. (a) On the Series 2009-3 Closing Date, ABRCF shall acquire one or more interest rate caps (each a “</w:t>
      </w:r>
      <w:r>
        <w:rPr>
          <w:rFonts w:ascii="Times New Roman" w:cs="Times New Roman" w:eastAsia="Times New Roman" w:hAnsi="Times New Roman"/>
          <w:sz w:val="18"/>
          <w:szCs w:val="18"/>
          <w:u w:val="single" w:color="auto"/>
          <w:color w:val="auto"/>
        </w:rPr>
        <w:t>Series 2009-3 Interest Rate Cap</w:t>
      </w:r>
      <w:r>
        <w:rPr>
          <w:rFonts w:ascii="Times New Roman" w:cs="Times New Roman" w:eastAsia="Times New Roman" w:hAnsi="Times New Roman"/>
          <w:sz w:val="18"/>
          <w:szCs w:val="18"/>
          <w:color w:val="auto"/>
        </w:rPr>
        <w:t>”) from a Qualified Interest Rate Cap Counterparty. On the Series 2009-3 Closing Date, the aggregate notional amount of all Series 2009-3 Interest Rate Caps shall equal the Series</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420"/>
          </w:cols>
          <w:pgMar w:left="240" w:top="274" w:right="239" w:bottom="1440" w:gutter="0" w:footer="0" w:header="0"/>
        </w:sectPr>
      </w:pPr>
    </w:p>
    <w:bookmarkStart w:id="232" w:name="page233"/>
    <w:bookmarkEnd w:id="232"/>
    <w:p>
      <w:pPr>
        <w:ind w:right="4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2009-3 Maximum Invested Amount, and the aggregate notional amount of all Series 2009-3 Interest Rate Caps may be reduced pursuant to the related Series 2009-3 Interest Rate Cap to the extent that the Series 2009-3 Maximum Invested Amount is reduced after the Series 2009-3 Closing Date. ABRCF shall acquire one or more additional Series 2009-3 Interest Rate Caps in connection with any increase of the Series 2009-3 Maximum Invested Amount such that the aggregate notional amounts of all Series 2009-3 Interest Rate Caps shall equal the Series 2009-3 Maximum Invested Amount after giving effect to such increase. The strike rate of each Series 2009-3 Interest Rate Cap shall not be greater than 5.0%. Each Series 2009-3 Interest Rate Cap shall have a term that shall extend to at least the Series 2009-3 Termination Date.</w:t>
      </w:r>
    </w:p>
    <w:p>
      <w:pPr>
        <w:spacing w:after="0" w:line="139" w:lineRule="exact"/>
        <w:rPr>
          <w:sz w:val="20"/>
          <w:szCs w:val="20"/>
          <w:color w:val="auto"/>
        </w:rPr>
      </w:pPr>
    </w:p>
    <w:p>
      <w:pPr>
        <w:ind w:firstLine="921"/>
        <w:spacing w:after="0" w:line="254" w:lineRule="auto"/>
        <w:tabs>
          <w:tab w:leader="none" w:pos="1162"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at any time, an Interest Rate Cap Counterparty is not a Qualified Interest Rate Cap Counterparty, then ABRCF shall cause the Interest Rate Cap Counterparty within 30 Business Days following such occurrence, at the Interest Rate Cap Counterparty’s expense, to do one of the following (the choice of such action to be determined by the Interest Rate Cap Counterparty) (i) obtain a replacement interest rate cap on the same terms as the Series 2009-3 Interest Rate Cap from a Qualified Interest Rate Cap Counterparty and simultaneously with such replacement ABRCF shall terminate the Series 2009-3 Interest Rate Cap being replaced, (ii) obtain a guaranty from, or contingent agreement of, another person who qualifies as a Qualified Interest Rate Cap Counterparty to honor the Interest Rate Cap Counterparty’s obligations under the Series 2009-3 Interest Rate Cap in form and substance satisfactory to the Administrative Agent or (iii) post and maintain collateral satisfactory to the Administrative Agent;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termination of the Series 2009-3 Interest Rate Cap shall occur until ABRCF has entered into a replacement Interest Rate Cap.</w:t>
      </w:r>
    </w:p>
    <w:p>
      <w:pPr>
        <w:spacing w:after="0" w:line="138" w:lineRule="exact"/>
        <w:rPr>
          <w:rFonts w:ascii="Times New Roman" w:cs="Times New Roman" w:eastAsia="Times New Roman" w:hAnsi="Times New Roman"/>
          <w:sz w:val="18"/>
          <w:szCs w:val="18"/>
          <w:color w:val="auto"/>
        </w:rPr>
      </w:pPr>
    </w:p>
    <w:p>
      <w:pPr>
        <w:ind w:firstLine="921"/>
        <w:spacing w:after="0" w:line="301" w:lineRule="auto"/>
        <w:tabs>
          <w:tab w:leader="none" w:pos="1152" w:val="left"/>
        </w:tabs>
        <w:numPr>
          <w:ilvl w:val="0"/>
          <w:numId w:val="1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secure payment of all obligations to the Series 2009-3 Noteholders, ABRCF grants a security interest in, and assigns, pledges, grants, transfers and sets over to the Trustee, for the benefit of the Series 2009-3 Noteholders, all of ABRCF’s right, title and interest in the Series 2009-3 Interest Rate Caps and all proceeds thereof (the “</w:t>
      </w:r>
      <w:r>
        <w:rPr>
          <w:rFonts w:ascii="Times New Roman" w:cs="Times New Roman" w:eastAsia="Times New Roman" w:hAnsi="Times New Roman"/>
          <w:sz w:val="16"/>
          <w:szCs w:val="16"/>
          <w:u w:val="single" w:color="auto"/>
          <w:color w:val="auto"/>
        </w:rPr>
        <w:t>Series 2009-3 Interest Rate Cap Collateral</w:t>
      </w:r>
      <w:r>
        <w:rPr>
          <w:rFonts w:ascii="Times New Roman" w:cs="Times New Roman" w:eastAsia="Times New Roman" w:hAnsi="Times New Roman"/>
          <w:sz w:val="16"/>
          <w:szCs w:val="16"/>
          <w:color w:val="auto"/>
        </w:rPr>
        <w:t>”). ABRCF shall require all Series 2009-3 Interest Rate Cap Proceeds to be paid to, and the Trustee shall allocate all Series 2009-3 Interest Rate Cap Proceeds to, the Series 2009-3 Accrued Interest Account of the Series 2009-3 Collection Account.</w:t>
      </w:r>
    </w:p>
    <w:p>
      <w:pPr>
        <w:spacing w:after="0" w:line="103" w:lineRule="exact"/>
        <w:rPr>
          <w:sz w:val="20"/>
          <w:szCs w:val="20"/>
          <w:color w:val="auto"/>
        </w:rPr>
      </w:pPr>
    </w:p>
    <w:p>
      <w:pPr>
        <w:ind w:firstLine="913"/>
        <w:spacing w:after="0" w:line="256" w:lineRule="auto"/>
        <w:rPr>
          <w:sz w:val="20"/>
          <w:szCs w:val="20"/>
          <w:color w:val="auto"/>
        </w:rPr>
      </w:pPr>
      <w:r>
        <w:rPr>
          <w:rFonts w:ascii="Times New Roman" w:cs="Times New Roman" w:eastAsia="Times New Roman" w:hAnsi="Times New Roman"/>
          <w:sz w:val="18"/>
          <w:szCs w:val="18"/>
          <w:color w:val="auto"/>
        </w:rPr>
        <w:t xml:space="preserve">Section 3.12. </w:t>
      </w:r>
      <w:r>
        <w:rPr>
          <w:rFonts w:ascii="Times New Roman" w:cs="Times New Roman" w:eastAsia="Times New Roman" w:hAnsi="Times New Roman"/>
          <w:sz w:val="18"/>
          <w:szCs w:val="18"/>
          <w:u w:val="single" w:color="auto"/>
          <w:color w:val="auto"/>
        </w:rPr>
        <w:t>Payments to Funding Agents or Purchaser Groups</w:t>
      </w:r>
      <w:r>
        <w:rPr>
          <w:rFonts w:ascii="Times New Roman" w:cs="Times New Roman" w:eastAsia="Times New Roman" w:hAnsi="Times New Roman"/>
          <w:sz w:val="18"/>
          <w:szCs w:val="18"/>
          <w:color w:val="auto"/>
        </w:rPr>
        <w:t>. Notwithstanding anything to the contrary herein or in the Base Indenture, amounts distributable by ABRCF, the Trustee, the Paying Agent or the Administrative Agent to a Funding Agent for the account of its related Purchaser Group (or amounts distributable by any such Person directly to such Purchaser Group) shall be paid by wire transfer of immediately available funds no later than 3:00 p.m. (New York time) for credit to the account or accounts designated by such Funding Agent. Notwithstanding the foregoing, the Administrative Agent shall not be so obligated unless the Administrative Agent shall have received the funds by 12:00 noon (New York City time).</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AMORTIZATION EVENTS</w:t>
      </w:r>
    </w:p>
    <w:p>
      <w:pPr>
        <w:spacing w:after="0" w:line="173" w:lineRule="exact"/>
        <w:rPr>
          <w:sz w:val="20"/>
          <w:szCs w:val="20"/>
          <w:color w:val="auto"/>
        </w:rPr>
      </w:pPr>
    </w:p>
    <w:p>
      <w:pPr>
        <w:ind w:right="480" w:firstLine="913"/>
        <w:spacing w:after="0" w:line="275" w:lineRule="auto"/>
        <w:rPr>
          <w:sz w:val="20"/>
          <w:szCs w:val="20"/>
          <w:color w:val="auto"/>
        </w:rPr>
      </w:pPr>
      <w:r>
        <w:rPr>
          <w:rFonts w:ascii="Times New Roman" w:cs="Times New Roman" w:eastAsia="Times New Roman" w:hAnsi="Times New Roman"/>
          <w:sz w:val="18"/>
          <w:szCs w:val="18"/>
          <w:color w:val="auto"/>
        </w:rPr>
        <w:t>In addition to the Amortization Events set forth in Section 9.1 of the Base Indenture, any of the following shall be an Amortization Event with respect to the Series 2009-3</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400"/>
          </w:cols>
          <w:pgMar w:left="240" w:top="274" w:right="259" w:bottom="1440" w:gutter="0" w:footer="0" w:header="0"/>
        </w:sectPr>
      </w:pPr>
    </w:p>
    <w:bookmarkStart w:id="233" w:name="page234"/>
    <w:bookmarkEnd w:id="233"/>
    <w:p>
      <w:pPr>
        <w:ind w:right="80"/>
        <w:spacing w:after="0" w:line="27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Notes and collectively shall constitute the Amortization Events set forth in Section 9.1(n) of the Base Indenture with respect to the Series 2009-3 Notes (without notice or other action on the part of the Trustee or any holders of the Series 2009-3 Notes):</w:t>
      </w:r>
    </w:p>
    <w:p>
      <w:pPr>
        <w:spacing w:after="0" w:line="39" w:lineRule="exact"/>
        <w:rPr>
          <w:sz w:val="20"/>
          <w:szCs w:val="20"/>
          <w:color w:val="auto"/>
        </w:rPr>
      </w:pPr>
    </w:p>
    <w:p>
      <w:pPr>
        <w:jc w:val="both"/>
        <w:ind w:left="460" w:right="340" w:firstLine="443"/>
        <w:spacing w:after="0" w:line="262" w:lineRule="auto"/>
        <w:tabs>
          <w:tab w:leader="none" w:pos="1137"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Series 2009-3 Enhancement Deficiency shall occur and continue for at least two (2) Business Days;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such event or condition shall not be an Amortization Event if during such two (2) Business Day period such Series 2009-3 Enhancement Deficiency shall have been cured in accordance with the terms and conditions of the Indenture and the Related Documents;</w:t>
      </w:r>
    </w:p>
    <w:p>
      <w:pPr>
        <w:spacing w:after="0" w:line="51" w:lineRule="exact"/>
        <w:rPr>
          <w:rFonts w:ascii="Times New Roman" w:cs="Times New Roman" w:eastAsia="Times New Roman" w:hAnsi="Times New Roman"/>
          <w:sz w:val="18"/>
          <w:szCs w:val="18"/>
          <w:color w:val="auto"/>
        </w:rPr>
      </w:pPr>
    </w:p>
    <w:p>
      <w:pPr>
        <w:ind w:left="460" w:right="140" w:firstLine="443"/>
        <w:spacing w:after="0" w:line="258" w:lineRule="auto"/>
        <w:tabs>
          <w:tab w:leader="none" w:pos="1147"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either the Series 2009-3 Liquidity Amount shall be less than the Series 2009-3 Required Liquidity Amount or the Series 2009-3 Available Reserve Account Amount shall be less than the Series 2009-3 Required Reserve Account Amount for at least two (2) Business Days;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such event or condition shall not be an Amortization Event if during such two (2) Business Day period such insufficiency shall have been cured in accordance with the terms and conditions of the Indenture and the Related Documents;</w:t>
      </w:r>
    </w:p>
    <w:p>
      <w:pPr>
        <w:spacing w:after="0" w:line="55" w:lineRule="exact"/>
        <w:rPr>
          <w:rFonts w:ascii="Times New Roman" w:cs="Times New Roman" w:eastAsia="Times New Roman" w:hAnsi="Times New Roman"/>
          <w:sz w:val="18"/>
          <w:szCs w:val="18"/>
          <w:color w:val="auto"/>
        </w:rPr>
      </w:pPr>
    </w:p>
    <w:p>
      <w:pPr>
        <w:ind w:left="1140" w:hanging="237"/>
        <w:spacing w:after="0"/>
        <w:tabs>
          <w:tab w:leader="none" w:pos="1140"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AESOP I Operating Lease Vehicle Deficiency shall occur and continue for at least two (2) Business Days;</w:t>
      </w:r>
    </w:p>
    <w:p>
      <w:pPr>
        <w:spacing w:after="0" w:line="90" w:lineRule="exact"/>
        <w:rPr>
          <w:rFonts w:ascii="Times New Roman" w:cs="Times New Roman" w:eastAsia="Times New Roman" w:hAnsi="Times New Roman"/>
          <w:sz w:val="18"/>
          <w:szCs w:val="18"/>
          <w:color w:val="auto"/>
        </w:rPr>
      </w:pPr>
    </w:p>
    <w:p>
      <w:pPr>
        <w:ind w:left="460" w:right="520" w:firstLine="443"/>
        <w:spacing w:after="0" w:line="275" w:lineRule="auto"/>
        <w:tabs>
          <w:tab w:leader="none" w:pos="1147"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Collection Account, the Series 2009-3 Collection Account, the Series 2009-3 Excess Collection Account or the Series 2009-3 Reserve Account shall be subject to an injunction, estoppel or other stay or a Lien (other than Liens permitted under the Related Documents);</w:t>
      </w:r>
    </w:p>
    <w:p>
      <w:pPr>
        <w:spacing w:after="0" w:line="38" w:lineRule="exact"/>
        <w:rPr>
          <w:rFonts w:ascii="Times New Roman" w:cs="Times New Roman" w:eastAsia="Times New Roman" w:hAnsi="Times New Roman"/>
          <w:sz w:val="18"/>
          <w:szCs w:val="18"/>
          <w:color w:val="auto"/>
        </w:rPr>
      </w:pPr>
    </w:p>
    <w:p>
      <w:pPr>
        <w:ind w:left="1140" w:hanging="237"/>
        <w:spacing w:after="0"/>
        <w:tabs>
          <w:tab w:leader="none" w:pos="1140"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principal of and interest on the Series 2009-3 Notes is not paid on the Series 2009-3 Expected Final Distribution Date;</w:t>
      </w:r>
    </w:p>
    <w:p>
      <w:pPr>
        <w:spacing w:after="0" w:line="90" w:lineRule="exact"/>
        <w:rPr>
          <w:rFonts w:ascii="Times New Roman" w:cs="Times New Roman" w:eastAsia="Times New Roman" w:hAnsi="Times New Roman"/>
          <w:sz w:val="18"/>
          <w:szCs w:val="18"/>
          <w:color w:val="auto"/>
        </w:rPr>
      </w:pPr>
    </w:p>
    <w:p>
      <w:pPr>
        <w:ind w:left="460" w:right="120" w:firstLine="443"/>
        <w:spacing w:after="0" w:line="258" w:lineRule="auto"/>
        <w:tabs>
          <w:tab w:leader="none" w:pos="1117"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Series 2009-3 Letter of Credit shall not be in full force and effect for at least two (2) Business Days and (x) either a Series 2009-3 Enhancement Deficiency would result from excluding such Series 2009-3 Letter of Credit from the Series 2009-3 Enhancement Amount or (y) the Series 2009-3 Liquidity Amount, excluding therefrom the available amount under such Series 2009-3 Letter of Credit, would be less than the Series 2009-3 Required Liquidity Amount;</w:t>
      </w:r>
    </w:p>
    <w:p>
      <w:pPr>
        <w:spacing w:after="0" w:line="55" w:lineRule="exact"/>
        <w:rPr>
          <w:rFonts w:ascii="Times New Roman" w:cs="Times New Roman" w:eastAsia="Times New Roman" w:hAnsi="Times New Roman"/>
          <w:sz w:val="18"/>
          <w:szCs w:val="18"/>
          <w:color w:val="auto"/>
        </w:rPr>
      </w:pPr>
    </w:p>
    <w:p>
      <w:pPr>
        <w:ind w:left="460" w:firstLine="443"/>
        <w:spacing w:after="0" w:line="256" w:lineRule="auto"/>
        <w:tabs>
          <w:tab w:leader="none" w:pos="1147"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and after the funding of the Series 2009-3 Cash Collateral Account, the Series 2009-3 Cash Collateral Account shall be subject to an injunction, estoppel or other stay or a Lien (other than Liens permitted under the Related Documents) for at least two (2) Business Days and either (x) a Series 2009-3 Enhancement Deficiency would result from excluding the Series 2009-3 Available Cash Collateral Account Amount from the Series 2009-3 Enhancement Amount or (y) the Series 2009-3 Liquidity Amount, excluding therefrom the Series 2009-3 Available Cash Collateral Amount, would be less than the Series 2009-3 Required Liquidity Amount;</w:t>
      </w:r>
    </w:p>
    <w:p>
      <w:pPr>
        <w:spacing w:after="0" w:line="57" w:lineRule="exact"/>
        <w:rPr>
          <w:rFonts w:ascii="Times New Roman" w:cs="Times New Roman" w:eastAsia="Times New Roman" w:hAnsi="Times New Roman"/>
          <w:sz w:val="18"/>
          <w:szCs w:val="18"/>
          <w:color w:val="auto"/>
        </w:rPr>
      </w:pPr>
    </w:p>
    <w:p>
      <w:pPr>
        <w:ind w:left="460" w:right="320" w:firstLine="443"/>
        <w:spacing w:after="0" w:line="275" w:lineRule="auto"/>
        <w:tabs>
          <w:tab w:leader="none" w:pos="1147"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Event of Bankruptcy shall have occurred with respect to any Series 2009-3 Letter of Credit Provider or any Series 2009-3 Letter of Credit Provider repudiates its Series 2009-3 Letter of Credit or refuses to honor a proper draw thereon and</w:t>
      </w:r>
    </w:p>
    <w:p>
      <w:pPr>
        <w:spacing w:after="0" w:line="10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360"/>
          </w:cols>
          <w:pgMar w:left="240" w:top="274" w:right="299" w:bottom="1440" w:gutter="0" w:footer="0" w:header="0"/>
        </w:sectPr>
      </w:pPr>
    </w:p>
    <w:bookmarkStart w:id="234" w:name="page235"/>
    <w:bookmarkEnd w:id="234"/>
    <w:p>
      <w:pPr>
        <w:ind w:right="100"/>
        <w:spacing w:after="0" w:line="26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either (x) a Series 2009-3 Enhancement Deficiency would result from excluding such Series 2009-3 Letter of Credit from the Series 2009-3 Enhancement Amount or (y) the Series 2009-3 Liquidity Amount, excluding therefrom the available amount under such Series 2009-3 Letter of Credit, would be less than the Series 2009-3 Required Liquidity Amount;</w:t>
      </w:r>
    </w:p>
    <w:p>
      <w:pPr>
        <w:spacing w:after="0" w:line="51" w:lineRule="exact"/>
        <w:rPr>
          <w:sz w:val="20"/>
          <w:szCs w:val="20"/>
          <w:color w:val="auto"/>
        </w:rPr>
      </w:pPr>
    </w:p>
    <w:p>
      <w:pPr>
        <w:ind w:left="660" w:hanging="217"/>
        <w:spacing w:after="0"/>
        <w:tabs>
          <w:tab w:leader="none" w:pos="66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an Event of Bankruptcy with respect to ABG or any Permitted Sublessee;</w:t>
      </w:r>
    </w:p>
    <w:p>
      <w:pPr>
        <w:spacing w:after="0" w:line="90" w:lineRule="exact"/>
        <w:rPr>
          <w:rFonts w:ascii="Times New Roman" w:cs="Times New Roman" w:eastAsia="Times New Roman" w:hAnsi="Times New Roman"/>
          <w:sz w:val="18"/>
          <w:szCs w:val="18"/>
          <w:color w:val="auto"/>
        </w:rPr>
      </w:pPr>
    </w:p>
    <w:p>
      <w:pPr>
        <w:ind w:left="660" w:hanging="217"/>
        <w:spacing w:after="0"/>
        <w:tabs>
          <w:tab w:leader="none" w:pos="66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in Control shall have occurred;</w:t>
      </w:r>
    </w:p>
    <w:p>
      <w:pPr>
        <w:spacing w:after="0" w:line="90" w:lineRule="exact"/>
        <w:rPr>
          <w:rFonts w:ascii="Times New Roman" w:cs="Times New Roman" w:eastAsia="Times New Roman" w:hAnsi="Times New Roman"/>
          <w:sz w:val="18"/>
          <w:szCs w:val="18"/>
          <w:color w:val="auto"/>
        </w:rPr>
      </w:pPr>
    </w:p>
    <w:p>
      <w:pPr>
        <w:ind w:right="100" w:firstLine="443"/>
        <w:spacing w:after="0" w:line="275" w:lineRule="auto"/>
        <w:tabs>
          <w:tab w:leader="none" w:pos="687"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ABRCF shall fail to acquire or maintain in force Series 2009-3 Interest Rate Caps at the times and in the notional amounts required by the terms of Section 3.11;</w:t>
      </w:r>
    </w:p>
    <w:p>
      <w:pPr>
        <w:spacing w:after="0" w:line="38" w:lineRule="exact"/>
        <w:rPr>
          <w:rFonts w:ascii="Times New Roman" w:cs="Times New Roman" w:eastAsia="Times New Roman" w:hAnsi="Times New Roman"/>
          <w:sz w:val="18"/>
          <w:szCs w:val="18"/>
          <w:color w:val="auto"/>
        </w:rPr>
      </w:pPr>
    </w:p>
    <w:p>
      <w:pPr>
        <w:ind w:left="660" w:hanging="217"/>
        <w:spacing w:after="0"/>
        <w:tabs>
          <w:tab w:leader="none" w:pos="66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Amortization Event shall have occurred with respect to the Series 2008-1 Notes (as such term is defined in the Series 2008-1 Supplement);</w:t>
      </w:r>
    </w:p>
    <w:p>
      <w:pPr>
        <w:spacing w:after="0" w:line="90" w:lineRule="exact"/>
        <w:rPr>
          <w:rFonts w:ascii="Times New Roman" w:cs="Times New Roman" w:eastAsia="Times New Roman" w:hAnsi="Times New Roman"/>
          <w:sz w:val="18"/>
          <w:szCs w:val="18"/>
          <w:color w:val="auto"/>
        </w:rPr>
      </w:pPr>
    </w:p>
    <w:p>
      <w:pPr>
        <w:ind w:right="360" w:firstLine="443"/>
        <w:spacing w:after="0" w:line="310" w:lineRule="auto"/>
        <w:tabs>
          <w:tab w:leader="none" w:pos="736" w:val="left"/>
        </w:tabs>
        <w:numPr>
          <w:ilvl w:val="0"/>
          <w:numId w:val="1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occurrence and continuation of an “event of default” under the Credit Agreement or any Replacement Credit Agreement, without giving effect to any waiver of any such event of default that is not approved in writing by the Requisite Noteholders and provided that, for purposes of this Supplement, the event of default set forth in Section 8(e) of the Credit Agreement shall survive the termination of the Credit Agreement; and</w:t>
      </w:r>
    </w:p>
    <w:p>
      <w:pPr>
        <w:spacing w:after="0" w:line="16" w:lineRule="exact"/>
        <w:rPr>
          <w:rFonts w:ascii="Times New Roman" w:cs="Times New Roman" w:eastAsia="Times New Roman" w:hAnsi="Times New Roman"/>
          <w:sz w:val="16"/>
          <w:szCs w:val="16"/>
          <w:color w:val="auto"/>
        </w:rPr>
      </w:pPr>
    </w:p>
    <w:p>
      <w:pPr>
        <w:ind w:firstLine="443"/>
        <w:spacing w:after="0" w:line="275" w:lineRule="auto"/>
        <w:tabs>
          <w:tab w:leader="none" w:pos="687"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the Consolidated Leverage Ratio as at the last day of any period of four consecutive fiscal quarters of ABCR ending with any fiscal quarter set forth below (commencing with the fiscal quarter ending June 30, 2010) shall exceed the ratio set forth below opposite such fiscal quarter:</w:t>
      </w:r>
    </w:p>
    <w:p>
      <w:pPr>
        <w:spacing w:after="0" w:line="14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40" w:type="dxa"/>
            <w:vAlign w:val="bottom"/>
          </w:tcPr>
          <w:p>
            <w:pPr>
              <w:spacing w:after="0"/>
              <w:rPr>
                <w:sz w:val="13"/>
                <w:szCs w:val="13"/>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Consolidated</w:t>
            </w:r>
          </w:p>
        </w:tc>
      </w:tr>
      <w:tr>
        <w:trPr>
          <w:trHeight w:val="165"/>
        </w:trPr>
        <w:tc>
          <w:tcPr>
            <w:tcW w:w="86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Fiscal Quarter ending</w:t>
            </w: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Leverage Ratio</w:t>
            </w:r>
          </w:p>
        </w:tc>
      </w:tr>
      <w:tr>
        <w:trPr>
          <w:trHeight w:val="210"/>
        </w:trPr>
        <w:tc>
          <w:tcPr>
            <w:tcW w:w="6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99"/>
              </w:rPr>
              <w:t>June 30,</w:t>
            </w:r>
          </w:p>
        </w:tc>
        <w:tc>
          <w:tcPr>
            <w:tcW w:w="7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2010</w:t>
            </w:r>
          </w:p>
        </w:tc>
        <w:tc>
          <w:tcPr>
            <w:tcW w:w="7240" w:type="dxa"/>
            <w:vAlign w:val="bottom"/>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5.25 to 1.00</w:t>
            </w:r>
          </w:p>
        </w:tc>
      </w:tr>
      <w:tr>
        <w:trPr>
          <w:trHeight w:val="228"/>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w w:val="99"/>
              </w:rPr>
              <w:t>June 30,</w:t>
            </w:r>
          </w:p>
        </w:tc>
        <w:tc>
          <w:tcPr>
            <w:tcW w:w="7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2011 and thereafter</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4.75 to 1.00</w:t>
            </w:r>
          </w:p>
        </w:tc>
      </w:tr>
    </w:tbl>
    <w:p>
      <w:pPr>
        <w:spacing w:after="0" w:line="54" w:lineRule="exact"/>
        <w:rPr>
          <w:sz w:val="20"/>
          <w:szCs w:val="20"/>
          <w:color w:val="auto"/>
        </w:rPr>
      </w:pPr>
    </w:p>
    <w:p>
      <w:pPr>
        <w:ind w:right="60" w:firstLine="438"/>
        <w:spacing w:after="0" w:line="339" w:lineRule="auto"/>
        <w:rPr>
          <w:sz w:val="20"/>
          <w:szCs w:val="20"/>
          <w:color w:val="auto"/>
        </w:rPr>
      </w:pPr>
      <w:r>
        <w:rPr>
          <w:rFonts w:ascii="Times New Roman" w:cs="Times New Roman" w:eastAsia="Times New Roman" w:hAnsi="Times New Roman"/>
          <w:sz w:val="16"/>
          <w:szCs w:val="16"/>
          <w:color w:val="auto"/>
        </w:rPr>
        <w:t>or (ii) the Consolidated EBITDA as at the last day of any period of four consecutive fiscal quarters of ABCR ending with any fiscal quarter set forth below (commencing with the fiscal quarter ending December 31, 2009), shall be less than the amount set forth below opposite such fiscal quarter:</w:t>
      </w:r>
    </w:p>
    <w:p>
      <w:pPr>
        <w:spacing w:after="0" w:line="100"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36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5180" w:type="dxa"/>
            <w:vAlign w:val="bottom"/>
          </w:tcPr>
          <w:p>
            <w:pPr>
              <w:spacing w:after="0"/>
              <w:rPr>
                <w:sz w:val="13"/>
                <w:szCs w:val="13"/>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Consolidated</w:t>
            </w:r>
          </w:p>
        </w:tc>
      </w:tr>
      <w:tr>
        <w:trPr>
          <w:trHeight w:val="165"/>
        </w:trPr>
        <w:tc>
          <w:tcPr>
            <w:tcW w:w="1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Fiscal Quarter ending</w:t>
            </w:r>
          </w:p>
        </w:tc>
        <w:tc>
          <w:tcPr>
            <w:tcW w:w="206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EBITDA</w:t>
            </w:r>
          </w:p>
        </w:tc>
      </w:tr>
      <w:tr>
        <w:trPr>
          <w:trHeight w:val="210"/>
        </w:trPr>
        <w:tc>
          <w:tcPr>
            <w:tcW w:w="3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2009</w:t>
            </w:r>
          </w:p>
        </w:tc>
        <w:tc>
          <w:tcPr>
            <w:tcW w:w="6160" w:type="dxa"/>
            <w:vAlign w:val="bottom"/>
            <w:gridSpan w:val="2"/>
            <w:shd w:val="clear" w:color="auto" w:fill="CCEEFF"/>
          </w:tcPr>
          <w:p>
            <w:pPr>
              <w:jc w:val="center"/>
              <w:ind w:left="5092"/>
              <w:spacing w:after="0"/>
              <w:rPr>
                <w:sz w:val="20"/>
                <w:szCs w:val="20"/>
                <w:color w:val="auto"/>
              </w:rPr>
            </w:pPr>
            <w:r>
              <w:rPr>
                <w:rFonts w:ascii="Times New Roman" w:cs="Times New Roman" w:eastAsia="Times New Roman" w:hAnsi="Times New Roman"/>
                <w:sz w:val="18"/>
                <w:szCs w:val="18"/>
                <w:color w:val="auto"/>
                <w:w w:val="98"/>
              </w:rPr>
              <w:t>$155,000,000</w:t>
            </w:r>
          </w:p>
        </w:tc>
      </w:tr>
      <w:tr>
        <w:trPr>
          <w:trHeight w:val="228"/>
        </w:trPr>
        <w:tc>
          <w:tcPr>
            <w:tcW w:w="3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March 31, 2010 and thereafter</w:t>
            </w:r>
          </w:p>
        </w:tc>
        <w:tc>
          <w:tcPr>
            <w:tcW w:w="6160" w:type="dxa"/>
            <w:vAlign w:val="bottom"/>
            <w:gridSpan w:val="2"/>
          </w:tcPr>
          <w:p>
            <w:pPr>
              <w:jc w:val="center"/>
              <w:ind w:left="5092"/>
              <w:spacing w:after="0"/>
              <w:rPr>
                <w:sz w:val="20"/>
                <w:szCs w:val="20"/>
                <w:color w:val="auto"/>
              </w:rPr>
            </w:pPr>
            <w:r>
              <w:rPr>
                <w:rFonts w:ascii="Times New Roman" w:cs="Times New Roman" w:eastAsia="Times New Roman" w:hAnsi="Times New Roman"/>
                <w:sz w:val="18"/>
                <w:szCs w:val="18"/>
                <w:color w:val="auto"/>
                <w:w w:val="98"/>
              </w:rPr>
              <w:t>$175,000,000</w:t>
            </w:r>
          </w:p>
        </w:tc>
      </w:tr>
      <w:tr>
        <w:trPr>
          <w:trHeight w:val="350"/>
        </w:trPr>
        <w:tc>
          <w:tcPr>
            <w:tcW w:w="136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5180" w:type="dxa"/>
            <w:vAlign w:val="bottom"/>
          </w:tcPr>
          <w:p>
            <w:pPr>
              <w:jc w:val="right"/>
              <w:ind w:right="3632"/>
              <w:spacing w:after="0"/>
              <w:rPr>
                <w:sz w:val="20"/>
                <w:szCs w:val="20"/>
                <w:color w:val="auto"/>
              </w:rPr>
            </w:pPr>
            <w:r>
              <w:rPr>
                <w:rFonts w:ascii="Times New Roman" w:cs="Times New Roman" w:eastAsia="Times New Roman" w:hAnsi="Times New Roman"/>
                <w:sz w:val="18"/>
                <w:szCs w:val="18"/>
                <w:color w:val="auto"/>
              </w:rPr>
              <w:t>65</w:t>
            </w:r>
          </w:p>
        </w:tc>
        <w:tc>
          <w:tcPr>
            <w:tcW w:w="980" w:type="dxa"/>
            <w:vAlign w:val="bottom"/>
          </w:tcPr>
          <w:p>
            <w:pPr>
              <w:spacing w:after="0"/>
              <w:rPr>
                <w:sz w:val="24"/>
                <w:szCs w:val="24"/>
                <w:color w:val="auto"/>
              </w:rPr>
            </w:pPr>
          </w:p>
        </w:tc>
      </w:tr>
    </w:tbl>
    <w:p>
      <w:pPr>
        <w:sectPr>
          <w:pgSz w:w="11900" w:h="16838" w:orient="portrait"/>
          <w:cols w:equalWidth="0" w:num="1">
            <w:col w:w="10920"/>
          </w:cols>
          <w:pgMar w:left="700" w:top="274" w:right="279" w:bottom="1440" w:gutter="0" w:footer="0" w:header="0"/>
        </w:sectPr>
      </w:pPr>
    </w:p>
    <w:bookmarkStart w:id="235" w:name="page236"/>
    <w:bookmarkEnd w:id="235"/>
    <w:p>
      <w:pPr>
        <w:ind w:firstLine="913"/>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the case of any event described in clause (j), (k), (l), (m) or (n) above, an Amortization Event shall have occurred with respect to the Series 2009-3 Notes only if either the Trustee or the Requisite Noteholders declare that an Amortization Event has occurred. In the case of an event described in clause (a), (b), (c), (d), (e), (f), (g), (h) or (i) an Amortization Event with respect to the Series 2009-3 Notes shall have occurred without any notice or other action on the part of the Trustee or any Series 2009-3 Noteholders, immediately upon the occurrence of such event. Amortization Events with respect to the Series 2009-3 Notes described in clause (a), (b), (c), (d), (e), (f), (g), (h) or (i) may be waived with the written consent of the Purchaser Groups having Commitment Percentages aggregating 100%. Amortization Events with respect to the Series 2009-3 Notes described in clause (j), (k), (l), (m) or (n) above may be waived in accordance with Section 9.5 of the Base Indenture.</w:t>
      </w: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RIGHT TO WAIVE PURCHASE RESTRICTIONS</w:t>
      </w:r>
    </w:p>
    <w:p>
      <w:pPr>
        <w:spacing w:after="0" w:line="173" w:lineRule="exact"/>
        <w:rPr>
          <w:sz w:val="20"/>
          <w:szCs w:val="20"/>
          <w:color w:val="auto"/>
        </w:rPr>
      </w:pPr>
    </w:p>
    <w:p>
      <w:pPr>
        <w:ind w:right="100" w:firstLine="913"/>
        <w:spacing w:after="0" w:line="254" w:lineRule="auto"/>
        <w:rPr>
          <w:sz w:val="20"/>
          <w:szCs w:val="20"/>
          <w:color w:val="auto"/>
        </w:rPr>
      </w:pPr>
      <w:r>
        <w:rPr>
          <w:rFonts w:ascii="Times New Roman" w:cs="Times New Roman" w:eastAsia="Times New Roman" w:hAnsi="Times New Roman"/>
          <w:sz w:val="18"/>
          <w:szCs w:val="18"/>
          <w:color w:val="auto"/>
        </w:rPr>
        <w:t>Notwithstanding any provision to the contrary in the Indenture or the Related Documents, upon the Trustee’s receipt of notice from any Lessee, any Borrower or ABRCF that the Lessees, the Borrowers and ABRCF have determined to increase any Series 2009-3 Maximum Amount or the percentage set forth in clause (y) of any of paragraphs (ii), (iii), (iv), (v), (vi) or (vii) of the definition of Series 2009-3 Incremental Enhancement Amount, (such notice, a “</w:t>
      </w:r>
      <w:r>
        <w:rPr>
          <w:rFonts w:ascii="Times New Roman" w:cs="Times New Roman" w:eastAsia="Times New Roman" w:hAnsi="Times New Roman"/>
          <w:sz w:val="18"/>
          <w:szCs w:val="18"/>
          <w:u w:val="single" w:color="auto"/>
          <w:color w:val="auto"/>
        </w:rPr>
        <w:t>Waiver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Request</w:t>
      </w:r>
      <w:r>
        <w:rPr>
          <w:rFonts w:ascii="Times New Roman" w:cs="Times New Roman" w:eastAsia="Times New Roman" w:hAnsi="Times New Roman"/>
          <w:sz w:val="18"/>
          <w:szCs w:val="18"/>
          <w:color w:val="auto"/>
        </w:rPr>
        <w:t>”), each Series 2009-3 Noteholder may, at its option, waive any Series 2009-3 Maximum Amount or any increase in the Series 2009-3 Required Enhancement Amount based upon clause (y) of any of paragraphs (ii), (iii), (iv), (v), (vi) or (vii) of the definition of the Series 2009-3 Incremental Enhancement Amount (collectively, a “</w:t>
      </w:r>
      <w:r>
        <w:rPr>
          <w:rFonts w:ascii="Times New Roman" w:cs="Times New Roman" w:eastAsia="Times New Roman" w:hAnsi="Times New Roman"/>
          <w:sz w:val="18"/>
          <w:szCs w:val="18"/>
          <w:u w:val="single" w:color="auto"/>
          <w:color w:val="auto"/>
        </w:rPr>
        <w:t>Waivable Amount</w:t>
      </w:r>
      <w:r>
        <w:rPr>
          <w:rFonts w:ascii="Times New Roman" w:cs="Times New Roman" w:eastAsia="Times New Roman" w:hAnsi="Times New Roman"/>
          <w:sz w:val="18"/>
          <w:szCs w:val="18"/>
          <w:color w:val="auto"/>
        </w:rPr>
        <w:t>”) if (i) no Amortization Event exists, (ii) the Requisite Noteholders consent to such waiver and (iii) 60 days’ prior written notice of such proposed waiver is provided to the Rating Agencies and Standard &amp; Poor’s by the Trustee.</w:t>
      </w:r>
    </w:p>
    <w:p>
      <w:pPr>
        <w:spacing w:after="0" w:line="141" w:lineRule="exact"/>
        <w:rPr>
          <w:sz w:val="20"/>
          <w:szCs w:val="20"/>
          <w:color w:val="auto"/>
        </w:rPr>
      </w:pPr>
    </w:p>
    <w:p>
      <w:pPr>
        <w:ind w:right="40" w:firstLine="913"/>
        <w:spacing w:after="0" w:line="258" w:lineRule="auto"/>
        <w:rPr>
          <w:sz w:val="20"/>
          <w:szCs w:val="20"/>
          <w:color w:val="auto"/>
        </w:rPr>
      </w:pPr>
      <w:r>
        <w:rPr>
          <w:rFonts w:ascii="Times New Roman" w:cs="Times New Roman" w:eastAsia="Times New Roman" w:hAnsi="Times New Roman"/>
          <w:sz w:val="18"/>
          <w:szCs w:val="18"/>
          <w:color w:val="auto"/>
        </w:rPr>
        <w:t>Upon receipt by the Trustee of a Waiver Request (a copy of which the Trustee shall promptly provide to the Rating Agencies and Standard &amp; Poor’s), all amounts which would otherwise be allocated to the Series 2009-3 Excess Collection Account (collectively, the “</w:t>
      </w:r>
      <w:r>
        <w:rPr>
          <w:rFonts w:ascii="Times New Roman" w:cs="Times New Roman" w:eastAsia="Times New Roman" w:hAnsi="Times New Roman"/>
          <w:sz w:val="18"/>
          <w:szCs w:val="18"/>
          <w:u w:val="single" w:color="auto"/>
          <w:color w:val="auto"/>
        </w:rPr>
        <w:t>Designated Amounts</w:t>
      </w:r>
      <w:r>
        <w:rPr>
          <w:rFonts w:ascii="Times New Roman" w:cs="Times New Roman" w:eastAsia="Times New Roman" w:hAnsi="Times New Roman"/>
          <w:sz w:val="18"/>
          <w:szCs w:val="18"/>
          <w:color w:val="auto"/>
        </w:rPr>
        <w:t>”) from the date the Trustee receives a Waiver Request through the Consent Period Expiration Date will be held by the Trustee in the Series 2009-3 Collection Account for ratable distribution as described below.</w:t>
      </w:r>
    </w:p>
    <w:p>
      <w:pPr>
        <w:spacing w:after="0" w:line="136" w:lineRule="exact"/>
        <w:rPr>
          <w:sz w:val="20"/>
          <w:szCs w:val="20"/>
          <w:color w:val="auto"/>
        </w:rPr>
      </w:pPr>
    </w:p>
    <w:p>
      <w:pPr>
        <w:ind w:right="20" w:firstLine="913"/>
        <w:spacing w:after="0" w:line="258" w:lineRule="auto"/>
        <w:rPr>
          <w:sz w:val="20"/>
          <w:szCs w:val="20"/>
          <w:color w:val="auto"/>
        </w:rPr>
      </w:pPr>
      <w:r>
        <w:rPr>
          <w:rFonts w:ascii="Times New Roman" w:cs="Times New Roman" w:eastAsia="Times New Roman" w:hAnsi="Times New Roman"/>
          <w:sz w:val="18"/>
          <w:szCs w:val="18"/>
          <w:color w:val="auto"/>
        </w:rPr>
        <w:t>Within ten (10) Business Days after the Trustee receives a Waiver Request, the Trustee shall furnish notice thereof to the Administrative Agent, which notice shall be accompanied by a form of consent (each a “</w:t>
      </w:r>
      <w:r>
        <w:rPr>
          <w:rFonts w:ascii="Times New Roman" w:cs="Times New Roman" w:eastAsia="Times New Roman" w:hAnsi="Times New Roman"/>
          <w:sz w:val="18"/>
          <w:szCs w:val="18"/>
          <w:u w:val="single" w:color="auto"/>
          <w:color w:val="auto"/>
        </w:rPr>
        <w:t>Consent</w:t>
      </w:r>
      <w:r>
        <w:rPr>
          <w:rFonts w:ascii="Times New Roman" w:cs="Times New Roman" w:eastAsia="Times New Roman" w:hAnsi="Times New Roman"/>
          <w:sz w:val="18"/>
          <w:szCs w:val="18"/>
          <w:color w:val="auto"/>
        </w:rPr>
        <w:t xml:space="preserve">”) in the form of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hereto by which the Series 2009-3 Noteholders may, on or before the Consent Period Expiration Date, consent to waiver of the applicable Waivable Amount. Upon receipt of notice of a Waiver Request, the Administrative Agent shall forward a copy of such request together with the Consent to the</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400"/>
          </w:cols>
          <w:pgMar w:left="240" w:top="274" w:right="259" w:bottom="1440" w:gutter="0" w:footer="0" w:header="0"/>
        </w:sectPr>
      </w:pPr>
    </w:p>
    <w:bookmarkStart w:id="236" w:name="page237"/>
    <w:bookmarkEnd w:id="236"/>
    <w:p>
      <w:pPr>
        <w:spacing w:after="0" w:line="287"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Funding Agent with respect to each Purchaser Group. If the Trustee receives the Consents from the Requisite Noteholders agreeing to waiver of the applicable Waivable Amount within forty-five (45) days after the Trustee notifies the Administrative Agent of a Waiver Request (the day on which such forty-five (45) day period expires, the “</w:t>
      </w:r>
      <w:r>
        <w:rPr>
          <w:rFonts w:ascii="Times New Roman" w:cs="Times New Roman" w:eastAsia="Times New Roman" w:hAnsi="Times New Roman"/>
          <w:sz w:val="16"/>
          <w:szCs w:val="16"/>
          <w:u w:val="single" w:color="auto"/>
          <w:color w:val="auto"/>
        </w:rPr>
        <w:t>Consent Period Expiration Date</w:t>
      </w:r>
      <w:r>
        <w:rPr>
          <w:rFonts w:ascii="Times New Roman" w:cs="Times New Roman" w:eastAsia="Times New Roman" w:hAnsi="Times New Roman"/>
          <w:sz w:val="16"/>
          <w:szCs w:val="16"/>
          <w:color w:val="auto"/>
        </w:rPr>
        <w:t>”), (i) the applicable Waivable Amount shall be deemed waived by the consenting Series 2009-3 Noteholders,</w:t>
      </w:r>
    </w:p>
    <w:p>
      <w:pPr>
        <w:spacing w:after="0" w:line="1" w:lineRule="exact"/>
        <w:rPr>
          <w:sz w:val="20"/>
          <w:szCs w:val="20"/>
          <w:color w:val="auto"/>
        </w:rPr>
      </w:pPr>
    </w:p>
    <w:p>
      <w:pPr>
        <w:ind w:right="280" w:firstLine="8"/>
        <w:spacing w:after="0" w:line="255" w:lineRule="auto"/>
        <w:tabs>
          <w:tab w:leader="none" w:pos="258"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will distribute the Designated Amounts as set forth below and (iii) the Trustee shall promptly (but in any event within two days) provide the Rating Agencies and Standard &amp; Poor’s with notice of such waiver. Any Purchaser Group from whom the Trustee has not received a Consent on or before the Consent Period Expiration Date will be deemed not to have consented to such waiver.</w:t>
      </w:r>
    </w:p>
    <w:p>
      <w:pPr>
        <w:spacing w:after="0" w:line="138" w:lineRule="exact"/>
        <w:rPr>
          <w:sz w:val="20"/>
          <w:szCs w:val="20"/>
          <w:color w:val="auto"/>
        </w:rPr>
      </w:pPr>
    </w:p>
    <w:p>
      <w:pPr>
        <w:ind w:firstLine="913"/>
        <w:spacing w:after="0" w:line="258" w:lineRule="auto"/>
        <w:rPr>
          <w:sz w:val="20"/>
          <w:szCs w:val="20"/>
          <w:color w:val="auto"/>
        </w:rPr>
      </w:pPr>
      <w:r>
        <w:rPr>
          <w:rFonts w:ascii="Times New Roman" w:cs="Times New Roman" w:eastAsia="Times New Roman" w:hAnsi="Times New Roman"/>
          <w:sz w:val="18"/>
          <w:szCs w:val="18"/>
          <w:color w:val="auto"/>
        </w:rPr>
        <w:t>If the Trustee receives Consents from the Requisite Noteholders on or before the Consent Period Expiration Date, then on the immediately following Distribution Date, upon receipt of written direction from the Administrator the Trustee will pay the Designated Amounts to the Administrative Agent for the accounts of the non-consenting Purchaser Groups. Upon the receipt of funds from the Trustee pursuant to this Article V, the Administrative Agent shall pay the Designated Amounts as follows:</w:t>
      </w:r>
    </w:p>
    <w:p>
      <w:pPr>
        <w:spacing w:after="0" w:line="55" w:lineRule="exact"/>
        <w:rPr>
          <w:sz w:val="20"/>
          <w:szCs w:val="20"/>
          <w:color w:val="auto"/>
        </w:rPr>
      </w:pPr>
    </w:p>
    <w:p>
      <w:pPr>
        <w:ind w:left="460" w:right="120" w:firstLine="443"/>
        <w:spacing w:after="0" w:line="258" w:lineRule="auto"/>
        <w:tabs>
          <w:tab w:leader="none" w:pos="1108"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each Funding Agent with respect to a non-consenting Purchaser Group, such Purchaser Group’s </w:t>
      </w:r>
      <w:r>
        <w:rPr>
          <w:rFonts w:ascii="Times New Roman" w:cs="Times New Roman" w:eastAsia="Times New Roman" w:hAnsi="Times New Roman"/>
          <w:sz w:val="18"/>
          <w:szCs w:val="18"/>
          <w:u w:val="single" w:color="auto"/>
          <w:color w:val="auto"/>
        </w:rPr>
        <w:t>pro rata</w:t>
      </w:r>
      <w:r>
        <w:rPr>
          <w:rFonts w:ascii="Times New Roman" w:cs="Times New Roman" w:eastAsia="Times New Roman" w:hAnsi="Times New Roman"/>
          <w:sz w:val="18"/>
          <w:szCs w:val="18"/>
          <w:color w:val="auto"/>
        </w:rPr>
        <w:t xml:space="preserve"> share based on the Purchaser Group Invested Amount with respect to such Purchaser Group relative to the Purchaser Group Invested Amount with respect to all non-consenting Purchaser Groups of the Designated Amounts up to the amount required to reduce to zero the Purchaser Group Invested Amounts with respect to all non-consenting Purchaser Groups; and</w:t>
      </w:r>
    </w:p>
    <w:p>
      <w:pPr>
        <w:spacing w:after="0" w:line="55" w:lineRule="exact"/>
        <w:rPr>
          <w:rFonts w:ascii="Times New Roman" w:cs="Times New Roman" w:eastAsia="Times New Roman" w:hAnsi="Times New Roman"/>
          <w:sz w:val="18"/>
          <w:szCs w:val="18"/>
          <w:color w:val="auto"/>
        </w:rPr>
      </w:pPr>
    </w:p>
    <w:p>
      <w:pPr>
        <w:ind w:left="1160" w:hanging="257"/>
        <w:spacing w:after="0"/>
        <w:tabs>
          <w:tab w:leader="none" w:pos="116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remaining Designated Amounts to the Series 2009-3 Excess Collection Account.</w:t>
      </w:r>
    </w:p>
    <w:p>
      <w:pPr>
        <w:spacing w:after="0" w:line="171" w:lineRule="exact"/>
        <w:rPr>
          <w:sz w:val="20"/>
          <w:szCs w:val="20"/>
          <w:color w:val="auto"/>
        </w:rPr>
      </w:pPr>
    </w:p>
    <w:p>
      <w:pPr>
        <w:ind w:firstLine="913"/>
        <w:spacing w:after="0" w:line="255" w:lineRule="auto"/>
        <w:rPr>
          <w:sz w:val="20"/>
          <w:szCs w:val="20"/>
          <w:color w:val="auto"/>
        </w:rPr>
      </w:pPr>
      <w:r>
        <w:rPr>
          <w:rFonts w:ascii="Times New Roman" w:cs="Times New Roman" w:eastAsia="Times New Roman" w:hAnsi="Times New Roman"/>
          <w:sz w:val="18"/>
          <w:szCs w:val="18"/>
          <w:color w:val="auto"/>
        </w:rPr>
        <w:t>If the amount distributed pursuant to clause (i) of the preceding paragraph is not sufficient to reduce the Purchaser Group Invested Amount with respect to each non-consenting Purchaser Group to zero on the date specified therein, then on each day following such Distribution Date, the Administrator will allocate to the Series 2009-3 Collection Account on a daily basis all Designated Amounts collected on such day. On each following Distribution Date, the Trustee will withdraw such Designated Amounts from the Series 2009-3 Collection Account and deposit the same in the Series 2009-3 Distribution Account for distribution to the Administrative Agent for the accounts of the non-consenting Purchaser Groups. Upon the receipt of funds from the Trustee pursuant to this Article V, the Administrative Agent shall pay the Designated Amounts as follows:</w:t>
      </w:r>
    </w:p>
    <w:p>
      <w:pPr>
        <w:spacing w:after="0" w:line="58" w:lineRule="exact"/>
        <w:rPr>
          <w:sz w:val="20"/>
          <w:szCs w:val="20"/>
          <w:color w:val="auto"/>
        </w:rPr>
      </w:pPr>
    </w:p>
    <w:p>
      <w:pPr>
        <w:ind w:left="460" w:firstLine="443"/>
        <w:spacing w:after="0" w:line="258" w:lineRule="auto"/>
        <w:tabs>
          <w:tab w:leader="none" w:pos="1137"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each Funding Agent with respect to a non-consenting Purchaser Group, such Purchaser Group’s </w:t>
      </w:r>
      <w:r>
        <w:rPr>
          <w:rFonts w:ascii="Times New Roman" w:cs="Times New Roman" w:eastAsia="Times New Roman" w:hAnsi="Times New Roman"/>
          <w:sz w:val="18"/>
          <w:szCs w:val="18"/>
          <w:u w:val="single" w:color="auto"/>
          <w:color w:val="auto"/>
        </w:rPr>
        <w:t>pro rata</w:t>
      </w:r>
      <w:r>
        <w:rPr>
          <w:rFonts w:ascii="Times New Roman" w:cs="Times New Roman" w:eastAsia="Times New Roman" w:hAnsi="Times New Roman"/>
          <w:sz w:val="18"/>
          <w:szCs w:val="18"/>
          <w:color w:val="auto"/>
        </w:rPr>
        <w:t xml:space="preserve"> share based on the Purchaser Group Invested Amount with respect to such Purchaser Group relative to the Purchaser Group Invested Amount with respect to all non-consenting Purchaser Groups of the Designated Amounts in the Series 2009-3 Collection Account as of the applicable Determination Date up to the amount required to reduce to zero the Purchaser Group Invested Amounts with respect to all non-consenting Purchaser Groups; and</w:t>
      </w:r>
    </w:p>
    <w:p>
      <w:pPr>
        <w:spacing w:after="0" w:line="1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380"/>
          </w:cols>
          <w:pgMar w:left="240" w:top="274" w:right="279" w:bottom="1440" w:gutter="0" w:footer="0" w:header="0"/>
        </w:sectPr>
      </w:pPr>
    </w:p>
    <w:bookmarkStart w:id="237" w:name="page238"/>
    <w:bookmarkEnd w:id="237"/>
    <w:p>
      <w:pPr>
        <w:ind w:left="90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 any remaining Designated Amounts to the Series 2009-3 Excess Collection Account.</w:t>
      </w:r>
    </w:p>
    <w:p>
      <w:pPr>
        <w:spacing w:after="0" w:line="171" w:lineRule="exact"/>
        <w:rPr>
          <w:sz w:val="20"/>
          <w:szCs w:val="20"/>
          <w:color w:val="auto"/>
        </w:rPr>
      </w:pPr>
    </w:p>
    <w:p>
      <w:pPr>
        <w:ind w:right="660" w:firstLine="913"/>
        <w:spacing w:after="0" w:line="275" w:lineRule="auto"/>
        <w:rPr>
          <w:sz w:val="20"/>
          <w:szCs w:val="20"/>
          <w:color w:val="auto"/>
        </w:rPr>
      </w:pPr>
      <w:r>
        <w:rPr>
          <w:rFonts w:ascii="Times New Roman" w:cs="Times New Roman" w:eastAsia="Times New Roman" w:hAnsi="Times New Roman"/>
          <w:sz w:val="18"/>
          <w:szCs w:val="18"/>
          <w:color w:val="auto"/>
        </w:rPr>
        <w:t>If the Requisite Noteholders do not timely consent to such waiver, the Designated Amounts will be re-allocated to the Series 2009-3 Excess Collection Account for allocation and distribution in accordance with the terms of the Indenture and the Related Documents.</w:t>
      </w:r>
    </w:p>
    <w:p>
      <w:pPr>
        <w:spacing w:after="0" w:line="120" w:lineRule="exact"/>
        <w:rPr>
          <w:sz w:val="20"/>
          <w:szCs w:val="20"/>
          <w:color w:val="auto"/>
        </w:rPr>
      </w:pPr>
    </w:p>
    <w:p>
      <w:pPr>
        <w:ind w:right="540" w:firstLine="913"/>
        <w:spacing w:after="0" w:line="275" w:lineRule="auto"/>
        <w:rPr>
          <w:sz w:val="20"/>
          <w:szCs w:val="20"/>
          <w:color w:val="auto"/>
        </w:rPr>
      </w:pPr>
      <w:r>
        <w:rPr>
          <w:rFonts w:ascii="Times New Roman" w:cs="Times New Roman" w:eastAsia="Times New Roman" w:hAnsi="Times New Roman"/>
          <w:sz w:val="18"/>
          <w:szCs w:val="18"/>
          <w:color w:val="auto"/>
        </w:rPr>
        <w:t>In the event that the Series 2009-3 Amortization Period shall commence after receipt by the Trustee of a Waiver Request, all such Designated Amounts will thereafter be considered Principal Collections allocated to the Series 2009-3 Noteholders.</w:t>
      </w:r>
    </w:p>
    <w:p>
      <w:pPr>
        <w:spacing w:after="0" w:line="1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CONDITIONS PRECEDENT</w:t>
      </w:r>
    </w:p>
    <w:p>
      <w:pPr>
        <w:spacing w:after="0" w:line="173" w:lineRule="exact"/>
        <w:rPr>
          <w:sz w:val="20"/>
          <w:szCs w:val="20"/>
          <w:color w:val="auto"/>
        </w:rPr>
      </w:pPr>
    </w:p>
    <w:p>
      <w:pPr>
        <w:ind w:right="320" w:firstLine="913"/>
        <w:spacing w:after="0" w:line="275" w:lineRule="auto"/>
        <w:rPr>
          <w:sz w:val="20"/>
          <w:szCs w:val="20"/>
          <w:color w:val="auto"/>
        </w:rPr>
      </w:pPr>
      <w:r>
        <w:rPr>
          <w:rFonts w:ascii="Times New Roman" w:cs="Times New Roman" w:eastAsia="Times New Roman" w:hAnsi="Times New Roman"/>
          <w:sz w:val="18"/>
          <w:szCs w:val="18"/>
          <w:color w:val="auto"/>
        </w:rPr>
        <w:t xml:space="preserve">Section 6.1. </w:t>
      </w:r>
      <w:r>
        <w:rPr>
          <w:rFonts w:ascii="Times New Roman" w:cs="Times New Roman" w:eastAsia="Times New Roman" w:hAnsi="Times New Roman"/>
          <w:sz w:val="18"/>
          <w:szCs w:val="18"/>
          <w:u w:val="single" w:color="auto"/>
          <w:color w:val="auto"/>
        </w:rPr>
        <w:t>Conditions Precedent to Effectiveness of Supplement</w:t>
      </w:r>
      <w:r>
        <w:rPr>
          <w:rFonts w:ascii="Times New Roman" w:cs="Times New Roman" w:eastAsia="Times New Roman" w:hAnsi="Times New Roman"/>
          <w:sz w:val="18"/>
          <w:szCs w:val="18"/>
          <w:color w:val="auto"/>
        </w:rPr>
        <w:t>. This Supplement shall become effective on the date (the “</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on which all of the following conditions precedent shall have been satisfied:</w:t>
      </w:r>
    </w:p>
    <w:p>
      <w:pPr>
        <w:spacing w:after="0" w:line="39" w:lineRule="exact"/>
        <w:rPr>
          <w:sz w:val="20"/>
          <w:szCs w:val="20"/>
          <w:color w:val="auto"/>
        </w:rPr>
      </w:pPr>
    </w:p>
    <w:p>
      <w:pPr>
        <w:ind w:left="460" w:firstLine="443"/>
        <w:spacing w:after="0" w:line="285" w:lineRule="auto"/>
        <w:tabs>
          <w:tab w:leader="none" w:pos="1137" w:val="left"/>
        </w:tabs>
        <w:numPr>
          <w:ilvl w:val="0"/>
          <w:numId w:val="1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Documents</w:t>
      </w:r>
      <w:r>
        <w:rPr>
          <w:rFonts w:ascii="Times New Roman" w:cs="Times New Roman" w:eastAsia="Times New Roman" w:hAnsi="Times New Roman"/>
          <w:sz w:val="16"/>
          <w:szCs w:val="16"/>
          <w:color w:val="auto"/>
        </w:rPr>
        <w:t>. The Administrative Agent shall have received copies for each CP Conduit Purchaser and the Funding Agent and the APA Banks with respect to such CP Conduit Purchaser, each executed and delivered in form and substance satisfactory to it of (i) the Base Indenture, executed by a duly authorized officer of each of ABRCF and the Trustee, (ii) this Supplement, executed by a duly authorized officer of each of ABRCF, the Administrator, the Trustee, the Administrative Agent, the Funding Agents, the CP Conduit Purchasers and the APA Banks, (iii) each Lease, executed by a duly authorized officer of each of each Lessee party thereto, the Administrator and the Lessor party thereto, (iv) each Sublease, executed by a duly authorized officer of each Lessee party thereto and each Permitted Sublessee party thereto, (v) each Loan Agreement, executed by a duly authorized officer of each of ABRCF, the Lessor party thereto and the Permitted Nominees party thereto, (vi) each Vehicle Title and Lienholder Nominee Agreement, executed by the duly authorized officer of each of the Permitted Nominee party thereto, ABCR, the Lessor party thereto and the Trustee, (vii) the Master Exchange Agreement, executed by a duly authorized officer of each of the Intermediary, AESOP Leasing, ARAC, BRAC and ABCR; (viii) the Escrow Agreement, executed by a duly authorized officer of each of the Intermediary, J.P. Morgan Trust Company, N.A., JPMorgan Chase Bank, N.A., AESOP Leasing, ARAC, BRAC and ABCR; (ix) the Administration Agreement, executed by a duly authorized officer of each of ABCR, AESOP Leasing, AESOP Leasing II, ABRCF, ARAC, BRAC and the Trustee; (x) the Disposition Agent Agreement, dated as of July 23, 2009, executed by a duly authorized officer of each of ABCR, ABRCF, AESOP Leasing, AESOP Leasing II, ARAC, BRAC, Lord Securities Corporation, Fiserv Automotive Solutions, Inc. and the Trustee; (xi) the Back-Up Administration Agreement, dated as of July 23, 2009, executed by a duly authorized officer of each of ABCR, ABRCF, AESOP Leasing, AESOP Leasing II, ARAC, BRAC, the Intermediary, Lord Securities Corporation and the Trustee; (xii) each Series 2009-3 Letter of Credit, if any, executed by a duly authorized officer of the applicable Series 2009-3 Letter of Credit Provider; and (xiii) each Series 2009-3 Interest Rate Cap, executed by a duly authorized officer of ABRCF and the applicable Interest Rate Cap Counterparty satisfying the requirements of Section 3.11(a).</w:t>
      </w: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400"/>
          </w:cols>
          <w:pgMar w:left="240" w:top="274" w:right="259" w:bottom="1440" w:gutter="0" w:footer="0" w:header="0"/>
        </w:sectPr>
      </w:pPr>
    </w:p>
    <w:bookmarkStart w:id="238" w:name="page239"/>
    <w:bookmarkEnd w:id="238"/>
    <w:p>
      <w:pPr>
        <w:ind w:right="240" w:firstLine="443"/>
        <w:spacing w:after="0" w:line="258" w:lineRule="auto"/>
        <w:tabs>
          <w:tab w:leader="none" w:pos="687"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Corporate Documents; Proceedings of ABRCF, the Administrator, the Permitted Nominees, AESOP Leasing, AESOP Leasing II, Original AESOP, ARAC and BRAC</w:t>
      </w:r>
      <w:r>
        <w:rPr>
          <w:rFonts w:ascii="Times New Roman" w:cs="Times New Roman" w:eastAsia="Times New Roman" w:hAnsi="Times New Roman"/>
          <w:sz w:val="18"/>
          <w:szCs w:val="18"/>
          <w:color w:val="auto"/>
        </w:rPr>
        <w:t>. The Administrative Agent shall have received, with a copy for each CP Conduit Purchaser and the Funding Agent and the APA Banks with respect to such CP Conduit Purchaser, from ABRCF, the Administrator, the Permitted Nominees, AESOP Leasing, AESOP Leasing II, Original AESOP, ARAC, ABCR and BRAC true and complete copies of:</w:t>
      </w:r>
    </w:p>
    <w:p>
      <w:pPr>
        <w:spacing w:after="0" w:line="55" w:lineRule="exact"/>
        <w:rPr>
          <w:rFonts w:ascii="Times New Roman" w:cs="Times New Roman" w:eastAsia="Times New Roman" w:hAnsi="Times New Roman"/>
          <w:sz w:val="18"/>
          <w:szCs w:val="18"/>
          <w:color w:val="auto"/>
        </w:rPr>
      </w:pPr>
    </w:p>
    <w:p>
      <w:pPr>
        <w:ind w:left="460" w:right="160" w:firstLine="421"/>
        <w:spacing w:after="0" w:line="258" w:lineRule="auto"/>
        <w:tabs>
          <w:tab w:leader="none" w:pos="1089" w:val="left"/>
        </w:tabs>
        <w:numPr>
          <w:ilvl w:val="2"/>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applicable, the certificate of incorporation or certificate of formation, including all amendments thereto, of such Person, certified as of a recent date by the Secretary of State or other appropriate authority of the state of incorporation or organization, as the case may be, and a certificate of compliance, of status or of good standing, as and to the extent applicable, of each such Person as of a recent date, from the Secretary of State or other appropriate authority of such jurisdiction</w:t>
      </w:r>
    </w:p>
    <w:p>
      <w:pPr>
        <w:spacing w:after="0" w:line="55" w:lineRule="exact"/>
        <w:rPr>
          <w:rFonts w:ascii="Times New Roman" w:cs="Times New Roman" w:eastAsia="Times New Roman" w:hAnsi="Times New Roman"/>
          <w:sz w:val="18"/>
          <w:szCs w:val="18"/>
          <w:color w:val="auto"/>
        </w:rPr>
      </w:pPr>
    </w:p>
    <w:p>
      <w:pPr>
        <w:ind w:left="460" w:right="40" w:firstLine="421"/>
        <w:spacing w:after="0" w:line="287" w:lineRule="auto"/>
        <w:tabs>
          <w:tab w:leader="none" w:pos="1138" w:val="left"/>
        </w:tabs>
        <w:numPr>
          <w:ilvl w:val="2"/>
          <w:numId w:val="1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certificate of the Secretary or an Assistant Secretary of such Person, dated on or prior to the Effective Date and certifying (A) that attached thereto is a true and complete copy of the bylaws, limited liability company agreement or partnership agreement of such Person, as the case may be, as in effect on the Series 2009-3 Closing Date and at all times since a date prior to the date of the resolutions described in clause (B) below,</w:t>
      </w:r>
    </w:p>
    <w:p>
      <w:pPr>
        <w:ind w:left="460" w:firstLine="1"/>
        <w:spacing w:after="0" w:line="252" w:lineRule="auto"/>
        <w:tabs>
          <w:tab w:leader="none" w:pos="738" w:val="left"/>
        </w:tabs>
        <w:numPr>
          <w:ilvl w:val="1"/>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to the extent applicable, attached thereto is a true and complete copy of the resolutions, in form and substance reasonably satisfactory to each Funding Agent, of the Board of Directors or Managers of such Person or committees thereof authorizing the execution, delivery and performance of this Supplement and the Series 2009-3 Documents to which it is a party and the transactions contemplated thereby, and that such resolutions have not been amended, modified, revoked or rescinded and are in full force and effect, (C) that the certificate of incorporation or certificate of formation of such Person has not been amended since the date of the last amendment thereto shown on the certificate of good standing (or its equivalent) furnished pursuant to clause (i) above and (D) as to the incumbency and specimen signature of each officer or authorized signatory executing this Supplement and any Series 2009-3 Documents or any other document delivered in connection herewith or therewith on behalf of such Person; and</w:t>
      </w:r>
    </w:p>
    <w:p>
      <w:pPr>
        <w:spacing w:after="0" w:line="58" w:lineRule="exact"/>
        <w:rPr>
          <w:rFonts w:ascii="Times New Roman" w:cs="Times New Roman" w:eastAsia="Times New Roman" w:hAnsi="Times New Roman"/>
          <w:sz w:val="18"/>
          <w:szCs w:val="18"/>
          <w:color w:val="auto"/>
        </w:rPr>
      </w:pPr>
    </w:p>
    <w:p>
      <w:pPr>
        <w:ind w:left="460" w:right="680" w:firstLine="421"/>
        <w:spacing w:after="0" w:line="275" w:lineRule="auto"/>
        <w:tabs>
          <w:tab w:leader="none" w:pos="1187" w:val="left"/>
        </w:tabs>
        <w:numPr>
          <w:ilvl w:val="2"/>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certificate of another officer as to the incumbency and specimen signature of the Secretary or Assistant Secretary executing any certificate pursuant to clause (ii) above that requires the certification set forth in clause (ii)(D) above.</w:t>
      </w:r>
    </w:p>
    <w:p>
      <w:pPr>
        <w:spacing w:after="0" w:line="38" w:lineRule="exact"/>
        <w:rPr>
          <w:rFonts w:ascii="Times New Roman" w:cs="Times New Roman" w:eastAsia="Times New Roman" w:hAnsi="Times New Roman"/>
          <w:sz w:val="18"/>
          <w:szCs w:val="18"/>
          <w:color w:val="auto"/>
        </w:rPr>
      </w:pPr>
    </w:p>
    <w:p>
      <w:pPr>
        <w:ind w:right="320" w:firstLine="443"/>
        <w:spacing w:after="0" w:line="262" w:lineRule="auto"/>
        <w:tabs>
          <w:tab w:leader="none" w:pos="677"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w:t>
      </w:r>
      <w:r>
        <w:rPr>
          <w:rFonts w:ascii="Times New Roman" w:cs="Times New Roman" w:eastAsia="Times New Roman" w:hAnsi="Times New Roman"/>
          <w:sz w:val="18"/>
          <w:szCs w:val="18"/>
          <w:color w:val="auto"/>
        </w:rPr>
        <w:t>. All representations and warranties of each of ABRCF, ABCR, AESOP Leasing, AESOP Leasing II, Original AESOP, each of the Permitted Nominees, each of the Lessees, each of the Permitted Sublessees and the Intermediary contained in each of the Related Documents shall be true and correct as of the Series 2009-3 Closing Date.</w:t>
      </w:r>
    </w:p>
    <w:p>
      <w:pPr>
        <w:spacing w:after="0" w:line="119"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0940"/>
          </w:cols>
          <w:pgMar w:left="700" w:top="274" w:right="259" w:bottom="1440" w:gutter="0" w:footer="0" w:header="0"/>
        </w:sectPr>
      </w:pPr>
    </w:p>
    <w:bookmarkStart w:id="239" w:name="page240"/>
    <w:bookmarkEnd w:id="239"/>
    <w:p>
      <w:pPr>
        <w:jc w:val="both"/>
        <w:ind w:right="360" w:firstLine="443"/>
        <w:spacing w:after="0" w:line="262" w:lineRule="auto"/>
        <w:tabs>
          <w:tab w:leader="none" w:pos="687"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 Amortization Event, Potential Amortization Event or AESOP I Operating Lease Vehicle Deficiency</w:t>
      </w:r>
      <w:r>
        <w:rPr>
          <w:rFonts w:ascii="Times New Roman" w:cs="Times New Roman" w:eastAsia="Times New Roman" w:hAnsi="Times New Roman"/>
          <w:sz w:val="18"/>
          <w:szCs w:val="18"/>
          <w:color w:val="auto"/>
        </w:rPr>
        <w:t>. No Amortization Event or Potential Amortization Event in respect of the Series 2009-3 Notes or any other Series of Notes shall exist and no AESOP I Operating Lease Vehicle Deficiency shall exist.</w:t>
      </w:r>
    </w:p>
    <w:p>
      <w:pPr>
        <w:spacing w:after="0" w:line="51" w:lineRule="exact"/>
        <w:rPr>
          <w:rFonts w:ascii="Times New Roman" w:cs="Times New Roman" w:eastAsia="Times New Roman" w:hAnsi="Times New Roman"/>
          <w:sz w:val="18"/>
          <w:szCs w:val="18"/>
          <w:color w:val="auto"/>
        </w:rPr>
      </w:pPr>
    </w:p>
    <w:p>
      <w:pPr>
        <w:ind w:firstLine="443"/>
        <w:spacing w:after="0" w:line="256" w:lineRule="auto"/>
        <w:tabs>
          <w:tab w:leader="none" w:pos="677"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Lien Searches</w:t>
      </w:r>
      <w:r>
        <w:rPr>
          <w:rFonts w:ascii="Times New Roman" w:cs="Times New Roman" w:eastAsia="Times New Roman" w:hAnsi="Times New Roman"/>
          <w:sz w:val="18"/>
          <w:szCs w:val="18"/>
          <w:color w:val="auto"/>
        </w:rPr>
        <w:t>. The Administrative Agent shall have received a written search report listing all effective financing statements that name ABRCF, AESOP Leasing, AESOP Leasing II, Original AESOP, each of the Permitted Nominees or ABCR as debtor or assignor and that are filed in the State of New York, the State of Delaware and in any other jurisdictions that the Administrative Agent determines are necessary or appropriate, together with copies of such financing statements, and tax and judgment lien searches showing no such liens that are not permitted by the Base Indenture, this Supplement or the Related Documents.</w:t>
      </w:r>
    </w:p>
    <w:p>
      <w:pPr>
        <w:spacing w:after="0" w:line="57" w:lineRule="exact"/>
        <w:rPr>
          <w:rFonts w:ascii="Times New Roman" w:cs="Times New Roman" w:eastAsia="Times New Roman" w:hAnsi="Times New Roman"/>
          <w:sz w:val="18"/>
          <w:szCs w:val="18"/>
          <w:color w:val="auto"/>
        </w:rPr>
      </w:pPr>
    </w:p>
    <w:p>
      <w:pPr>
        <w:jc w:val="both"/>
        <w:ind w:right="200" w:firstLine="443"/>
        <w:spacing w:after="0" w:line="258" w:lineRule="auto"/>
        <w:tabs>
          <w:tab w:leader="none" w:pos="657"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Legal Opinions</w:t>
      </w:r>
      <w:r>
        <w:rPr>
          <w:rFonts w:ascii="Times New Roman" w:cs="Times New Roman" w:eastAsia="Times New Roman" w:hAnsi="Times New Roman"/>
          <w:sz w:val="18"/>
          <w:szCs w:val="18"/>
          <w:color w:val="auto"/>
        </w:rPr>
        <w:t>. The Administrative Agent shall have received, with a counterpart addressed to each CP Conduit Purchaser and the Funding Agent, the Program Support Provider and the APA Banks with respect to such CP Conduit Purchaser and the Trustee, opinions of counsel required by Section 2.2(f) of the Base Indenture and opinions of counsel with respect to such other matters as may be reasonably requested by any Funding Agent, in form and substance reasonably acceptable to the addressees thereof and their counsel.</w:t>
      </w:r>
    </w:p>
    <w:p>
      <w:pPr>
        <w:spacing w:after="0" w:line="55" w:lineRule="exact"/>
        <w:rPr>
          <w:rFonts w:ascii="Times New Roman" w:cs="Times New Roman" w:eastAsia="Times New Roman" w:hAnsi="Times New Roman"/>
          <w:sz w:val="18"/>
          <w:szCs w:val="18"/>
          <w:color w:val="auto"/>
        </w:rPr>
      </w:pPr>
    </w:p>
    <w:p>
      <w:pPr>
        <w:jc w:val="both"/>
        <w:ind w:right="40" w:firstLine="443"/>
        <w:spacing w:after="0" w:line="258" w:lineRule="auto"/>
        <w:tabs>
          <w:tab w:leader="none" w:pos="687"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Fees and Expenses</w:t>
      </w:r>
      <w:r>
        <w:rPr>
          <w:rFonts w:ascii="Times New Roman" w:cs="Times New Roman" w:eastAsia="Times New Roman" w:hAnsi="Times New Roman"/>
          <w:sz w:val="18"/>
          <w:szCs w:val="18"/>
          <w:color w:val="auto"/>
        </w:rPr>
        <w:t>. The Administrative Agent and each Funding Agent with respect to a CP Conduit Purchaser shall have received payment of all fees, out-of-pocket expenses (including the fees and disbursements of counsel to the Administrative Agent) and other amounts due and payable to the Administrative Agent or such CP Conduit Purchaser or the APA Banks with respect to such CP Conduit Purchaser, as applicable, on or before the Effective Date.</w:t>
      </w:r>
    </w:p>
    <w:p>
      <w:pPr>
        <w:spacing w:after="0" w:line="55" w:lineRule="exact"/>
        <w:rPr>
          <w:rFonts w:ascii="Times New Roman" w:cs="Times New Roman" w:eastAsia="Times New Roman" w:hAnsi="Times New Roman"/>
          <w:sz w:val="18"/>
          <w:szCs w:val="18"/>
          <w:color w:val="auto"/>
        </w:rPr>
      </w:pPr>
    </w:p>
    <w:p>
      <w:pPr>
        <w:ind w:right="60" w:firstLine="443"/>
        <w:spacing w:after="0" w:line="262" w:lineRule="auto"/>
        <w:tabs>
          <w:tab w:leader="none" w:pos="687"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Establishment of Accounts</w:t>
      </w:r>
      <w:r>
        <w:rPr>
          <w:rFonts w:ascii="Times New Roman" w:cs="Times New Roman" w:eastAsia="Times New Roman" w:hAnsi="Times New Roman"/>
          <w:sz w:val="18"/>
          <w:szCs w:val="18"/>
          <w:color w:val="auto"/>
        </w:rPr>
        <w:t>. The Administrative Agent shall have received evidence reasonably satisfactory to it that the Series 2009-3 Collection Account, the Series 2009-3 Reserve Account and the Series 2009-3 Distribution Account shall have been established in accordance with the terms and provisions of the Indenture.</w:t>
      </w:r>
    </w:p>
    <w:p>
      <w:pPr>
        <w:spacing w:after="0" w:line="51" w:lineRule="exact"/>
        <w:rPr>
          <w:rFonts w:ascii="Times New Roman" w:cs="Times New Roman" w:eastAsia="Times New Roman" w:hAnsi="Times New Roman"/>
          <w:sz w:val="18"/>
          <w:szCs w:val="18"/>
          <w:color w:val="auto"/>
        </w:rPr>
      </w:pPr>
    </w:p>
    <w:p>
      <w:pPr>
        <w:ind w:right="200" w:firstLine="443"/>
        <w:spacing w:after="0" w:line="310" w:lineRule="auto"/>
        <w:tabs>
          <w:tab w:leader="none" w:pos="648" w:val="left"/>
        </w:tabs>
        <w:numPr>
          <w:ilvl w:val="0"/>
          <w:numId w:val="1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Opinion</w:t>
      </w:r>
      <w:r>
        <w:rPr>
          <w:rFonts w:ascii="Times New Roman" w:cs="Times New Roman" w:eastAsia="Times New Roman" w:hAnsi="Times New Roman"/>
          <w:sz w:val="16"/>
          <w:szCs w:val="16"/>
          <w:color w:val="auto"/>
        </w:rPr>
        <w:t>. The Administrative Agent shall have received, with a counterpart addressed to each CP Conduit Purchaser and the Funding Agent, the Program Support Provider and the APA Banks with respect such CP Conduit Purchaser, an opinion of counsel to the Trustee as to the due authorization, execution and delivery by the Trustee of this Supplement and the due execution, authentication and delivery by the Trustee of the Series 2009-3 Notes.</w:t>
      </w:r>
    </w:p>
    <w:p>
      <w:pPr>
        <w:spacing w:after="0" w:line="16" w:lineRule="exact"/>
        <w:rPr>
          <w:rFonts w:ascii="Times New Roman" w:cs="Times New Roman" w:eastAsia="Times New Roman" w:hAnsi="Times New Roman"/>
          <w:sz w:val="16"/>
          <w:szCs w:val="16"/>
          <w:color w:val="auto"/>
        </w:rPr>
      </w:pPr>
    </w:p>
    <w:p>
      <w:pPr>
        <w:ind w:right="140" w:firstLine="443"/>
        <w:spacing w:after="0" w:line="258" w:lineRule="auto"/>
        <w:tabs>
          <w:tab w:leader="none" w:pos="648"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Rating Letters</w:t>
      </w:r>
      <w:r>
        <w:rPr>
          <w:rFonts w:ascii="Times New Roman" w:cs="Times New Roman" w:eastAsia="Times New Roman" w:hAnsi="Times New Roman"/>
          <w:sz w:val="18"/>
          <w:szCs w:val="18"/>
          <w:color w:val="auto"/>
        </w:rPr>
        <w:t>. Each Funding Agent shall have received (x) a copy of a letter, in form and substance satisfactory to such Funding Agent, from Moody’s stating that the long-term rating of “Aa2” has been assigned by Moody’s to the Series 2009-3 Notes, (y) a copy of a letter, in form and substance satisfactory to such Funding Agent, from each of Moody’s and Standard &amp; Poor’s stating that the issuance of the Series 2009-3 Notes will not result in a reduction or withdrawal of the rating (in effect immediately</w:t>
      </w:r>
    </w:p>
    <w:p>
      <w:pPr>
        <w:spacing w:after="0" w:line="123"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0960"/>
          </w:cols>
          <w:pgMar w:left="700" w:top="274" w:right="239" w:bottom="1440" w:gutter="0" w:footer="0" w:header="0"/>
        </w:sectPr>
      </w:pPr>
    </w:p>
    <w:bookmarkStart w:id="240" w:name="page241"/>
    <w:bookmarkEnd w:id="240"/>
    <w:p>
      <w:pPr>
        <w:ind w:left="460" w:right="2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before the issuance of the Series 2009-3 Notes) of any outstanding Series of Notes with respect to which it is a Rating Agency and (z) a letter, in form and substance satisfactory to such Funding Agent, from each of Moody’s and Standard &amp; Poor’s confirming the commercial paper rating of the related CP Conduit Purchaser after giving effect to such CP Conduit Purchaser’s purchase of Series 2009-3 Notes (and any fees of the Rating Agencies in connection with the delivery of such letters shall have been paid by or on behalf of ABRCF).</w:t>
      </w:r>
    </w:p>
    <w:p>
      <w:pPr>
        <w:spacing w:after="0" w:line="55" w:lineRule="exact"/>
        <w:rPr>
          <w:sz w:val="20"/>
          <w:szCs w:val="20"/>
          <w:color w:val="auto"/>
        </w:rPr>
      </w:pPr>
    </w:p>
    <w:p>
      <w:pPr>
        <w:ind w:left="460" w:firstLine="443"/>
        <w:spacing w:after="0" w:line="310" w:lineRule="auto"/>
        <w:tabs>
          <w:tab w:leader="none" w:pos="1147" w:val="left"/>
        </w:tabs>
        <w:numPr>
          <w:ilvl w:val="0"/>
          <w:numId w:val="1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UCC Filings</w:t>
      </w:r>
      <w:r>
        <w:rPr>
          <w:rFonts w:ascii="Times New Roman" w:cs="Times New Roman" w:eastAsia="Times New Roman" w:hAnsi="Times New Roman"/>
          <w:sz w:val="16"/>
          <w:szCs w:val="16"/>
          <w:color w:val="auto"/>
        </w:rPr>
        <w:t>. The Administrative Agent shall have received (i) executed originals of any documents (including, without limitation, financing statements) required to be filed in each jurisdiction necessary to perfect the security interest of the Trustee in the Series 2009-3 Collateral and (ii) evidence reasonably satisfactory to it of each such filing and reasonably satisfactory evidence of the payment of any necessary fee or tax relating thereto.</w:t>
      </w:r>
    </w:p>
    <w:p>
      <w:pPr>
        <w:spacing w:after="0" w:line="16" w:lineRule="exact"/>
        <w:rPr>
          <w:rFonts w:ascii="Times New Roman" w:cs="Times New Roman" w:eastAsia="Times New Roman" w:hAnsi="Times New Roman"/>
          <w:sz w:val="16"/>
          <w:szCs w:val="16"/>
          <w:color w:val="auto"/>
        </w:rPr>
      </w:pPr>
    </w:p>
    <w:p>
      <w:pPr>
        <w:ind w:left="460" w:right="60" w:firstLine="443"/>
        <w:spacing w:after="0" w:line="275" w:lineRule="auto"/>
        <w:tabs>
          <w:tab w:leader="none" w:pos="1108"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Proceedings</w:t>
      </w:r>
      <w:r>
        <w:rPr>
          <w:rFonts w:ascii="Times New Roman" w:cs="Times New Roman" w:eastAsia="Times New Roman" w:hAnsi="Times New Roman"/>
          <w:sz w:val="18"/>
          <w:szCs w:val="18"/>
          <w:color w:val="auto"/>
        </w:rPr>
        <w:t>. All corporate and other proceedings and all other documents and legal matters in connection with the transactions contemplated by the Related Documents shall be satisfactory in form and substance to each Funding Agent and its counsel.</w:t>
      </w:r>
    </w:p>
    <w:p>
      <w:pPr>
        <w:spacing w:after="0" w:line="38" w:lineRule="exact"/>
        <w:rPr>
          <w:rFonts w:ascii="Times New Roman" w:cs="Times New Roman" w:eastAsia="Times New Roman" w:hAnsi="Times New Roman"/>
          <w:sz w:val="18"/>
          <w:szCs w:val="18"/>
          <w:color w:val="auto"/>
        </w:rPr>
      </w:pPr>
    </w:p>
    <w:p>
      <w:pPr>
        <w:ind w:left="460" w:firstLine="443"/>
        <w:spacing w:after="0" w:line="262" w:lineRule="auto"/>
        <w:tabs>
          <w:tab w:leader="none" w:pos="1195"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Series 2009-3 Note</w:t>
      </w:r>
      <w:r>
        <w:rPr>
          <w:rFonts w:ascii="Times New Roman" w:cs="Times New Roman" w:eastAsia="Times New Roman" w:hAnsi="Times New Roman"/>
          <w:sz w:val="18"/>
          <w:szCs w:val="18"/>
          <w:color w:val="auto"/>
        </w:rPr>
        <w:t>. ABRCF shall have issued and directed the Trustee to authenticate, and the Trustee shall have authenticated, a Series 2009-3 Note in the name of each Funding Agent with respect to each Purchaser Group in an amount equal to the Maximum Purchaser Group Invested Amount with respect to such Purchaser Group, and shall have delivered such Series 2009-3 Note to such Funding Agent.</w:t>
      </w:r>
    </w:p>
    <w:p>
      <w:pPr>
        <w:spacing w:after="0" w:line="211"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17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CHANGE IN CIRCUMSTANCES</w:t>
      </w:r>
    </w:p>
    <w:p>
      <w:pPr>
        <w:spacing w:after="0" w:line="17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 xml:space="preserve">Section 7.1. </w:t>
      </w:r>
      <w:r>
        <w:rPr>
          <w:rFonts w:ascii="Times New Roman" w:cs="Times New Roman" w:eastAsia="Times New Roman" w:hAnsi="Times New Roman"/>
          <w:sz w:val="18"/>
          <w:szCs w:val="18"/>
          <w:u w:val="single" w:color="auto"/>
          <w:color w:val="auto"/>
        </w:rPr>
        <w:t>Increased Costs</w:t>
      </w:r>
      <w:r>
        <w:rPr>
          <w:rFonts w:ascii="Times New Roman" w:cs="Times New Roman" w:eastAsia="Times New Roman" w:hAnsi="Times New Roman"/>
          <w:sz w:val="18"/>
          <w:szCs w:val="18"/>
          <w:color w:val="auto"/>
        </w:rPr>
        <w:t>. (a) If any Change in Law (except with respect to Taxes which shall be governed by Section 7.2) shall:</w:t>
      </w:r>
    </w:p>
    <w:p>
      <w:pPr>
        <w:spacing w:after="0" w:line="90" w:lineRule="exact"/>
        <w:rPr>
          <w:sz w:val="20"/>
          <w:szCs w:val="20"/>
          <w:color w:val="auto"/>
        </w:rPr>
      </w:pPr>
    </w:p>
    <w:p>
      <w:pPr>
        <w:ind w:left="460" w:right="220" w:firstLine="443"/>
        <w:spacing w:after="0" w:line="275" w:lineRule="auto"/>
        <w:tabs>
          <w:tab w:leader="none" w:pos="1108"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 modify or deem applicable any reserve, special deposit or similar requirement against assets of, deposits with or for the account of, or credit extended by, any Affected Party (except any such reserve requirement reflected in the Adjusted LIBO Rate); or</w:t>
      </w:r>
    </w:p>
    <w:p>
      <w:pPr>
        <w:spacing w:after="0" w:line="38" w:lineRule="exact"/>
        <w:rPr>
          <w:rFonts w:ascii="Times New Roman" w:cs="Times New Roman" w:eastAsia="Times New Roman" w:hAnsi="Times New Roman"/>
          <w:sz w:val="18"/>
          <w:szCs w:val="18"/>
          <w:color w:val="auto"/>
        </w:rPr>
      </w:pPr>
    </w:p>
    <w:p>
      <w:pPr>
        <w:ind w:left="460" w:right="420" w:firstLine="443"/>
        <w:spacing w:after="0" w:line="275" w:lineRule="auto"/>
        <w:tabs>
          <w:tab w:leader="none" w:pos="1157"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 on any Affected Party or the London interbank market any other condition affecting the Indenture or the Related Documents or the funding of Eurodollar Tranches by such Affected Party;</w:t>
      </w:r>
    </w:p>
    <w:p>
      <w:pPr>
        <w:spacing w:after="0" w:line="120" w:lineRule="exact"/>
        <w:rPr>
          <w:sz w:val="20"/>
          <w:szCs w:val="20"/>
          <w:color w:val="auto"/>
        </w:rPr>
      </w:pPr>
    </w:p>
    <w:p>
      <w:pPr>
        <w:ind w:right="340"/>
        <w:spacing w:after="0" w:line="262" w:lineRule="auto"/>
        <w:rPr>
          <w:sz w:val="20"/>
          <w:szCs w:val="20"/>
          <w:color w:val="auto"/>
        </w:rPr>
      </w:pPr>
      <w:r>
        <w:rPr>
          <w:rFonts w:ascii="Times New Roman" w:cs="Times New Roman" w:eastAsia="Times New Roman" w:hAnsi="Times New Roman"/>
          <w:sz w:val="18"/>
          <w:szCs w:val="18"/>
          <w:color w:val="auto"/>
        </w:rPr>
        <w:t>and the result of any of the foregoing shall be to increase the cost to such Affected Party of making, converting into, continuing or maintaining Eurodollar Tranches (or maintaining its obligation to do so) or to reduce any amount received or receivable by such Affected Party hereunder or in connection herewith (whether principal, interest or otherwise), then ABRCF will pay to</w:t>
      </w:r>
    </w:p>
    <w:p>
      <w:pPr>
        <w:spacing w:after="0" w:line="11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320"/>
          </w:cols>
          <w:pgMar w:left="240" w:top="274" w:right="339" w:bottom="1440" w:gutter="0" w:footer="0" w:header="0"/>
        </w:sectPr>
      </w:pPr>
    </w:p>
    <w:bookmarkStart w:id="241" w:name="page242"/>
    <w:bookmarkEnd w:id="241"/>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such Affected Party such additional amount or amounts as will compensate such Affected Party for such additional costs incurred or reduction suffered.</w:t>
      </w:r>
    </w:p>
    <w:p>
      <w:pPr>
        <w:spacing w:after="0" w:line="171" w:lineRule="exact"/>
        <w:rPr>
          <w:sz w:val="20"/>
          <w:szCs w:val="20"/>
          <w:color w:val="auto"/>
        </w:rPr>
      </w:pPr>
    </w:p>
    <w:p>
      <w:pPr>
        <w:ind w:firstLine="921"/>
        <w:spacing w:after="0" w:line="256" w:lineRule="auto"/>
        <w:tabs>
          <w:tab w:leader="none" w:pos="1162" w:val="left"/>
        </w:tabs>
        <w:numPr>
          <w:ilvl w:val="1"/>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Affected Party determines that any Change in Law regarding capital requirements has or would have the effect of reducing the rate of return on such Affected Party’s capital or the capital of any corporation controlling such Affected Party as a consequence of its obligations hereunder to a level below that which such Affected Party or such corporation could have achieved but for such Change in Law (taking into consideration such Affected Party’s or such corporation’s policies with respect to capital adequacy), then from time to time, ABRCF shall pay to such Affected Party such additional amount or amounts as will compensate such Affected Party for any such reduction suffered.</w:t>
      </w:r>
    </w:p>
    <w:p>
      <w:pPr>
        <w:spacing w:after="0" w:line="138" w:lineRule="exact"/>
        <w:rPr>
          <w:rFonts w:ascii="Times New Roman" w:cs="Times New Roman" w:eastAsia="Times New Roman" w:hAnsi="Times New Roman"/>
          <w:sz w:val="18"/>
          <w:szCs w:val="18"/>
          <w:color w:val="auto"/>
        </w:rPr>
      </w:pPr>
    </w:p>
    <w:p>
      <w:pPr>
        <w:ind w:left="1160" w:hanging="239"/>
        <w:spacing w:after="0"/>
        <w:tabs>
          <w:tab w:leader="none" w:pos="1160" w:val="left"/>
        </w:tabs>
        <w:numPr>
          <w:ilvl w:val="1"/>
          <w:numId w:val="1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certificate of an Affected Party setting forth the amount or amounts necessary to compensate such Affected Party as specified in subsections</w:t>
      </w:r>
    </w:p>
    <w:p>
      <w:pPr>
        <w:spacing w:after="0" w:line="44" w:lineRule="exact"/>
        <w:rPr>
          <w:rFonts w:ascii="Times New Roman" w:cs="Times New Roman" w:eastAsia="Times New Roman" w:hAnsi="Times New Roman"/>
          <w:sz w:val="16"/>
          <w:szCs w:val="16"/>
          <w:color w:val="auto"/>
        </w:rPr>
      </w:pPr>
    </w:p>
    <w:p>
      <w:pPr>
        <w:ind w:right="20" w:firstLine="8"/>
        <w:spacing w:after="0" w:line="253" w:lineRule="auto"/>
        <w:tabs>
          <w:tab w:leader="none" w:pos="239"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(b) of this Section 7.1 shall be delivered to ABRCF (with a copy to the Administrative Agent and the Funding Agent with respect to such Affected Party) and shall be conclusive absent manifest error. Any payments made by ABRCF pursuant to this Section 7.1 shall be made solely from funds available in the Series 2009-3 Distribution Account for the payment of Article VII Costs, shall be non-recourse other than with respect to such funds, and shall not constitute a claim against ABRCF to the extent that insufficient funds exist to make such payment. The agreements in this Section 7.1 shall survive the termination of this Supplement and the Base Indenture and the payment of all amounts payable hereunder and thereunder.</w:t>
      </w:r>
    </w:p>
    <w:p>
      <w:pPr>
        <w:spacing w:after="0" w:line="139" w:lineRule="exact"/>
        <w:rPr>
          <w:rFonts w:ascii="Times New Roman" w:cs="Times New Roman" w:eastAsia="Times New Roman" w:hAnsi="Times New Roman"/>
          <w:sz w:val="18"/>
          <w:szCs w:val="18"/>
          <w:color w:val="auto"/>
        </w:rPr>
      </w:pPr>
    </w:p>
    <w:p>
      <w:pPr>
        <w:ind w:right="40" w:firstLine="921"/>
        <w:spacing w:after="0" w:line="296" w:lineRule="auto"/>
        <w:tabs>
          <w:tab w:leader="none" w:pos="1162" w:val="left"/>
        </w:tabs>
        <w:numPr>
          <w:ilvl w:val="1"/>
          <w:numId w:val="1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Failure or delay on the part of an Affected Party to demand compensation pursuant to this Section 7.1 shall not constitute a waiver of such Affected Party’s right to demand such compensation;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ABRCF shall not be required to compensate any Affected Party pursuant to this Section 7.1 for any increased costs or reductions incurred more than 270 days prior to the date that such Affected Party notifies ABRCF of the Change in Law giving rise to such increased costs or reductions and of such Affected Party’s intention to claim compensation therefor;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further</w:t>
      </w:r>
      <w:r>
        <w:rPr>
          <w:rFonts w:ascii="Times New Roman" w:cs="Times New Roman" w:eastAsia="Times New Roman" w:hAnsi="Times New Roman"/>
          <w:sz w:val="16"/>
          <w:szCs w:val="16"/>
          <w:color w:val="auto"/>
        </w:rPr>
        <w:t>, that, if the Change in Law giving rise to such increased costs or reductions is retroactive, then the 270-day period referred to above shall be extended to include the period of retroactive effect thereof.</w:t>
      </w:r>
    </w:p>
    <w:p>
      <w:pPr>
        <w:spacing w:after="0" w:line="108" w:lineRule="exact"/>
        <w:rPr>
          <w:sz w:val="20"/>
          <w:szCs w:val="20"/>
          <w:color w:val="auto"/>
        </w:rPr>
      </w:pPr>
    </w:p>
    <w:p>
      <w:pPr>
        <w:ind w:right="60" w:firstLine="913"/>
        <w:spacing w:after="0" w:line="255" w:lineRule="auto"/>
        <w:rPr>
          <w:sz w:val="20"/>
          <w:szCs w:val="20"/>
          <w:color w:val="auto"/>
        </w:rPr>
      </w:pPr>
      <w:r>
        <w:rPr>
          <w:rFonts w:ascii="Times New Roman" w:cs="Times New Roman" w:eastAsia="Times New Roman" w:hAnsi="Times New Roman"/>
          <w:sz w:val="18"/>
          <w:szCs w:val="18"/>
          <w:color w:val="auto"/>
        </w:rPr>
        <w:t xml:space="preserve">Section 7.2. </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xml:space="preserve">. (a) Any and all payments by or on account of any obligation of ABRCF hereunder shall be made free and clear of and without deduction for any Indemnified Taxes or Other Taxes;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ABRCF shall be required to deduct any Indemnified Taxes or Other Taxes from such payments, then (i) subject to Section 7.2(c) below, the sum payable shall be increased as necessary so that after making all required deductions (including deductions applicable to additional sums payable under this Section 7.2) the recipient receives an amount equal to the sum that it would have received had no such deductions been made, (ii) ABRCF shall make such deductions and (iii) ABRCF shall pay the full amount deducted to the relevant Governmental Authority in accordance with applicable law.</w:t>
      </w:r>
    </w:p>
    <w:p>
      <w:pPr>
        <w:spacing w:after="0" w:line="139" w:lineRule="exact"/>
        <w:rPr>
          <w:sz w:val="20"/>
          <w:szCs w:val="20"/>
          <w:color w:val="auto"/>
        </w:rPr>
      </w:pPr>
    </w:p>
    <w:p>
      <w:pPr>
        <w:ind w:left="5620" w:right="1620" w:hanging="4699"/>
        <w:spacing w:after="0" w:line="447" w:lineRule="auto"/>
        <w:tabs>
          <w:tab w:leader="none" w:pos="1163"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ABRCF shall pay any Other Taxes to the relevant Governmental Authority in accordance with applicable law. 72</w:t>
      </w:r>
    </w:p>
    <w:p>
      <w:pPr>
        <w:sectPr>
          <w:pgSz w:w="11900" w:h="16838" w:orient="portrait"/>
          <w:cols w:equalWidth="0" w:num="1">
            <w:col w:w="11380"/>
          </w:cols>
          <w:pgMar w:left="240" w:top="274" w:right="279" w:bottom="1440" w:gutter="0" w:footer="0" w:header="0"/>
        </w:sectPr>
      </w:pPr>
    </w:p>
    <w:bookmarkStart w:id="242" w:name="page243"/>
    <w:bookmarkEnd w:id="242"/>
    <w:p>
      <w:pPr>
        <w:ind w:firstLine="921"/>
        <w:spacing w:after="0" w:line="252" w:lineRule="auto"/>
        <w:tabs>
          <w:tab w:leader="none" w:pos="1152"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ABRCF shall indemnify the Administrative Agent, each Funding Agent, each Program Support Provider and each member of each Purchaser Group within the later of 10 days after written demand therefor and the Distribution Date next following such demand for the full amount of any Indemnified Taxes or Other Taxes paid by the Administrative Agent, such Funding Agent, such Program Support Provider or such member of such Purchaser Group on or with respect to any payment by or on account of any obligation of ABRCF hereunder or under the Indenture (including Indemnified Taxes or Other Taxes imposed or asserted on or attributable to amounts payable under this Section 7.2) and any penalties, interest and reasonable expenses arising therefrom or with respect thereto, whether or not such Indemnified Taxes or Other Taxes were correctly or legally imposed or asserted by the relevant Governmental Authority;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Person shall be indemnified pursuant to this Section 7.2(c) or entitled to receive additional amounts under the proviso of Section 7.2(a) to the extent that the reason for such indemnification results from the failure by such Person to comply with the provisions of Section 7.2(e) or (g). A certificate as to the amount of such payment or liability delivered to ABRCF by the Administrative Agent, any Funding Agent, any Program Support Provider or any member of any Purchaser Group shall be conclusive absent manifest error. Any payments made by ABRCF pursuant to this Section 7.2 shall be made solely from funds available in the Series 2009-3 Distribution Account for the payment of Article VII Costs, shall be non-recourse other than with respect to such funds, and shall not constitute a claim against ABRCF to the extent that insufficient funds exist to make such payment. The agreements in this Section shall survive the termination of this Supplement and the Base Indenture and the payment of all amounts payable hereunder and thereunder.</w:t>
      </w:r>
    </w:p>
    <w:p>
      <w:pPr>
        <w:spacing w:after="0" w:line="145" w:lineRule="exact"/>
        <w:rPr>
          <w:rFonts w:ascii="Times New Roman" w:cs="Times New Roman" w:eastAsia="Times New Roman" w:hAnsi="Times New Roman"/>
          <w:sz w:val="18"/>
          <w:szCs w:val="18"/>
          <w:color w:val="auto"/>
        </w:rPr>
      </w:pPr>
    </w:p>
    <w:p>
      <w:pPr>
        <w:ind w:right="80" w:firstLine="921"/>
        <w:spacing w:after="0" w:line="262" w:lineRule="auto"/>
        <w:tabs>
          <w:tab w:leader="none" w:pos="1162"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soon as practicable after any payment of Indemnified Taxes or Other Taxes by ABRCF to a Governmental Authority, ABRCF shall deliver to the Administrative Agent the original or a certified copy of a receipt issued by such Governmental Authority evidencing such payment, a copy of the return reporting such payment or other evidence of such payment reasonably satisfactory to the Administrative Agent.</w:t>
      </w:r>
    </w:p>
    <w:p>
      <w:pPr>
        <w:spacing w:after="0" w:line="132" w:lineRule="exact"/>
        <w:rPr>
          <w:rFonts w:ascii="Times New Roman" w:cs="Times New Roman" w:eastAsia="Times New Roman" w:hAnsi="Times New Roman"/>
          <w:sz w:val="18"/>
          <w:szCs w:val="18"/>
          <w:color w:val="auto"/>
        </w:rPr>
      </w:pPr>
    </w:p>
    <w:p>
      <w:pPr>
        <w:ind w:right="60" w:firstLine="921"/>
        <w:spacing w:after="0" w:line="293" w:lineRule="auto"/>
        <w:tabs>
          <w:tab w:leader="none" w:pos="1152" w:val="left"/>
        </w:tabs>
        <w:numPr>
          <w:ilvl w:val="0"/>
          <w:numId w:val="1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Administrative Agent, each Funding Agent, each member of each Purchaser Group and each Program Support Provider, if entitled to an exemption from or reduction of an Indemnified Tax or Other Tax with respect to payments made hereunder or under the Indenture shall (to the extent legally able to do so) deliver to ABRCF (with a copy to the Administrative Agent) such properly completed and executed documentation prescribed by applicable law and reasonably requested by ABRCF on the later of (i) 30 Business Days after such request is made and the applicable forms are provided to the Administrative Agent, such Funding Agent, such member of such Purchaser Group or such Program Support Provider or (ii) thirty (30) Business Days before prescribed by applicable law as will permit such payments to be made without withholding or with an exemption from or reduction of Indemnified Taxes or Other Taxes.</w:t>
      </w:r>
    </w:p>
    <w:p>
      <w:pPr>
        <w:spacing w:after="0" w:line="110" w:lineRule="exact"/>
        <w:rPr>
          <w:rFonts w:ascii="Times New Roman" w:cs="Times New Roman" w:eastAsia="Times New Roman" w:hAnsi="Times New Roman"/>
          <w:sz w:val="16"/>
          <w:szCs w:val="16"/>
          <w:color w:val="auto"/>
        </w:rPr>
      </w:pPr>
    </w:p>
    <w:p>
      <w:pPr>
        <w:ind w:right="100" w:firstLine="921"/>
        <w:spacing w:after="0" w:line="258" w:lineRule="auto"/>
        <w:tabs>
          <w:tab w:leader="none" w:pos="1132"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Administrative Agent, any Funding Agent, any Program Support Provider or any member of any Purchaser Group receives a refund solely in respect of Indemnified Taxes or Other Taxes, it shall pay over such refund to ABRCF to the extent that it has already received indemnity payments or additional amounts pursuant to this Section 7.2 with respect to such Indemnified Taxes or Other Taxes giving rise to the refund, net of all out-of-pocket expenses and without interest (other than interest paid by the relevant Governmental</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1420"/>
          </w:cols>
          <w:pgMar w:left="240" w:top="274" w:right="239" w:bottom="1440" w:gutter="0" w:footer="0" w:header="0"/>
        </w:sectPr>
      </w:pPr>
    </w:p>
    <w:bookmarkStart w:id="243" w:name="page244"/>
    <w:bookmarkEnd w:id="243"/>
    <w:p>
      <w:pPr>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Authority with respect to such refund);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ABRCF shall, upon request of the Administrative Agent, such Funding Agent, such Program Support Provider or such member of such Purchaser Group, repay such refund (plus interest or other charges imposed by the relevant Governmental Authority) to the Administrative Agent, such Funding Agent, such Program Support Provider or such member of such Purchaser Group if the Administrative Agent, such Funding Agent, such Program Support Provider or such member of such Purchaser Group is required to repay such refund to such Governmental Authority. Nothing contained herein shall require the Administrative Agent, any Funding Agent, any Program Support Provider or any member of any Purchaser Group to make its tax returns (or any other information relating to its taxes which it deems confidential) available to ABRCF or any other Person.</w:t>
      </w:r>
    </w:p>
    <w:p>
      <w:pPr>
        <w:spacing w:after="0" w:line="139" w:lineRule="exact"/>
        <w:rPr>
          <w:sz w:val="20"/>
          <w:szCs w:val="20"/>
          <w:color w:val="auto"/>
        </w:rPr>
      </w:pPr>
    </w:p>
    <w:p>
      <w:pPr>
        <w:ind w:right="20" w:firstLine="921"/>
        <w:spacing w:after="0" w:line="275" w:lineRule="auto"/>
        <w:tabs>
          <w:tab w:leader="none" w:pos="1162" w:val="left"/>
        </w:tabs>
        <w:numPr>
          <w:ilvl w:val="1"/>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each Funding Agent, each Program Support Provider and each member of each Purchaser Group (other than any such entity which is a domestic corporation) shall:</w:t>
      </w:r>
    </w:p>
    <w:p>
      <w:pPr>
        <w:spacing w:after="0" w:line="38" w:lineRule="exact"/>
        <w:rPr>
          <w:rFonts w:ascii="Times New Roman" w:cs="Times New Roman" w:eastAsia="Times New Roman" w:hAnsi="Times New Roman"/>
          <w:sz w:val="18"/>
          <w:szCs w:val="18"/>
          <w:color w:val="auto"/>
        </w:rPr>
      </w:pPr>
    </w:p>
    <w:p>
      <w:pPr>
        <w:ind w:left="460" w:right="60" w:firstLine="443"/>
        <w:spacing w:after="0" w:line="262" w:lineRule="auto"/>
        <w:tabs>
          <w:tab w:leader="none" w:pos="1108"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or prior to becoming a party hereto, deliver to ABRCF and the Administrative Agent two (2) duly completed copies of IRS Form W-8BEN, W-8ECI or W-9, or successor applicable forms, as the case may be, establishing a complete exemption from withholding of United States federal income taxes or backup withholding taxes with respect to payments under the Series 2009-3 Notes and this Supplement;</w:t>
      </w:r>
    </w:p>
    <w:p>
      <w:pPr>
        <w:spacing w:after="0" w:line="51" w:lineRule="exact"/>
        <w:rPr>
          <w:rFonts w:ascii="Times New Roman" w:cs="Times New Roman" w:eastAsia="Times New Roman" w:hAnsi="Times New Roman"/>
          <w:sz w:val="18"/>
          <w:szCs w:val="18"/>
          <w:color w:val="auto"/>
        </w:rPr>
      </w:pPr>
    </w:p>
    <w:p>
      <w:pPr>
        <w:ind w:left="460" w:right="60" w:firstLine="443"/>
        <w:spacing w:after="0" w:line="258" w:lineRule="auto"/>
        <w:tabs>
          <w:tab w:leader="none" w:pos="1157"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 to ABRCF and the Administrative Agent two (2) further copies of any such form or certification establishing a complete exemption from withholding of United States federal income taxes or backup withholding taxes with respect to payments under the Series 2009-3 Notes and this Supplement on or before the date that any such form or certification expires or becomes obsolete and after the occurrence of any event requiring a change in the most recent form previously delivered by it to ABRCF; and</w:t>
      </w:r>
    </w:p>
    <w:p>
      <w:pPr>
        <w:spacing w:after="0" w:line="55" w:lineRule="exact"/>
        <w:rPr>
          <w:rFonts w:ascii="Times New Roman" w:cs="Times New Roman" w:eastAsia="Times New Roman" w:hAnsi="Times New Roman"/>
          <w:sz w:val="18"/>
          <w:szCs w:val="18"/>
          <w:color w:val="auto"/>
        </w:rPr>
      </w:pPr>
    </w:p>
    <w:p>
      <w:pPr>
        <w:ind w:left="460" w:right="600" w:firstLine="443"/>
        <w:spacing w:after="0" w:line="275" w:lineRule="auto"/>
        <w:tabs>
          <w:tab w:leader="none" w:pos="1205"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such extensions of time for filing and completing such forms or certifications as may reasonably be requested by ABRCF and the Administrative Agent;</w:t>
      </w:r>
    </w:p>
    <w:p>
      <w:pPr>
        <w:spacing w:after="0" w:line="120"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unless, in any such case, any change in treaty, law or regulation has occurred after the Series 2009-3 Closing Date (or, if later, the date the Administrative Agent, such Funding Agent, such Program Support Provider or such member of such Purchaser Group becomes an indemnified party hereunder) and prior to the date on which any such delivery would otherwise be required which renders the relevant form inapplicable or which would prevent the Administrative Agent, such Funding Agent, such Program Support Provider or such member of such Purchaser Group from duly completing and delivering the relevant form with respect to it, and the Administrative Agent, such Funding Agent, such Program Support Provider or such member of such Purchaser Group so advises ABRCF and the Administrative Agent.</w:t>
      </w:r>
    </w:p>
    <w:p>
      <w:pPr>
        <w:spacing w:after="0" w:line="139" w:lineRule="exact"/>
        <w:rPr>
          <w:sz w:val="20"/>
          <w:szCs w:val="20"/>
          <w:color w:val="auto"/>
        </w:rPr>
      </w:pPr>
    </w:p>
    <w:p>
      <w:pPr>
        <w:jc w:val="both"/>
        <w:ind w:right="240" w:firstLine="921"/>
        <w:spacing w:after="0" w:line="262" w:lineRule="auto"/>
        <w:tabs>
          <w:tab w:leader="none" w:pos="1162"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beneficial or equity owner of the Administrative Agent, a Funding Agent, a Program Support Provider or a member of a Purchaser Group (instead of the Administrative Agent, the Funding Agent, the Program Support Provider or the member of the Purchaser Group itself) is required under United States federal income tax law or the terms of a relevant treaty to provide IRS Form W-8BEN, W-8ECI or W-9, or any successor applicable</w:t>
      </w:r>
    </w:p>
    <w:p>
      <w:pPr>
        <w:spacing w:after="0" w:line="1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1380"/>
          </w:cols>
          <w:pgMar w:left="240" w:top="274" w:right="279" w:bottom="1440" w:gutter="0" w:footer="0" w:header="0"/>
        </w:sectPr>
      </w:pPr>
    </w:p>
    <w:bookmarkStart w:id="244" w:name="page245"/>
    <w:bookmarkEnd w:id="244"/>
    <w:p>
      <w:pPr>
        <w:jc w:val="both"/>
        <w:ind w:right="140"/>
        <w:spacing w:after="0" w:line="26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forms, as the case may be, in order to claim an exemption from withholding of United States federal income taxes or backup withholding taxes, then each such beneficial owner or equity owner shall be considered to be the Administrative Agent, a Funding Agent, a Program Support Provider or a member of a Purchaser Group for purposes of Section 7.2(g).</w:t>
      </w:r>
    </w:p>
    <w:p>
      <w:pPr>
        <w:spacing w:after="0" w:line="132" w:lineRule="exact"/>
        <w:rPr>
          <w:sz w:val="20"/>
          <w:szCs w:val="20"/>
          <w:color w:val="auto"/>
        </w:rPr>
      </w:pPr>
    </w:p>
    <w:p>
      <w:pPr>
        <w:ind w:firstLine="913"/>
        <w:spacing w:after="0" w:line="251" w:lineRule="auto"/>
        <w:rPr>
          <w:sz w:val="20"/>
          <w:szCs w:val="20"/>
          <w:color w:val="auto"/>
        </w:rPr>
      </w:pPr>
      <w:r>
        <w:rPr>
          <w:rFonts w:ascii="Times New Roman" w:cs="Times New Roman" w:eastAsia="Times New Roman" w:hAnsi="Times New Roman"/>
          <w:sz w:val="18"/>
          <w:szCs w:val="18"/>
          <w:color w:val="auto"/>
        </w:rPr>
        <w:t xml:space="preserve">Section 7.3. </w:t>
      </w:r>
      <w:r>
        <w:rPr>
          <w:rFonts w:ascii="Times New Roman" w:cs="Times New Roman" w:eastAsia="Times New Roman" w:hAnsi="Times New Roman"/>
          <w:sz w:val="18"/>
          <w:szCs w:val="18"/>
          <w:u w:val="single" w:color="auto"/>
          <w:color w:val="auto"/>
        </w:rPr>
        <w:t>Break Funding Payments</w:t>
      </w:r>
      <w:r>
        <w:rPr>
          <w:rFonts w:ascii="Times New Roman" w:cs="Times New Roman" w:eastAsia="Times New Roman" w:hAnsi="Times New Roman"/>
          <w:sz w:val="18"/>
          <w:szCs w:val="18"/>
          <w:color w:val="auto"/>
        </w:rPr>
        <w:t>. ABRCF agrees to indemnify each Purchaser Group and to hold each Purchaser Group harmless from any loss or expense which such Purchaser Group may sustain or incur as a consequence of (a) the failure by ABRCF to accept any Increase after ABRCF has given irrevocable notice requesting the same in accordance with the provisions of this Supplement, (b) the conversion into or continuation of a CP Tranche or a Eurodollar Tranche that occurs other than on the last day of the applicable CP Rate Period or Eurodollar Period, (c) default by ABRCF in making any prepayment in connection with a Decrease after ABRCF has given irrevocable notice thereof in accordance with the provisions of Section 2.5 or (d) the making of a prepayment of a CP Tranche or a Eurodollar Tranche (including, without limitation, any Decrease) prior to the termination of the CP Rate Period for such CP Tranche or the Eurodollar Period for such Eurodollar Tranche, as the case may be, or the making of a Decrease on a date other than as specified in any notice of a Decrease or in a greater amount than contained in any notice of a Decrease. Such indemnification shall include an amount determined by the Funding Agent with respect to such Purchaser Group and shall equal (a) in the case of the losses or expenses associated with a CP Tranche or a Eurodollar Tranche, either (x) the excess, if any, of (i) such Purchaser Group’s cost of funding the amount so prepaid or not so borrowed, converted or continued, for the period from the date of such prepayment or of such failure to borrow, convert or continue to the last day of the CP Rate Period or the Eurodollar Period (or in the case of a failure to borrow, convert or continue, the CP Rate Period or the Eurodollar Period that would have commenced on the date of such prepayment or of such failure), as the case may be, over (ii) the amount of interest earned by such Purchaser Group upon redeployment of an amount of funds equal to the amount prepaid or not borrowed, converted or continued for a comparable period or (y) if such Purchaser Group is able to terminate the funding source before its scheduled maturity, any costs associated with such termination and (b) in the case of the losses or expenses incurred by a Pooled Funding CP Conduit Purchaser, the losses and expenses incurred by such Pooled Funding CP Conduit Purchaser in connection with the liquidation or reemployment of deposits or other funds acquired by such Pooled Funding CP Conduit Purchaser as a result of the failure to accept an Increase, a default in the making of a Decrease or the making of a Decrease in an amount or on a date not contained in a notice of a Decrease. Notwithstanding the foregoing, any payments made by ABRCF pursuant to this subsection shall be made solely from funds available in the Series 2009-3 Distribution Account for the payment of Article VII Costs, shall be non-recourse other than with respect to such funds, and shall not constitute a claim against ABRCF to the extent that such funds are insufficient to make such payment. This covenant shall survive the termination of this Supplement and the Base Indenture and the payment of all amounts payable hereunder and thereunder. A certificate as to any additional amounts payable pursuant to the foregoing sentence submitted by any Funding Agent on behalf of a Purchaser Group to ABRCF shall be conclusive absent manifest error.</w:t>
      </w:r>
    </w:p>
    <w:p>
      <w:pPr>
        <w:spacing w:after="0" w:line="15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 xml:space="preserve">Section 7.4. </w:t>
      </w:r>
      <w:r>
        <w:rPr>
          <w:rFonts w:ascii="Times New Roman" w:cs="Times New Roman" w:eastAsia="Times New Roman" w:hAnsi="Times New Roman"/>
          <w:sz w:val="18"/>
          <w:szCs w:val="18"/>
          <w:u w:val="single" w:color="auto"/>
          <w:color w:val="auto"/>
        </w:rPr>
        <w:t>Alternate Rate of Interest</w:t>
      </w:r>
      <w:r>
        <w:rPr>
          <w:rFonts w:ascii="Times New Roman" w:cs="Times New Roman" w:eastAsia="Times New Roman" w:hAnsi="Times New Roman"/>
          <w:sz w:val="18"/>
          <w:szCs w:val="18"/>
          <w:color w:val="auto"/>
        </w:rPr>
        <w:t>. If prior to the commencement of any Eurodollar Period:</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1400"/>
          </w:cols>
          <w:pgMar w:left="240" w:top="274" w:right="259" w:bottom="1440" w:gutter="0" w:footer="0" w:header="0"/>
        </w:sectPr>
      </w:pPr>
    </w:p>
    <w:bookmarkStart w:id="245" w:name="page246"/>
    <w:bookmarkEnd w:id="245"/>
    <w:p>
      <w:pPr>
        <w:ind w:left="460" w:right="100" w:firstLine="443"/>
        <w:spacing w:after="0" w:line="275" w:lineRule="auto"/>
        <w:tabs>
          <w:tab w:leader="none" w:pos="1137"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Administrative Agent determines (which determination shall be conclusive absent manifest error) that adequate and reasonable means do not exist for ascertaining the Adjusted LIBO Rate for such Eurodollar Period, or</w:t>
      </w:r>
    </w:p>
    <w:p>
      <w:pPr>
        <w:spacing w:after="0" w:line="38" w:lineRule="exact"/>
        <w:rPr>
          <w:rFonts w:ascii="Times New Roman" w:cs="Times New Roman" w:eastAsia="Times New Roman" w:hAnsi="Times New Roman"/>
          <w:sz w:val="18"/>
          <w:szCs w:val="18"/>
          <w:color w:val="auto"/>
        </w:rPr>
      </w:pPr>
    </w:p>
    <w:p>
      <w:pPr>
        <w:ind w:left="460" w:right="320" w:firstLine="443"/>
        <w:spacing w:after="0" w:line="275" w:lineRule="auto"/>
        <w:tabs>
          <w:tab w:leader="none" w:pos="1147"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is advised by any APA Bank that the Adjusted LIBO Rate for such Eurodollar Period will not adequately and fairly reflect the cost to such APA Bank of making or maintaining the Eurodollar Tranches during such Eurodollar Period,</w:t>
      </w:r>
    </w:p>
    <w:p>
      <w:pPr>
        <w:spacing w:after="0" w:line="120"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then the Administrative Agent shall promptly give telecopy or telephonic notice thereof to ABRCF and the Trustee, whereupon until the Administrative Agent notifies ABRCF and the Trustee that the circumstances giving rise to such notice no longer exist, the Available APA Bank Funding Amount with respect to any Purchaser Group (in the case of clause (a) above) or with respect to the related Purchaser Group (in the case of clause (b) above) shall not be allocated to any Eurodollar Tranche.</w:t>
      </w:r>
    </w:p>
    <w:p>
      <w:pPr>
        <w:spacing w:after="0" w:line="136" w:lineRule="exact"/>
        <w:rPr>
          <w:sz w:val="20"/>
          <w:szCs w:val="20"/>
          <w:color w:val="auto"/>
        </w:rPr>
      </w:pPr>
    </w:p>
    <w:p>
      <w:pPr>
        <w:ind w:right="20" w:firstLine="913"/>
        <w:spacing w:after="0" w:line="253" w:lineRule="auto"/>
        <w:rPr>
          <w:sz w:val="20"/>
          <w:szCs w:val="20"/>
          <w:color w:val="auto"/>
        </w:rPr>
      </w:pPr>
      <w:r>
        <w:rPr>
          <w:rFonts w:ascii="Times New Roman" w:cs="Times New Roman" w:eastAsia="Times New Roman" w:hAnsi="Times New Roman"/>
          <w:sz w:val="18"/>
          <w:szCs w:val="18"/>
          <w:color w:val="auto"/>
        </w:rPr>
        <w:t xml:space="preserve">Section 7.5. </w:t>
      </w:r>
      <w:r>
        <w:rPr>
          <w:rFonts w:ascii="Times New Roman" w:cs="Times New Roman" w:eastAsia="Times New Roman" w:hAnsi="Times New Roman"/>
          <w:sz w:val="18"/>
          <w:szCs w:val="18"/>
          <w:u w:val="single" w:color="auto"/>
          <w:color w:val="auto"/>
        </w:rPr>
        <w:t>Mitigation Obligations</w:t>
      </w:r>
      <w:r>
        <w:rPr>
          <w:rFonts w:ascii="Times New Roman" w:cs="Times New Roman" w:eastAsia="Times New Roman" w:hAnsi="Times New Roman"/>
          <w:sz w:val="18"/>
          <w:szCs w:val="18"/>
          <w:color w:val="auto"/>
        </w:rPr>
        <w:t>. If an Affected Party requests compensation under Section 7.1, or if ABRCF is required to pay any additional amount to any Purchaser Group or any Governmental Authority for the account of any Purchaser Group pursuant to Section 7.2, then, upon written notice from ABRCF, such Affected Party or Purchaser Group, as the case may be, shall use commercially reasonable efforts to designate a different lending office for funding or booking its obligations hereunder or to assign its rights and obligations hereunder to another of its offices, branches or affiliates, which pays a price for such assignment which is acceptable to such Purchaser Group and its assignee, in the judgment of such Affected Party or Purchaser Group, such designation or assignment (i) would eliminate or reduce amounts payable pursuant to Section 7.1 or 7.2, as the case may be, in the future and (ii) would not subject such Affected Party or Purchaser Group to any unreimbursed cost or expense and would not otherwise be disadvantageous to such Affected Party or Purchaser Group. ABRCF hereby agrees to pay all reasonable costs and expenses incurred by such Affected Party or Purchaser Group in connection with any such designation or assignment.</w:t>
      </w:r>
    </w:p>
    <w:p>
      <w:pPr>
        <w:spacing w:after="0" w:line="22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VIII</w:t>
      </w:r>
    </w:p>
    <w:p>
      <w:pPr>
        <w:spacing w:after="0" w:line="17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REPRESENTATIONS AND WARRANTIES, COVENANTS</w:t>
      </w:r>
    </w:p>
    <w:p>
      <w:pPr>
        <w:spacing w:after="0" w:line="173" w:lineRule="exact"/>
        <w:rPr>
          <w:sz w:val="20"/>
          <w:szCs w:val="20"/>
          <w:color w:val="auto"/>
        </w:rPr>
      </w:pPr>
    </w:p>
    <w:p>
      <w:pPr>
        <w:ind w:right="580" w:firstLine="913"/>
        <w:spacing w:after="0" w:line="275" w:lineRule="auto"/>
        <w:rPr>
          <w:sz w:val="20"/>
          <w:szCs w:val="20"/>
          <w:color w:val="auto"/>
        </w:rPr>
      </w:pPr>
      <w:r>
        <w:rPr>
          <w:rFonts w:ascii="Times New Roman" w:cs="Times New Roman" w:eastAsia="Times New Roman" w:hAnsi="Times New Roman"/>
          <w:sz w:val="18"/>
          <w:szCs w:val="18"/>
          <w:color w:val="auto"/>
        </w:rPr>
        <w:t xml:space="preserve">Section 8.1. </w:t>
      </w:r>
      <w:r>
        <w:rPr>
          <w:rFonts w:ascii="Times New Roman" w:cs="Times New Roman" w:eastAsia="Times New Roman" w:hAnsi="Times New Roman"/>
          <w:sz w:val="18"/>
          <w:szCs w:val="18"/>
          <w:u w:val="single" w:color="auto"/>
          <w:color w:val="auto"/>
        </w:rPr>
        <w:t>Representations and Warranties of ABRCF and the Administrator</w:t>
      </w:r>
      <w:r>
        <w:rPr>
          <w:rFonts w:ascii="Times New Roman" w:cs="Times New Roman" w:eastAsia="Times New Roman" w:hAnsi="Times New Roman"/>
          <w:sz w:val="18"/>
          <w:szCs w:val="18"/>
          <w:color w:val="auto"/>
        </w:rPr>
        <w:t>. (a) ABRCF and the Administrator each hereby represents and warrants to the Trustee, the Administrative Agent, each Funding Agent, each CP Conduit Purchaser and each APA Bank that:</w:t>
      </w:r>
    </w:p>
    <w:p>
      <w:pPr>
        <w:spacing w:after="0" w:line="39" w:lineRule="exact"/>
        <w:rPr>
          <w:sz w:val="20"/>
          <w:szCs w:val="20"/>
          <w:color w:val="auto"/>
        </w:rPr>
      </w:pPr>
    </w:p>
    <w:p>
      <w:pPr>
        <w:ind w:left="460" w:firstLine="443"/>
        <w:spacing w:after="0" w:line="262" w:lineRule="auto"/>
        <w:tabs>
          <w:tab w:leader="none" w:pos="1108"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and every of their respective representations and warranties contained in the Related Documents is true and correct as of the Series 2009-3 Closing Date and true and correct in all material respects (other than any such representation or warranty that is qualified by materiality, which shall be true and correct) as of the date of each Increase; and</w:t>
      </w:r>
    </w:p>
    <w:p>
      <w:pPr>
        <w:spacing w:after="0" w:line="1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1400"/>
          </w:cols>
          <w:pgMar w:left="240" w:top="274" w:right="259" w:bottom="1440" w:gutter="0" w:footer="0" w:header="0"/>
        </w:sectPr>
      </w:pPr>
    </w:p>
    <w:bookmarkStart w:id="246" w:name="page247"/>
    <w:bookmarkEnd w:id="246"/>
    <w:p>
      <w:pPr>
        <w:ind w:left="460" w:right="160" w:firstLine="443"/>
        <w:spacing w:after="0" w:line="275" w:lineRule="auto"/>
        <w:tabs>
          <w:tab w:leader="none" w:pos="1157"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as of the Series 2009-3 Closing Date, they have not engaged, in connection with the offering of the Series 2009-3 Notes, in any form of general solicitation or general advertising within the meaning of Rule 502(c) under the Securities Act.</w:t>
      </w:r>
    </w:p>
    <w:p>
      <w:pPr>
        <w:spacing w:after="0" w:line="119" w:lineRule="exact"/>
        <w:rPr>
          <w:rFonts w:ascii="Times New Roman" w:cs="Times New Roman" w:eastAsia="Times New Roman" w:hAnsi="Times New Roman"/>
          <w:sz w:val="18"/>
          <w:szCs w:val="18"/>
          <w:color w:val="auto"/>
        </w:rPr>
      </w:pPr>
    </w:p>
    <w:p>
      <w:pPr>
        <w:ind w:firstLine="921"/>
        <w:spacing w:after="0" w:line="256" w:lineRule="auto"/>
        <w:tabs>
          <w:tab w:leader="none" w:pos="1162"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ABRCF hereby represents and warrants to the Trustee, the Administrative Agent, each Funding Agent, each CP Conduit Purchaser and each APA Bank that each of the Series 2009-3 Notes has been duly authorized and executed by ABRCF and when duly authenticated by the Trustee and delivered to the Funding Agents in accordance with the terms of this Supplement will constitute legal, valid and binding obligations of ABRCF enforceable in accordance with their terms, except as enforceability thereof may be limited by bankruptcy, insolvency, or other similar laws relating to or affecting generally the enforcement of creditors’ rights or by general equitable principles.</w:t>
      </w:r>
    </w:p>
    <w:p>
      <w:pPr>
        <w:spacing w:after="0" w:line="13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 xml:space="preserve">Section 8.2. </w:t>
      </w:r>
      <w:r>
        <w:rPr>
          <w:rFonts w:ascii="Times New Roman" w:cs="Times New Roman" w:eastAsia="Times New Roman" w:hAnsi="Times New Roman"/>
          <w:sz w:val="18"/>
          <w:szCs w:val="18"/>
          <w:u w:val="single" w:color="auto"/>
          <w:color w:val="auto"/>
        </w:rPr>
        <w:t>Covenants of ABRCF and the Administrator</w:t>
      </w:r>
      <w:r>
        <w:rPr>
          <w:rFonts w:ascii="Times New Roman" w:cs="Times New Roman" w:eastAsia="Times New Roman" w:hAnsi="Times New Roman"/>
          <w:sz w:val="18"/>
          <w:szCs w:val="18"/>
          <w:color w:val="auto"/>
        </w:rPr>
        <w:t>. ABRCF and the Administrator hereby agree, in addition to their obligations hereunder,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that:</w:t>
      </w:r>
    </w:p>
    <w:p>
      <w:pPr>
        <w:spacing w:after="0" w:line="78" w:lineRule="exact"/>
        <w:rPr>
          <w:sz w:val="20"/>
          <w:szCs w:val="20"/>
          <w:color w:val="auto"/>
        </w:rPr>
      </w:pPr>
    </w:p>
    <w:p>
      <w:pPr>
        <w:ind w:left="460" w:right="420" w:firstLine="443"/>
        <w:spacing w:after="0" w:line="275" w:lineRule="auto"/>
        <w:tabs>
          <w:tab w:leader="none" w:pos="1137"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they shall observe in all material respects each and every of their respective covenants (both affirmative and negative) contained in the Base Indenture and all other Related Documents to which each is a party;</w:t>
      </w:r>
    </w:p>
    <w:p>
      <w:pPr>
        <w:spacing w:after="0" w:line="38" w:lineRule="exact"/>
        <w:rPr>
          <w:rFonts w:ascii="Times New Roman" w:cs="Times New Roman" w:eastAsia="Times New Roman" w:hAnsi="Times New Roman"/>
          <w:sz w:val="18"/>
          <w:szCs w:val="18"/>
          <w:color w:val="auto"/>
        </w:rPr>
      </w:pPr>
    </w:p>
    <w:p>
      <w:pPr>
        <w:ind w:left="460" w:right="260" w:firstLine="443"/>
        <w:spacing w:after="0" w:line="254" w:lineRule="auto"/>
        <w:tabs>
          <w:tab w:leader="none" w:pos="1147"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they shall afford each Funding Agent with respect to a Purchaser Group, the Trustee or any representatives of any such Funding Agent or the Trustee access to all records relating to the Leases, the Subleases, the Vehicles, the Manufacturer Programs and the Loan Agreements at any reasonable time during regular business hours, upon reasonable prior notice (and with one Business Day’s prior notice if an Amortization Event with respect to the Series 2009-3 Notes shall have been deemed to have occurred or shall have been declared to have occurred), for purposes of inspection and shall permit such Funding Agent, the Trustee or any representative of such Funding Agent or the Trustee to visit any of ABRCF’s or the Administrator’s, as the case may be, offices or properties during regular business hours and as often as may reasonably be desired to discuss the business, operations, properties, financial and other conditions of ABRCF or the Administrator with their respective officers and employees and with their independent certified public accountants;</w:t>
      </w:r>
    </w:p>
    <w:p>
      <w:pPr>
        <w:spacing w:after="0" w:line="57" w:lineRule="exact"/>
        <w:rPr>
          <w:rFonts w:ascii="Times New Roman" w:cs="Times New Roman" w:eastAsia="Times New Roman" w:hAnsi="Times New Roman"/>
          <w:sz w:val="18"/>
          <w:szCs w:val="18"/>
          <w:color w:val="auto"/>
        </w:rPr>
      </w:pPr>
    </w:p>
    <w:p>
      <w:pPr>
        <w:ind w:left="460" w:right="120" w:firstLine="443"/>
        <w:spacing w:after="0" w:line="262" w:lineRule="auto"/>
        <w:tabs>
          <w:tab w:leader="none" w:pos="1137"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they shall promptly provide such additional financial and other information with respect to the Related Documents, ABRCF, the Lessors, the Permitted Nominees, the Lessees, the Permitted Sublessees, the Related Documents or the Manufacturer Programs as the Administrative Agent may from time to time reasonably request;</w:t>
      </w:r>
    </w:p>
    <w:p>
      <w:pPr>
        <w:spacing w:after="0" w:line="51" w:lineRule="exact"/>
        <w:rPr>
          <w:rFonts w:ascii="Times New Roman" w:cs="Times New Roman" w:eastAsia="Times New Roman" w:hAnsi="Times New Roman"/>
          <w:sz w:val="18"/>
          <w:szCs w:val="18"/>
          <w:color w:val="auto"/>
        </w:rPr>
      </w:pPr>
    </w:p>
    <w:p>
      <w:pPr>
        <w:ind w:left="460" w:right="300" w:firstLine="443"/>
        <w:spacing w:after="0" w:line="258" w:lineRule="auto"/>
        <w:tabs>
          <w:tab w:leader="none" w:pos="1147"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they shall provide to the Administrative Agent simultaneously with delivery to the Trustee copies of information furnished to the Trustee or ABRCF pursuant to the Related Documents as such information relates to all Series of Notes generally or specifically to the Series 2009-3 Notes or the Series 2009-3 Collateral. The Administrative Agent shall distribute to the Funding Agents copies of all information delivered to it pursuant to this Section 8.2(d);</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1400"/>
          </w:cols>
          <w:pgMar w:left="240" w:top="274" w:right="259" w:bottom="1440" w:gutter="0" w:footer="0" w:header="0"/>
        </w:sectPr>
      </w:pPr>
    </w:p>
    <w:bookmarkStart w:id="247" w:name="page248"/>
    <w:bookmarkEnd w:id="247"/>
    <w:p>
      <w:pPr>
        <w:ind w:left="460" w:right="440" w:firstLine="443"/>
        <w:spacing w:after="0" w:line="275" w:lineRule="auto"/>
        <w:tabs>
          <w:tab w:leader="none" w:pos="1137"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they shall not agree to any amendment to the Base Indenture or any other Related Document, which amendment requires the consent of the Requisite Investors, without having received the prior written consent of the Requisite Noteholders;</w:t>
      </w:r>
    </w:p>
    <w:p>
      <w:pPr>
        <w:spacing w:after="0" w:line="38" w:lineRule="exact"/>
        <w:rPr>
          <w:rFonts w:ascii="Times New Roman" w:cs="Times New Roman" w:eastAsia="Times New Roman" w:hAnsi="Times New Roman"/>
          <w:sz w:val="18"/>
          <w:szCs w:val="18"/>
          <w:color w:val="auto"/>
        </w:rPr>
      </w:pPr>
    </w:p>
    <w:p>
      <w:pPr>
        <w:ind w:left="460" w:right="660" w:firstLine="443"/>
        <w:spacing w:after="0" w:line="275" w:lineRule="auto"/>
        <w:tabs>
          <w:tab w:leader="none" w:pos="1117"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they shall not agree to any replacement or successor to the Intermediary or the addition of any new Manufacturer as an Eligible Program Manufacturer, in each case without having received the prior written consent of the Requisite Noteholders;</w:t>
      </w:r>
    </w:p>
    <w:p>
      <w:pPr>
        <w:spacing w:after="0" w:line="38" w:lineRule="exact"/>
        <w:rPr>
          <w:rFonts w:ascii="Times New Roman" w:cs="Times New Roman" w:eastAsia="Times New Roman" w:hAnsi="Times New Roman"/>
          <w:sz w:val="18"/>
          <w:szCs w:val="18"/>
          <w:color w:val="auto"/>
        </w:rPr>
      </w:pPr>
    </w:p>
    <w:p>
      <w:pPr>
        <w:ind w:left="460" w:right="80" w:firstLine="443"/>
        <w:spacing w:after="0" w:line="287" w:lineRule="auto"/>
        <w:tabs>
          <w:tab w:leader="none" w:pos="1147" w:val="left"/>
        </w:tabs>
        <w:numPr>
          <w:ilvl w:val="0"/>
          <w:numId w:val="1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they shall not permit the aggregate Capitalized Cost for all Vehicles purchased in any model year that are not subject to a Manufacturer Program to exceed 85% of the aggregate MSRP (Manufacturer Suggested Retail Price) of all such Vehicles;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that they shall not modify the customary buying patterns or purchasing criteria used by the Administrator and its Affiliates with respect to the Vehicles if the primary purpose of</w:t>
      </w:r>
    </w:p>
    <w:p>
      <w:pPr>
        <w:ind w:left="46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such modification is to comply with this covenant;</w:t>
      </w:r>
    </w:p>
    <w:p>
      <w:pPr>
        <w:spacing w:after="0" w:line="77" w:lineRule="exact"/>
        <w:rPr>
          <w:rFonts w:ascii="Times New Roman" w:cs="Times New Roman" w:eastAsia="Times New Roman" w:hAnsi="Times New Roman"/>
          <w:sz w:val="16"/>
          <w:szCs w:val="16"/>
          <w:color w:val="auto"/>
        </w:rPr>
      </w:pPr>
    </w:p>
    <w:p>
      <w:pPr>
        <w:ind w:left="460" w:right="60" w:firstLine="443"/>
        <w:spacing w:after="0" w:line="262" w:lineRule="auto"/>
        <w:tabs>
          <w:tab w:leader="none" w:pos="1147"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Replacement Credit Agreement, they will provide notice of such Replacement Credit Agreement, together with a copy of the proposed Replacement Credit Agreement, to Moody’s and Standard &amp; Poor’s no less than ten (10) days prior to the anticipated effective date for such Replacement Credit Agreement;</w:t>
      </w:r>
    </w:p>
    <w:p>
      <w:pPr>
        <w:spacing w:after="0" w:line="51" w:lineRule="exact"/>
        <w:rPr>
          <w:rFonts w:ascii="Times New Roman" w:cs="Times New Roman" w:eastAsia="Times New Roman" w:hAnsi="Times New Roman"/>
          <w:sz w:val="18"/>
          <w:szCs w:val="18"/>
          <w:color w:val="auto"/>
        </w:rPr>
      </w:pPr>
    </w:p>
    <w:p>
      <w:pPr>
        <w:ind w:left="460" w:firstLine="443"/>
        <w:spacing w:after="0" w:line="258" w:lineRule="auto"/>
        <w:tabs>
          <w:tab w:leader="none" w:pos="1108"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they shall provide to the Administrative Agent and each Funding Agent, on each Determination Date, a calculation of the Series 2009-3 Standard &amp; Poor’s Enhancement Percentage, the Series 2009-3 Incremental Enhancement Amount, the Standard &amp; Poor’s Excluded Receivable Amount, the Series 2009-3 Standard &amp; Poor’s Enhancement Amount and the Series 2009-3 Standard &amp; Poor’s Additional Enhancement Amount, in each case, as of the last day of the Related Month with respect to such Determination Date; and</w:t>
      </w:r>
    </w:p>
    <w:p>
      <w:pPr>
        <w:spacing w:after="0" w:line="55" w:lineRule="exact"/>
        <w:rPr>
          <w:rFonts w:ascii="Times New Roman" w:cs="Times New Roman" w:eastAsia="Times New Roman" w:hAnsi="Times New Roman"/>
          <w:sz w:val="18"/>
          <w:szCs w:val="18"/>
          <w:color w:val="auto"/>
        </w:rPr>
      </w:pPr>
    </w:p>
    <w:p>
      <w:pPr>
        <w:jc w:val="both"/>
        <w:ind w:left="460" w:right="240" w:firstLine="443"/>
        <w:spacing w:after="0" w:line="262" w:lineRule="auto"/>
        <w:tabs>
          <w:tab w:leader="none" w:pos="1108"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they shall provide the Administrative Agent with ten days’ prior notice of any appointment of an Independent Manager in accordance with the ABRCF Limited Liability Company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such appointment is to fill a vacancy, such notice shall only be required to be given as promptly as possible.</w:t>
      </w:r>
    </w:p>
    <w:p>
      <w:pPr>
        <w:spacing w:after="0" w:line="21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ARTICLE IX</w:t>
      </w:r>
    </w:p>
    <w:p>
      <w:pPr>
        <w:spacing w:after="0" w:line="17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THE ADMINISTRATIVE AGENT</w:t>
      </w:r>
    </w:p>
    <w:p>
      <w:pPr>
        <w:spacing w:after="0" w:line="173" w:lineRule="exact"/>
        <w:rPr>
          <w:sz w:val="20"/>
          <w:szCs w:val="20"/>
          <w:color w:val="auto"/>
        </w:rPr>
      </w:pPr>
    </w:p>
    <w:p>
      <w:pPr>
        <w:ind w:firstLine="913"/>
        <w:spacing w:after="0" w:line="255" w:lineRule="auto"/>
        <w:rPr>
          <w:sz w:val="20"/>
          <w:szCs w:val="20"/>
          <w:color w:val="auto"/>
        </w:rPr>
      </w:pPr>
      <w:r>
        <w:rPr>
          <w:rFonts w:ascii="Times New Roman" w:cs="Times New Roman" w:eastAsia="Times New Roman" w:hAnsi="Times New Roman"/>
          <w:sz w:val="18"/>
          <w:szCs w:val="18"/>
          <w:color w:val="auto"/>
        </w:rPr>
        <w:t xml:space="preserve">Section 9.1. </w:t>
      </w:r>
      <w:r>
        <w:rPr>
          <w:rFonts w:ascii="Times New Roman" w:cs="Times New Roman" w:eastAsia="Times New Roman" w:hAnsi="Times New Roman"/>
          <w:sz w:val="18"/>
          <w:szCs w:val="18"/>
          <w:u w:val="single" w:color="auto"/>
          <w:color w:val="auto"/>
        </w:rPr>
        <w:t>Appointment</w:t>
      </w:r>
      <w:r>
        <w:rPr>
          <w:rFonts w:ascii="Times New Roman" w:cs="Times New Roman" w:eastAsia="Times New Roman" w:hAnsi="Times New Roman"/>
          <w:sz w:val="18"/>
          <w:szCs w:val="18"/>
          <w:color w:val="auto"/>
        </w:rPr>
        <w:t>. Each of the CP Conduit Purchasers, the APA Banks and the Funding Agents hereby irrevocably designates and appoints the Administrative Agent as the agent of such Person under this Supplement and irrevocably authorizes the Administrative Agent, in such capacity, to take such action on its behalf under the provisions of this Supplement and to exercise such powers and perform such duties as are expressly delegated to the Administrative Agent by the terms of this Supplement, together with such other powers as are reasonably incidental thereto. Notwithstanding any provision to the contrary elsewhere in this Supplement, the Administrative Agent shall not have any duties or responsibilities except those expressly set forth herein, or any fiduciary relationship with any CP Conduit Purchaser, any APA</w:t>
      </w:r>
    </w:p>
    <w:p>
      <w:pPr>
        <w:spacing w:after="0" w:line="12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1360"/>
          </w:cols>
          <w:pgMar w:left="240" w:top="274" w:right="299" w:bottom="1440" w:gutter="0" w:footer="0" w:header="0"/>
        </w:sectPr>
      </w:pPr>
    </w:p>
    <w:bookmarkStart w:id="248" w:name="page249"/>
    <w:bookmarkEnd w:id="248"/>
    <w:p>
      <w:pPr>
        <w:ind w:right="60"/>
        <w:spacing w:after="0" w:line="27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Bank or any Funding Agent, and no implied covenants, functions, responsibilities, duties, obligations or liabilities shall be read into this Supplement or otherwise exist against the Administrative Agent.</w:t>
      </w:r>
    </w:p>
    <w:p>
      <w:pPr>
        <w:spacing w:after="0" w:line="120" w:lineRule="exact"/>
        <w:rPr>
          <w:sz w:val="20"/>
          <w:szCs w:val="20"/>
          <w:color w:val="auto"/>
        </w:rPr>
      </w:pPr>
    </w:p>
    <w:p>
      <w:pPr>
        <w:ind w:right="80" w:firstLine="913"/>
        <w:spacing w:after="0" w:line="262" w:lineRule="auto"/>
        <w:rPr>
          <w:sz w:val="20"/>
          <w:szCs w:val="20"/>
          <w:color w:val="auto"/>
        </w:rPr>
      </w:pPr>
      <w:r>
        <w:rPr>
          <w:rFonts w:ascii="Times New Roman" w:cs="Times New Roman" w:eastAsia="Times New Roman" w:hAnsi="Times New Roman"/>
          <w:sz w:val="18"/>
          <w:szCs w:val="18"/>
          <w:color w:val="auto"/>
        </w:rPr>
        <w:t xml:space="preserve">Section 9.2. </w:t>
      </w:r>
      <w:r>
        <w:rPr>
          <w:rFonts w:ascii="Times New Roman" w:cs="Times New Roman" w:eastAsia="Times New Roman" w:hAnsi="Times New Roman"/>
          <w:sz w:val="18"/>
          <w:szCs w:val="18"/>
          <w:u w:val="single" w:color="auto"/>
          <w:color w:val="auto"/>
        </w:rPr>
        <w:t>Delegation of Duties</w:t>
      </w:r>
      <w:r>
        <w:rPr>
          <w:rFonts w:ascii="Times New Roman" w:cs="Times New Roman" w:eastAsia="Times New Roman" w:hAnsi="Times New Roman"/>
          <w:sz w:val="18"/>
          <w:szCs w:val="18"/>
          <w:color w:val="auto"/>
        </w:rPr>
        <w:t>. The Administrative Agent may execute any of its duties under this Supplement by or through agents or attorneys-in-fact and shall be entitled to advice of counsel concerning all matters pertaining to such duties. The Administrative Agent shall not be responsible for the negligence or misconduct of any agents or attorneys-in-fact selected by it with reasonable care.</w:t>
      </w:r>
    </w:p>
    <w:p>
      <w:pPr>
        <w:spacing w:after="0" w:line="132" w:lineRule="exact"/>
        <w:rPr>
          <w:sz w:val="20"/>
          <w:szCs w:val="20"/>
          <w:color w:val="auto"/>
        </w:rPr>
      </w:pPr>
    </w:p>
    <w:p>
      <w:pPr>
        <w:ind w:right="140" w:firstLine="913"/>
        <w:spacing w:after="0" w:line="287" w:lineRule="auto"/>
        <w:rPr>
          <w:sz w:val="20"/>
          <w:szCs w:val="20"/>
          <w:color w:val="auto"/>
        </w:rPr>
      </w:pPr>
      <w:r>
        <w:rPr>
          <w:rFonts w:ascii="Times New Roman" w:cs="Times New Roman" w:eastAsia="Times New Roman" w:hAnsi="Times New Roman"/>
          <w:sz w:val="16"/>
          <w:szCs w:val="16"/>
          <w:color w:val="auto"/>
        </w:rPr>
        <w:t xml:space="preserve">Section 9.3. </w:t>
      </w:r>
      <w:r>
        <w:rPr>
          <w:rFonts w:ascii="Times New Roman" w:cs="Times New Roman" w:eastAsia="Times New Roman" w:hAnsi="Times New Roman"/>
          <w:sz w:val="16"/>
          <w:szCs w:val="16"/>
          <w:u w:val="single" w:color="auto"/>
          <w:color w:val="auto"/>
        </w:rPr>
        <w:t>Exculpatory Provisions</w:t>
      </w:r>
      <w:r>
        <w:rPr>
          <w:rFonts w:ascii="Times New Roman" w:cs="Times New Roman" w:eastAsia="Times New Roman" w:hAnsi="Times New Roman"/>
          <w:sz w:val="16"/>
          <w:szCs w:val="16"/>
          <w:color w:val="auto"/>
        </w:rPr>
        <w:t>. Neither the Administrative Agent nor any of its officers, directors, employees, agents, attorneys-in-fact or Affiliates shall be (i) liable for any action lawfully taken or omitted to be taken by it or such Person under or in connection with the Base Indenture, this Supplement or any other Related Document (except to the extent that any of the foregoing are found by a final and nonappealable decision of a court of competent jurisdiction to have resulted from its or such Person’s own gross negligence or willful misconduct) or (ii) responsible in any manner to any of the CP Conduit Purchasers, the APA Banks or the Funding Agents for any recitals, statements, representations or warranties made by ABRCF, the Lessors, the Lessees, the Permitted Sublessees, the Intermediary, the Administrator or any officer thereof contained in this Supplement or any other Related Document or in any certificate, report, statement or other document referred to or provided for in, or received by the Administrative Agent under or in connection with, this Supplement or any other Related Document or for the value, validity, effectiveness, genuineness, enforceability or sufficiency of this Supplement, any other Related Document, or for any failure of any of ABRCF, the Lessors, the Lessees, the Permitted Sublessees, the Intermediary or the Administrator to perform its obligations hereunder or thereunder. The Administrative Agent shall not be under any obligation to any CP Conduit Purchaser, any APA Bank or any Funding Agent to ascertain or to inquire as to the observance or performance of any of the agreements contained in, or conditions of, this Supplement, any other Related Document or to inspect the properties, books or records of ABRCF, the Lessors, the Lessees, the Permitted Sublessees, the Intermediary or the Administrator.</w:t>
      </w:r>
    </w:p>
    <w:p>
      <w:pPr>
        <w:spacing w:after="0" w:line="335" w:lineRule="exact"/>
        <w:rPr>
          <w:sz w:val="20"/>
          <w:szCs w:val="20"/>
          <w:color w:val="auto"/>
        </w:rPr>
      </w:pPr>
    </w:p>
    <w:p>
      <w:pPr>
        <w:ind w:firstLine="913"/>
        <w:spacing w:after="0" w:line="289" w:lineRule="auto"/>
        <w:rPr>
          <w:sz w:val="20"/>
          <w:szCs w:val="20"/>
          <w:color w:val="auto"/>
        </w:rPr>
      </w:pPr>
      <w:r>
        <w:rPr>
          <w:rFonts w:ascii="Times New Roman" w:cs="Times New Roman" w:eastAsia="Times New Roman" w:hAnsi="Times New Roman"/>
          <w:sz w:val="16"/>
          <w:szCs w:val="16"/>
          <w:color w:val="auto"/>
        </w:rPr>
        <w:t xml:space="preserve">Section 9.4. </w:t>
      </w:r>
      <w:r>
        <w:rPr>
          <w:rFonts w:ascii="Times New Roman" w:cs="Times New Roman" w:eastAsia="Times New Roman" w:hAnsi="Times New Roman"/>
          <w:sz w:val="16"/>
          <w:szCs w:val="16"/>
          <w:u w:val="single" w:color="auto"/>
          <w:color w:val="auto"/>
        </w:rPr>
        <w:t>Reliance by Administrative Agent</w:t>
      </w:r>
      <w:r>
        <w:rPr>
          <w:rFonts w:ascii="Times New Roman" w:cs="Times New Roman" w:eastAsia="Times New Roman" w:hAnsi="Times New Roman"/>
          <w:sz w:val="16"/>
          <w:szCs w:val="16"/>
          <w:color w:val="auto"/>
        </w:rPr>
        <w:t>. The Administrative Agent shall be entitled to rely, and shall be fully protected in relying, upon any writing, resolution, notice, consent, certificate, affidavit, letter, telecopy, telex or teletype message, statement, order or other document or conversation believed by it to be genuine and correct and to have been signed, sent or made by the proper Person or Persons and upon advice and statements of legal counsel (including, without limitation, counsel to ABRCF or the Administrator), independent accountants and other experts selected by the Administrative Agent. The Administrative Agent may deem and treat the registered holder of any Series 2009-3 Note as the owner thereof for all purposes unless a written notice of assignment, negotiation or transfer thereof shall have been filed with the Administrative Agent. The Administrative Agent shall be fully justified in failing or refusing to take any action under this Supplement or any other Related Document unless it shall first receive such advice or concurrence of the Requisite Noteholders, as it deems appropriate or it shall first be indemnified to its satisfaction by the Funding Agents against any and all liability and expense which may be incurred by it by reason of taking or continuing to take any such action. The Administrative Agent shall in all cases be fully protected in acting, or</w:t>
      </w:r>
    </w:p>
    <w:p>
      <w:pPr>
        <w:spacing w:after="0" w:line="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1420"/>
          </w:cols>
          <w:pgMar w:left="240" w:top="274" w:right="239" w:bottom="1440" w:gutter="0" w:footer="0" w:header="0"/>
        </w:sectPr>
      </w:pPr>
    </w:p>
    <w:bookmarkStart w:id="249" w:name="page250"/>
    <w:bookmarkEnd w:id="249"/>
    <w:p>
      <w:pPr>
        <w:jc w:val="both"/>
        <w:ind w:right="160"/>
        <w:spacing w:after="0" w:line="26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refraining from acting, under this Supplement and the other Related Documents in accordance with a request of the Requisite Noteholders (unless, in the case of any action relating to the giving of consent hereunder, the giving of such consent requires the consent of all Series 2009-3 Noteholders), and such request and any action taken or failure to act pursuant thereto shall be binding upon all the CP Conduit Purchasers, the APA Banks and the Funding Agents.</w:t>
      </w:r>
    </w:p>
    <w:p>
      <w:pPr>
        <w:spacing w:after="0" w:line="132" w:lineRule="exact"/>
        <w:rPr>
          <w:sz w:val="20"/>
          <w:szCs w:val="20"/>
          <w:color w:val="auto"/>
        </w:rPr>
      </w:pPr>
    </w:p>
    <w:p>
      <w:pPr>
        <w:ind w:right="20" w:firstLine="913"/>
        <w:spacing w:after="0" w:line="253" w:lineRule="auto"/>
        <w:rPr>
          <w:sz w:val="20"/>
          <w:szCs w:val="20"/>
          <w:color w:val="auto"/>
        </w:rPr>
      </w:pPr>
      <w:r>
        <w:rPr>
          <w:rFonts w:ascii="Times New Roman" w:cs="Times New Roman" w:eastAsia="Times New Roman" w:hAnsi="Times New Roman"/>
          <w:sz w:val="18"/>
          <w:szCs w:val="18"/>
          <w:color w:val="auto"/>
        </w:rPr>
        <w:t xml:space="preserve">Section 9.5. </w:t>
      </w:r>
      <w:r>
        <w:rPr>
          <w:rFonts w:ascii="Times New Roman" w:cs="Times New Roman" w:eastAsia="Times New Roman" w:hAnsi="Times New Roman"/>
          <w:sz w:val="18"/>
          <w:szCs w:val="18"/>
          <w:u w:val="single" w:color="auto"/>
          <w:color w:val="auto"/>
        </w:rPr>
        <w:t>Notice of Administrator Default or Amortization Event or Potential Amortization Event</w:t>
      </w:r>
      <w:r>
        <w:rPr>
          <w:rFonts w:ascii="Times New Roman" w:cs="Times New Roman" w:eastAsia="Times New Roman" w:hAnsi="Times New Roman"/>
          <w:sz w:val="18"/>
          <w:szCs w:val="18"/>
          <w:color w:val="auto"/>
        </w:rPr>
        <w:t xml:space="preserve">. The Administrative Agent shall not be deemed to have knowledge or notice of the occurrence of any Amortization Event or Potential Amortization Event or any Administrator Default unless the Administrative Agent has received written notice from a CP Conduit Purchaser, an APA Bank, a Funding Agent, ABRCF or the Administrator referring to the Indenture or this Supplement, describing such Amortization Event or Potential Amortization Event, or Administrator Default and stating that such notice is a “notice of an Amortization Event or Potential Amortization Event” or “notice of an Administrator Default,” as the case may be. In the event that the Administrative Agent receives such a notice, the Administrative Agent shall give notice thereof to the Funding Agents, the Trustee, ABRCF and the Administrator. The Administrative Agent shall take such action with respect to such event as shall be reasonably directed by the Requisite Noteholders,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unless and until the Administrative Agent shall have received such directions, the Administrative Agent may (but shall not be obligated to) take such action, or refrain from taking such action, with respect to such event as it shall deem advisable in the best interests of the Purchaser Groups.</w:t>
      </w:r>
    </w:p>
    <w:p>
      <w:pPr>
        <w:spacing w:after="0" w:line="143" w:lineRule="exact"/>
        <w:rPr>
          <w:sz w:val="20"/>
          <w:szCs w:val="20"/>
          <w:color w:val="auto"/>
        </w:rPr>
      </w:pPr>
    </w:p>
    <w:p>
      <w:pPr>
        <w:ind w:firstLine="913"/>
        <w:spacing w:after="0" w:line="286" w:lineRule="auto"/>
        <w:rPr>
          <w:sz w:val="20"/>
          <w:szCs w:val="20"/>
          <w:color w:val="auto"/>
        </w:rPr>
      </w:pPr>
      <w:r>
        <w:rPr>
          <w:rFonts w:ascii="Times New Roman" w:cs="Times New Roman" w:eastAsia="Times New Roman" w:hAnsi="Times New Roman"/>
          <w:sz w:val="16"/>
          <w:szCs w:val="16"/>
          <w:color w:val="auto"/>
        </w:rPr>
        <w:t xml:space="preserve">Section 9.6. </w:t>
      </w:r>
      <w:r>
        <w:rPr>
          <w:rFonts w:ascii="Times New Roman" w:cs="Times New Roman" w:eastAsia="Times New Roman" w:hAnsi="Times New Roman"/>
          <w:sz w:val="16"/>
          <w:szCs w:val="16"/>
          <w:u w:val="single" w:color="auto"/>
          <w:color w:val="auto"/>
        </w:rPr>
        <w:t>Non-Reliance on the Administrative Agent and Other Purchaser Groups</w:t>
      </w:r>
      <w:r>
        <w:rPr>
          <w:rFonts w:ascii="Times New Roman" w:cs="Times New Roman" w:eastAsia="Times New Roman" w:hAnsi="Times New Roman"/>
          <w:sz w:val="16"/>
          <w:szCs w:val="16"/>
          <w:color w:val="auto"/>
        </w:rPr>
        <w:t>. Each of the CP Conduit Purchasers, the APA Banks and the Funding Agents expressly acknowledges that neither the Administrative Agent nor any of its officers, directors, employees, agents, attorneys-in-fact or Affiliates has made any representations or warranties to it and that no act by the Administrative Agent hereinafter taken, including any review of the affairs of ABRCF, the Lessors, the Lessees, the Permitted Sublessees, the Intermediary or the Administrator shall be deemed to constitute any representation or warranty by the Administrative Agent to any such Person. Each of the CP Conduit Purchasers, the APA Banks and the Funding Agents represents to the Administrative Agent that it has, independently and without reliance upon the Administrative Agent or any other CP Conduit Purchaser, APA Bank or Funding Agent and based on such documents and information as it has deemed appropriate, made its own appraisal of and investigation into the business, operations, property, financial and other condition and creditworthiness of ABRCF, the Lessors, the Lessees, the Permitted Sublessees, the Intermediary and the Administrator and made its own decision to enter into this Supplement. Each of the CP Conduit Purchasers, the APA Banks and the Funding Agents also represents that it will, independently and without reliance upon the Administrative Agent or any other CP Conduit Purchaser, APA Bank or Funding Agent, and based on such documents and information as it shall deem appropriate at the time, continue to make its own credit analysis, appraisals and decisions in taking or not taking action under this Supplement and the other Related Documents, and to make such investigation as it deems necessary to inform itself as to the business, operations, property, financial and other condition and creditworthiness of ABRCF, the Lessors, the Lessees, the Permitted Sublessees, the Intermediary and the Administrator. Except for notices, reports and other documents expressly required to be furnished to the Funding Agents by the Administrative Agent hereunder, the Administrative Agent shall have no duty or responsibility to provide any CP Conduit Purchaser, any APA Bank or any Funding Agent with any credit or other</w:t>
      </w: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ectPr>
          <w:pgSz w:w="11900" w:h="16838" w:orient="portrait"/>
          <w:cols w:equalWidth="0" w:num="1">
            <w:col w:w="11420"/>
          </w:cols>
          <w:pgMar w:left="240" w:top="274" w:right="239" w:bottom="1440" w:gutter="0" w:footer="0" w:header="0"/>
        </w:sectPr>
      </w:pPr>
    </w:p>
    <w:bookmarkStart w:id="250" w:name="page251"/>
    <w:bookmarkEnd w:id="250"/>
    <w:p>
      <w:pPr>
        <w:jc w:val="both"/>
        <w:ind w:right="40"/>
        <w:spacing w:after="0" w:line="26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information concerning the business, operations, property, condition (financial or otherwise), prospects or creditworthiness of ABRCF, the Lessors, the Lessees, the Permitted Sublessees, the Intermediary or the Administrator which may come into the possession of the Administrative Agent or any of its officers, directors, employees, agents, attorneys-in-fact or Affiliates.</w:t>
      </w:r>
    </w:p>
    <w:p>
      <w:pPr>
        <w:spacing w:after="0" w:line="132" w:lineRule="exact"/>
        <w:rPr>
          <w:sz w:val="20"/>
          <w:szCs w:val="20"/>
          <w:color w:val="auto"/>
        </w:rPr>
      </w:pPr>
    </w:p>
    <w:p>
      <w:pPr>
        <w:ind w:firstLine="913"/>
        <w:spacing w:after="0" w:line="252" w:lineRule="auto"/>
        <w:rPr>
          <w:sz w:val="20"/>
          <w:szCs w:val="20"/>
          <w:color w:val="auto"/>
        </w:rPr>
      </w:pPr>
      <w:r>
        <w:rPr>
          <w:rFonts w:ascii="Times New Roman" w:cs="Times New Roman" w:eastAsia="Times New Roman" w:hAnsi="Times New Roman"/>
          <w:sz w:val="18"/>
          <w:szCs w:val="18"/>
          <w:color w:val="auto"/>
        </w:rPr>
        <w:t xml:space="preserve">Section 9.7. </w:t>
      </w:r>
      <w:r>
        <w:rPr>
          <w:rFonts w:ascii="Times New Roman" w:cs="Times New Roman" w:eastAsia="Times New Roman" w:hAnsi="Times New Roman"/>
          <w:sz w:val="18"/>
          <w:szCs w:val="18"/>
          <w:u w:val="single" w:color="auto"/>
          <w:color w:val="auto"/>
        </w:rPr>
        <w:t>Indemnification</w:t>
      </w:r>
      <w:r>
        <w:rPr>
          <w:rFonts w:ascii="Times New Roman" w:cs="Times New Roman" w:eastAsia="Times New Roman" w:hAnsi="Times New Roman"/>
          <w:sz w:val="18"/>
          <w:szCs w:val="18"/>
          <w:color w:val="auto"/>
        </w:rPr>
        <w:t>. Each of the APA Banks in a Purchaser Group agrees to indemnify the Administrative Agent in its capacity as such (to the extent not reimbursed by ABRCF and the Administrator and without limiting the obligation of ABRCF and the Administrator to do so), ratably according to their respective Commitment Percentages (or, if indemnification is sought after the date upon which the Commitments shall have terminated, ratably in accordance with their respective Purchaser Group Invested Amounts) in effect on the date on which indemnification is sought under this Section 9.7 (or if indemnification is sought after the date upon which the Commitments shall have terminated and the Purchaser Group Invested Amounts shall have been reduced to zero, ratably in accordance with their Commitment Percentages immediately prior to their termination) from and against any and all liabilities, obligations, losses, damages, penalties, actions, judgments, suits, costs, expenses or disbursements of any kind whatsoever which may at any time be imposed on, incurred by or asserted against the Administrative Agent in any way relating to or arising out of this Supplement, any of the other Related Documents or any documents contemplated by or referred to herein or therein or the transactions contemplated hereby or thereby or any action taken or omitted by the Administrative Agent under or in connection with any of the foregoing; provided that no APA Bank or Funding Agent shall be liable for the payment of any portion of such liabilities, obligations, losses, damages, penalties, actions, judgments, suits, costs, expenses or disbursements that are found by a final and nonappealable decision of a court of competent jurisdiction to have resulted from the Administrative Agent’s gross negligence or willful misconduct. The agreements in this Section shall survive the payment of all amounts payable hereunder.</w:t>
      </w:r>
    </w:p>
    <w:p>
      <w:pPr>
        <w:spacing w:after="0" w:line="146" w:lineRule="exact"/>
        <w:rPr>
          <w:sz w:val="20"/>
          <w:szCs w:val="20"/>
          <w:color w:val="auto"/>
        </w:rPr>
      </w:pPr>
    </w:p>
    <w:p>
      <w:pPr>
        <w:ind w:right="120" w:firstLine="913"/>
        <w:spacing w:after="0" w:line="296" w:lineRule="auto"/>
        <w:rPr>
          <w:sz w:val="20"/>
          <w:szCs w:val="20"/>
          <w:color w:val="auto"/>
        </w:rPr>
      </w:pPr>
      <w:r>
        <w:rPr>
          <w:rFonts w:ascii="Times New Roman" w:cs="Times New Roman" w:eastAsia="Times New Roman" w:hAnsi="Times New Roman"/>
          <w:sz w:val="16"/>
          <w:szCs w:val="16"/>
          <w:color w:val="auto"/>
        </w:rPr>
        <w:t xml:space="preserve">Section 9.8. </w:t>
      </w:r>
      <w:r>
        <w:rPr>
          <w:rFonts w:ascii="Times New Roman" w:cs="Times New Roman" w:eastAsia="Times New Roman" w:hAnsi="Times New Roman"/>
          <w:sz w:val="16"/>
          <w:szCs w:val="16"/>
          <w:u w:val="single" w:color="auto"/>
          <w:color w:val="auto"/>
        </w:rPr>
        <w:t>The Administrative Agent in Its Individual Capacity</w:t>
      </w:r>
      <w:r>
        <w:rPr>
          <w:rFonts w:ascii="Times New Roman" w:cs="Times New Roman" w:eastAsia="Times New Roman" w:hAnsi="Times New Roman"/>
          <w:sz w:val="16"/>
          <w:szCs w:val="16"/>
          <w:color w:val="auto"/>
        </w:rPr>
        <w:t>. The Administrative Agent and its Affiliates may make loans to, accept deposits from and generally engage in any kind of business with ABRCF, the Administrator or any of their Affiliates as though the Administrative Agent were not the Administrative Agent hereunder. With respect to any Series 2009-3 Note held by the Administrative Agent, the Administrative Agent shall have the same rights and powers under this Supplement and the other Related Documents as any APA Bank or Funding Agent and may exercise the same as though it were not the Administrative Agent, and the terms “APA Bank,” and “Funding Agent” shall include the Administrative Agent in its individual capacity.</w:t>
      </w:r>
    </w:p>
    <w:p>
      <w:pPr>
        <w:spacing w:after="0" w:line="189" w:lineRule="exact"/>
        <w:rPr>
          <w:sz w:val="20"/>
          <w:szCs w:val="20"/>
          <w:color w:val="auto"/>
        </w:rPr>
      </w:pPr>
    </w:p>
    <w:p>
      <w:pPr>
        <w:ind w:right="40" w:firstLine="913"/>
        <w:spacing w:after="0" w:line="255" w:lineRule="auto"/>
        <w:rPr>
          <w:sz w:val="20"/>
          <w:szCs w:val="20"/>
          <w:color w:val="auto"/>
        </w:rPr>
      </w:pPr>
      <w:r>
        <w:rPr>
          <w:rFonts w:ascii="Times New Roman" w:cs="Times New Roman" w:eastAsia="Times New Roman" w:hAnsi="Times New Roman"/>
          <w:sz w:val="18"/>
          <w:szCs w:val="18"/>
          <w:color w:val="auto"/>
        </w:rPr>
        <w:t xml:space="preserve">Section 9.9. </w:t>
      </w:r>
      <w:r>
        <w:rPr>
          <w:rFonts w:ascii="Times New Roman" w:cs="Times New Roman" w:eastAsia="Times New Roman" w:hAnsi="Times New Roman"/>
          <w:sz w:val="18"/>
          <w:szCs w:val="18"/>
          <w:u w:val="single" w:color="auto"/>
          <w:color w:val="auto"/>
        </w:rPr>
        <w:t>Resignation of Administrative Agent; Successor Administrative Agent</w:t>
      </w:r>
      <w:r>
        <w:rPr>
          <w:rFonts w:ascii="Times New Roman" w:cs="Times New Roman" w:eastAsia="Times New Roman" w:hAnsi="Times New Roman"/>
          <w:sz w:val="18"/>
          <w:szCs w:val="18"/>
          <w:color w:val="auto"/>
        </w:rPr>
        <w:t>. The Administrative Agent may resign as Administrative Agent at any time by giving 30 days’ notice to the Funding Agents, the Trustee, ABRCF and the Administrator. If DBNY shall resign as Administrative Agent under this Supplement, then the Requisite Noteholders shall appoint a successor administrative agent from among the Funding Agents, which successor administrative agent shall be approved by ABRCF and the Administrator (which approval shall not be unreasonably withheld or delayed) whereupon such successor agent shall succeed to the rights, powers, and duties of the Administrative Agent, and the term “Administrative Agent” shall mean such successor agent effective upon such appointment and approval, and the former</w:t>
      </w:r>
    </w:p>
    <w:p>
      <w:pPr>
        <w:spacing w:after="0" w:line="12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81</w:t>
      </w:r>
    </w:p>
    <w:p>
      <w:pPr>
        <w:sectPr>
          <w:pgSz w:w="11900" w:h="16838" w:orient="portrait"/>
          <w:cols w:equalWidth="0" w:num="1">
            <w:col w:w="11360"/>
          </w:cols>
          <w:pgMar w:left="240" w:top="274" w:right="299" w:bottom="1440" w:gutter="0" w:footer="0" w:header="0"/>
        </w:sectPr>
      </w:pPr>
    </w:p>
    <w:bookmarkStart w:id="251" w:name="page252"/>
    <w:bookmarkEnd w:id="251"/>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Administrative Agent’s rights, powers and duties as Administrative Agent shall be terminated, without any other or further act or deed on the part of such former Administrative Agent or any of the parties to this Supplement. If no successor administrative agent has accepted appointment as Administrative Agent prior to the effective date of the resignation of the Administrative Agent, the retiring Administrative Agent may appoint, after consulting with the Funding Agents, the Administrator and ABRCF, a successor Administrative Agent from among the Funding Agents. If no successor Administrative Agent has accepted appointment by the date which is thirty (30) days following a retiring Administrative Agent’s notice of resignation, the retiring Administrative Agent’s resignation shall nevertheless thereupon become effective and the Administrator shall assume and perform all of the duties of the Administrative Agent hereunder until such time, if any, as the Requisite Noteholders appoint a successor agent as provided for above. After any retiring Administrative Agent’s resignation as Administrative Agent, the provisions of this Article IX shall inure to its benefit as to any actions taken or omitted to be taken by it while it was Administrative Agent under this Supplement.</w:t>
      </w: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X</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FUNDING AGENTS</w:t>
      </w:r>
    </w:p>
    <w:p>
      <w:pPr>
        <w:spacing w:after="0" w:line="173" w:lineRule="exact"/>
        <w:rPr>
          <w:sz w:val="20"/>
          <w:szCs w:val="20"/>
          <w:color w:val="auto"/>
        </w:rPr>
      </w:pPr>
    </w:p>
    <w:p>
      <w:pPr>
        <w:ind w:right="120" w:firstLine="913"/>
        <w:spacing w:after="0" w:line="291" w:lineRule="auto"/>
        <w:rPr>
          <w:sz w:val="20"/>
          <w:szCs w:val="20"/>
          <w:color w:val="auto"/>
        </w:rPr>
      </w:pPr>
      <w:r>
        <w:rPr>
          <w:rFonts w:ascii="Times New Roman" w:cs="Times New Roman" w:eastAsia="Times New Roman" w:hAnsi="Times New Roman"/>
          <w:sz w:val="16"/>
          <w:szCs w:val="16"/>
          <w:color w:val="auto"/>
        </w:rPr>
        <w:t xml:space="preserve">Section 10.1. </w:t>
      </w:r>
      <w:r>
        <w:rPr>
          <w:rFonts w:ascii="Times New Roman" w:cs="Times New Roman" w:eastAsia="Times New Roman" w:hAnsi="Times New Roman"/>
          <w:sz w:val="16"/>
          <w:szCs w:val="16"/>
          <w:u w:val="single" w:color="auto"/>
          <w:color w:val="auto"/>
        </w:rPr>
        <w:t>Appointment</w:t>
      </w:r>
      <w:r>
        <w:rPr>
          <w:rFonts w:ascii="Times New Roman" w:cs="Times New Roman" w:eastAsia="Times New Roman" w:hAnsi="Times New Roman"/>
          <w:sz w:val="16"/>
          <w:szCs w:val="16"/>
          <w:color w:val="auto"/>
        </w:rPr>
        <w:t>. Each CP Conduit Purchaser and each APA Bank with respect to such CP Conduit Purchaser hereby irrevocably designates and appoints the Funding Agent set forth next to such CP Conduit Purchaser’s name on Schedule I as the agent of such Person under this Supplement and irrevocably authorizes such Funding Agent, in such capacity, to take such action on its behalf under the provisions of this Supplement and to exercise such powers and perform such duties as are expressly delegated to such Funding Agent by the terms of this Supplement, together with such other powers as are reasonably incidental thereto. Notwithstanding any provision to the contrary elsewhere in this Supplement, each Funding Agent shall not have any duties or responsibilities except those expressly set forth herein, or any fiduciary relationship with any CP Conduit Purchaser or APA Bank and no implied covenants, functions, responsibilities, duties, obligations or liabilities shall be read into this Supplement or otherwise exist against each Funding Agent.</w:t>
      </w:r>
    </w:p>
    <w:p>
      <w:pPr>
        <w:spacing w:after="0" w:line="113" w:lineRule="exact"/>
        <w:rPr>
          <w:sz w:val="20"/>
          <w:szCs w:val="20"/>
          <w:color w:val="auto"/>
        </w:rPr>
      </w:pPr>
    </w:p>
    <w:p>
      <w:pPr>
        <w:ind w:right="180" w:firstLine="913"/>
        <w:spacing w:after="0" w:line="310" w:lineRule="auto"/>
        <w:rPr>
          <w:sz w:val="20"/>
          <w:szCs w:val="20"/>
          <w:color w:val="auto"/>
        </w:rPr>
      </w:pPr>
      <w:r>
        <w:rPr>
          <w:rFonts w:ascii="Times New Roman" w:cs="Times New Roman" w:eastAsia="Times New Roman" w:hAnsi="Times New Roman"/>
          <w:sz w:val="16"/>
          <w:szCs w:val="16"/>
          <w:color w:val="auto"/>
        </w:rPr>
        <w:t xml:space="preserve">Section 10.2. </w:t>
      </w:r>
      <w:r>
        <w:rPr>
          <w:rFonts w:ascii="Times New Roman" w:cs="Times New Roman" w:eastAsia="Times New Roman" w:hAnsi="Times New Roman"/>
          <w:sz w:val="16"/>
          <w:szCs w:val="16"/>
          <w:u w:val="single" w:color="auto"/>
          <w:color w:val="auto"/>
        </w:rPr>
        <w:t>Delegation of Duties</w:t>
      </w:r>
      <w:r>
        <w:rPr>
          <w:rFonts w:ascii="Times New Roman" w:cs="Times New Roman" w:eastAsia="Times New Roman" w:hAnsi="Times New Roman"/>
          <w:sz w:val="16"/>
          <w:szCs w:val="16"/>
          <w:color w:val="auto"/>
        </w:rPr>
        <w:t>. Each Funding Agent may execute any of its duties under this Supplement by or through agents or attorneys-in-fact and shall be entitled to advice of counsel concerning all matters pertaining to such duties. Each Funding Agent shall not be responsible to the CP Conduit Purchaser or any APA Bank in its Purchaser Group for the negligence or misconduct of any agents or attorneys in-fact selected by it with reasonable care.</w:t>
      </w:r>
    </w:p>
    <w:p>
      <w:pPr>
        <w:spacing w:after="0" w:line="97" w:lineRule="exact"/>
        <w:rPr>
          <w:sz w:val="20"/>
          <w:szCs w:val="20"/>
          <w:color w:val="auto"/>
        </w:rPr>
      </w:pPr>
    </w:p>
    <w:p>
      <w:pPr>
        <w:ind w:right="60" w:firstLine="913"/>
        <w:spacing w:after="0" w:line="255" w:lineRule="auto"/>
        <w:rPr>
          <w:sz w:val="20"/>
          <w:szCs w:val="20"/>
          <w:color w:val="auto"/>
        </w:rPr>
      </w:pPr>
      <w:r>
        <w:rPr>
          <w:rFonts w:ascii="Times New Roman" w:cs="Times New Roman" w:eastAsia="Times New Roman" w:hAnsi="Times New Roman"/>
          <w:sz w:val="18"/>
          <w:szCs w:val="18"/>
          <w:color w:val="auto"/>
        </w:rPr>
        <w:t xml:space="preserve">Section 10.3. </w:t>
      </w:r>
      <w:r>
        <w:rPr>
          <w:rFonts w:ascii="Times New Roman" w:cs="Times New Roman" w:eastAsia="Times New Roman" w:hAnsi="Times New Roman"/>
          <w:sz w:val="18"/>
          <w:szCs w:val="18"/>
          <w:u w:val="single" w:color="auto"/>
          <w:color w:val="auto"/>
        </w:rPr>
        <w:t>Exculpatory Provisions</w:t>
      </w:r>
      <w:r>
        <w:rPr>
          <w:rFonts w:ascii="Times New Roman" w:cs="Times New Roman" w:eastAsia="Times New Roman" w:hAnsi="Times New Roman"/>
          <w:sz w:val="18"/>
          <w:szCs w:val="18"/>
          <w:color w:val="auto"/>
        </w:rPr>
        <w:t>. Each Funding Agent and any of its officers, directors, employees, agents, attorneys-in-fact or Affiliates shall not be (i) liable for any action lawfully taken or omitted to be taken by it or such Person under or in connection with the Base Indenture, this Supplement or any other Related Document (except to the extent that any of the foregoing are found by a final and nonappealable decision of a court of competent jurisdiction to have resulted from its or such Person’s own gross negligence or willful misconduct) or (ii) responsible in any manner to any of the CP Conduit Purchasers and/or APA Banks for any recitals, statements, representations or warranties made by ABRCF, the Lessors, the Lessees, the Permitted Sublessees, the Intermediary, the Administrator, the Administrative</w:t>
      </w:r>
    </w:p>
    <w:p>
      <w:pPr>
        <w:spacing w:after="0" w:line="1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82</w:t>
      </w:r>
    </w:p>
    <w:p>
      <w:pPr>
        <w:sectPr>
          <w:pgSz w:w="11900" w:h="16838" w:orient="portrait"/>
          <w:cols w:equalWidth="0" w:num="1">
            <w:col w:w="11400"/>
          </w:cols>
          <w:pgMar w:left="240" w:top="274" w:right="259" w:bottom="1440" w:gutter="0" w:footer="0" w:header="0"/>
        </w:sectPr>
      </w:pPr>
    </w:p>
    <w:bookmarkStart w:id="252" w:name="page253"/>
    <w:bookmarkEnd w:id="252"/>
    <w:p>
      <w:pPr>
        <w:ind w:right="40"/>
        <w:spacing w:after="0" w:line="291"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Agent, or any officer thereof contained in this Supplement or any other Related Document or in any certificate, report, statement or other document referred to or provided for in, or received by such Funding Agent under or in connection with, this Supplement or any other Related Document or for the value, validity, effectiveness, genuineness, enforceability or sufficiency of this Supplement, any other Related Document, or for any failure of any of ABRCF, the Lessors, the Lessees, the Permitted Sublessees, the Intermediary, the Administrative Agent, or the Administrator to perform its obligations hereunder or thereunder. Each Funding Agent shall not be under any obligation to the CP Conduit Purchaser or any APA Bank in its Purchaser Group to ascertain or to inquire as to the observance or performance of any of the agreements contained in, or conditions of, this Supplement, any other Related Document or to inspect the properties, books or records of ABRCF, the Lessors, the Lessees, the Permitted Sublessees, the Intermediary, the Administrative Agent, or the Administrator.</w:t>
      </w:r>
    </w:p>
    <w:p>
      <w:pPr>
        <w:spacing w:after="0" w:line="113" w:lineRule="exact"/>
        <w:rPr>
          <w:sz w:val="20"/>
          <w:szCs w:val="20"/>
          <w:color w:val="auto"/>
        </w:rPr>
      </w:pPr>
    </w:p>
    <w:p>
      <w:pPr>
        <w:ind w:firstLine="913"/>
        <w:spacing w:after="0" w:line="254" w:lineRule="auto"/>
        <w:rPr>
          <w:sz w:val="20"/>
          <w:szCs w:val="20"/>
          <w:color w:val="auto"/>
        </w:rPr>
      </w:pPr>
      <w:r>
        <w:rPr>
          <w:rFonts w:ascii="Times New Roman" w:cs="Times New Roman" w:eastAsia="Times New Roman" w:hAnsi="Times New Roman"/>
          <w:sz w:val="18"/>
          <w:szCs w:val="18"/>
          <w:color w:val="auto"/>
        </w:rPr>
        <w:t xml:space="preserve">Section 10.4. </w:t>
      </w:r>
      <w:r>
        <w:rPr>
          <w:rFonts w:ascii="Times New Roman" w:cs="Times New Roman" w:eastAsia="Times New Roman" w:hAnsi="Times New Roman"/>
          <w:sz w:val="18"/>
          <w:szCs w:val="18"/>
          <w:u w:val="single" w:color="auto"/>
          <w:color w:val="auto"/>
        </w:rPr>
        <w:t>Reliance by Each Funding Agent</w:t>
      </w:r>
      <w:r>
        <w:rPr>
          <w:rFonts w:ascii="Times New Roman" w:cs="Times New Roman" w:eastAsia="Times New Roman" w:hAnsi="Times New Roman"/>
          <w:sz w:val="18"/>
          <w:szCs w:val="18"/>
          <w:color w:val="auto"/>
        </w:rPr>
        <w:t>. Each Funding Agent shall be entitled to rely, and shall be fully protected in relying, upon any writing, resolution, notice, consent, certificate, affidavit, letter, telecopy, telex or teletype message, statement, order or other document or conversation believed by it to be genuine and correct and to have been signed, sent or made by the proper Person or Persons and upon advice and statements of legal counsel (including, without limitation, counsel to ABRCF or the Administrator), independent accountants and other experts selected by such Funding Agent. Each Funding Agent shall be fully justified in failing or refusing to take any action under this Supplement or any other Related Document unless it shall first receive such advice or concurrence of the Related Purchaser Group, as it deems appropriate or it shall first be indemnified to its satisfaction by the Related Purchaser Group against any and all liability and expense which may be incurred by it by reason of taking or continuing to take any such action.</w:t>
      </w:r>
    </w:p>
    <w:p>
      <w:pPr>
        <w:spacing w:after="0" w:line="141" w:lineRule="exact"/>
        <w:rPr>
          <w:sz w:val="20"/>
          <w:szCs w:val="20"/>
          <w:color w:val="auto"/>
        </w:rPr>
      </w:pPr>
    </w:p>
    <w:p>
      <w:pPr>
        <w:ind w:right="20" w:firstLine="913"/>
        <w:spacing w:after="0" w:line="289" w:lineRule="auto"/>
        <w:rPr>
          <w:sz w:val="20"/>
          <w:szCs w:val="20"/>
          <w:color w:val="auto"/>
        </w:rPr>
      </w:pPr>
      <w:r>
        <w:rPr>
          <w:rFonts w:ascii="Times New Roman" w:cs="Times New Roman" w:eastAsia="Times New Roman" w:hAnsi="Times New Roman"/>
          <w:sz w:val="16"/>
          <w:szCs w:val="16"/>
          <w:color w:val="auto"/>
        </w:rPr>
        <w:t xml:space="preserve">Section 10.5. </w:t>
      </w:r>
      <w:r>
        <w:rPr>
          <w:rFonts w:ascii="Times New Roman" w:cs="Times New Roman" w:eastAsia="Times New Roman" w:hAnsi="Times New Roman"/>
          <w:sz w:val="16"/>
          <w:szCs w:val="16"/>
          <w:u w:val="single" w:color="auto"/>
          <w:color w:val="auto"/>
        </w:rPr>
        <w:t>Notice of Administrator Default or Amortization Event or Potential Amortization Event</w:t>
      </w:r>
      <w:r>
        <w:rPr>
          <w:rFonts w:ascii="Times New Roman" w:cs="Times New Roman" w:eastAsia="Times New Roman" w:hAnsi="Times New Roman"/>
          <w:sz w:val="16"/>
          <w:szCs w:val="16"/>
          <w:color w:val="auto"/>
        </w:rPr>
        <w:t xml:space="preserve">. Each Funding Agent shall not be deemed to have knowledge or notice of the occurrence of any Amortization Event or Potential Amortization Event or any Administrator Default unless such Funding Agent has received written notice from a CP Conduit Purchaser, an APA Bank, ABRCF, the Administrative Agent or the Administrator referring to the Indenture or this Supplement, describing such Amortization Event or Potential Amortization Event, or Administrator Default and stating that such notice is a “notice of an Amortization Event or Potential Amortization Event” or “notice of an Administrator Default,” as the case may be. In the event that any Funding Agent receives such a notice, such Funding Agent shall give notice thereof to the CP Conduit Purchaser and APA Banks in its Purchaser Group. Such Funding Agent shall take such action with respect to such event as shall be reasonably directed by the CP Conduit Purchaser and APA Banks in its Purchaser Group,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unless and until such Funding Agent shall have received such directions, such Funding Agent may (but shall not be obligated to) take such action, or refrain from taking such action, with respect to such event as it shall deem advisable in the best interests of the CP Conduit Purchaser and APA Banks in its Purchaser Group.</w:t>
      </w:r>
    </w:p>
    <w:p>
      <w:pPr>
        <w:spacing w:after="0" w:line="113" w:lineRule="exact"/>
        <w:rPr>
          <w:sz w:val="20"/>
          <w:szCs w:val="20"/>
          <w:color w:val="auto"/>
        </w:rPr>
      </w:pPr>
    </w:p>
    <w:p>
      <w:pPr>
        <w:ind w:right="240" w:firstLine="913"/>
        <w:spacing w:after="0" w:line="262" w:lineRule="auto"/>
        <w:rPr>
          <w:sz w:val="20"/>
          <w:szCs w:val="20"/>
          <w:color w:val="auto"/>
        </w:rPr>
      </w:pPr>
      <w:r>
        <w:rPr>
          <w:rFonts w:ascii="Times New Roman" w:cs="Times New Roman" w:eastAsia="Times New Roman" w:hAnsi="Times New Roman"/>
          <w:sz w:val="18"/>
          <w:szCs w:val="18"/>
          <w:color w:val="auto"/>
        </w:rPr>
        <w:t xml:space="preserve">Section 10.6. </w:t>
      </w:r>
      <w:r>
        <w:rPr>
          <w:rFonts w:ascii="Times New Roman" w:cs="Times New Roman" w:eastAsia="Times New Roman" w:hAnsi="Times New Roman"/>
          <w:sz w:val="18"/>
          <w:szCs w:val="18"/>
          <w:u w:val="single" w:color="auto"/>
          <w:color w:val="auto"/>
        </w:rPr>
        <w:t>Non-Reliance on Each Funding Agent and Other Purchaser Groups</w:t>
      </w:r>
      <w:r>
        <w:rPr>
          <w:rFonts w:ascii="Times New Roman" w:cs="Times New Roman" w:eastAsia="Times New Roman" w:hAnsi="Times New Roman"/>
          <w:sz w:val="18"/>
          <w:szCs w:val="18"/>
          <w:color w:val="auto"/>
        </w:rPr>
        <w:t>. Each CP Conduit Purchaser and each of the related APA Banks expressly acknowledge that neither its Funding Agent nor any of its officers, directors, employees, agents, attorneys-in-fact or Affiliates has made any representations or warranties to it and that no act by such Funding</w:t>
      </w:r>
    </w:p>
    <w:p>
      <w:pPr>
        <w:spacing w:after="0" w:line="1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83</w:t>
      </w:r>
    </w:p>
    <w:p>
      <w:pPr>
        <w:sectPr>
          <w:pgSz w:w="11900" w:h="16838" w:orient="portrait"/>
          <w:cols w:equalWidth="0" w:num="1">
            <w:col w:w="11380"/>
          </w:cols>
          <w:pgMar w:left="240" w:top="274" w:right="279" w:bottom="1440" w:gutter="0" w:footer="0" w:header="0"/>
        </w:sectPr>
      </w:pPr>
    </w:p>
    <w:bookmarkStart w:id="253" w:name="page254"/>
    <w:bookmarkEnd w:id="253"/>
    <w:p>
      <w:pPr>
        <w:spacing w:after="0" w:line="288"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Agent hereinafter taken, including any review of the affairs of ABRCF, the Lessors, the Lessees, the Permitted Sublessees, the Intermediary, the Administrative Agent, or the Administrator shall be deemed to constitute any representation or warranty by such Funding Agent to any such Person. Each CP Conduit Purchaser and each of the related APA Banks represents to its Funding Agent that it has, independently and without reliance upon such Funding Agent and based on such documents and information as it has deemed appropriate, made its own appraisal of and investigation into the business, operations, property, financial and other condition and creditworthiness of ABRCF, the Lessors, the Lessees, the Permitted Sublessees, the Intermediary, the Administrative Agent, and the Administrator and made its own decision to enter into this Supplement. Each CP Conduit Purchaser and each of the related APA Banks also represents that it will, independently and without reliance upon its Funding Agent and based on such documents and information as it shall deem appropriate at the time, continue to make its own credit analysis, appraisals and decisions in taking or not taking action under this Supplement and the other Related Documents, and to make such investigation as it deems necessary to inform itself as to the business, operations, property, financial and other conditions and creditworthiness of ABRCF, the Lessors, the Lessees, the Permitted Sublessees, the Intermediary, the Administrative Agent, and the Administrator.</w:t>
      </w:r>
    </w:p>
    <w:p>
      <w:pPr>
        <w:spacing w:after="0" w:line="336" w:lineRule="exact"/>
        <w:rPr>
          <w:sz w:val="20"/>
          <w:szCs w:val="20"/>
          <w:color w:val="auto"/>
        </w:rPr>
      </w:pPr>
    </w:p>
    <w:p>
      <w:pPr>
        <w:ind w:right="40" w:firstLine="913"/>
        <w:spacing w:after="0" w:line="253" w:lineRule="auto"/>
        <w:rPr>
          <w:sz w:val="20"/>
          <w:szCs w:val="20"/>
          <w:color w:val="auto"/>
        </w:rPr>
      </w:pPr>
      <w:r>
        <w:rPr>
          <w:rFonts w:ascii="Times New Roman" w:cs="Times New Roman" w:eastAsia="Times New Roman" w:hAnsi="Times New Roman"/>
          <w:sz w:val="18"/>
          <w:szCs w:val="18"/>
          <w:color w:val="auto"/>
        </w:rPr>
        <w:t xml:space="preserve">Section 10.7. </w:t>
      </w:r>
      <w:r>
        <w:rPr>
          <w:rFonts w:ascii="Times New Roman" w:cs="Times New Roman" w:eastAsia="Times New Roman" w:hAnsi="Times New Roman"/>
          <w:sz w:val="18"/>
          <w:szCs w:val="18"/>
          <w:u w:val="single" w:color="auto"/>
          <w:color w:val="auto"/>
        </w:rPr>
        <w:t>Indemnification</w:t>
      </w:r>
      <w:r>
        <w:rPr>
          <w:rFonts w:ascii="Times New Roman" w:cs="Times New Roman" w:eastAsia="Times New Roman" w:hAnsi="Times New Roman"/>
          <w:sz w:val="18"/>
          <w:szCs w:val="18"/>
          <w:color w:val="auto"/>
        </w:rPr>
        <w:t xml:space="preserve">. Each APA Bank in a Purchaser Group agrees to indemnify its Funding Agent in its capacity as such (to the extent not reimbursed by ABRCF and the Administrator and without limiting the obligation of ABRCF and the Administrator to do so), ratably according to its respective APA Bank Percentage in effect on the date on which indemnification is sought under this Section 10.7 (or if indemnification is sought after the date upon which the Commitments shall have been terminated, ratably in accordance with its APA Bank Percentage at the time of termination) from and against any and all liabilities, obligations, losses, damages, penalties, actions, judgments, suits, costs, expenses or disbursements of any kind whatsoever which may at any time be imposed on, incurred by or asserted against such Funding Agent in any way relating to or arising out of this Supplement, any of the other Related Documents or any documents contemplated by or referred to herein or therein or the transactions contemplated hereby or thereby or any action taken or omitted by such Funding Agent under or in connection with any of the foregoing;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APA Bank shall be liable for the payment of any portion of such liabilities, obligations, losses, damages, penalties, actions, judgments, suits, costs, expenses or disbursements that are found by a final and nonappealable decision of a court of competent jurisdiction to have resulted from such related Funding Agent’s gross negligence or willful misconduct. The agreements in this Section shall survive the payment of all amounts payable hereunder.</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XI</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73" w:lineRule="exact"/>
        <w:rPr>
          <w:sz w:val="20"/>
          <w:szCs w:val="20"/>
          <w:color w:val="auto"/>
        </w:rPr>
      </w:pPr>
    </w:p>
    <w:p>
      <w:pPr>
        <w:ind w:right="40" w:firstLine="913"/>
        <w:spacing w:after="0" w:line="258" w:lineRule="auto"/>
        <w:rPr>
          <w:sz w:val="20"/>
          <w:szCs w:val="20"/>
          <w:color w:val="auto"/>
        </w:rPr>
      </w:pPr>
      <w:r>
        <w:rPr>
          <w:rFonts w:ascii="Times New Roman" w:cs="Times New Roman" w:eastAsia="Times New Roman" w:hAnsi="Times New Roman"/>
          <w:sz w:val="18"/>
          <w:szCs w:val="18"/>
          <w:color w:val="auto"/>
        </w:rPr>
        <w:t xml:space="preserve">Section 11.1. </w:t>
      </w: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(a) This Supplement shall be binding upon and inure to the benefit of the parties hereto and their respective successors and assigns, except that ABRCF may not assign or transfer any of its rights under this Supplement without the prior written consent of all of the Series 2009-3 Noteholders, no CP Conduit Purchaser may assign or transfer any of its rights under this Supplement other than in accordance with the Asset Purchase Agreement with respect to such CP Conduit Purchaser or otherwise to the APA Bank</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84</w:t>
      </w:r>
    </w:p>
    <w:p>
      <w:pPr>
        <w:sectPr>
          <w:pgSz w:w="11900" w:h="16838" w:orient="portrait"/>
          <w:cols w:equalWidth="0" w:num="1">
            <w:col w:w="11420"/>
          </w:cols>
          <w:pgMar w:left="240" w:top="274" w:right="239" w:bottom="1440" w:gutter="0" w:footer="0" w:header="0"/>
        </w:sectPr>
      </w:pPr>
    </w:p>
    <w:bookmarkStart w:id="254" w:name="page255"/>
    <w:bookmarkEnd w:id="254"/>
    <w:p>
      <w:pPr>
        <w:ind w:right="20"/>
        <w:spacing w:after="0" w:line="26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with respect to such CP Conduit Purchaser or a Program Support Provider with respect to such CP Conduit Purchaser or pursuant to clause (b) or (e) below of this Section 11.1 and no APA Bank may assign or transfer any of its rights or obligations under this Supplement except to a Program Support Provider or pursuant to clause (c), (d) or (e) below of this Section 11.1.</w:t>
      </w:r>
    </w:p>
    <w:p>
      <w:pPr>
        <w:spacing w:after="0" w:line="132" w:lineRule="exact"/>
        <w:rPr>
          <w:sz w:val="20"/>
          <w:szCs w:val="20"/>
          <w:color w:val="auto"/>
        </w:rPr>
      </w:pPr>
    </w:p>
    <w:p>
      <w:pPr>
        <w:ind w:firstLine="921"/>
        <w:spacing w:after="0" w:line="287" w:lineRule="auto"/>
        <w:tabs>
          <w:tab w:leader="none" w:pos="1162" w:val="left"/>
        </w:tabs>
        <w:numPr>
          <w:ilvl w:val="1"/>
          <w:numId w:val="19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Without limiting the foregoing, each CP Conduit Purchaser may assign all or a portion of the Purchaser Group Invested Amount with respect to such CP Conduit Purchaser and its rights and obligations under this Supplement and any other Related Documents to which it is a party to a Conduit Assignee with respect to such CP Conduit Purchaser. Prior to or concurrently with the effectiveness of any such assignment (or if impracticable, immediately thereafter), the assigning CP Conduit Purchaser shall notify the Administrative Agent, ABRCF, the Trustee and the Administrator thereof. Upon such assignment by a CP Conduit Purchaser to a Conduit Assignee, (A) such Conduit Assignee shall be the owner of the Purchaser Group Invested Amount or such portion thereof with respect to such CP Conduit Purchaser, (B) the related administrative or managing agent for such Conduit Assignee will act as the administrative agent for such Conduit Assignee hereunder, with all corresponding rights and powers, express or implied, granted to the Funding Agent hereunder or under the other Related Documents, (C) such Conduit Assignee and its liquidity support provider(s) and credit support provider(s) and other related parties shall have the benefit of all the rights and protections provided to such CP Conduit Purchaser herein and in the other Related Documents (including, without limitation, any limitation on recourse against such Conduit Assignee as provided in this paragraph), (D) such Conduit Assignee shall assume all of such CP Conduit Purchaser’s obligations, if any, hereunder or under the Base Indenture or under any other Related Document with respect to such portion of the Purchaser Group Invested Amount and such CP Conduit Purchaser shall be released from such obligations, (E) all distributions in respect of the Purchaser Group Invested Amount or such portion thereof with respect to such CP Conduit Purchaser shall be made to the applicable agent or administrative agent, as applicable, on behalf of such Conduit Assignee,</w:t>
      </w:r>
    </w:p>
    <w:p>
      <w:pPr>
        <w:spacing w:after="0" w:line="181" w:lineRule="exact"/>
        <w:rPr>
          <w:rFonts w:ascii="Times New Roman" w:cs="Times New Roman" w:eastAsia="Times New Roman" w:hAnsi="Times New Roman"/>
          <w:sz w:val="16"/>
          <w:szCs w:val="16"/>
          <w:color w:val="auto"/>
        </w:rPr>
      </w:pPr>
    </w:p>
    <w:p>
      <w:pPr>
        <w:ind w:right="140" w:firstLine="8"/>
        <w:spacing w:after="0" w:line="252" w:lineRule="auto"/>
        <w:tabs>
          <w:tab w:leader="none" w:pos="258"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definitions of the terms “Monthly Funding Costs” and “Discount” shall be determined in the manner set forth in the definition of “Monthly Funding Costs” and “Discount” applicable to such CP Conduit Purchaser on the basis of the interest rate or discount applicable to commercial paper issued by such Conduit Assignee (rather than such CP Conduit Purchaser), (G) the defined terms and other terms and provisions of this Supplement, the Base Indenture and the other Related Documents shall be interpreted in accordance with the foregoing, and (H) if requested by the Administrative Agent or the agent or administrative agent with respect to the Conduit Assignee, the parties will execute and deliver such further agreements and documents and take such other actions as the Administrative Agent or such agent or administrative agent may reasonably request to evidence and give effect to the foregoing. No assignment by any CP Conduit Purchaser to a Conduit Assignee of the Purchaser Group Invested Amount with respect to such CP Conduit Purchaser shall in any way diminish the obligations of the APA Bank with respect to such CP Conduit Purchaser under Section 2.3 to fund any Increase.</w:t>
      </w:r>
    </w:p>
    <w:p>
      <w:pPr>
        <w:spacing w:after="0" w:line="139" w:lineRule="exact"/>
        <w:rPr>
          <w:rFonts w:ascii="Times New Roman" w:cs="Times New Roman" w:eastAsia="Times New Roman" w:hAnsi="Times New Roman"/>
          <w:sz w:val="18"/>
          <w:szCs w:val="18"/>
          <w:color w:val="auto"/>
        </w:rPr>
      </w:pPr>
    </w:p>
    <w:p>
      <w:pPr>
        <w:ind w:right="120" w:firstLine="921"/>
        <w:spacing w:after="0" w:line="258" w:lineRule="auto"/>
        <w:tabs>
          <w:tab w:leader="none" w:pos="1152" w:val="left"/>
        </w:tabs>
        <w:numPr>
          <w:ilvl w:val="1"/>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APA Bank may, in the ordinary course of its business and in accordance with applicable law, at any time sell all or any part of its rights and obligations under this Supplement and the Series 2009-3 Notes, with the prior written consent of the Administrative Agent, ABRCF and the Administrator (in each case, which consent shall not be unreasonably withheld), to one or more banks (an “</w:t>
      </w:r>
      <w:r>
        <w:rPr>
          <w:rFonts w:ascii="Times New Roman" w:cs="Times New Roman" w:eastAsia="Times New Roman" w:hAnsi="Times New Roman"/>
          <w:sz w:val="18"/>
          <w:szCs w:val="18"/>
          <w:u w:val="single" w:color="auto"/>
          <w:color w:val="auto"/>
        </w:rPr>
        <w:t>Acquiring APA Bank</w:t>
      </w:r>
      <w:r>
        <w:rPr>
          <w:rFonts w:ascii="Times New Roman" w:cs="Times New Roman" w:eastAsia="Times New Roman" w:hAnsi="Times New Roman"/>
          <w:sz w:val="18"/>
          <w:szCs w:val="18"/>
          <w:color w:val="auto"/>
        </w:rPr>
        <w:t xml:space="preserve">”) pursuant to a transfer supplement, substantially in the form of </w:t>
      </w:r>
      <w:r>
        <w:rPr>
          <w:rFonts w:ascii="Times New Roman" w:cs="Times New Roman" w:eastAsia="Times New Roman" w:hAnsi="Times New Roman"/>
          <w:sz w:val="18"/>
          <w:szCs w:val="18"/>
          <w:u w:val="single" w:color="auto"/>
          <w:color w:val="auto"/>
        </w:rPr>
        <w:t>Exhibit H</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Transfer Supplement</w:t>
      </w:r>
      <w:r>
        <w:rPr>
          <w:rFonts w:ascii="Times New Roman" w:cs="Times New Roman" w:eastAsia="Times New Roman" w:hAnsi="Times New Roman"/>
          <w:sz w:val="18"/>
          <w:szCs w:val="18"/>
          <w:color w:val="auto"/>
        </w:rPr>
        <w:t>”), executed by such Acquiring</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85</w:t>
      </w:r>
    </w:p>
    <w:p>
      <w:pPr>
        <w:sectPr>
          <w:pgSz w:w="11900" w:h="16838" w:orient="portrait"/>
          <w:cols w:equalWidth="0" w:num="1">
            <w:col w:w="11420"/>
          </w:cols>
          <w:pgMar w:left="240" w:top="274" w:right="239" w:bottom="1440" w:gutter="0" w:footer="0" w:header="0"/>
        </w:sectPr>
      </w:pPr>
    </w:p>
    <w:bookmarkStart w:id="255" w:name="page256"/>
    <w:bookmarkEnd w:id="255"/>
    <w:p>
      <w:pPr>
        <w:ind w:right="420"/>
        <w:spacing w:after="0" w:line="26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APA Bank, such assigning APA Bank, the Funding Agent with respect to such APA Bank, the Administrative Agent, ABRCF and the Administrator and delivered to the Administrative Agent. Notwithstanding the foregoing, no APA Bank shall so sell its rights hereunder if such Acquiring APA Bank is not an Eligible Assignee.</w:t>
      </w:r>
    </w:p>
    <w:p>
      <w:pPr>
        <w:spacing w:after="0" w:line="132" w:lineRule="exact"/>
        <w:rPr>
          <w:sz w:val="20"/>
          <w:szCs w:val="20"/>
          <w:color w:val="auto"/>
        </w:rPr>
      </w:pPr>
    </w:p>
    <w:p>
      <w:pPr>
        <w:ind w:firstLine="921"/>
        <w:spacing w:after="0" w:line="252" w:lineRule="auto"/>
        <w:tabs>
          <w:tab w:leader="none" w:pos="1162"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APA Bank may, in the ordinary course of its business and in accordance with applicable law, at any time sell to one or more financial institutions or other entities (“</w:t>
      </w:r>
      <w:r>
        <w:rPr>
          <w:rFonts w:ascii="Times New Roman" w:cs="Times New Roman" w:eastAsia="Times New Roman" w:hAnsi="Times New Roman"/>
          <w:sz w:val="18"/>
          <w:szCs w:val="18"/>
          <w:u w:val="single" w:color="auto"/>
          <w:color w:val="auto"/>
        </w:rPr>
        <w:t>Participants</w:t>
      </w:r>
      <w:r>
        <w:rPr>
          <w:rFonts w:ascii="Times New Roman" w:cs="Times New Roman" w:eastAsia="Times New Roman" w:hAnsi="Times New Roman"/>
          <w:sz w:val="18"/>
          <w:szCs w:val="18"/>
          <w:color w:val="auto"/>
        </w:rPr>
        <w:t xml:space="preserve">”) participations in its APA Bank Percentage of the Commitment Amount with respect to it and the other APA Banks included in the related Purchaser Group, its Series 2009-3 Note and its rights hereunder pursuant to documentation in form and substance satisfactory to such APA Bank and the Participant;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 in the event of any such sale by an APA Bank to a Participant, (A) such APA Bank’s obligations under this Supplement shall remain unchanged, (B) such APA Bank shall remain solely responsible for the performance thereof and (C) ABRCF and the Administrative Agent shall continue to deal solely and directly with such APA Bank in connection with its rights and obligations under this Supplement and (ii) no APA Bank shall sell any participating interest under which the Participant shall have rights to approve any amendment to, or any consent or waiver with respect to, this Supplement, the Base Indenture or any Related Document, except to the extent that the approval of such amendment, consent or waiver otherwise would require the unanimous consent of all APA Banks hereunder. A Participant shall have the right to receive Article VII Costs but only to the extent that the related selling APA Bank would have had such right absent the sale of the related participation and, with respect to amounts due pursuant to Section 7.2, only to the extent such Participant shall have complied with the provisions of Section 7.2(e) and (g) as if such Participant were the Administrative Agent, a Funding Agent, a Program Support Provider or a member of a Purchaser Group.</w:t>
      </w:r>
    </w:p>
    <w:p>
      <w:pPr>
        <w:spacing w:after="0" w:line="147" w:lineRule="exact"/>
        <w:rPr>
          <w:rFonts w:ascii="Times New Roman" w:cs="Times New Roman" w:eastAsia="Times New Roman" w:hAnsi="Times New Roman"/>
          <w:sz w:val="18"/>
          <w:szCs w:val="18"/>
          <w:color w:val="auto"/>
        </w:rPr>
      </w:pPr>
    </w:p>
    <w:p>
      <w:pPr>
        <w:ind w:right="40" w:firstLine="921"/>
        <w:spacing w:after="0" w:line="254" w:lineRule="auto"/>
        <w:tabs>
          <w:tab w:leader="none" w:pos="1152"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CP Conduit Purchaser and the APA Bank with respect to such CP Conduit Purchaser may at any time sell all or any part of their respective rights and obligations under this Supplement and the Series 2009-3 Notes, with the prior written consent of the Administrative Agent, ABRCF and the Administrator (in each case, which consent shall not be unreasonably withheld), to a multi-seller commercial paper conduit and one or more banks providing support to such multi-seller commercial paper conduit (an “</w:t>
      </w:r>
      <w:r>
        <w:rPr>
          <w:rFonts w:ascii="Times New Roman" w:cs="Times New Roman" w:eastAsia="Times New Roman" w:hAnsi="Times New Roman"/>
          <w:sz w:val="18"/>
          <w:szCs w:val="18"/>
          <w:u w:val="single" w:color="auto"/>
          <w:color w:val="auto"/>
        </w:rPr>
        <w:t>Acquiring Purchaser Group</w:t>
      </w:r>
      <w:r>
        <w:rPr>
          <w:rFonts w:ascii="Times New Roman" w:cs="Times New Roman" w:eastAsia="Times New Roman" w:hAnsi="Times New Roman"/>
          <w:sz w:val="18"/>
          <w:szCs w:val="18"/>
          <w:color w:val="auto"/>
        </w:rPr>
        <w:t xml:space="preserve">”) pursuant to a transfer supplement, substantially in the form of </w:t>
      </w:r>
      <w:r>
        <w:rPr>
          <w:rFonts w:ascii="Times New Roman" w:cs="Times New Roman" w:eastAsia="Times New Roman" w:hAnsi="Times New Roman"/>
          <w:sz w:val="18"/>
          <w:szCs w:val="18"/>
          <w:u w:val="single" w:color="auto"/>
          <w:color w:val="auto"/>
        </w:rPr>
        <w:t>Exhibit I</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Purchaser Group Supplement</w:t>
      </w:r>
      <w:r>
        <w:rPr>
          <w:rFonts w:ascii="Times New Roman" w:cs="Times New Roman" w:eastAsia="Times New Roman" w:hAnsi="Times New Roman"/>
          <w:sz w:val="18"/>
          <w:szCs w:val="18"/>
          <w:color w:val="auto"/>
        </w:rPr>
        <w:t>”), executed by such Acquiring Purchaser Group, the Funding Agent with respect to such Acquiring Purchaser Group (including the CP Conduit Purchaser and the APA Banks with respect to such Purchaser Group), such assigning CP Conduit Purchaser and the APA Banks with respect to such CP Conduit Purchaser, the Funding Agent with respect to such assigning CP Conduit Purchaser and APA Banks, the Administrative Agent, ABRCF and the Administrator and delivered to the Administrative Agent.</w:t>
      </w:r>
    </w:p>
    <w:p>
      <w:pPr>
        <w:spacing w:after="0" w:line="138" w:lineRule="exact"/>
        <w:rPr>
          <w:rFonts w:ascii="Times New Roman" w:cs="Times New Roman" w:eastAsia="Times New Roman" w:hAnsi="Times New Roman"/>
          <w:sz w:val="18"/>
          <w:szCs w:val="18"/>
          <w:color w:val="auto"/>
        </w:rPr>
      </w:pPr>
    </w:p>
    <w:p>
      <w:pPr>
        <w:ind w:right="80" w:firstLine="921"/>
        <w:spacing w:after="0" w:line="258" w:lineRule="auto"/>
        <w:tabs>
          <w:tab w:leader="none" w:pos="1132"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ABRCF authorizes each APA Bank to disclose to any Participant or Acquiring APA Bank (each, a “</w:t>
      </w:r>
      <w:r>
        <w:rPr>
          <w:rFonts w:ascii="Times New Roman" w:cs="Times New Roman" w:eastAsia="Times New Roman" w:hAnsi="Times New Roman"/>
          <w:sz w:val="18"/>
          <w:szCs w:val="18"/>
          <w:u w:val="single" w:color="auto"/>
          <w:color w:val="auto"/>
        </w:rPr>
        <w:t>Transferee</w:t>
      </w:r>
      <w:r>
        <w:rPr>
          <w:rFonts w:ascii="Times New Roman" w:cs="Times New Roman" w:eastAsia="Times New Roman" w:hAnsi="Times New Roman"/>
          <w:sz w:val="18"/>
          <w:szCs w:val="18"/>
          <w:color w:val="auto"/>
        </w:rPr>
        <w:t>”) and any prospective Transferee any and all financial information in such APA Bank’s possession concerning ABRCF, the Collateral, the Administrator and the Related Documents which has been delivered to such APA Bank by ABRCF or the Administrator in connection with such APA Bank’s credit evaluation of ABRCF, the Collateral and the Administrator.</w:t>
      </w:r>
    </w:p>
    <w:p>
      <w:pPr>
        <w:spacing w:after="0" w:line="12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86</w:t>
      </w:r>
    </w:p>
    <w:p>
      <w:pPr>
        <w:sectPr>
          <w:pgSz w:w="11900" w:h="16838" w:orient="portrait"/>
          <w:cols w:equalWidth="0" w:num="1">
            <w:col w:w="11360"/>
          </w:cols>
          <w:pgMar w:left="240" w:top="274" w:right="299" w:bottom="1440" w:gutter="0" w:footer="0" w:header="0"/>
        </w:sectPr>
      </w:pPr>
    </w:p>
    <w:bookmarkStart w:id="256" w:name="page257"/>
    <w:bookmarkEnd w:id="256"/>
    <w:p>
      <w:pPr>
        <w:ind w:right="100" w:firstLine="913"/>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11.2. </w:t>
      </w:r>
      <w:r>
        <w:rPr>
          <w:rFonts w:ascii="Times New Roman" w:cs="Times New Roman" w:eastAsia="Times New Roman" w:hAnsi="Times New Roman"/>
          <w:sz w:val="18"/>
          <w:szCs w:val="18"/>
          <w:u w:val="single" w:color="auto"/>
          <w:color w:val="auto"/>
        </w:rPr>
        <w:t>Securities Law</w:t>
      </w:r>
      <w:r>
        <w:rPr>
          <w:rFonts w:ascii="Times New Roman" w:cs="Times New Roman" w:eastAsia="Times New Roman" w:hAnsi="Times New Roman"/>
          <w:sz w:val="18"/>
          <w:szCs w:val="18"/>
          <w:color w:val="auto"/>
        </w:rPr>
        <w:t>. Each CP Conduit Purchaser and APA Bank hereby represents and warrants to ABRCF that it is an “accredited investor” as such term is defined in Rule 501(a) of Regulation D under the Securities Act and has sufficient assets to bear the economic risk of, and sufficient knowledge and experience in financial and business matters to evaluate the merits and risks of, its investment in a Series 2009-3 Note. Each CP Conduit Purchaser and APA Bank agrees that its Series 2009-3 Note will be acquired for investment only and not with a view to any public distribution thereof, and that such CP Conduit Purchaser and APA Bank will not offer to sell or otherwise dispose of its Series 2009-3 Note (or any interest therein) in violation of any of the registration requirements of the Securities Act, or any applicable state or other securities laws. Each CP Conduit Purchaser and APA Bank acknowledges that it has no right to require ABRCF to register its Series 2009-3 Note under the Securities Act or any other securities law. Each CP Conduit Purchaser and APA Bank hereby confirms and agrees that in connection with any transfer by it of an interest in the Series 2009-3 Note, such CP Conduit Purchaser or APA Bank has not engaged and will not engage in a general solicitation or general advertising including advertisements, articles, notices or other communications published in any newspaper, magazine or similar media or broadcast over radio or television, or any seminar or meeting whose attendees have been invited by any general solicitation or general advertising.</w:t>
      </w:r>
    </w:p>
    <w:p>
      <w:pPr>
        <w:spacing w:after="0" w:line="139" w:lineRule="exact"/>
        <w:rPr>
          <w:sz w:val="20"/>
          <w:szCs w:val="20"/>
          <w:color w:val="auto"/>
        </w:rPr>
      </w:pPr>
    </w:p>
    <w:p>
      <w:pPr>
        <w:ind w:firstLine="913"/>
        <w:spacing w:after="0" w:line="252" w:lineRule="auto"/>
        <w:rPr>
          <w:sz w:val="20"/>
          <w:szCs w:val="20"/>
          <w:color w:val="auto"/>
        </w:rPr>
      </w:pPr>
      <w:r>
        <w:rPr>
          <w:rFonts w:ascii="Times New Roman" w:cs="Times New Roman" w:eastAsia="Times New Roman" w:hAnsi="Times New Roman"/>
          <w:sz w:val="18"/>
          <w:szCs w:val="18"/>
          <w:color w:val="auto"/>
        </w:rPr>
        <w:t xml:space="preserve">Section 11.3. </w:t>
      </w:r>
      <w:r>
        <w:rPr>
          <w:rFonts w:ascii="Times New Roman" w:cs="Times New Roman" w:eastAsia="Times New Roman" w:hAnsi="Times New Roman"/>
          <w:sz w:val="18"/>
          <w:szCs w:val="18"/>
          <w:u w:val="single" w:color="auto"/>
          <w:color w:val="auto"/>
        </w:rPr>
        <w:t>Adjustments; Set-off</w:t>
      </w:r>
      <w:r>
        <w:rPr>
          <w:rFonts w:ascii="Times New Roman" w:cs="Times New Roman" w:eastAsia="Times New Roman" w:hAnsi="Times New Roman"/>
          <w:sz w:val="18"/>
          <w:szCs w:val="18"/>
          <w:color w:val="auto"/>
        </w:rPr>
        <w:t>. (a) If any CP Conduit Purchaser or APA Bank in a Purchaser Group (a “</w:t>
      </w:r>
      <w:r>
        <w:rPr>
          <w:rFonts w:ascii="Times New Roman" w:cs="Times New Roman" w:eastAsia="Times New Roman" w:hAnsi="Times New Roman"/>
          <w:sz w:val="18"/>
          <w:szCs w:val="18"/>
          <w:u w:val="single" w:color="auto"/>
          <w:color w:val="auto"/>
        </w:rPr>
        <w:t>Benefited Purchaser Group</w:t>
      </w:r>
      <w:r>
        <w:rPr>
          <w:rFonts w:ascii="Times New Roman" w:cs="Times New Roman" w:eastAsia="Times New Roman" w:hAnsi="Times New Roman"/>
          <w:sz w:val="18"/>
          <w:szCs w:val="18"/>
          <w:color w:val="auto"/>
        </w:rPr>
        <w:t xml:space="preserve">”) shall at any time receive in respect of its Purchaser Group Invested Amount any distribution of principal, interest, Commitment Fees or any interest thereon, or receive any collateral in respect thereof (whether voluntarily or involuntarily, by set-off or otherwise) in a greater proportion than any such distribution received by any other Purchaser Group, if any, in respect of such other Purchaser Group’s Purchaser Group Invested Amount, or interest thereon, the APA Banks in such Benefited Purchaser Group shall purchase for cash from the CP Conduit Purchaser or APA Banks in the other Purchaser Group such portion of such other CP Conduit Purchaser’s or APA Banks’ interest in the Series 2009-3 Notes, or shall provide such other CP Conduit Purchaser or APA Bank with the benefits of any such collateral, or the proceeds thereof, as shall be necessary to cause such Benefited Purchaser Group to share the excess payment or benefits of such collateral or proceeds ratably with the other Purchaser Group;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all or any portion of such excess payment or benefits is thereafter recovered from such Benefited Purchaser Group, such purchase shall be rescinded, and the purchase price and benefits returned, to the extent of such recovery, but without interest. ABRCF agrees that any CP Conduit Purchaser or APA Bank so purchasing a portion of another Purchaser Group’s Purchaser Group Invested Amount may exercise all rights of payment (including, without limitation, rights of set-off) with respect to such portion as fully as if such CP Conduit Purchaser or APA Bank were the direct holder of such portion.</w:t>
      </w:r>
    </w:p>
    <w:p>
      <w:pPr>
        <w:spacing w:after="0" w:line="147" w:lineRule="exact"/>
        <w:rPr>
          <w:sz w:val="20"/>
          <w:szCs w:val="20"/>
          <w:color w:val="auto"/>
        </w:rPr>
      </w:pPr>
    </w:p>
    <w:p>
      <w:pPr>
        <w:ind w:right="120" w:firstLine="921"/>
        <w:spacing w:after="0" w:line="256" w:lineRule="auto"/>
        <w:tabs>
          <w:tab w:leader="none" w:pos="1162"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any rights and remedies of the Purchaser Groups provided by law, each CP Conduit Purchaser and APA Bank shall have the right, without prior notice to ABRCF, any such notice being expressly waived by ABRCF to the extent permitted by applicable law, upon any amount becoming due and payable by ABRCF hereunder or under the Series 2009-3 Notes to set-off and appropriate and apply against any and all deposits (general or special, time or demand, provisional or final), in any currency, and any other credits, indebtedness or claims, in any currency, in each case whether direct or indirect, absolute or contingent, matured or unmatured, at any time held or owing by such Purchaser Group to or for</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87</w:t>
      </w:r>
    </w:p>
    <w:p>
      <w:pPr>
        <w:sectPr>
          <w:pgSz w:w="11900" w:h="16838" w:orient="portrait"/>
          <w:cols w:equalWidth="0" w:num="1">
            <w:col w:w="11400"/>
          </w:cols>
          <w:pgMar w:left="240" w:top="274" w:right="259" w:bottom="1440" w:gutter="0" w:footer="0" w:header="0"/>
        </w:sectPr>
      </w:pPr>
    </w:p>
    <w:bookmarkStart w:id="257" w:name="page258"/>
    <w:bookmarkEnd w:id="257"/>
    <w:p>
      <w:pPr>
        <w:ind w:right="220"/>
        <w:spacing w:after="0" w:line="26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the credit or the account of ABRCF. Each CP Conduit Purchaser and APA Bank agrees promptly to notify ABRCF, the Administrator and the Administrative Agent after any such set-off and application made by such CP Conduit Purchaser or APA Bank;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failure to give such notice shall not affect the validity of such set-off and application.</w:t>
      </w:r>
    </w:p>
    <w:p>
      <w:pPr>
        <w:spacing w:after="0" w:line="132" w:lineRule="exact"/>
        <w:rPr>
          <w:sz w:val="20"/>
          <w:szCs w:val="20"/>
          <w:color w:val="auto"/>
        </w:rPr>
      </w:pPr>
    </w:p>
    <w:p>
      <w:pPr>
        <w:ind w:right="300" w:firstLine="913"/>
        <w:spacing w:after="0" w:line="258" w:lineRule="auto"/>
        <w:rPr>
          <w:sz w:val="20"/>
          <w:szCs w:val="20"/>
          <w:color w:val="auto"/>
        </w:rPr>
      </w:pPr>
      <w:r>
        <w:rPr>
          <w:rFonts w:ascii="Times New Roman" w:cs="Times New Roman" w:eastAsia="Times New Roman" w:hAnsi="Times New Roman"/>
          <w:sz w:val="18"/>
          <w:szCs w:val="18"/>
          <w:color w:val="auto"/>
        </w:rPr>
        <w:t xml:space="preserve">Section 11.4. </w:t>
      </w:r>
      <w:r>
        <w:rPr>
          <w:rFonts w:ascii="Times New Roman" w:cs="Times New Roman" w:eastAsia="Times New Roman" w:hAnsi="Times New Roman"/>
          <w:sz w:val="18"/>
          <w:szCs w:val="18"/>
          <w:u w:val="single" w:color="auto"/>
          <w:color w:val="auto"/>
        </w:rPr>
        <w:t>No Bankruptcy Petition</w:t>
      </w:r>
      <w:r>
        <w:rPr>
          <w:rFonts w:ascii="Times New Roman" w:cs="Times New Roman" w:eastAsia="Times New Roman" w:hAnsi="Times New Roman"/>
          <w:sz w:val="18"/>
          <w:szCs w:val="18"/>
          <w:color w:val="auto"/>
        </w:rPr>
        <w:t>. (a) Each of the Administrative Agent, the CP Conduit Purchasers, the APA Banks and the Funding Agents hereby covenants and agrees that, prior to the date which is one year and one day after the later of payment in full of all Series of Notes, it will not institute against, or join any other Person in instituting against, ABRCF any bankruptcy, reorganization, arrangement, insolvency or liquidation proceedings, or other similar proceedings under any federal or state bankruptcy or similar law.</w:t>
      </w:r>
    </w:p>
    <w:p>
      <w:pPr>
        <w:spacing w:after="0" w:line="136" w:lineRule="exact"/>
        <w:rPr>
          <w:sz w:val="20"/>
          <w:szCs w:val="20"/>
          <w:color w:val="auto"/>
        </w:rPr>
      </w:pPr>
    </w:p>
    <w:p>
      <w:pPr>
        <w:ind w:right="120" w:firstLine="921"/>
        <w:spacing w:after="0" w:line="256" w:lineRule="auto"/>
        <w:tabs>
          <w:tab w:leader="none" w:pos="1162"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ABRCF, the Trustee, the Administrative Agent, the Administrator, each CP Conduit Purchaser, each Funding Agent and each APA Bank hereby covenants and agrees that, prior to the date which is one year and one day after the payment in full of all outstanding Commercial Paper issued by, or for the benefit of, a CP Conduit Purchaser, it will not institute against, or join any other Person in instituting against, such CP Conduit Purchaser (or the Person issuing Commercial Paper for the benefit of such CP Conduit Purchaser) any bankruptcy, reorganization, arrangement, insolvency or liquidation proceedings, or other similar proceedings under any federal or state bankruptcy or similar law.</w:t>
      </w:r>
    </w:p>
    <w:p>
      <w:pPr>
        <w:spacing w:after="0" w:line="138" w:lineRule="exact"/>
        <w:rPr>
          <w:rFonts w:ascii="Times New Roman" w:cs="Times New Roman" w:eastAsia="Times New Roman" w:hAnsi="Times New Roman"/>
          <w:sz w:val="18"/>
          <w:szCs w:val="18"/>
          <w:color w:val="auto"/>
        </w:rPr>
      </w:pPr>
    </w:p>
    <w:p>
      <w:pPr>
        <w:ind w:left="1160" w:hanging="239"/>
        <w:spacing w:after="0"/>
        <w:tabs>
          <w:tab w:leader="none" w:pos="1160"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covenant shall survive the termination of this Supplement and the Base Indenture and the payment of all amounts payable hereunder and</w:t>
      </w:r>
    </w:p>
    <w:p>
      <w:pPr>
        <w:spacing w:after="0" w:line="2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thereunder.</w:t>
      </w:r>
    </w:p>
    <w:p>
      <w:pPr>
        <w:spacing w:after="0" w:line="159" w:lineRule="exact"/>
        <w:rPr>
          <w:sz w:val="20"/>
          <w:szCs w:val="20"/>
          <w:color w:val="auto"/>
        </w:rPr>
      </w:pPr>
    </w:p>
    <w:p>
      <w:pPr>
        <w:ind w:right="20" w:firstLine="913"/>
        <w:spacing w:after="0" w:line="255" w:lineRule="auto"/>
        <w:rPr>
          <w:sz w:val="20"/>
          <w:szCs w:val="20"/>
          <w:color w:val="auto"/>
        </w:rPr>
      </w:pPr>
      <w:r>
        <w:rPr>
          <w:rFonts w:ascii="Times New Roman" w:cs="Times New Roman" w:eastAsia="Times New Roman" w:hAnsi="Times New Roman"/>
          <w:sz w:val="18"/>
          <w:szCs w:val="18"/>
          <w:color w:val="auto"/>
        </w:rPr>
        <w:t xml:space="preserve">Section 11.5. </w:t>
      </w:r>
      <w:r>
        <w:rPr>
          <w:rFonts w:ascii="Times New Roman" w:cs="Times New Roman" w:eastAsia="Times New Roman" w:hAnsi="Times New Roman"/>
          <w:sz w:val="18"/>
          <w:szCs w:val="18"/>
          <w:u w:val="single" w:color="auto"/>
          <w:color w:val="auto"/>
        </w:rPr>
        <w:t>Limited Recourse</w:t>
      </w:r>
      <w:r>
        <w:rPr>
          <w:rFonts w:ascii="Times New Roman" w:cs="Times New Roman" w:eastAsia="Times New Roman" w:hAnsi="Times New Roman"/>
          <w:sz w:val="18"/>
          <w:szCs w:val="18"/>
          <w:color w:val="auto"/>
        </w:rPr>
        <w:t>. (a) Notwithstanding anything to the contrary contained herein, any obligations of each CP Conduit Purchaser hereunder to any party hereto are solely the corporate or limited liability company obligations of such CP Conduit Purchaser and shall be payable at such time as funds are received by or are available to such CP Conduit Purchaser in excess of funds necessary to pay in full all of its outstanding Commercial Paper and, to the extent funds are not available to pay such obligations, the claims relating thereto shall not constitute a claim against such CP Conduit Purchaser but shall continue to accrue. Each party hereto agrees that the payment of any claim (as defined in Section 101 of Title 11 of the Bankruptcy Code) of any such party against a CP Conduit Purchaser shall be subordinated to the payment in full of all of its Commercial Paper.</w:t>
      </w:r>
    </w:p>
    <w:p>
      <w:pPr>
        <w:spacing w:after="0" w:line="139" w:lineRule="exact"/>
        <w:rPr>
          <w:sz w:val="20"/>
          <w:szCs w:val="20"/>
          <w:color w:val="auto"/>
        </w:rPr>
      </w:pPr>
    </w:p>
    <w:p>
      <w:pPr>
        <w:ind w:firstLine="921"/>
        <w:spacing w:after="0" w:line="254" w:lineRule="auto"/>
        <w:tabs>
          <w:tab w:leader="none" w:pos="1162"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recourse under any obligation, covenant or agreement of any CP Conduit Purchaser contained herein shall be had against any incorporator, stockholder, member, officer, director, employee or agent of such CP Conduit Purchaser, its administrative agent, the Funding Agent with respect to such CP Conduit Purchaser or any of their Affiliates by the enforcement of any assessment or by any legal or equitable proceeding, by virtue of any statute or otherwise; it being expressly agreed and understood that this Supplement is solely a corporate or limited liability company obligation of such CP Conduit Purchaser individually, and that no personal liability whatever shall attach to or be incurred by any incorporator, stockholder, member, officer, director, employee or agent of such CP Conduit Purchaser, its administrative agent, the Funding Agent with respect to such CP Conduit Purchaser or any of its Affiliates (solely by virtue of such capacity) or any of them under or by reason of any of the obligations, covenants or agreements of such CP Conduit Purchaser contained in this Agreement, or implied</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88</w:t>
      </w:r>
    </w:p>
    <w:p>
      <w:pPr>
        <w:sectPr>
          <w:pgSz w:w="11900" w:h="16838" w:orient="portrait"/>
          <w:cols w:equalWidth="0" w:num="1">
            <w:col w:w="11400"/>
          </w:cols>
          <w:pgMar w:left="240" w:top="274" w:right="259" w:bottom="1440" w:gutter="0" w:footer="0" w:header="0"/>
        </w:sectPr>
      </w:pPr>
    </w:p>
    <w:bookmarkStart w:id="258" w:name="page259"/>
    <w:bookmarkEnd w:id="258"/>
    <w:p>
      <w:pPr>
        <w:ind w:right="12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therefrom, and that any and all personal liability for breaches by such CP Conduit Purchaser of any of such obligations, covenants or agreements, either at common law or at equity, or by statute, rule or regulation, of every such incorporator, stockholder, member, officer, director, employee or agent is hereby expressly waived as a condition of and in consideration for the execution of this Supplement;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foregoing shall not relieve any such Person from any liability it might otherwise have as a result of fraudulent actions taken or omissions made by them. The provisions of this Section 11.5 shall survive termination of this Supplement.</w:t>
      </w:r>
    </w:p>
    <w:p>
      <w:pPr>
        <w:spacing w:after="0" w:line="139" w:lineRule="exact"/>
        <w:rPr>
          <w:sz w:val="20"/>
          <w:szCs w:val="20"/>
          <w:color w:val="auto"/>
        </w:rPr>
      </w:pPr>
    </w:p>
    <w:p>
      <w:pPr>
        <w:ind w:firstLine="913"/>
        <w:spacing w:after="0" w:line="252" w:lineRule="auto"/>
        <w:rPr>
          <w:sz w:val="20"/>
          <w:szCs w:val="20"/>
          <w:color w:val="auto"/>
        </w:rPr>
      </w:pPr>
      <w:r>
        <w:rPr>
          <w:rFonts w:ascii="Times New Roman" w:cs="Times New Roman" w:eastAsia="Times New Roman" w:hAnsi="Times New Roman"/>
          <w:sz w:val="18"/>
          <w:szCs w:val="18"/>
          <w:color w:val="auto"/>
        </w:rPr>
        <w:t xml:space="preserve">Section 11.6. </w:t>
      </w:r>
      <w:r>
        <w:rPr>
          <w:rFonts w:ascii="Times New Roman" w:cs="Times New Roman" w:eastAsia="Times New Roman" w:hAnsi="Times New Roman"/>
          <w:sz w:val="18"/>
          <w:szCs w:val="18"/>
          <w:u w:val="single" w:color="auto"/>
          <w:color w:val="auto"/>
        </w:rPr>
        <w:t>Costs and Expenses</w:t>
      </w:r>
      <w:r>
        <w:rPr>
          <w:rFonts w:ascii="Times New Roman" w:cs="Times New Roman" w:eastAsia="Times New Roman" w:hAnsi="Times New Roman"/>
          <w:sz w:val="18"/>
          <w:szCs w:val="18"/>
          <w:color w:val="auto"/>
        </w:rPr>
        <w:t>. ABRCF agrees to pay on demand (x) all reasonable out-of-pocket costs and expenses of the Administrative Agent (including, without limitation, reasonable fees and disbursements of counsel to the Administrative Agent) and of each Purchaser Group (including in connection with the preparation, execution and delivery of this Supplement the reasonable fees and disbursements of one counsel, other than counsel to the Administrative Agent, for all such Purchaser Groups) in connection with (i) the preparation, execution and delivery of this Supplement and the other Related Documents and any amendments or waivers of, or consents under, any such documents and (ii) the enforcement by the Administrative Agent or any Funding Agent of the obligations and liabilities of ABRCF, the Lessors, the Lessees, the Permitted Sublessees, the Intermediary and the Administrator under the Indenture, this Supplement, the other Related Documents or any related document and all costs and expenses, if any (including reasonable counsel fees and expenses), in connection with the enforcement of this Agreement and the other Related Documents and (y) all reasonable out of pocket costs and expenses of the Administrative Agent (including, without limitation, reasonable fees and disbursements of counsel to the Administrative Agent) in connection with the administration of this Supplement and the other Related Documents. Any payments made by ABRCF pursuant to this Section 11.6 shall be made solely from funds available in the Series 2009-3 Distribution Account for the payment of Article VII Costs, shall be non-recourse other than with respect to such funds, and shall not constitute a claim against ABRCF to the extent that insufficient funds exist to make such payment. The agreements in this Section shall survive the termination of this Supplement and the Base Indenture and the payment of all amounts payable hereunder and thereunder.</w:t>
      </w:r>
    </w:p>
    <w:p>
      <w:pPr>
        <w:spacing w:after="0" w:line="14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 xml:space="preserve">Section 11.7. </w:t>
      </w:r>
      <w:r>
        <w:rPr>
          <w:rFonts w:ascii="Times New Roman" w:cs="Times New Roman" w:eastAsia="Times New Roman" w:hAnsi="Times New Roman"/>
          <w:sz w:val="18"/>
          <w:szCs w:val="18"/>
          <w:u w:val="single" w:color="auto"/>
          <w:color w:val="auto"/>
        </w:rPr>
        <w:t>Exhibits</w:t>
      </w:r>
      <w:r>
        <w:rPr>
          <w:rFonts w:ascii="Times New Roman" w:cs="Times New Roman" w:eastAsia="Times New Roman" w:hAnsi="Times New Roman"/>
          <w:sz w:val="18"/>
          <w:szCs w:val="18"/>
          <w:color w:val="auto"/>
        </w:rPr>
        <w:t>. The following exhibits attached hereto supplement the exhibits included in the Base Indenture.</w:t>
      </w:r>
    </w:p>
    <w:p>
      <w:pPr>
        <w:spacing w:after="0" w:line="212" w:lineRule="exact"/>
        <w:rPr>
          <w:sz w:val="20"/>
          <w:szCs w:val="20"/>
          <w:color w:val="auto"/>
        </w:rPr>
      </w:pPr>
    </w:p>
    <w:p>
      <w:pPr>
        <w:ind w:left="920"/>
        <w:spacing w:after="0"/>
        <w:tabs>
          <w:tab w:leader="none" w:pos="2020" w:val="left"/>
        </w:tabs>
        <w:rPr>
          <w:sz w:val="20"/>
          <w:szCs w:val="20"/>
          <w:color w:val="auto"/>
        </w:rPr>
      </w:pP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6"/>
          <w:szCs w:val="16"/>
          <w:color w:val="auto"/>
        </w:rPr>
        <w:t>Form of Variable Funding Note</w:t>
      </w:r>
    </w:p>
    <w:p>
      <w:pPr>
        <w:spacing w:after="0" w:line="21" w:lineRule="exact"/>
        <w:rPr>
          <w:sz w:val="20"/>
          <w:szCs w:val="20"/>
          <w:color w:val="auto"/>
        </w:rPr>
      </w:pPr>
    </w:p>
    <w:p>
      <w:pPr>
        <w:ind w:left="920"/>
        <w:spacing w:after="0"/>
        <w:tabs>
          <w:tab w:leader="none" w:pos="2020" w:val="left"/>
        </w:tabs>
        <w:rPr>
          <w:sz w:val="20"/>
          <w:szCs w:val="20"/>
          <w:color w:val="auto"/>
        </w:rPr>
      </w:pP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6"/>
          <w:szCs w:val="16"/>
          <w:color w:val="auto"/>
        </w:rPr>
        <w:t>Form of Increase Notice</w:t>
      </w:r>
    </w:p>
    <w:p>
      <w:pPr>
        <w:spacing w:after="0" w:line="9" w:lineRule="exact"/>
        <w:rPr>
          <w:sz w:val="20"/>
          <w:szCs w:val="20"/>
          <w:color w:val="auto"/>
        </w:rPr>
      </w:pPr>
    </w:p>
    <w:p>
      <w:pPr>
        <w:ind w:left="920"/>
        <w:spacing w:after="0"/>
        <w:tabs>
          <w:tab w:leader="none" w:pos="2020" w:val="left"/>
        </w:tabs>
        <w:rPr>
          <w:sz w:val="20"/>
          <w:szCs w:val="20"/>
          <w:color w:val="auto"/>
        </w:rPr>
      </w:pP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6"/>
          <w:szCs w:val="16"/>
          <w:color w:val="auto"/>
        </w:rPr>
        <w:t>Form of Consent</w:t>
      </w:r>
    </w:p>
    <w:p>
      <w:pPr>
        <w:spacing w:after="0" w:line="9" w:lineRule="exact"/>
        <w:rPr>
          <w:sz w:val="20"/>
          <w:szCs w:val="20"/>
          <w:color w:val="auto"/>
        </w:rPr>
      </w:pPr>
    </w:p>
    <w:p>
      <w:pPr>
        <w:ind w:left="920"/>
        <w:spacing w:after="0"/>
        <w:tabs>
          <w:tab w:leader="none" w:pos="2020" w:val="left"/>
        </w:tabs>
        <w:rPr>
          <w:sz w:val="20"/>
          <w:szCs w:val="20"/>
          <w:color w:val="auto"/>
        </w:rPr>
      </w:pPr>
      <w:r>
        <w:rPr>
          <w:rFonts w:ascii="Times New Roman" w:cs="Times New Roman" w:eastAsia="Times New Roman" w:hAnsi="Times New Roman"/>
          <w:sz w:val="18"/>
          <w:szCs w:val="18"/>
          <w:u w:val="single" w:color="auto"/>
          <w:color w:val="auto"/>
        </w:rPr>
        <w:t>Exhibit D</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6"/>
          <w:szCs w:val="16"/>
          <w:color w:val="auto"/>
        </w:rPr>
        <w:t>Form of Series 2009-3 Demand Note</w:t>
      </w:r>
    </w:p>
    <w:p>
      <w:pPr>
        <w:spacing w:after="0" w:line="9" w:lineRule="exact"/>
        <w:rPr>
          <w:sz w:val="20"/>
          <w:szCs w:val="20"/>
          <w:color w:val="auto"/>
        </w:rPr>
      </w:pPr>
    </w:p>
    <w:p>
      <w:pPr>
        <w:ind w:left="920"/>
        <w:spacing w:after="0"/>
        <w:tabs>
          <w:tab w:leader="none" w:pos="2020" w:val="left"/>
        </w:tabs>
        <w:rPr>
          <w:sz w:val="20"/>
          <w:szCs w:val="20"/>
          <w:color w:val="auto"/>
        </w:rPr>
      </w:pPr>
      <w:r>
        <w:rPr>
          <w:rFonts w:ascii="Times New Roman" w:cs="Times New Roman" w:eastAsia="Times New Roman" w:hAnsi="Times New Roman"/>
          <w:sz w:val="18"/>
          <w:szCs w:val="18"/>
          <w:u w:val="single" w:color="auto"/>
          <w:color w:val="auto"/>
        </w:rPr>
        <w:t>Exhibit E</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6"/>
          <w:szCs w:val="16"/>
          <w:color w:val="auto"/>
        </w:rPr>
        <w:t>Form of Series 2009-3 Letter of Credit</w:t>
      </w:r>
    </w:p>
    <w:p>
      <w:pPr>
        <w:spacing w:after="0" w:line="9" w:lineRule="exact"/>
        <w:rPr>
          <w:sz w:val="20"/>
          <w:szCs w:val="20"/>
          <w:color w:val="auto"/>
        </w:rPr>
      </w:pPr>
    </w:p>
    <w:p>
      <w:pPr>
        <w:ind w:left="920"/>
        <w:spacing w:after="0"/>
        <w:tabs>
          <w:tab w:leader="none" w:pos="2020" w:val="left"/>
        </w:tabs>
        <w:rPr>
          <w:sz w:val="20"/>
          <w:szCs w:val="20"/>
          <w:color w:val="auto"/>
        </w:rPr>
      </w:pPr>
      <w:r>
        <w:rPr>
          <w:rFonts w:ascii="Times New Roman" w:cs="Times New Roman" w:eastAsia="Times New Roman" w:hAnsi="Times New Roman"/>
          <w:sz w:val="18"/>
          <w:szCs w:val="18"/>
          <w:u w:val="single" w:color="auto"/>
          <w:color w:val="auto"/>
        </w:rPr>
        <w:t>Exhibit F</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6"/>
          <w:szCs w:val="16"/>
          <w:color w:val="auto"/>
        </w:rPr>
        <w:t>Form of Lease Payment Deficit Notice</w:t>
      </w:r>
    </w:p>
    <w:p>
      <w:pPr>
        <w:spacing w:after="0" w:line="9" w:lineRule="exact"/>
        <w:rPr>
          <w:sz w:val="20"/>
          <w:szCs w:val="20"/>
          <w:color w:val="auto"/>
        </w:rPr>
      </w:pPr>
    </w:p>
    <w:p>
      <w:pPr>
        <w:ind w:left="920"/>
        <w:spacing w:after="0"/>
        <w:tabs>
          <w:tab w:leader="none" w:pos="2020" w:val="left"/>
        </w:tabs>
        <w:rPr>
          <w:sz w:val="20"/>
          <w:szCs w:val="20"/>
          <w:color w:val="auto"/>
        </w:rPr>
      </w:pPr>
      <w:r>
        <w:rPr>
          <w:rFonts w:ascii="Times New Roman" w:cs="Times New Roman" w:eastAsia="Times New Roman" w:hAnsi="Times New Roman"/>
          <w:sz w:val="18"/>
          <w:szCs w:val="18"/>
          <w:u w:val="single" w:color="auto"/>
          <w:color w:val="auto"/>
        </w:rPr>
        <w:t>Exhibit G</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6"/>
          <w:szCs w:val="16"/>
          <w:color w:val="auto"/>
        </w:rPr>
        <w:t>Form of Demand Notice</w:t>
      </w:r>
    </w:p>
    <w:p>
      <w:pPr>
        <w:spacing w:after="0" w:line="9" w:lineRule="exact"/>
        <w:rPr>
          <w:sz w:val="20"/>
          <w:szCs w:val="20"/>
          <w:color w:val="auto"/>
        </w:rPr>
      </w:pPr>
    </w:p>
    <w:p>
      <w:pPr>
        <w:ind w:left="920"/>
        <w:spacing w:after="0"/>
        <w:tabs>
          <w:tab w:leader="none" w:pos="2020" w:val="left"/>
        </w:tabs>
        <w:rPr>
          <w:sz w:val="20"/>
          <w:szCs w:val="20"/>
          <w:color w:val="auto"/>
        </w:rPr>
      </w:pPr>
      <w:r>
        <w:rPr>
          <w:rFonts w:ascii="Times New Roman" w:cs="Times New Roman" w:eastAsia="Times New Roman" w:hAnsi="Times New Roman"/>
          <w:sz w:val="18"/>
          <w:szCs w:val="18"/>
          <w:u w:val="single" w:color="auto"/>
          <w:color w:val="auto"/>
        </w:rPr>
        <w:t>Exhibit H</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6"/>
          <w:szCs w:val="16"/>
          <w:color w:val="auto"/>
        </w:rPr>
        <w:t>Form of Transfer Supplement</w:t>
      </w:r>
    </w:p>
    <w:p>
      <w:pPr>
        <w:spacing w:after="0" w:line="9" w:lineRule="exact"/>
        <w:rPr>
          <w:sz w:val="20"/>
          <w:szCs w:val="20"/>
          <w:color w:val="auto"/>
        </w:rPr>
      </w:pPr>
    </w:p>
    <w:p>
      <w:pPr>
        <w:ind w:left="920"/>
        <w:spacing w:after="0"/>
        <w:tabs>
          <w:tab w:leader="none" w:pos="2020" w:val="left"/>
        </w:tabs>
        <w:rPr>
          <w:sz w:val="20"/>
          <w:szCs w:val="20"/>
          <w:color w:val="auto"/>
        </w:rPr>
      </w:pPr>
      <w:r>
        <w:rPr>
          <w:rFonts w:ascii="Times New Roman" w:cs="Times New Roman" w:eastAsia="Times New Roman" w:hAnsi="Times New Roman"/>
          <w:sz w:val="18"/>
          <w:szCs w:val="18"/>
          <w:u w:val="single" w:color="auto"/>
          <w:color w:val="auto"/>
        </w:rPr>
        <w:t>Exhibit I</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6"/>
          <w:szCs w:val="16"/>
          <w:color w:val="auto"/>
        </w:rPr>
        <w:t>Form of Purchaser Group Supplement</w:t>
      </w:r>
    </w:p>
    <w:p>
      <w:pPr>
        <w:spacing w:after="0" w:line="9" w:lineRule="exact"/>
        <w:rPr>
          <w:sz w:val="20"/>
          <w:szCs w:val="20"/>
          <w:color w:val="auto"/>
        </w:rPr>
      </w:pPr>
    </w:p>
    <w:p>
      <w:pPr>
        <w:ind w:left="920"/>
        <w:spacing w:after="0"/>
        <w:tabs>
          <w:tab w:leader="none" w:pos="2020" w:val="left"/>
        </w:tabs>
        <w:rPr>
          <w:sz w:val="20"/>
          <w:szCs w:val="20"/>
          <w:color w:val="auto"/>
        </w:rPr>
      </w:pPr>
      <w:r>
        <w:rPr>
          <w:rFonts w:ascii="Times New Roman" w:cs="Times New Roman" w:eastAsia="Times New Roman" w:hAnsi="Times New Roman"/>
          <w:sz w:val="18"/>
          <w:szCs w:val="18"/>
          <w:u w:val="single" w:color="auto"/>
          <w:color w:val="auto"/>
        </w:rPr>
        <w:t>Exhibit J</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6"/>
          <w:szCs w:val="16"/>
          <w:color w:val="auto"/>
        </w:rPr>
        <w:t>Canadian Variable Funding Note Facility Term Sheet</w:t>
      </w:r>
    </w:p>
    <w:p>
      <w:pPr>
        <w:spacing w:after="0" w:line="159" w:lineRule="exact"/>
        <w:rPr>
          <w:sz w:val="20"/>
          <w:szCs w:val="20"/>
          <w:color w:val="auto"/>
        </w:rPr>
      </w:pPr>
    </w:p>
    <w:p>
      <w:pPr>
        <w:ind w:right="180" w:firstLine="913"/>
        <w:spacing w:after="0" w:line="275" w:lineRule="auto"/>
        <w:rPr>
          <w:sz w:val="20"/>
          <w:szCs w:val="20"/>
          <w:color w:val="auto"/>
        </w:rPr>
      </w:pPr>
      <w:r>
        <w:rPr>
          <w:rFonts w:ascii="Times New Roman" w:cs="Times New Roman" w:eastAsia="Times New Roman" w:hAnsi="Times New Roman"/>
          <w:sz w:val="18"/>
          <w:szCs w:val="18"/>
          <w:color w:val="auto"/>
        </w:rPr>
        <w:t xml:space="preserve">Section 11.8. </w:t>
      </w:r>
      <w:r>
        <w:rPr>
          <w:rFonts w:ascii="Times New Roman" w:cs="Times New Roman" w:eastAsia="Times New Roman" w:hAnsi="Times New Roman"/>
          <w:sz w:val="18"/>
          <w:szCs w:val="18"/>
          <w:u w:val="single" w:color="auto"/>
          <w:color w:val="auto"/>
        </w:rPr>
        <w:t>Ratification of Base Indenture</w:t>
      </w:r>
      <w:r>
        <w:rPr>
          <w:rFonts w:ascii="Times New Roman" w:cs="Times New Roman" w:eastAsia="Times New Roman" w:hAnsi="Times New Roman"/>
          <w:sz w:val="18"/>
          <w:szCs w:val="18"/>
          <w:color w:val="auto"/>
        </w:rPr>
        <w:t>. As supplemented by this Supplement, the Base Indenture is in all respects ratified and confirmed and the Base Indenture</w:t>
      </w:r>
    </w:p>
    <w:p>
      <w:pPr>
        <w:spacing w:after="0" w:line="10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89</w:t>
      </w:r>
    </w:p>
    <w:p>
      <w:pPr>
        <w:sectPr>
          <w:pgSz w:w="11900" w:h="16838" w:orient="portrait"/>
          <w:cols w:equalWidth="0" w:num="1">
            <w:col w:w="11360"/>
          </w:cols>
          <w:pgMar w:left="240" w:top="274" w:right="299" w:bottom="1440" w:gutter="0" w:footer="0" w:header="0"/>
        </w:sectPr>
      </w:pPr>
    </w:p>
    <w:bookmarkStart w:id="259" w:name="page260"/>
    <w:bookmarkEnd w:id="259"/>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as so supplemented by this Supplement shall be read, taken, and construed as one and the same instrument.</w:t>
      </w:r>
    </w:p>
    <w:p>
      <w:pPr>
        <w:spacing w:after="0" w:line="171" w:lineRule="exact"/>
        <w:rPr>
          <w:sz w:val="20"/>
          <w:szCs w:val="20"/>
          <w:color w:val="auto"/>
        </w:rPr>
      </w:pPr>
    </w:p>
    <w:p>
      <w:pPr>
        <w:ind w:right="200" w:firstLine="913"/>
        <w:spacing w:after="0" w:line="275" w:lineRule="auto"/>
        <w:rPr>
          <w:sz w:val="20"/>
          <w:szCs w:val="20"/>
          <w:color w:val="auto"/>
        </w:rPr>
      </w:pPr>
      <w:r>
        <w:rPr>
          <w:rFonts w:ascii="Times New Roman" w:cs="Times New Roman" w:eastAsia="Times New Roman" w:hAnsi="Times New Roman"/>
          <w:sz w:val="18"/>
          <w:szCs w:val="18"/>
          <w:color w:val="auto"/>
        </w:rPr>
        <w:t xml:space="preserve">Section 11.9.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Supplement may be executed in any number of counterparts, each of which so executed shall be deemed to be an original, but all of such counterparts shall together constitute but one and the same instrument.</w:t>
      </w:r>
    </w:p>
    <w:p>
      <w:pPr>
        <w:spacing w:after="0" w:line="120" w:lineRule="exact"/>
        <w:rPr>
          <w:sz w:val="20"/>
          <w:szCs w:val="20"/>
          <w:color w:val="auto"/>
        </w:rPr>
      </w:pPr>
    </w:p>
    <w:p>
      <w:pPr>
        <w:ind w:right="60" w:firstLine="913"/>
        <w:spacing w:after="0" w:line="275" w:lineRule="auto"/>
        <w:rPr>
          <w:sz w:val="20"/>
          <w:szCs w:val="20"/>
          <w:color w:val="auto"/>
        </w:rPr>
      </w:pPr>
      <w:r>
        <w:rPr>
          <w:rFonts w:ascii="Times New Roman" w:cs="Times New Roman" w:eastAsia="Times New Roman" w:hAnsi="Times New Roman"/>
          <w:sz w:val="18"/>
          <w:szCs w:val="18"/>
          <w:color w:val="auto"/>
        </w:rPr>
        <w:t xml:space="preserve">Section 11.10.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Supplement shall be construed in accordance with the law of the State of New York, and the obligations, rights and remedies of the parties hereto shall be determined in accordance with such law.</w:t>
      </w:r>
    </w:p>
    <w:p>
      <w:pPr>
        <w:spacing w:after="0" w:line="120" w:lineRule="exact"/>
        <w:rPr>
          <w:sz w:val="20"/>
          <w:szCs w:val="20"/>
          <w:color w:val="auto"/>
        </w:rPr>
      </w:pPr>
    </w:p>
    <w:p>
      <w:pPr>
        <w:ind w:right="20" w:firstLine="913"/>
        <w:spacing w:after="0" w:line="255" w:lineRule="auto"/>
        <w:rPr>
          <w:sz w:val="20"/>
          <w:szCs w:val="20"/>
          <w:color w:val="auto"/>
        </w:rPr>
      </w:pPr>
      <w:r>
        <w:rPr>
          <w:rFonts w:ascii="Times New Roman" w:cs="Times New Roman" w:eastAsia="Times New Roman" w:hAnsi="Times New Roman"/>
          <w:sz w:val="18"/>
          <w:szCs w:val="18"/>
          <w:color w:val="auto"/>
        </w:rPr>
        <w:t xml:space="preserve">Section 11.11. </w:t>
      </w:r>
      <w:r>
        <w:rPr>
          <w:rFonts w:ascii="Times New Roman" w:cs="Times New Roman" w:eastAsia="Times New Roman" w:hAnsi="Times New Roman"/>
          <w:sz w:val="18"/>
          <w:szCs w:val="18"/>
          <w:u w:val="single" w:color="auto"/>
          <w:color w:val="auto"/>
        </w:rPr>
        <w:t>Amendments</w:t>
      </w:r>
      <w:r>
        <w:rPr>
          <w:rFonts w:ascii="Times New Roman" w:cs="Times New Roman" w:eastAsia="Times New Roman" w:hAnsi="Times New Roman"/>
          <w:sz w:val="18"/>
          <w:szCs w:val="18"/>
          <w:color w:val="auto"/>
        </w:rPr>
        <w:t xml:space="preserve">. This Supplement may be modified or amended from time to time in accordance with the terms of the Base Indenture;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if, pursuant to the terms of the Base Indenture or this Supplement, the consent of the Required Noteholders is required for an amendment or modification of this Supplement, such requirement shall be satisfied if such amendment or modification is consented to by the Requisite Noteholders;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any amendment that would materially and adversely affect any Series 2009-3 Noteholder shall also require that Standard &amp; Poor’s has confirmed that such amendment shall not result in a withdrawal or downgrade of the rating of the Commercial Paper issued by any CP Conduit Purchaser whose Commercial Paper is rated by Standard &amp; Poor’s at the time of such amendment.</w:t>
      </w:r>
    </w:p>
    <w:p>
      <w:pPr>
        <w:spacing w:after="0" w:line="139" w:lineRule="exact"/>
        <w:rPr>
          <w:sz w:val="20"/>
          <w:szCs w:val="20"/>
          <w:color w:val="auto"/>
        </w:rPr>
      </w:pPr>
    </w:p>
    <w:p>
      <w:pPr>
        <w:ind w:right="380" w:firstLine="913"/>
        <w:spacing w:after="0" w:line="339" w:lineRule="auto"/>
        <w:rPr>
          <w:sz w:val="20"/>
          <w:szCs w:val="20"/>
          <w:color w:val="auto"/>
        </w:rPr>
      </w:pPr>
      <w:r>
        <w:rPr>
          <w:rFonts w:ascii="Times New Roman" w:cs="Times New Roman" w:eastAsia="Times New Roman" w:hAnsi="Times New Roman"/>
          <w:sz w:val="16"/>
          <w:szCs w:val="16"/>
          <w:color w:val="auto"/>
        </w:rPr>
        <w:t xml:space="preserve">Section 11.12. </w:t>
      </w:r>
      <w:r>
        <w:rPr>
          <w:rFonts w:ascii="Times New Roman" w:cs="Times New Roman" w:eastAsia="Times New Roman" w:hAnsi="Times New Roman"/>
          <w:sz w:val="16"/>
          <w:szCs w:val="16"/>
          <w:u w:val="single" w:color="auto"/>
          <w:color w:val="auto"/>
        </w:rPr>
        <w:t>Discharge of Indenture</w:t>
      </w:r>
      <w:r>
        <w:rPr>
          <w:rFonts w:ascii="Times New Roman" w:cs="Times New Roman" w:eastAsia="Times New Roman" w:hAnsi="Times New Roman"/>
          <w:sz w:val="16"/>
          <w:szCs w:val="16"/>
          <w:color w:val="auto"/>
        </w:rPr>
        <w:t>. Notwithstanding anything to the contrary contained in the Base Indenture, no discharge of the Indenture pursuant to Section 11.1(b) of the Base Indenture will be effective as to the Series 2009-3 Notes without the consent of the Requisite Noteholders.</w:t>
      </w:r>
    </w:p>
    <w:p>
      <w:pPr>
        <w:spacing w:after="0" w:line="74" w:lineRule="exact"/>
        <w:rPr>
          <w:sz w:val="20"/>
          <w:szCs w:val="20"/>
          <w:color w:val="auto"/>
        </w:rPr>
      </w:pPr>
    </w:p>
    <w:p>
      <w:pPr>
        <w:jc w:val="both"/>
        <w:ind w:firstLine="913"/>
        <w:spacing w:after="0" w:line="262" w:lineRule="auto"/>
        <w:rPr>
          <w:sz w:val="20"/>
          <w:szCs w:val="20"/>
          <w:color w:val="auto"/>
        </w:rPr>
      </w:pPr>
      <w:r>
        <w:rPr>
          <w:rFonts w:ascii="Times New Roman" w:cs="Times New Roman" w:eastAsia="Times New Roman" w:hAnsi="Times New Roman"/>
          <w:sz w:val="18"/>
          <w:szCs w:val="18"/>
          <w:color w:val="auto"/>
        </w:rPr>
        <w:t xml:space="preserve">Section 11.13. </w:t>
      </w:r>
      <w:r>
        <w:rPr>
          <w:rFonts w:ascii="Times New Roman" w:cs="Times New Roman" w:eastAsia="Times New Roman" w:hAnsi="Times New Roman"/>
          <w:sz w:val="18"/>
          <w:szCs w:val="18"/>
          <w:u w:val="single" w:color="auto"/>
          <w:color w:val="auto"/>
        </w:rPr>
        <w:t>Capitalization of ABRCF</w:t>
      </w:r>
      <w:r>
        <w:rPr>
          <w:rFonts w:ascii="Times New Roman" w:cs="Times New Roman" w:eastAsia="Times New Roman" w:hAnsi="Times New Roman"/>
          <w:sz w:val="18"/>
          <w:szCs w:val="18"/>
          <w:color w:val="auto"/>
        </w:rPr>
        <w:t>. ABRCF agrees that on the Series 2009-3 Closing Date and on the date of any increase in the Series 2009-3 Maximum Invested Amount it will have capitalization in an amount equal to or greater than 3% of the sum of (x) the Series 2009-3 Maximum Invested Amount and (y) the invested amount of each other Series of Notes outstanding on such date.</w:t>
      </w:r>
    </w:p>
    <w:p>
      <w:pPr>
        <w:spacing w:after="0" w:line="132" w:lineRule="exact"/>
        <w:rPr>
          <w:sz w:val="20"/>
          <w:szCs w:val="20"/>
          <w:color w:val="auto"/>
        </w:rPr>
      </w:pPr>
    </w:p>
    <w:p>
      <w:pPr>
        <w:ind w:right="60" w:firstLine="913"/>
        <w:spacing w:after="0" w:line="256" w:lineRule="auto"/>
        <w:rPr>
          <w:sz w:val="20"/>
          <w:szCs w:val="20"/>
          <w:color w:val="auto"/>
        </w:rPr>
      </w:pPr>
      <w:r>
        <w:rPr>
          <w:rFonts w:ascii="Times New Roman" w:cs="Times New Roman" w:eastAsia="Times New Roman" w:hAnsi="Times New Roman"/>
          <w:sz w:val="18"/>
          <w:szCs w:val="18"/>
          <w:color w:val="auto"/>
        </w:rPr>
        <w:t xml:space="preserve">Section 11.14. </w:t>
      </w:r>
      <w:r>
        <w:rPr>
          <w:rFonts w:ascii="Times New Roman" w:cs="Times New Roman" w:eastAsia="Times New Roman" w:hAnsi="Times New Roman"/>
          <w:sz w:val="18"/>
          <w:szCs w:val="18"/>
          <w:u w:val="single" w:color="auto"/>
          <w:color w:val="auto"/>
        </w:rPr>
        <w:t>Series 2009-3 Demand Notes</w:t>
      </w:r>
      <w:r>
        <w:rPr>
          <w:rFonts w:ascii="Times New Roman" w:cs="Times New Roman" w:eastAsia="Times New Roman" w:hAnsi="Times New Roman"/>
          <w:sz w:val="18"/>
          <w:szCs w:val="18"/>
          <w:color w:val="auto"/>
        </w:rPr>
        <w:t>. Other than pursuant to a demand thereon pursuant to Section 3.5, ABRCF shall not reduce the amount of the Series 2009-3 Demand Notes or forgive amounts payable thereunder so that the outstanding principal amount of the Series 2009-3 Demand Notes after such reduction or forgiveness is less than the Series 2009-3 Letter of Credit Liquidity Amount. ABRCF shall not agree to any amendment of the Series 2009-3 Demand Notes without the consent of the Requisite Noteholders and without first satisfying the Rating Agency Confirmation Condition and the Rating Agency Consent Condition.</w:t>
      </w:r>
    </w:p>
    <w:p>
      <w:pPr>
        <w:spacing w:after="0" w:line="139" w:lineRule="exact"/>
        <w:rPr>
          <w:sz w:val="20"/>
          <w:szCs w:val="20"/>
          <w:color w:val="auto"/>
        </w:rPr>
      </w:pPr>
    </w:p>
    <w:p>
      <w:pPr>
        <w:ind w:right="60" w:firstLine="913"/>
        <w:spacing w:after="0" w:line="258" w:lineRule="auto"/>
        <w:rPr>
          <w:sz w:val="20"/>
          <w:szCs w:val="20"/>
          <w:color w:val="auto"/>
        </w:rPr>
      </w:pPr>
      <w:r>
        <w:rPr>
          <w:rFonts w:ascii="Times New Roman" w:cs="Times New Roman" w:eastAsia="Times New Roman" w:hAnsi="Times New Roman"/>
          <w:sz w:val="18"/>
          <w:szCs w:val="18"/>
          <w:color w:val="auto"/>
        </w:rPr>
        <w:t xml:space="preserve">Section 11.15. </w:t>
      </w:r>
      <w:r>
        <w:rPr>
          <w:rFonts w:ascii="Times New Roman" w:cs="Times New Roman" w:eastAsia="Times New Roman" w:hAnsi="Times New Roman"/>
          <w:sz w:val="18"/>
          <w:szCs w:val="18"/>
          <w:u w:val="single" w:color="auto"/>
          <w:color w:val="auto"/>
        </w:rPr>
        <w:t>Termination of Supplement</w:t>
      </w:r>
      <w:r>
        <w:rPr>
          <w:rFonts w:ascii="Times New Roman" w:cs="Times New Roman" w:eastAsia="Times New Roman" w:hAnsi="Times New Roman"/>
          <w:sz w:val="18"/>
          <w:szCs w:val="18"/>
          <w:color w:val="auto"/>
        </w:rPr>
        <w:t>. This Supplement shall cease to be of further effect when all outstanding Series 2009-3 Notes theretofore authenticated and issued have been delivered (other than destroyed, lost, or stolen Series 2009-3 Notes which have been replaced or paid) to the Trustee for cancellation and ABRCF has paid all sums payable hereunder and, if the Series 2009-3 Demand Note Payment Amount on the Series 2009-3 Letter of Credit Termination Date was greater than zero, the Series 2009-3 Cash Collateral Account Surplus shall</w:t>
      </w:r>
    </w:p>
    <w:p>
      <w:pPr>
        <w:spacing w:after="0" w:line="12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90</w:t>
      </w:r>
    </w:p>
    <w:p>
      <w:pPr>
        <w:sectPr>
          <w:pgSz w:w="11900" w:h="16838" w:orient="portrait"/>
          <w:cols w:equalWidth="0" w:num="1">
            <w:col w:w="11360"/>
          </w:cols>
          <w:pgMar w:left="240" w:top="274" w:right="299" w:bottom="1440" w:gutter="0" w:footer="0" w:header="0"/>
        </w:sectPr>
      </w:pPr>
    </w:p>
    <w:bookmarkStart w:id="260" w:name="page261"/>
    <w:bookmarkEnd w:id="260"/>
    <w:p>
      <w:pPr>
        <w:ind w:right="260"/>
        <w:spacing w:after="0" w:line="27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equal zero, the Demand Note Preference Payment Amount shall have been reduced to zero and all amounts have been withdrawn from the Series 2009-3 Cash Collateral Account in accordance with Section 3.8(h).</w:t>
      </w:r>
    </w:p>
    <w:p>
      <w:pPr>
        <w:spacing w:after="0" w:line="120" w:lineRule="exact"/>
        <w:rPr>
          <w:sz w:val="20"/>
          <w:szCs w:val="20"/>
          <w:color w:val="auto"/>
        </w:rPr>
      </w:pPr>
    </w:p>
    <w:p>
      <w:pPr>
        <w:ind w:right="380" w:firstLine="913"/>
        <w:spacing w:after="0" w:line="275" w:lineRule="auto"/>
        <w:rPr>
          <w:sz w:val="20"/>
          <w:szCs w:val="20"/>
          <w:color w:val="auto"/>
        </w:rPr>
      </w:pPr>
      <w:r>
        <w:rPr>
          <w:rFonts w:ascii="Times New Roman" w:cs="Times New Roman" w:eastAsia="Times New Roman" w:hAnsi="Times New Roman"/>
          <w:sz w:val="18"/>
          <w:szCs w:val="18"/>
          <w:color w:val="auto"/>
        </w:rPr>
        <w:t xml:space="preserve">Section 11.16. </w:t>
      </w:r>
      <w:r>
        <w:rPr>
          <w:rFonts w:ascii="Times New Roman" w:cs="Times New Roman" w:eastAsia="Times New Roman" w:hAnsi="Times New Roman"/>
          <w:sz w:val="18"/>
          <w:szCs w:val="18"/>
          <w:u w:val="single" w:color="auto"/>
          <w:color w:val="auto"/>
        </w:rPr>
        <w:t>Collateral Representations and Warranties of ABRCF</w:t>
      </w:r>
      <w:r>
        <w:rPr>
          <w:rFonts w:ascii="Times New Roman" w:cs="Times New Roman" w:eastAsia="Times New Roman" w:hAnsi="Times New Roman"/>
          <w:sz w:val="18"/>
          <w:szCs w:val="18"/>
          <w:color w:val="auto"/>
        </w:rPr>
        <w:t>. ABRCF hereby represents and warrants to the Trustee, the Administrative Agent, each Funding Agent and each Purchaser Group that:</w:t>
      </w:r>
    </w:p>
    <w:p>
      <w:pPr>
        <w:spacing w:after="0" w:line="39" w:lineRule="exact"/>
        <w:rPr>
          <w:sz w:val="20"/>
          <w:szCs w:val="20"/>
          <w:color w:val="auto"/>
        </w:rPr>
      </w:pPr>
    </w:p>
    <w:p>
      <w:pPr>
        <w:ind w:left="460" w:right="40" w:firstLine="443"/>
        <w:spacing w:after="0" w:line="256" w:lineRule="auto"/>
        <w:tabs>
          <w:tab w:leader="none" w:pos="1137"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Base Indenture creates a valid and continuing security interest (as defined in the applicable UCC) in the Collateral in favor of the Trustee for the benefit of the Noteholders, which security interest is prior to all other liens, and is enforceable as such as against creditors of and purchasers from ABRCF. This Supplement will create a valid and continuing security interest (as defined in the applicable UCC) in the Series 2009-3 Collateral in favor of the Trustee for the benefit of the Series 2009-3 Noteholders, which security interest is prior to all other liens, and is enforceable as such as against creditors of and purchasers from ABRCF.</w:t>
      </w:r>
    </w:p>
    <w:p>
      <w:pPr>
        <w:spacing w:after="0" w:line="57" w:lineRule="exact"/>
        <w:rPr>
          <w:rFonts w:ascii="Times New Roman" w:cs="Times New Roman" w:eastAsia="Times New Roman" w:hAnsi="Times New Roman"/>
          <w:sz w:val="18"/>
          <w:szCs w:val="18"/>
          <w:color w:val="auto"/>
        </w:rPr>
      </w:pPr>
    </w:p>
    <w:p>
      <w:pPr>
        <w:ind w:left="460" w:firstLine="443"/>
        <w:spacing w:after="0" w:line="275" w:lineRule="auto"/>
        <w:tabs>
          <w:tab w:leader="none" w:pos="1147"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Collateral and the Series 2009-3 Collateral (in each case, other than the Vehicles) consist of “instruments,” “general intangibles” and “deposit accounts” within the meaning of the applicable UCC.</w:t>
      </w:r>
    </w:p>
    <w:p>
      <w:pPr>
        <w:spacing w:after="0" w:line="38" w:lineRule="exact"/>
        <w:rPr>
          <w:rFonts w:ascii="Times New Roman" w:cs="Times New Roman" w:eastAsia="Times New Roman" w:hAnsi="Times New Roman"/>
          <w:sz w:val="18"/>
          <w:szCs w:val="18"/>
          <w:color w:val="auto"/>
        </w:rPr>
      </w:pPr>
    </w:p>
    <w:p>
      <w:pPr>
        <w:ind w:left="460" w:right="920" w:firstLine="443"/>
        <w:spacing w:after="0" w:line="275" w:lineRule="auto"/>
        <w:tabs>
          <w:tab w:leader="none" w:pos="1137"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ABRCF owns and has good and marketable title to the Collateral and the Series 2009-3 Collateral free and clear of any lien, claim or encumbrance of any Person.</w:t>
      </w:r>
    </w:p>
    <w:p>
      <w:pPr>
        <w:spacing w:after="0" w:line="38" w:lineRule="exact"/>
        <w:rPr>
          <w:rFonts w:ascii="Times New Roman" w:cs="Times New Roman" w:eastAsia="Times New Roman" w:hAnsi="Times New Roman"/>
          <w:sz w:val="18"/>
          <w:szCs w:val="18"/>
          <w:color w:val="auto"/>
        </w:rPr>
      </w:pPr>
    </w:p>
    <w:p>
      <w:pPr>
        <w:ind w:left="460" w:right="360" w:firstLine="443"/>
        <w:spacing w:after="0" w:line="262" w:lineRule="auto"/>
        <w:tabs>
          <w:tab w:leader="none" w:pos="1147"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the portion of the Collateral that consists of instruments, all original executed copies of each instrument that constitute or evidence part of the Collateral have been delivered to the Trustee. None of the instruments that constitute or evidence the Collateral have any marks or notations indicating that they have been pledged, assigned or otherwise conveyed to any Person other than the Trustee.</w:t>
      </w:r>
    </w:p>
    <w:p>
      <w:pPr>
        <w:spacing w:after="0" w:line="51" w:lineRule="exact"/>
        <w:rPr>
          <w:rFonts w:ascii="Times New Roman" w:cs="Times New Roman" w:eastAsia="Times New Roman" w:hAnsi="Times New Roman"/>
          <w:sz w:val="18"/>
          <w:szCs w:val="18"/>
          <w:color w:val="auto"/>
        </w:rPr>
      </w:pPr>
    </w:p>
    <w:p>
      <w:pPr>
        <w:ind w:left="460" w:right="20" w:firstLine="443"/>
        <w:spacing w:after="0" w:line="262" w:lineRule="auto"/>
        <w:tabs>
          <w:tab w:leader="none" w:pos="1137"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the portion of the Collateral that consists of general intangibles, ABRCF has caused the filing of all appropriate financing statements in the proper filing office in the appropriate jurisdictions under applicable law in order to perfect the security interest in the Collateral granted to the Trustee under the Base Indenture.</w:t>
      </w:r>
    </w:p>
    <w:p>
      <w:pPr>
        <w:spacing w:after="0" w:line="51" w:lineRule="exact"/>
        <w:rPr>
          <w:rFonts w:ascii="Times New Roman" w:cs="Times New Roman" w:eastAsia="Times New Roman" w:hAnsi="Times New Roman"/>
          <w:sz w:val="18"/>
          <w:szCs w:val="18"/>
          <w:color w:val="auto"/>
        </w:rPr>
      </w:pPr>
    </w:p>
    <w:p>
      <w:pPr>
        <w:ind w:left="460" w:right="20" w:firstLine="443"/>
        <w:spacing w:after="0" w:line="256" w:lineRule="auto"/>
        <w:tabs>
          <w:tab w:leader="none" w:pos="1117"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the portion of the Collateral and the Series 2009-3 Collateral that consists of deposit or securities accounts maintained with a bank other than the Trustee (collectively, the “</w:t>
      </w:r>
      <w:r>
        <w:rPr>
          <w:rFonts w:ascii="Times New Roman" w:cs="Times New Roman" w:eastAsia="Times New Roman" w:hAnsi="Times New Roman"/>
          <w:sz w:val="18"/>
          <w:szCs w:val="18"/>
          <w:u w:val="single" w:color="auto"/>
          <w:color w:val="auto"/>
        </w:rPr>
        <w:t>Bank Accounts</w:t>
      </w:r>
      <w:r>
        <w:rPr>
          <w:rFonts w:ascii="Times New Roman" w:cs="Times New Roman" w:eastAsia="Times New Roman" w:hAnsi="Times New Roman"/>
          <w:sz w:val="18"/>
          <w:szCs w:val="18"/>
          <w:color w:val="auto"/>
        </w:rPr>
        <w:t>”), ABRCF has delivered to the Trustee a fully executed agreement pursuant to which the bank maintaining the Bank Accounts has agreed to comply with all instructions originated by the Trustee directing disposition of the funds in the Bank Accounts without further consent by ABRCF. The Bank Accounts are not in the name of any person other than ABRCF or the Trustee. ABRCF has not consented to the bank maintaining the Bank Accounts to comply with instructions of any person other than the Trustee.</w:t>
      </w:r>
    </w:p>
    <w:p>
      <w:pPr>
        <w:spacing w:after="0" w:line="57" w:lineRule="exact"/>
        <w:rPr>
          <w:rFonts w:ascii="Times New Roman" w:cs="Times New Roman" w:eastAsia="Times New Roman" w:hAnsi="Times New Roman"/>
          <w:sz w:val="18"/>
          <w:szCs w:val="18"/>
          <w:color w:val="auto"/>
        </w:rPr>
      </w:pPr>
    </w:p>
    <w:p>
      <w:pPr>
        <w:ind w:left="1160" w:hanging="257"/>
        <w:spacing w:after="0"/>
        <w:tabs>
          <w:tab w:leader="none" w:pos="1160"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the security interest granted to the Trustee under the Base Indenture and this Supplement, ABRCF has not pledged, assigned, sold,</w:t>
      </w:r>
    </w:p>
    <w:p>
      <w:pPr>
        <w:spacing w:after="0" w:line="21" w:lineRule="exact"/>
        <w:rPr>
          <w:rFonts w:ascii="Times New Roman" w:cs="Times New Roman" w:eastAsia="Times New Roman" w:hAnsi="Times New Roman"/>
          <w:sz w:val="18"/>
          <w:szCs w:val="18"/>
          <w:color w:val="auto"/>
        </w:rPr>
      </w:pPr>
    </w:p>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granted a</w:t>
      </w:r>
    </w:p>
    <w:p>
      <w:pPr>
        <w:spacing w:after="0" w:line="1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91</w:t>
      </w:r>
    </w:p>
    <w:p>
      <w:pPr>
        <w:sectPr>
          <w:pgSz w:w="11900" w:h="16838" w:orient="portrait"/>
          <w:cols w:equalWidth="0" w:num="1">
            <w:col w:w="11400"/>
          </w:cols>
          <w:pgMar w:left="240" w:top="274" w:right="259" w:bottom="1440" w:gutter="0" w:footer="0" w:header="0"/>
        </w:sectPr>
      </w:pPr>
    </w:p>
    <w:bookmarkStart w:id="261" w:name="page262"/>
    <w:bookmarkEnd w:id="261"/>
    <w:p>
      <w:pPr>
        <w:jc w:val="both"/>
        <w:ind w:left="460"/>
        <w:spacing w:after="0" w:line="26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security interest in, or otherwise conveyed any of the Collateral or the Series 2009-3 Collateral. ABRCF has not authorized the filing of and is not aware of any financing statements against ABRCF that includes a description of collateral covering the Collateral other than any financing statement under the Base Indenture or that has been terminated. ABRCF is not aware of any judgment or tax lien filings against ABRCF.</w:t>
      </w:r>
    </w:p>
    <w:p>
      <w:pPr>
        <w:spacing w:after="0" w:line="51" w:lineRule="exact"/>
        <w:rPr>
          <w:sz w:val="20"/>
          <w:szCs w:val="20"/>
          <w:color w:val="auto"/>
        </w:rPr>
      </w:pPr>
    </w:p>
    <w:p>
      <w:pPr>
        <w:ind w:left="460" w:right="200" w:firstLine="443"/>
        <w:spacing w:after="0" w:line="262" w:lineRule="auto"/>
        <w:tabs>
          <w:tab w:leader="none" w:pos="1147"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ABRCF has not authorized the filing of and is not aware of any financing statements against ABRCF that include a description of collateral covering the Collateral other than any financing statements (i) relating to the security interest granted to the Trustee in the Base Indenture or (ii) that has been terminated.</w:t>
      </w:r>
    </w:p>
    <w:p>
      <w:pPr>
        <w:spacing w:after="0" w:line="132" w:lineRule="exact"/>
        <w:rPr>
          <w:sz w:val="20"/>
          <w:szCs w:val="20"/>
          <w:color w:val="auto"/>
        </w:rPr>
      </w:pPr>
    </w:p>
    <w:p>
      <w:pPr>
        <w:ind w:right="40" w:firstLine="913"/>
        <w:spacing w:after="0" w:line="256" w:lineRule="auto"/>
        <w:rPr>
          <w:sz w:val="20"/>
          <w:szCs w:val="20"/>
          <w:color w:val="auto"/>
        </w:rPr>
      </w:pPr>
      <w:r>
        <w:rPr>
          <w:rFonts w:ascii="Times New Roman" w:cs="Times New Roman" w:eastAsia="Times New Roman" w:hAnsi="Times New Roman"/>
          <w:sz w:val="18"/>
          <w:szCs w:val="18"/>
          <w:color w:val="auto"/>
        </w:rPr>
        <w:t xml:space="preserve">Section 11.17. </w:t>
      </w:r>
      <w:r>
        <w:rPr>
          <w:rFonts w:ascii="Times New Roman" w:cs="Times New Roman" w:eastAsia="Times New Roman" w:hAnsi="Times New Roman"/>
          <w:sz w:val="18"/>
          <w:szCs w:val="18"/>
          <w:u w:val="single" w:color="auto"/>
          <w:color w:val="auto"/>
        </w:rPr>
        <w:t>No Waiver; Cumulative Remedies</w:t>
      </w:r>
      <w:r>
        <w:rPr>
          <w:rFonts w:ascii="Times New Roman" w:cs="Times New Roman" w:eastAsia="Times New Roman" w:hAnsi="Times New Roman"/>
          <w:sz w:val="18"/>
          <w:szCs w:val="18"/>
          <w:color w:val="auto"/>
        </w:rPr>
        <w:t>. No failure to exercise and no delay in exercising, on the part of the Trustee, the Administrative Agent, any Funding Agent, any CP Conduit Purchaser or any APA Bank, any right, remedy, power or privilege hereunder shall operate as a waiver thereof; nor shall any single or partial exercise of any right, remedy, power or privilege hereunder preclude any other or further exercise thereof or the exercise of any other right, remedy, power or privilege. The rights, remedies, powers and privileges herein provided are cumulative and not exhaustive of any rights, remedies, powers and privileges provided by law.</w:t>
      </w:r>
    </w:p>
    <w:p>
      <w:pPr>
        <w:spacing w:after="0" w:line="139" w:lineRule="exact"/>
        <w:rPr>
          <w:sz w:val="20"/>
          <w:szCs w:val="20"/>
          <w:color w:val="auto"/>
        </w:rPr>
      </w:pPr>
    </w:p>
    <w:p>
      <w:pPr>
        <w:ind w:right="40" w:firstLine="913"/>
        <w:spacing w:after="0" w:line="275" w:lineRule="auto"/>
        <w:rPr>
          <w:sz w:val="20"/>
          <w:szCs w:val="20"/>
          <w:color w:val="auto"/>
        </w:rPr>
      </w:pPr>
      <w:r>
        <w:rPr>
          <w:rFonts w:ascii="Times New Roman" w:cs="Times New Roman" w:eastAsia="Times New Roman" w:hAnsi="Times New Roman"/>
          <w:sz w:val="18"/>
          <w:szCs w:val="18"/>
          <w:color w:val="auto"/>
        </w:rPr>
        <w:t xml:space="preserve">Section 11.18. </w:t>
      </w:r>
      <w:r>
        <w:rPr>
          <w:rFonts w:ascii="Times New Roman" w:cs="Times New Roman" w:eastAsia="Times New Roman" w:hAnsi="Times New Roman"/>
          <w:sz w:val="18"/>
          <w:szCs w:val="18"/>
          <w:u w:val="single" w:color="auto"/>
          <w:color w:val="auto"/>
        </w:rPr>
        <w:t>Waiver of Setoff</w:t>
      </w:r>
      <w:r>
        <w:rPr>
          <w:rFonts w:ascii="Times New Roman" w:cs="Times New Roman" w:eastAsia="Times New Roman" w:hAnsi="Times New Roman"/>
          <w:sz w:val="18"/>
          <w:szCs w:val="18"/>
          <w:color w:val="auto"/>
        </w:rPr>
        <w:t>. Notwithstanding any other provision of this Supplement or any other agreement to the contrary, all payments to the Administrative Agent, the Funding Agents, the CP Conduit Purchasers and the APA Banks hereunder shall be made without set-off or counterclaim.</w:t>
      </w:r>
    </w:p>
    <w:p>
      <w:pPr>
        <w:spacing w:after="0" w:line="120" w:lineRule="exact"/>
        <w:rPr>
          <w:sz w:val="20"/>
          <w:szCs w:val="20"/>
          <w:color w:val="auto"/>
        </w:rPr>
      </w:pPr>
    </w:p>
    <w:p>
      <w:pPr>
        <w:ind w:right="80" w:firstLine="913"/>
        <w:spacing w:after="0" w:line="254" w:lineRule="auto"/>
        <w:rPr>
          <w:sz w:val="20"/>
          <w:szCs w:val="20"/>
          <w:color w:val="auto"/>
        </w:rPr>
      </w:pPr>
      <w:r>
        <w:rPr>
          <w:rFonts w:ascii="Times New Roman" w:cs="Times New Roman" w:eastAsia="Times New Roman" w:hAnsi="Times New Roman"/>
          <w:sz w:val="18"/>
          <w:szCs w:val="18"/>
          <w:color w:val="auto"/>
        </w:rPr>
        <w:t xml:space="preserve">Section 11.19.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notices, requests, instructions and demands to or upon any party hereto to be effective shall be given (i) in the case of ABRCF, the Administrator and the Trustee, in the manner set forth in Section 13.1 of the Base Indenture and (ii) in the case of the Administrative Agent, the CP Conduit Purchasers, the APA Banks and the Funding Agents, in writing, and, unless otherwise expressly provided herein, shall be deemed to have been duly given or made when delivered by hand or three days after being deposited in the mail, postage prepaid, in the case of facsimile notice, when received, or in the case of overnight air courier, one Business Day after the date such notice is delivered to such overnight courier, addressed as follows in the case of the Administrative Agent and to the addresses therefor set forth in Schedule I, in the case of the CP Conduit Purchasers, the APA Banks and the Funding Agents; or to such other address as may be hereafter notified by the respective parties hereto:</w:t>
      </w:r>
    </w:p>
    <w:p>
      <w:pPr>
        <w:spacing w:after="0" w:line="14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Administrative Agent:</w:t>
      </w:r>
    </w:p>
    <w:p>
      <w:pPr>
        <w:spacing w:after="0" w:line="9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Deutsche Bank AG, New York Branch</w:t>
      </w:r>
    </w:p>
    <w:p>
      <w:pPr>
        <w:spacing w:after="0" w:line="21"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60 Wall Street, 19th Floor</w:t>
      </w:r>
    </w:p>
    <w:p>
      <w:pPr>
        <w:spacing w:after="0" w:line="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New York, New York 10005</w:t>
      </w:r>
    </w:p>
    <w:p>
      <w:pPr>
        <w:spacing w:after="0" w:line="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Attention: Robert Sheldon</w:t>
      </w:r>
    </w:p>
    <w:p>
      <w:pPr>
        <w:spacing w:after="0" w:line="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Fax: (212) 797-5300</w:t>
      </w:r>
    </w:p>
    <w:p>
      <w:pPr>
        <w:spacing w:after="0" w:line="159" w:lineRule="exact"/>
        <w:rPr>
          <w:sz w:val="20"/>
          <w:szCs w:val="20"/>
          <w:color w:val="auto"/>
        </w:rPr>
      </w:pPr>
    </w:p>
    <w:p>
      <w:pPr>
        <w:ind w:right="320" w:firstLine="913"/>
        <w:spacing w:after="0" w:line="275" w:lineRule="auto"/>
        <w:rPr>
          <w:sz w:val="20"/>
          <w:szCs w:val="20"/>
          <w:color w:val="auto"/>
        </w:rPr>
      </w:pPr>
      <w:r>
        <w:rPr>
          <w:rFonts w:ascii="Times New Roman" w:cs="Times New Roman" w:eastAsia="Times New Roman" w:hAnsi="Times New Roman"/>
          <w:sz w:val="18"/>
          <w:szCs w:val="18"/>
          <w:color w:val="auto"/>
        </w:rPr>
        <w:t xml:space="preserve">Section 11.20. </w:t>
      </w:r>
      <w:r>
        <w:rPr>
          <w:rFonts w:ascii="Times New Roman" w:cs="Times New Roman" w:eastAsia="Times New Roman" w:hAnsi="Times New Roman"/>
          <w:sz w:val="18"/>
          <w:szCs w:val="18"/>
          <w:u w:val="single" w:color="auto"/>
          <w:color w:val="auto"/>
        </w:rPr>
        <w:t>Confidential Information</w:t>
      </w:r>
      <w:r>
        <w:rPr>
          <w:rFonts w:ascii="Times New Roman" w:cs="Times New Roman" w:eastAsia="Times New Roman" w:hAnsi="Times New Roman"/>
          <w:sz w:val="18"/>
          <w:szCs w:val="18"/>
          <w:color w:val="auto"/>
        </w:rPr>
        <w:t>. (a) The Trustee and each Series 2009-3 Noteholder will maintain the confidentiality of all Confidential Information in accordance with</w:t>
      </w:r>
    </w:p>
    <w:p>
      <w:pPr>
        <w:spacing w:after="0" w:line="10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92</w:t>
      </w:r>
    </w:p>
    <w:p>
      <w:pPr>
        <w:sectPr>
          <w:pgSz w:w="11900" w:h="16838" w:orient="portrait"/>
          <w:cols w:equalWidth="0" w:num="1">
            <w:col w:w="11360"/>
          </w:cols>
          <w:pgMar w:left="240" w:top="274" w:right="299" w:bottom="1440" w:gutter="0" w:footer="0" w:header="0"/>
        </w:sectPr>
      </w:pPr>
    </w:p>
    <w:bookmarkStart w:id="262" w:name="page263"/>
    <w:bookmarkEnd w:id="262"/>
    <w:p>
      <w:pPr>
        <w:spacing w:after="0" w:line="284"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procedures adopted by the Trustee or such Series 2009-3 Noteholder in good faith to protect Confidential Information of third parties delivered to such Person;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such Person may deliver or disclose Confidential Information to: (i) such Person’s directors, trustees, officers, employees, agents, attorneys, independent or internal auditors and affiliates who agree to hold confidential the Confidential Information substantially in accordance with the terms of this Section 11.20; (ii) such Person’s financial advisors and other professional advisors who agree to hold confidential the Confidential Information substantially in accordance with the terms of this Section 11.20; (iii) any other Series 2009-3 Noteholder; (iv) any Person of the type that would be, to such Person’s knowledge, permitted to acquire Series 2009-3 Notes in accordance with the requirements of the Indenture to which such Person sells or offers to sell any such Series 2009-3 Note or any part thereof or any participation therein and that agrees to hold confidential the Confidential Information substantially in accordance with this Section 11.20 (or in accordance with such other confidentiality procedures as are acceptable to ABRCF); (v) any federal or state or other regulatory, governmental or judicial authority having jurisdiction over such Person; (vi) the National Association of Insurance Commissioners or any similar organization, or any nationally recognized rating agency that requires access to information about the investment portfolio of such Person, (vii) any reinsurers or liquidity or credit providers that agree to hold confidential the Confidential Information substantially in accordance with this Section 11.20 (or in accordance with such other confidentiality procedures as are acceptable to ABRCF); (viii) any Person acting as a placement agent or dealer with respect to any commercial paper (provided that any Confidential Information provided to any such placement agent or dealer does not reveal the identity of ABG or any of its Affiliates); (ix) any other Person with the consent of ABRCF; or (x) any other Person to which such delivery or disclosure may be necessary or appropriate (A) to effect compliance with any law, rule, regulation, statute or order applicable to such Person, (B) in response to any subpoena or other legal process upon prior notice to ABRCF (unless prohibited by applicable law, rule, order or decree or other requirement having the force of law), (C) in connection with any litigation to which such Person is a party upon prior notice to ABRCF (unless prohibited by applicable law, rule, order or decree or other requirement having the force of law) or (D) if an Amortization Event with respect to the Series 2009-3 Notes has occurred and is continuing, to the extent such Person may reasonably determine such delivery and disclosure to be necessary or appropriate in the enforcement or for the protection of the rights and remedies under the Series 2009-3 Notes, the Indenture or any other Related Document; and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further</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that delivery to Series 2009-3 Noteholders of any report or information required by the terms of the Indenture to be provided to Series 2009-3 Noteholders shall not be a violation of this Section 11.20. Each Series 2009-3 Noteholder agrees, except as set forth in clauses (v),</w:t>
      </w:r>
    </w:p>
    <w:p>
      <w:pPr>
        <w:spacing w:after="0" w:line="196" w:lineRule="exact"/>
        <w:rPr>
          <w:sz w:val="20"/>
          <w:szCs w:val="20"/>
          <w:color w:val="auto"/>
        </w:rPr>
      </w:pPr>
    </w:p>
    <w:p>
      <w:pPr>
        <w:jc w:val="both"/>
        <w:ind w:right="380" w:firstLine="8"/>
        <w:spacing w:after="0" w:line="295" w:lineRule="auto"/>
        <w:tabs>
          <w:tab w:leader="none" w:pos="297" w:val="left"/>
        </w:tabs>
        <w:numPr>
          <w:ilvl w:val="0"/>
          <w:numId w:val="20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and (x) above, that it shall use the Confidential Information for the sole purpose of making an investment in the Series 2009-3 Notes or administering its investment in the Series 2009-3 Notes. In the event of any required disclosure of the Confidential Information by such Series 2009-3 Noteholder, such Series 2009-3 Noteholder agrees to use reasonable efforts to protect the confidentiality of the Confidential Information. Each Series 2009-3 Noteholder, by its acceptance of a Series 2009-3 Note, will be deemed to have agreed to be bound by and to be entitled to the benefits of this Section 11.20.</w:t>
      </w:r>
    </w:p>
    <w:p>
      <w:pPr>
        <w:spacing w:after="0" w:line="109" w:lineRule="exact"/>
        <w:rPr>
          <w:rFonts w:ascii="Times New Roman" w:cs="Times New Roman" w:eastAsia="Times New Roman" w:hAnsi="Times New Roman"/>
          <w:sz w:val="16"/>
          <w:szCs w:val="16"/>
          <w:color w:val="auto"/>
        </w:rPr>
      </w:pPr>
    </w:p>
    <w:p>
      <w:pPr>
        <w:ind w:right="20" w:firstLine="921"/>
        <w:spacing w:after="0" w:line="262" w:lineRule="auto"/>
        <w:tabs>
          <w:tab w:leader="none" w:pos="1162" w:val="left"/>
        </w:tabs>
        <w:numPr>
          <w:ilvl w:val="1"/>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purposes of this Section 11.20, “Confidential Information” means information delivered to the Trustee or any Series 2009-3 Noteholder by or on behalf of ABRCF in connection with and relating to the transactions contemplated by or otherwise pursuant to the Indenture and the Related Documents; provided, that such term does not include information</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93</w:t>
      </w:r>
    </w:p>
    <w:p>
      <w:pPr>
        <w:sectPr>
          <w:pgSz w:w="11900" w:h="16838" w:orient="portrait"/>
          <w:cols w:equalWidth="0" w:num="1">
            <w:col w:w="11420"/>
          </w:cols>
          <w:pgMar w:left="240" w:top="274" w:right="239" w:bottom="1440" w:gutter="0" w:footer="0" w:header="0"/>
        </w:sectPr>
      </w:pPr>
    </w:p>
    <w:bookmarkStart w:id="263" w:name="page264"/>
    <w:bookmarkEnd w:id="263"/>
    <w:p>
      <w:pPr>
        <w:ind w:right="160"/>
        <w:spacing w:after="0" w:line="301"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that: (i) was publicly known or otherwise known to the Trustee or such Series 2009-3 Noteholder prior to the time of such disclosure; (ii) subsequently becomes publicly known through no act or omission by the Trustee, any Series 2009-3 Noteholder or any person acting on behalf of the Trustee or any Series 2009-3 Noteholder; (iii) otherwise is known or becomes known to the Trustee or any Series 2009-3 Noteholder other than (x) through disclosure by ABRCF or (y) as a result of the breach of a fiduciary duty to ABRCF or a contractual duty to ABRCF; or (iv) is allowed to be treated as non-confidential by consent of ABRCF.</w:t>
      </w:r>
    </w:p>
    <w:p>
      <w:pPr>
        <w:spacing w:after="0" w:line="10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 xml:space="preserve">Section 11.21. </w:t>
      </w:r>
      <w:r>
        <w:rPr>
          <w:rFonts w:ascii="Times New Roman" w:cs="Times New Roman" w:eastAsia="Times New Roman" w:hAnsi="Times New Roman"/>
          <w:sz w:val="18"/>
          <w:szCs w:val="18"/>
          <w:u w:val="single" w:color="auto"/>
          <w:color w:val="auto"/>
        </w:rPr>
        <w:t>Information</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ind w:right="180" w:firstLine="921"/>
        <w:spacing w:after="0" w:line="275" w:lineRule="auto"/>
        <w:tabs>
          <w:tab w:leader="none" w:pos="1152"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promptly provide to the Administrative Agent a copy of each notice, opinion of counsel, certificate or other item delivered to, or required to be provided by, the Trustee pursuant to this Supplement or any other Related Document.</w:t>
      </w:r>
    </w:p>
    <w:p>
      <w:pPr>
        <w:spacing w:after="0" w:line="119" w:lineRule="exact"/>
        <w:rPr>
          <w:rFonts w:ascii="Times New Roman" w:cs="Times New Roman" w:eastAsia="Times New Roman" w:hAnsi="Times New Roman"/>
          <w:sz w:val="18"/>
          <w:szCs w:val="18"/>
          <w:color w:val="auto"/>
        </w:rPr>
      </w:pPr>
    </w:p>
    <w:p>
      <w:pPr>
        <w:ind w:right="140" w:firstLine="921"/>
        <w:spacing w:after="0" w:line="262" w:lineRule="auto"/>
        <w:tabs>
          <w:tab w:leader="none" w:pos="1162"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ABCRF shall promptly provide to the Administrative Agent a copy of the financial information and any other materials required to be delivered to ABCRF pursuant to Section 31.5(i) and (ii) under the Leases. The Administrative Agent shall provide copies of all such information and other materials furnished to it by ABCRF pursuant to this Section 11.21 to each Funding Agent.</w:t>
      </w:r>
    </w:p>
    <w:p>
      <w:pPr>
        <w:spacing w:after="0" w:line="132" w:lineRule="exact"/>
        <w:rPr>
          <w:sz w:val="20"/>
          <w:szCs w:val="20"/>
          <w:color w:val="auto"/>
        </w:rPr>
      </w:pPr>
    </w:p>
    <w:p>
      <w:pPr>
        <w:ind w:right="40" w:firstLine="913"/>
        <w:spacing w:after="0" w:line="255" w:lineRule="auto"/>
        <w:rPr>
          <w:sz w:val="20"/>
          <w:szCs w:val="20"/>
          <w:color w:val="auto"/>
        </w:rPr>
      </w:pPr>
      <w:r>
        <w:rPr>
          <w:rFonts w:ascii="Times New Roman" w:cs="Times New Roman" w:eastAsia="Times New Roman" w:hAnsi="Times New Roman"/>
          <w:sz w:val="18"/>
          <w:szCs w:val="18"/>
          <w:color w:val="auto"/>
        </w:rPr>
        <w:t xml:space="preserve">Section 11.22. </w:t>
      </w:r>
      <w:r>
        <w:rPr>
          <w:rFonts w:ascii="Times New Roman" w:cs="Times New Roman" w:eastAsia="Times New Roman" w:hAnsi="Times New Roman"/>
          <w:sz w:val="18"/>
          <w:szCs w:val="18"/>
          <w:u w:val="single" w:color="auto"/>
          <w:color w:val="auto"/>
        </w:rPr>
        <w:t>Waiver of Jury Trial, etc</w:t>
      </w:r>
      <w:r>
        <w:rPr>
          <w:rFonts w:ascii="Times New Roman" w:cs="Times New Roman" w:eastAsia="Times New Roman" w:hAnsi="Times New Roman"/>
          <w:sz w:val="18"/>
          <w:szCs w:val="18"/>
          <w:color w:val="auto"/>
        </w:rPr>
        <w:t>. EACH OF THE PARTIES HERETO HEREBY KNOWINGLY, VOLUNTARILY AND INTENTIONALLY WAIVES (TO THE EXTENT PERMITTED BY APPLICABLE LAW) ANY RIGHTS IT MAY HAVE TO A TRIAL BY JURY IN RESPECT OF ANY LITIGATION BASED HEREON, OR ARISING OUT OF, UNDER, OR IN CONNECTION WITH, THIS SUPPLEMENT, THE SERIES 2009-3 NOTES OR ANY OTHER SERIES 2009-3 DOCUMENTS, OR ANY COURSE OF CONDUCT, COURSE OF DEALING, STATEMENTS (WHETHER ORAL OR WRITTEN), OR ACTIONS OF THE PARTIES HERETO. THIS PROVISION IS A MATERIAL INDUCEMENT FOR THE PARTIES HERETO TO ENTER INTO THIS SUPPLEMENT.</w:t>
      </w:r>
    </w:p>
    <w:p>
      <w:pPr>
        <w:spacing w:after="0" w:line="139" w:lineRule="exact"/>
        <w:rPr>
          <w:sz w:val="20"/>
          <w:szCs w:val="20"/>
          <w:color w:val="auto"/>
        </w:rPr>
      </w:pPr>
    </w:p>
    <w:p>
      <w:pPr>
        <w:ind w:firstLine="913"/>
        <w:spacing w:after="0" w:line="253" w:lineRule="auto"/>
        <w:rPr>
          <w:sz w:val="20"/>
          <w:szCs w:val="20"/>
          <w:color w:val="auto"/>
        </w:rPr>
      </w:pPr>
      <w:r>
        <w:rPr>
          <w:rFonts w:ascii="Times New Roman" w:cs="Times New Roman" w:eastAsia="Times New Roman" w:hAnsi="Times New Roman"/>
          <w:sz w:val="18"/>
          <w:szCs w:val="18"/>
          <w:color w:val="auto"/>
        </w:rPr>
        <w:t xml:space="preserve">Section 11.23. </w:t>
      </w:r>
      <w:r>
        <w:rPr>
          <w:rFonts w:ascii="Times New Roman" w:cs="Times New Roman" w:eastAsia="Times New Roman" w:hAnsi="Times New Roman"/>
          <w:sz w:val="18"/>
          <w:szCs w:val="18"/>
          <w:u w:val="single" w:color="auto"/>
          <w:color w:val="auto"/>
        </w:rPr>
        <w:t>Submission To Jurisdiction.</w:t>
      </w:r>
      <w:r>
        <w:rPr>
          <w:rFonts w:ascii="Times New Roman" w:cs="Times New Roman" w:eastAsia="Times New Roman" w:hAnsi="Times New Roman"/>
          <w:sz w:val="18"/>
          <w:szCs w:val="18"/>
          <w:color w:val="auto"/>
        </w:rPr>
        <w:t xml:space="preserve"> EACH OF THE PARTIES HERETO HEREBY IRREVOCABLY SUBMITS (TO THE FULLEST EXTENT PERMITTED BY APPLICABLE LAW) TO THE NON-EXCLUSIVE JURISDICTION OF ANY NEW YORK STATE OR FEDERAL COURT SITTING IN THE BOROUGH OF MANHATTAN, NEW YORK CITY, STATE OF NEW YORK, OVER ANY ACTION OR PROCEEDING ARISING OUT OF OR RELATING TO THIS SUPPLEMENT, THE SERIES 2009-3 NOTES OR ANY OTHER SERIES 2009-3 DOCUMENT AND EACH OF THE PARTIES HERETO HEREBY IRREVOCABLY AGREES THAT ALL CLAIMS IN RESPECT OF SUCH ACTION OR PROCEEDING MAY BE HEARD AND DETERMINED IN SUCH NEW YORK STATE OR FEDERAL COURT. EACH OF THE PARTIES HERETO EACH HEREBY IRREVOCABLY WAIVES, TO THE FULLEST EXTENT PERMITTED BY LAW, ANY OBJECTION EACH MAY NOW OR HEREAFTER HAVE, TO THE LAYING OF VENUE IN ANY SUCH ACTION OR PROCEEDING IN ANY SUCH COURT AS WELL AS ANY RIGHT EACH MAY NOW OR HEREAFTER HAVE, TO REMOVE ANY SUCH ACTION OR PROCEEDING, ONCE COMMENCED, TO ANOTHER COURT ON THE GROUNDS OF </w:t>
      </w:r>
      <w:r>
        <w:rPr>
          <w:rFonts w:ascii="Times New Roman" w:cs="Times New Roman" w:eastAsia="Times New Roman" w:hAnsi="Times New Roman"/>
          <w:sz w:val="18"/>
          <w:szCs w:val="18"/>
          <w:u w:val="single" w:color="auto"/>
          <w:color w:val="auto"/>
        </w:rPr>
        <w:t>FORUM NON CONVENIENS</w:t>
      </w:r>
      <w:r>
        <w:rPr>
          <w:rFonts w:ascii="Times New Roman" w:cs="Times New Roman" w:eastAsia="Times New Roman" w:hAnsi="Times New Roman"/>
          <w:sz w:val="18"/>
          <w:szCs w:val="18"/>
          <w:color w:val="auto"/>
        </w:rPr>
        <w:t xml:space="preserve"> OR OTHERWISE. NOTHING CONTAINED HEREIN</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ectPr>
          <w:pgSz w:w="11900" w:h="16838" w:orient="portrait"/>
          <w:cols w:equalWidth="0" w:num="1">
            <w:col w:w="11420"/>
          </w:cols>
          <w:pgMar w:left="240" w:top="274" w:right="239" w:bottom="1440" w:gutter="0" w:footer="0" w:header="0"/>
        </w:sectPr>
      </w:pPr>
    </w:p>
    <w:bookmarkStart w:id="264" w:name="page265"/>
    <w:bookmarkEnd w:id="264"/>
    <w:p>
      <w:pPr>
        <w:spacing w:after="0" w:line="26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SHALL PRECLUDE ANY PARTY HERETO FROM BRINGING AN ACTION OR PROCEEDING ARISING OUT OF OR RELATING TO THIS SUPPLEMENT, THE SERIES 2009-3 NOTES OR ANY OTHER SERIES 2009-3 DOCUMENT IN ANY OTHER COUNTRY, STATE OR PLACE HAVING JURISDICTION OVER SUCH ACTION OR PROCEEDING.</w:t>
      </w:r>
    </w:p>
    <w:p>
      <w:pPr>
        <w:spacing w:after="0" w:line="11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95</w:t>
      </w:r>
    </w:p>
    <w:p>
      <w:pPr>
        <w:sectPr>
          <w:pgSz w:w="11900" w:h="16838" w:orient="portrait"/>
          <w:cols w:equalWidth="0" w:num="1">
            <w:col w:w="11240"/>
          </w:cols>
          <w:pgMar w:left="240" w:top="274" w:right="419" w:bottom="1440" w:gutter="0" w:footer="0" w:header="0"/>
        </w:sectPr>
      </w:pPr>
    </w:p>
    <w:bookmarkStart w:id="265" w:name="page266"/>
    <w:bookmarkEnd w:id="265"/>
    <w:p>
      <w:pPr>
        <w:ind w:firstLine="913"/>
        <w:spacing w:after="0" w:line="27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each of the parties hereto have caused this Supplement to be duly executed by their respective duly authorized officers as of the date above first written.</w:t>
      </w:r>
    </w:p>
    <w:p>
      <w:pPr>
        <w:spacing w:after="0" w:line="160"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AVIS BUDGET RENTAL CAR FUNDING</w:t>
      </w:r>
    </w:p>
    <w:p>
      <w:pPr>
        <w:spacing w:after="0" w:line="21" w:lineRule="exact"/>
        <w:rPr>
          <w:sz w:val="20"/>
          <w:szCs w:val="20"/>
          <w:color w:val="auto"/>
        </w:rPr>
      </w:pPr>
    </w:p>
    <w:p>
      <w:pPr>
        <w:ind w:left="7080"/>
        <w:spacing w:after="0"/>
        <w:rPr>
          <w:sz w:val="20"/>
          <w:szCs w:val="20"/>
          <w:color w:val="auto"/>
        </w:rPr>
      </w:pPr>
      <w:r>
        <w:rPr>
          <w:rFonts w:ascii="Times New Roman" w:cs="Times New Roman" w:eastAsia="Times New Roman" w:hAnsi="Times New Roman"/>
          <w:sz w:val="18"/>
          <w:szCs w:val="18"/>
          <w:color w:val="auto"/>
        </w:rPr>
        <w:t>(AESOP) LLC, as Issuer</w:t>
      </w:r>
    </w:p>
    <w:p>
      <w:pPr>
        <w:spacing w:after="0" w:line="213"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By:  /s/ Rochelle Tarlowe</w:t>
      </w:r>
    </w:p>
    <w:p>
      <w:pPr>
        <w:spacing w:after="0" w:line="23"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Name: Rochelle Tarlowe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-130175</wp:posOffset>
            </wp:positionV>
            <wp:extent cx="2718435" cy="88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1"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Title:  Vice President and Treasurer</w:t>
      </w:r>
    </w:p>
    <w:p>
      <w:pPr>
        <w:spacing w:after="0" w:line="14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380"/>
          </w:cols>
          <w:pgMar w:left="240" w:top="274" w:right="279" w:bottom="1440" w:gutter="0" w:footer="0" w:header="0"/>
        </w:sectPr>
      </w:pPr>
    </w:p>
    <w:bookmarkStart w:id="266" w:name="page267"/>
    <w:bookmarkEnd w:id="266"/>
    <w:p>
      <w:pPr>
        <w:ind w:left="56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BANK OF NEW YORK MELLON</w:t>
      </w:r>
    </w:p>
    <w:p>
      <w:pPr>
        <w:spacing w:after="0" w:line="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TRUST COMPANY, N.A., as Trustee and Series 2009-3</w:t>
      </w:r>
    </w:p>
    <w:p>
      <w:pPr>
        <w:spacing w:after="0" w:line="9"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8"/>
          <w:szCs w:val="18"/>
          <w:color w:val="auto"/>
        </w:rPr>
        <w:t>Agent</w:t>
      </w:r>
    </w:p>
    <w:p>
      <w:pPr>
        <w:spacing w:after="0" w:line="213"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By:  /s/ Sally R. Tokich</w:t>
      </w:r>
    </w:p>
    <w:p>
      <w:pPr>
        <w:spacing w:after="0" w:line="23"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Name: Sally R. Tokich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3771265</wp:posOffset>
            </wp:positionH>
            <wp:positionV relativeFrom="paragraph">
              <wp:posOffset>-130175</wp:posOffset>
            </wp:positionV>
            <wp:extent cx="2718435" cy="88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1"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Title:  Senior Associate</w:t>
      </w:r>
    </w:p>
    <w:p>
      <w:pPr>
        <w:spacing w:after="0" w:line="145"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9840"/>
          </w:cols>
          <w:pgMar w:left="1440" w:top="274" w:right="619" w:bottom="1440" w:gutter="0" w:footer="0" w:header="0"/>
        </w:sectPr>
      </w:pPr>
    </w:p>
    <w:bookmarkStart w:id="267" w:name="page268"/>
    <w:bookmarkEnd w:id="267"/>
    <w:p>
      <w:pPr>
        <w:ind w:left="5660"/>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DEUTSCHE BANK AG, NEW YORK BRANCH, as</w:t>
      </w:r>
    </w:p>
    <w:p>
      <w:pPr>
        <w:spacing w:after="0" w:line="44"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8"/>
          <w:szCs w:val="18"/>
          <w:color w:val="auto"/>
        </w:rPr>
        <w:t>Administrative Agent</w:t>
      </w:r>
    </w:p>
    <w:p>
      <w:pPr>
        <w:spacing w:after="0" w:line="213"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By:  /s/ Robert Sheldon</w:t>
      </w:r>
    </w:p>
    <w:p>
      <w:pPr>
        <w:spacing w:after="0" w:line="23"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Name: Robert Sheldon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3771265</wp:posOffset>
            </wp:positionH>
            <wp:positionV relativeFrom="paragraph">
              <wp:posOffset>-130175</wp:posOffset>
            </wp:positionV>
            <wp:extent cx="2718435" cy="88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1"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Title:  Director</w:t>
      </w:r>
    </w:p>
    <w:p>
      <w:pPr>
        <w:spacing w:after="0" w:line="213"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By:  /s/ Daniel Gerber</w:t>
      </w:r>
    </w:p>
    <w:p>
      <w:pPr>
        <w:spacing w:after="0" w:line="23"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Name: Daniel Gerber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3771265</wp:posOffset>
            </wp:positionH>
            <wp:positionV relativeFrom="paragraph">
              <wp:posOffset>-130175</wp:posOffset>
            </wp:positionV>
            <wp:extent cx="2718435" cy="88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1"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Title:  Director</w:t>
      </w:r>
    </w:p>
    <w:p>
      <w:pPr>
        <w:spacing w:after="0" w:line="145"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6"/>
          <w:szCs w:val="16"/>
          <w:color w:val="auto"/>
        </w:rPr>
        <w:t>2</w:t>
      </w:r>
    </w:p>
    <w:p>
      <w:pPr>
        <w:sectPr>
          <w:pgSz w:w="11900" w:h="16838" w:orient="portrait"/>
          <w:cols w:equalWidth="0" w:num="1">
            <w:col w:w="9440"/>
          </w:cols>
          <w:pgMar w:left="1440" w:top="274" w:right="1019" w:bottom="1440" w:gutter="0" w:footer="0" w:header="0"/>
        </w:sectPr>
      </w:pPr>
    </w:p>
    <w:bookmarkStart w:id="268" w:name="page269"/>
    <w:bookmarkEnd w:id="268"/>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AGREED, ACKNOWLEDGED AND CONSENTED: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GEMINI SECURITIZATION CORP., LLC,</w:t>
      </w:r>
    </w:p>
    <w:p>
      <w:pPr>
        <w:spacing w:after="0" w:line="2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as a CP Conduit Purchaser under the Series 2009-3</w:t>
      </w:r>
    </w:p>
    <w:p>
      <w:pPr>
        <w:spacing w:after="0" w:line="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Supplement</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1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 Frank B. Bilotta</w:t>
            </w:r>
          </w:p>
        </w:tc>
      </w:tr>
      <w:tr>
        <w:trPr>
          <w:trHeight w:val="196"/>
        </w:trPr>
        <w:tc>
          <w:tcPr>
            <w:tcW w:w="460" w:type="dxa"/>
            <w:vAlign w:val="bottom"/>
          </w:tcPr>
          <w:p>
            <w:pPr>
              <w:spacing w:after="0"/>
              <w:rPr>
                <w:sz w:val="17"/>
                <w:szCs w:val="17"/>
                <w:color w:val="auto"/>
              </w:rPr>
            </w:pPr>
          </w:p>
        </w:tc>
        <w:tc>
          <w:tcPr>
            <w:tcW w:w="4120" w:type="dxa"/>
            <w:vAlign w:val="bottom"/>
          </w:tcPr>
          <w:p>
            <w:pPr>
              <w:ind w:left="100"/>
              <w:spacing w:after="0" w:line="196" w:lineRule="exact"/>
              <w:rPr>
                <w:sz w:val="20"/>
                <w:szCs w:val="20"/>
                <w:color w:val="auto"/>
              </w:rPr>
            </w:pPr>
            <w:r>
              <w:rPr>
                <w:rFonts w:ascii="Times New Roman" w:cs="Times New Roman" w:eastAsia="Times New Roman" w:hAnsi="Times New Roman"/>
                <w:sz w:val="18"/>
                <w:szCs w:val="18"/>
                <w:color w:val="auto"/>
              </w:rPr>
              <w:t>Name: Frank B. Bilotta</w:t>
            </w:r>
          </w:p>
        </w:tc>
      </w:tr>
      <w:tr>
        <w:trPr>
          <w:trHeight w:val="228"/>
        </w:trPr>
        <w:tc>
          <w:tcPr>
            <w:tcW w:w="460" w:type="dxa"/>
            <w:vAlign w:val="bottom"/>
          </w:tcPr>
          <w:p>
            <w:pPr>
              <w:spacing w:after="0"/>
              <w:rPr>
                <w:sz w:val="19"/>
                <w:szCs w:val="19"/>
                <w:color w:val="auto"/>
              </w:rPr>
            </w:pPr>
          </w:p>
        </w:tc>
        <w:tc>
          <w:tcPr>
            <w:tcW w:w="4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Title:  President</w:t>
            </w:r>
          </w:p>
        </w:tc>
      </w:tr>
    </w:tbl>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DEUTSCHE BANK AG, NEW YORK BRANCH,</w:t>
      </w:r>
    </w:p>
    <w:p>
      <w:pPr>
        <w:spacing w:after="0" w:line="2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as a Funding Agent and an APA Bank under the Series 2009-</w:t>
      </w:r>
    </w:p>
    <w:p>
      <w:pPr>
        <w:spacing w:after="0" w:line="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3 Supplement</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1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 Robert Sheldon</w:t>
            </w:r>
          </w:p>
        </w:tc>
      </w:tr>
      <w:tr>
        <w:trPr>
          <w:trHeight w:val="196"/>
        </w:trPr>
        <w:tc>
          <w:tcPr>
            <w:tcW w:w="460" w:type="dxa"/>
            <w:vAlign w:val="bottom"/>
          </w:tcPr>
          <w:p>
            <w:pPr>
              <w:spacing w:after="0"/>
              <w:rPr>
                <w:sz w:val="17"/>
                <w:szCs w:val="17"/>
                <w:color w:val="auto"/>
              </w:rPr>
            </w:pPr>
          </w:p>
        </w:tc>
        <w:tc>
          <w:tcPr>
            <w:tcW w:w="4120" w:type="dxa"/>
            <w:vAlign w:val="bottom"/>
          </w:tcPr>
          <w:p>
            <w:pPr>
              <w:ind w:left="100"/>
              <w:spacing w:after="0" w:line="196" w:lineRule="exact"/>
              <w:rPr>
                <w:sz w:val="20"/>
                <w:szCs w:val="20"/>
                <w:color w:val="auto"/>
              </w:rPr>
            </w:pPr>
            <w:r>
              <w:rPr>
                <w:rFonts w:ascii="Times New Roman" w:cs="Times New Roman" w:eastAsia="Times New Roman" w:hAnsi="Times New Roman"/>
                <w:sz w:val="18"/>
                <w:szCs w:val="18"/>
                <w:color w:val="auto"/>
              </w:rPr>
              <w:t>Name: Robert Sheldon</w:t>
            </w:r>
          </w:p>
        </w:tc>
      </w:tr>
      <w:tr>
        <w:trPr>
          <w:trHeight w:val="228"/>
        </w:trPr>
        <w:tc>
          <w:tcPr>
            <w:tcW w:w="460" w:type="dxa"/>
            <w:vAlign w:val="bottom"/>
          </w:tcPr>
          <w:p>
            <w:pPr>
              <w:spacing w:after="0"/>
              <w:rPr>
                <w:sz w:val="19"/>
                <w:szCs w:val="19"/>
                <w:color w:val="auto"/>
              </w:rPr>
            </w:pPr>
          </w:p>
        </w:tc>
        <w:tc>
          <w:tcPr>
            <w:tcW w:w="4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Title:  Director</w:t>
            </w:r>
          </w:p>
        </w:tc>
      </w:tr>
      <w:tr>
        <w:trPr>
          <w:trHeight w:val="433"/>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1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 Daniel Gerber</w:t>
            </w:r>
          </w:p>
        </w:tc>
      </w:tr>
      <w:tr>
        <w:trPr>
          <w:trHeight w:val="196"/>
        </w:trPr>
        <w:tc>
          <w:tcPr>
            <w:tcW w:w="460" w:type="dxa"/>
            <w:vAlign w:val="bottom"/>
          </w:tcPr>
          <w:p>
            <w:pPr>
              <w:spacing w:after="0"/>
              <w:rPr>
                <w:sz w:val="17"/>
                <w:szCs w:val="17"/>
                <w:color w:val="auto"/>
              </w:rPr>
            </w:pPr>
          </w:p>
        </w:tc>
        <w:tc>
          <w:tcPr>
            <w:tcW w:w="4120" w:type="dxa"/>
            <w:vAlign w:val="bottom"/>
          </w:tcPr>
          <w:p>
            <w:pPr>
              <w:ind w:left="100"/>
              <w:spacing w:after="0" w:line="196" w:lineRule="exact"/>
              <w:rPr>
                <w:sz w:val="20"/>
                <w:szCs w:val="20"/>
                <w:color w:val="auto"/>
              </w:rPr>
            </w:pPr>
            <w:r>
              <w:rPr>
                <w:rFonts w:ascii="Times New Roman" w:cs="Times New Roman" w:eastAsia="Times New Roman" w:hAnsi="Times New Roman"/>
                <w:sz w:val="18"/>
                <w:szCs w:val="18"/>
                <w:color w:val="auto"/>
              </w:rPr>
              <w:t>Name: Daniel Gerber</w:t>
            </w:r>
          </w:p>
        </w:tc>
      </w:tr>
      <w:tr>
        <w:trPr>
          <w:trHeight w:val="228"/>
        </w:trPr>
        <w:tc>
          <w:tcPr>
            <w:tcW w:w="460" w:type="dxa"/>
            <w:vAlign w:val="bottom"/>
          </w:tcPr>
          <w:p>
            <w:pPr>
              <w:spacing w:after="0"/>
              <w:rPr>
                <w:sz w:val="19"/>
                <w:szCs w:val="19"/>
                <w:color w:val="auto"/>
              </w:rPr>
            </w:pPr>
          </w:p>
        </w:tc>
        <w:tc>
          <w:tcPr>
            <w:tcW w:w="4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Title:  Director</w:t>
            </w:r>
          </w:p>
        </w:tc>
      </w:tr>
    </w:tbl>
    <w:p>
      <w:pPr>
        <w:spacing w:after="0" w:line="136" w:lineRule="exact"/>
        <w:rPr>
          <w:sz w:val="20"/>
          <w:szCs w:val="20"/>
          <w:color w:val="auto"/>
        </w:rPr>
      </w:pPr>
    </w:p>
    <w:p>
      <w:pPr>
        <w:jc w:val="right"/>
        <w:ind w:right="445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219"/>
          </w:cols>
          <w:pgMar w:left="240" w:top="274" w:right="1440" w:bottom="1440" w:gutter="0" w:footer="0" w:header="0"/>
        </w:sectPr>
      </w:pPr>
    </w:p>
    <w:bookmarkStart w:id="269" w:name="page270"/>
    <w:bookmarkEnd w:id="269"/>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AVIS BUDGET CAR RENTAL, LLC,</w:t>
      </w:r>
    </w:p>
    <w:p>
      <w:pPr>
        <w:spacing w:after="0" w:line="2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as Administrator</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Rochelle Tarlowe</w:t>
      </w:r>
    </w:p>
    <w:p>
      <w:pPr>
        <w:spacing w:after="0" w:line="2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Name: Rochelle Tarlowe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-130175</wp:posOffset>
            </wp:positionV>
            <wp:extent cx="2693035" cy="88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Title:  Vice President and Treasurer</w:t>
      </w:r>
    </w:p>
    <w:p>
      <w:pPr>
        <w:spacing w:after="0" w:line="145" w:lineRule="exact"/>
        <w:rPr>
          <w:sz w:val="20"/>
          <w:szCs w:val="20"/>
          <w:color w:val="auto"/>
        </w:rPr>
      </w:pPr>
    </w:p>
    <w:p>
      <w:pPr>
        <w:jc w:val="right"/>
        <w:ind w:right="445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219"/>
          </w:cols>
          <w:pgMar w:left="240" w:top="274" w:right="1440" w:bottom="1440" w:gutter="0" w:footer="0" w:header="0"/>
        </w:sectPr>
      </w:pPr>
    </w:p>
    <w:bookmarkStart w:id="270" w:name="page271"/>
    <w:bookmarkEnd w:id="270"/>
    <w:p>
      <w:pPr>
        <w:jc w:val="center"/>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I TO SERIES 2009-3 SUPPLEMENT</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Maximum</w:t>
            </w: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4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Purchaser</w:t>
            </w: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Group</w:t>
            </w: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0" w:type="dxa"/>
            <w:vAlign w:val="bottom"/>
          </w:tcPr>
          <w:p>
            <w:pPr>
              <w:spacing w:after="0"/>
              <w:rPr>
                <w:sz w:val="12"/>
                <w:szCs w:val="12"/>
                <w:color w:val="auto"/>
              </w:rPr>
            </w:pPr>
          </w:p>
        </w:tc>
        <w:tc>
          <w:tcPr>
            <w:tcW w:w="23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CP Conduit</w:t>
            </w:r>
          </w:p>
        </w:tc>
        <w:tc>
          <w:tcPr>
            <w:tcW w:w="220" w:type="dxa"/>
            <w:vAlign w:val="bottom"/>
          </w:tcPr>
          <w:p>
            <w:pPr>
              <w:spacing w:after="0"/>
              <w:rPr>
                <w:sz w:val="12"/>
                <w:szCs w:val="12"/>
                <w:color w:val="auto"/>
              </w:rPr>
            </w:pPr>
          </w:p>
        </w:tc>
        <w:tc>
          <w:tcPr>
            <w:tcW w:w="2160" w:type="dxa"/>
            <w:vAlign w:val="bottom"/>
            <w:vMerge w:val="restart"/>
          </w:tcPr>
          <w:p>
            <w:pPr>
              <w:ind w:left="760"/>
              <w:spacing w:after="0"/>
              <w:rPr>
                <w:sz w:val="20"/>
                <w:szCs w:val="20"/>
                <w:color w:val="auto"/>
              </w:rPr>
            </w:pPr>
            <w:r>
              <w:rPr>
                <w:rFonts w:ascii="Times New Roman" w:cs="Times New Roman" w:eastAsia="Times New Roman" w:hAnsi="Times New Roman"/>
                <w:sz w:val="14"/>
                <w:szCs w:val="14"/>
                <w:b w:val="1"/>
                <w:bCs w:val="1"/>
                <w:color w:val="auto"/>
              </w:rPr>
              <w:t>APA Bank</w:t>
            </w:r>
          </w:p>
        </w:tc>
        <w:tc>
          <w:tcPr>
            <w:tcW w:w="200" w:type="dxa"/>
            <w:vAlign w:val="bottom"/>
          </w:tcPr>
          <w:p>
            <w:pPr>
              <w:spacing w:after="0"/>
              <w:rPr>
                <w:sz w:val="12"/>
                <w:szCs w:val="12"/>
                <w:color w:val="auto"/>
              </w:rPr>
            </w:pPr>
          </w:p>
        </w:tc>
        <w:tc>
          <w:tcPr>
            <w:tcW w:w="2160" w:type="dxa"/>
            <w:vAlign w:val="bottom"/>
            <w:vMerge w:val="restart"/>
          </w:tcPr>
          <w:p>
            <w:pPr>
              <w:jc w:val="right"/>
              <w:ind w:right="592"/>
              <w:spacing w:after="0"/>
              <w:rPr>
                <w:sz w:val="20"/>
                <w:szCs w:val="20"/>
                <w:color w:val="auto"/>
              </w:rPr>
            </w:pPr>
            <w:r>
              <w:rPr>
                <w:rFonts w:ascii="Times New Roman" w:cs="Times New Roman" w:eastAsia="Times New Roman" w:hAnsi="Times New Roman"/>
                <w:sz w:val="14"/>
                <w:szCs w:val="14"/>
                <w:b w:val="1"/>
                <w:bCs w:val="1"/>
                <w:color w:val="auto"/>
              </w:rPr>
              <w:t>Funding Agent</w:t>
            </w:r>
          </w:p>
        </w:tc>
        <w:tc>
          <w:tcPr>
            <w:tcW w:w="200" w:type="dxa"/>
            <w:vAlign w:val="bottom"/>
          </w:tcPr>
          <w:p>
            <w:pPr>
              <w:spacing w:after="0"/>
              <w:rPr>
                <w:sz w:val="12"/>
                <w:szCs w:val="12"/>
                <w:color w:val="auto"/>
              </w:rPr>
            </w:pPr>
          </w:p>
        </w:tc>
        <w:tc>
          <w:tcPr>
            <w:tcW w:w="106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APA Bank</w:t>
            </w: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4"/>
              </w:rPr>
              <w:t>Invested</w:t>
            </w:r>
          </w:p>
        </w:tc>
        <w:tc>
          <w:tcPr>
            <w:tcW w:w="200" w:type="dxa"/>
            <w:vAlign w:val="bottom"/>
          </w:tcPr>
          <w:p>
            <w:pPr>
              <w:spacing w:after="0"/>
              <w:rPr>
                <w:sz w:val="12"/>
                <w:szCs w:val="12"/>
                <w:color w:val="auto"/>
              </w:rPr>
            </w:pPr>
          </w:p>
        </w:tc>
        <w:tc>
          <w:tcPr>
            <w:tcW w:w="5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Match</w:t>
            </w:r>
          </w:p>
        </w:tc>
        <w:tc>
          <w:tcPr>
            <w:tcW w:w="200" w:type="dxa"/>
            <w:vAlign w:val="bottom"/>
          </w:tcPr>
          <w:p>
            <w:pPr>
              <w:spacing w:after="0"/>
              <w:rPr>
                <w:sz w:val="12"/>
                <w:szCs w:val="12"/>
                <w:color w:val="auto"/>
              </w:rPr>
            </w:pPr>
          </w:p>
        </w:tc>
        <w:tc>
          <w:tcPr>
            <w:tcW w:w="86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Purchased</w:t>
            </w:r>
          </w:p>
        </w:tc>
        <w:tc>
          <w:tcPr>
            <w:tcW w:w="0" w:type="dxa"/>
            <w:vAlign w:val="bottom"/>
          </w:tcPr>
          <w:p>
            <w:pPr>
              <w:spacing w:after="0"/>
              <w:rPr>
                <w:sz w:val="1"/>
                <w:szCs w:val="1"/>
                <w:color w:val="auto"/>
              </w:rPr>
            </w:pPr>
          </w:p>
        </w:tc>
      </w:tr>
      <w:tr>
        <w:trPr>
          <w:trHeight w:val="165"/>
        </w:trPr>
        <w:tc>
          <w:tcPr>
            <w:tcW w:w="340" w:type="dxa"/>
            <w:vAlign w:val="bottom"/>
          </w:tcPr>
          <w:p>
            <w:pPr>
              <w:spacing w:after="0"/>
              <w:rPr>
                <w:sz w:val="14"/>
                <w:szCs w:val="14"/>
                <w:color w:val="auto"/>
              </w:rPr>
            </w:pPr>
          </w:p>
        </w:tc>
        <w:tc>
          <w:tcPr>
            <w:tcW w:w="23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16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216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200" w:type="dxa"/>
            <w:vAlign w:val="bottom"/>
          </w:tcPr>
          <w:p>
            <w:pPr>
              <w:spacing w:after="0"/>
              <w:rPr>
                <w:sz w:val="14"/>
                <w:szCs w:val="14"/>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Funding</w:t>
            </w:r>
          </w:p>
        </w:tc>
        <w:tc>
          <w:tcPr>
            <w:tcW w:w="200" w:type="dxa"/>
            <w:vAlign w:val="bottom"/>
          </w:tcPr>
          <w:p>
            <w:pPr>
              <w:spacing w:after="0"/>
              <w:rPr>
                <w:sz w:val="14"/>
                <w:szCs w:val="14"/>
                <w:color w:val="auto"/>
              </w:rPr>
            </w:pPr>
          </w:p>
        </w:tc>
        <w:tc>
          <w:tcPr>
            <w:tcW w:w="8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23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1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1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700" w:type="dxa"/>
            <w:vAlign w:val="bottom"/>
            <w:gridSpan w:val="2"/>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1.  Gemini Securitization Corp.,</w:t>
            </w:r>
          </w:p>
        </w:tc>
        <w:tc>
          <w:tcPr>
            <w:tcW w:w="2380" w:type="dxa"/>
            <w:vAlign w:val="bottom"/>
            <w:gridSpan w:val="2"/>
            <w:shd w:val="clear" w:color="auto" w:fill="CCEEFF"/>
          </w:tcPr>
          <w:p>
            <w:pPr>
              <w:ind w:left="220"/>
              <w:spacing w:after="0" w:line="195" w:lineRule="exact"/>
              <w:rPr>
                <w:sz w:val="20"/>
                <w:szCs w:val="20"/>
                <w:color w:val="auto"/>
              </w:rPr>
            </w:pPr>
            <w:r>
              <w:rPr>
                <w:rFonts w:ascii="Times New Roman" w:cs="Times New Roman" w:eastAsia="Times New Roman" w:hAnsi="Times New Roman"/>
                <w:sz w:val="18"/>
                <w:szCs w:val="18"/>
                <w:color w:val="auto"/>
              </w:rPr>
              <w:t>Deutsche Bank AG, New</w:t>
            </w:r>
          </w:p>
        </w:tc>
        <w:tc>
          <w:tcPr>
            <w:tcW w:w="2360" w:type="dxa"/>
            <w:vAlign w:val="bottom"/>
            <w:gridSpan w:val="2"/>
            <w:shd w:val="clear" w:color="auto" w:fill="CCEEFF"/>
          </w:tcPr>
          <w:p>
            <w:pPr>
              <w:ind w:left="200"/>
              <w:spacing w:after="0" w:line="195" w:lineRule="exact"/>
              <w:rPr>
                <w:sz w:val="20"/>
                <w:szCs w:val="20"/>
                <w:color w:val="auto"/>
              </w:rPr>
            </w:pPr>
            <w:r>
              <w:rPr>
                <w:rFonts w:ascii="Times New Roman" w:cs="Times New Roman" w:eastAsia="Times New Roman" w:hAnsi="Times New Roman"/>
                <w:sz w:val="18"/>
                <w:szCs w:val="18"/>
                <w:color w:val="auto"/>
              </w:rPr>
              <w:t>Deutsche Bank AG, New</w:t>
            </w:r>
          </w:p>
        </w:tc>
        <w:tc>
          <w:tcPr>
            <w:tcW w:w="1260" w:type="dxa"/>
            <w:vAlign w:val="bottom"/>
            <w:gridSpan w:val="3"/>
            <w:shd w:val="clear" w:color="auto" w:fill="CCEEFF"/>
          </w:tcPr>
          <w:p>
            <w:pPr>
              <w:jc w:val="right"/>
              <w:ind w:right="260"/>
              <w:spacing w:after="0" w:line="195" w:lineRule="exact"/>
              <w:rPr>
                <w:sz w:val="20"/>
                <w:szCs w:val="20"/>
                <w:color w:val="auto"/>
              </w:rPr>
            </w:pPr>
            <w:r>
              <w:rPr>
                <w:rFonts w:ascii="Times New Roman" w:cs="Times New Roman" w:eastAsia="Times New Roman" w:hAnsi="Times New Roman"/>
                <w:sz w:val="18"/>
                <w:szCs w:val="18"/>
                <w:color w:val="auto"/>
              </w:rPr>
              <w:t>100%</w:t>
            </w:r>
          </w:p>
        </w:tc>
        <w:tc>
          <w:tcPr>
            <w:tcW w:w="960" w:type="dxa"/>
            <w:vAlign w:val="bottom"/>
            <w:shd w:val="clear" w:color="auto" w:fill="CCEEFF"/>
          </w:tcPr>
          <w:p>
            <w:pPr>
              <w:jc w:val="center"/>
              <w:spacing w:after="0" w:line="195" w:lineRule="exact"/>
              <w:rPr>
                <w:sz w:val="20"/>
                <w:szCs w:val="20"/>
                <w:color w:val="auto"/>
              </w:rPr>
            </w:pPr>
            <w:r>
              <w:rPr>
                <w:rFonts w:ascii="Times New Roman" w:cs="Times New Roman" w:eastAsia="Times New Roman" w:hAnsi="Times New Roman"/>
                <w:sz w:val="18"/>
                <w:szCs w:val="18"/>
                <w:color w:val="auto"/>
                <w:w w:val="96"/>
              </w:rPr>
              <w:t>$200,000,000</w:t>
            </w:r>
          </w:p>
        </w:tc>
        <w:tc>
          <w:tcPr>
            <w:tcW w:w="200" w:type="dxa"/>
            <w:vAlign w:val="bottom"/>
            <w:shd w:val="clear" w:color="auto" w:fill="CCEEFF"/>
          </w:tcPr>
          <w:p>
            <w:pPr>
              <w:spacing w:after="0"/>
              <w:rPr>
                <w:sz w:val="16"/>
                <w:szCs w:val="16"/>
                <w:color w:val="auto"/>
              </w:rPr>
            </w:pPr>
          </w:p>
        </w:tc>
        <w:tc>
          <w:tcPr>
            <w:tcW w:w="500" w:type="dxa"/>
            <w:vAlign w:val="bottom"/>
            <w:shd w:val="clear" w:color="auto" w:fill="CCEEFF"/>
          </w:tcPr>
          <w:p>
            <w:pPr>
              <w:jc w:val="center"/>
              <w:spacing w:after="0" w:line="195" w:lineRule="exact"/>
              <w:rPr>
                <w:sz w:val="20"/>
                <w:szCs w:val="20"/>
                <w:color w:val="auto"/>
              </w:rPr>
            </w:pPr>
            <w:r>
              <w:rPr>
                <w:rFonts w:ascii="Times New Roman" w:cs="Times New Roman" w:eastAsia="Times New Roman" w:hAnsi="Times New Roman"/>
                <w:sz w:val="18"/>
                <w:szCs w:val="18"/>
                <w:color w:val="auto"/>
                <w:w w:val="99"/>
              </w:rPr>
              <w:t>No</w:t>
            </w:r>
          </w:p>
        </w:tc>
        <w:tc>
          <w:tcPr>
            <w:tcW w:w="1060" w:type="dxa"/>
            <w:vAlign w:val="bottom"/>
            <w:gridSpan w:val="3"/>
            <w:shd w:val="clear" w:color="auto" w:fill="CCEEFF"/>
          </w:tcPr>
          <w:p>
            <w:pPr>
              <w:jc w:val="right"/>
              <w:ind w:right="60"/>
              <w:spacing w:after="0" w:line="195" w:lineRule="exact"/>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30"/>
        </w:trPr>
        <w:tc>
          <w:tcPr>
            <w:tcW w:w="340" w:type="dxa"/>
            <w:vAlign w:val="bottom"/>
            <w:shd w:val="clear" w:color="auto" w:fill="CCEEFF"/>
          </w:tcPr>
          <w:p>
            <w:pPr>
              <w:spacing w:after="0"/>
              <w:rPr>
                <w:sz w:val="20"/>
                <w:szCs w:val="20"/>
                <w:color w:val="auto"/>
              </w:rPr>
            </w:pPr>
          </w:p>
        </w:tc>
        <w:tc>
          <w:tcPr>
            <w:tcW w:w="2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LLC</w:t>
            </w:r>
          </w:p>
        </w:tc>
        <w:tc>
          <w:tcPr>
            <w:tcW w:w="23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York Branch</w:t>
            </w:r>
          </w:p>
        </w:tc>
        <w:tc>
          <w:tcPr>
            <w:tcW w:w="23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York Branch</w:t>
            </w:r>
          </w:p>
        </w:tc>
        <w:tc>
          <w:tcPr>
            <w:tcW w:w="2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63"/>
        </w:trPr>
        <w:tc>
          <w:tcPr>
            <w:tcW w:w="34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2360" w:type="dxa"/>
            <w:vAlign w:val="bottom"/>
            <w:gridSpan w:val="2"/>
          </w:tcPr>
          <w:p>
            <w:pPr>
              <w:jc w:val="right"/>
              <w:ind w:right="1612"/>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271" w:name="page272"/>
    <w:bookmarkEnd w:id="271"/>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TABLE OF CONTENTS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11140" w:type="dxa"/>
            <w:vAlign w:val="bottom"/>
            <w:gridSpan w:val="24"/>
            <w:vMerge w:val="restart"/>
          </w:tcPr>
          <w:p>
            <w:pPr>
              <w:spacing w:after="0"/>
              <w:rPr>
                <w:sz w:val="20"/>
                <w:szCs w:val="20"/>
                <w:color w:val="auto"/>
              </w:rPr>
            </w:pPr>
            <w:r>
              <w:rPr>
                <w:rFonts w:ascii="Times New Roman" w:cs="Times New Roman" w:eastAsia="Times New Roman" w:hAnsi="Times New Roman"/>
                <w:sz w:val="18"/>
                <w:szCs w:val="18"/>
                <w:color w:val="auto"/>
              </w:rPr>
              <w:t>ARTICLE I DEFINITIONS</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w w:val="90"/>
              </w:rPr>
              <w:t>Page</w:t>
            </w:r>
          </w:p>
        </w:tc>
        <w:tc>
          <w:tcPr>
            <w:tcW w:w="0" w:type="dxa"/>
            <w:vAlign w:val="bottom"/>
          </w:tcPr>
          <w:p>
            <w:pPr>
              <w:spacing w:after="0"/>
              <w:rPr>
                <w:sz w:val="1"/>
                <w:szCs w:val="1"/>
                <w:color w:val="auto"/>
              </w:rPr>
            </w:pPr>
          </w:p>
        </w:tc>
      </w:tr>
      <w:tr>
        <w:trPr>
          <w:trHeight w:val="222"/>
        </w:trPr>
        <w:tc>
          <w:tcPr>
            <w:tcW w:w="11140" w:type="dxa"/>
            <w:vAlign w:val="bottom"/>
            <w:gridSpan w:val="24"/>
            <w:vMerge w:val="continue"/>
          </w:tcPr>
          <w:p>
            <w:pPr>
              <w:spacing w:after="0"/>
              <w:rPr>
                <w:sz w:val="19"/>
                <w:szCs w:val="19"/>
                <w:color w:val="auto"/>
              </w:rPr>
            </w:pPr>
          </w:p>
        </w:tc>
        <w:tc>
          <w:tcPr>
            <w:tcW w:w="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0"/>
        </w:trPr>
        <w:tc>
          <w:tcPr>
            <w:tcW w:w="11140" w:type="dxa"/>
            <w:vAlign w:val="bottom"/>
            <w:gridSpan w:val="24"/>
          </w:tcPr>
          <w:p>
            <w:pPr>
              <w:spacing w:after="0"/>
              <w:rPr>
                <w:sz w:val="20"/>
                <w:szCs w:val="20"/>
                <w:color w:val="auto"/>
              </w:rPr>
            </w:pPr>
            <w:r>
              <w:rPr>
                <w:rFonts w:ascii="Times New Roman" w:cs="Times New Roman" w:eastAsia="Times New Roman" w:hAnsi="Times New Roman"/>
                <w:sz w:val="18"/>
                <w:szCs w:val="18"/>
                <w:color w:val="auto"/>
              </w:rPr>
              <w:t>ARTICLE II PURCHASE AND SALE OF SERIES 2009-3 NOTES; INCREASES AND DECREASES OF SERIES 2009-3 INVESTED AMOUNT</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86"/>
        </w:trPr>
        <w:tc>
          <w:tcPr>
            <w:tcW w:w="15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Section 2.1.</w:t>
            </w:r>
          </w:p>
        </w:tc>
        <w:tc>
          <w:tcPr>
            <w:tcW w:w="2620" w:type="dxa"/>
            <w:vAlign w:val="bottom"/>
            <w:tcBorders>
              <w:bottom w:val="single" w:sz="8" w:color="auto"/>
            </w:tcBorders>
            <w:gridSpan w:val="12"/>
          </w:tcPr>
          <w:p>
            <w:pPr>
              <w:spacing w:after="0"/>
              <w:rPr>
                <w:sz w:val="20"/>
                <w:szCs w:val="20"/>
                <w:color w:val="auto"/>
              </w:rPr>
            </w:pPr>
            <w:r>
              <w:rPr>
                <w:rFonts w:ascii="Times New Roman" w:cs="Times New Roman" w:eastAsia="Times New Roman" w:hAnsi="Times New Roman"/>
                <w:sz w:val="18"/>
                <w:szCs w:val="18"/>
                <w:color w:val="auto"/>
                <w:w w:val="96"/>
              </w:rPr>
              <w:t>Purchases of the Series 2009-3 Notes</w:t>
            </w:r>
          </w:p>
        </w:tc>
        <w:tc>
          <w:tcPr>
            <w:tcW w:w="6940" w:type="dxa"/>
            <w:vAlign w:val="bottom"/>
            <w:gridSpan w:val="11"/>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196"/>
        </w:trPr>
        <w:tc>
          <w:tcPr>
            <w:tcW w:w="1580" w:type="dxa"/>
            <w:vAlign w:val="bottom"/>
          </w:tcPr>
          <w:p>
            <w:pPr>
              <w:ind w:left="440"/>
              <w:spacing w:after="0" w:line="196" w:lineRule="exact"/>
              <w:rPr>
                <w:sz w:val="20"/>
                <w:szCs w:val="20"/>
                <w:color w:val="auto"/>
              </w:rPr>
            </w:pPr>
            <w:r>
              <w:rPr>
                <w:rFonts w:ascii="Times New Roman" w:cs="Times New Roman" w:eastAsia="Times New Roman" w:hAnsi="Times New Roman"/>
                <w:sz w:val="18"/>
                <w:szCs w:val="18"/>
                <w:color w:val="auto"/>
              </w:rPr>
              <w:t>Section 2.2.</w:t>
            </w:r>
          </w:p>
        </w:tc>
        <w:tc>
          <w:tcPr>
            <w:tcW w:w="956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auto"/>
              </w:rPr>
              <w:t>Delivery</w:t>
            </w:r>
          </w:p>
        </w:tc>
        <w:tc>
          <w:tcPr>
            <w:tcW w:w="3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0"/>
        </w:trPr>
        <w:tc>
          <w:tcPr>
            <w:tcW w:w="15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580" w:type="dxa"/>
            <w:vAlign w:val="bottom"/>
          </w:tcPr>
          <w:p>
            <w:pPr>
              <w:ind w:left="440"/>
              <w:spacing w:after="0" w:line="196" w:lineRule="exact"/>
              <w:rPr>
                <w:sz w:val="20"/>
                <w:szCs w:val="20"/>
                <w:color w:val="auto"/>
              </w:rPr>
            </w:pPr>
            <w:r>
              <w:rPr>
                <w:rFonts w:ascii="Times New Roman" w:cs="Times New Roman" w:eastAsia="Times New Roman" w:hAnsi="Times New Roman"/>
                <w:sz w:val="18"/>
                <w:szCs w:val="18"/>
                <w:color w:val="auto"/>
              </w:rPr>
              <w:t>Section 2.3.</w:t>
            </w:r>
          </w:p>
        </w:tc>
        <w:tc>
          <w:tcPr>
            <w:tcW w:w="5920" w:type="dxa"/>
            <w:vAlign w:val="bottom"/>
            <w:tcBorders>
              <w:bottom w:val="single" w:sz="8" w:color="auto"/>
            </w:tcBorders>
            <w:gridSpan w:val="20"/>
          </w:tcPr>
          <w:p>
            <w:pPr>
              <w:spacing w:after="0" w:line="196" w:lineRule="exact"/>
              <w:rPr>
                <w:sz w:val="20"/>
                <w:szCs w:val="20"/>
                <w:color w:val="auto"/>
              </w:rPr>
            </w:pPr>
            <w:r>
              <w:rPr>
                <w:rFonts w:ascii="Times New Roman" w:cs="Times New Roman" w:eastAsia="Times New Roman" w:hAnsi="Times New Roman"/>
                <w:sz w:val="18"/>
                <w:szCs w:val="18"/>
                <w:color w:val="auto"/>
                <w:w w:val="97"/>
              </w:rPr>
              <w:t>Procedure for Initial Issuance and for Increasing the Series 2009-3 Invested Amount</w:t>
            </w:r>
          </w:p>
        </w:tc>
        <w:tc>
          <w:tcPr>
            <w:tcW w:w="3640" w:type="dxa"/>
            <w:vAlign w:val="bottom"/>
            <w:gridSpan w:val="3"/>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196"/>
        </w:trPr>
        <w:tc>
          <w:tcPr>
            <w:tcW w:w="1580" w:type="dxa"/>
            <w:vAlign w:val="bottom"/>
          </w:tcPr>
          <w:p>
            <w:pPr>
              <w:ind w:left="440"/>
              <w:spacing w:after="0" w:line="196" w:lineRule="exact"/>
              <w:rPr>
                <w:sz w:val="20"/>
                <w:szCs w:val="20"/>
                <w:color w:val="auto"/>
              </w:rPr>
            </w:pPr>
            <w:r>
              <w:rPr>
                <w:rFonts w:ascii="Times New Roman" w:cs="Times New Roman" w:eastAsia="Times New Roman" w:hAnsi="Times New Roman"/>
                <w:sz w:val="18"/>
                <w:szCs w:val="18"/>
                <w:color w:val="auto"/>
              </w:rPr>
              <w:t>Section 2.4.</w:t>
            </w:r>
          </w:p>
        </w:tc>
        <w:tc>
          <w:tcPr>
            <w:tcW w:w="4960" w:type="dxa"/>
            <w:vAlign w:val="bottom"/>
            <w:tcBorders>
              <w:bottom w:val="single" w:sz="8" w:color="auto"/>
            </w:tcBorders>
            <w:gridSpan w:val="16"/>
          </w:tcPr>
          <w:p>
            <w:pPr>
              <w:spacing w:after="0" w:line="196" w:lineRule="exact"/>
              <w:rPr>
                <w:sz w:val="20"/>
                <w:szCs w:val="20"/>
                <w:color w:val="auto"/>
              </w:rPr>
            </w:pPr>
            <w:r>
              <w:rPr>
                <w:rFonts w:ascii="Times New Roman" w:cs="Times New Roman" w:eastAsia="Times New Roman" w:hAnsi="Times New Roman"/>
                <w:sz w:val="18"/>
                <w:szCs w:val="18"/>
                <w:color w:val="auto"/>
                <w:w w:val="96"/>
              </w:rPr>
              <w:t>Sales by CP Conduit Purchasers of Series 2009-3 Notes to APA Banks</w:t>
            </w:r>
          </w:p>
        </w:tc>
        <w:tc>
          <w:tcPr>
            <w:tcW w:w="4600" w:type="dxa"/>
            <w:vAlign w:val="bottom"/>
            <w:gridSpan w:val="7"/>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196"/>
        </w:trPr>
        <w:tc>
          <w:tcPr>
            <w:tcW w:w="1580" w:type="dxa"/>
            <w:vAlign w:val="bottom"/>
          </w:tcPr>
          <w:p>
            <w:pPr>
              <w:ind w:left="440"/>
              <w:spacing w:after="0" w:line="196" w:lineRule="exact"/>
              <w:rPr>
                <w:sz w:val="20"/>
                <w:szCs w:val="20"/>
                <w:color w:val="auto"/>
              </w:rPr>
            </w:pPr>
            <w:r>
              <w:rPr>
                <w:rFonts w:ascii="Times New Roman" w:cs="Times New Roman" w:eastAsia="Times New Roman" w:hAnsi="Times New Roman"/>
                <w:sz w:val="18"/>
                <w:szCs w:val="18"/>
                <w:color w:val="auto"/>
              </w:rPr>
              <w:t>Section 2.5.</w:t>
            </w:r>
          </w:p>
        </w:tc>
        <w:tc>
          <w:tcPr>
            <w:tcW w:w="956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auto"/>
              </w:rPr>
              <w:t>Procedure for Decreasing the Series 2009-3 Invested Amount; Optional Termination</w:t>
            </w:r>
          </w:p>
        </w:tc>
        <w:tc>
          <w:tcPr>
            <w:tcW w:w="3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196"/>
        </w:trPr>
        <w:tc>
          <w:tcPr>
            <w:tcW w:w="1580" w:type="dxa"/>
            <w:vAlign w:val="bottom"/>
          </w:tcPr>
          <w:p>
            <w:pPr>
              <w:ind w:left="440"/>
              <w:spacing w:after="0" w:line="196" w:lineRule="exact"/>
              <w:rPr>
                <w:sz w:val="20"/>
                <w:szCs w:val="20"/>
                <w:color w:val="auto"/>
              </w:rPr>
            </w:pPr>
            <w:r>
              <w:rPr>
                <w:rFonts w:ascii="Times New Roman" w:cs="Times New Roman" w:eastAsia="Times New Roman" w:hAnsi="Times New Roman"/>
                <w:sz w:val="18"/>
                <w:szCs w:val="18"/>
                <w:color w:val="auto"/>
              </w:rPr>
              <w:t>Section 2.6.</w:t>
            </w:r>
          </w:p>
        </w:tc>
        <w:tc>
          <w:tcPr>
            <w:tcW w:w="5620" w:type="dxa"/>
            <w:vAlign w:val="bottom"/>
            <w:tcBorders>
              <w:top w:val="single" w:sz="8" w:color="auto"/>
              <w:bottom w:val="single" w:sz="8" w:color="auto"/>
            </w:tcBorders>
            <w:gridSpan w:val="19"/>
          </w:tcPr>
          <w:p>
            <w:pPr>
              <w:spacing w:after="0" w:line="196" w:lineRule="exact"/>
              <w:rPr>
                <w:sz w:val="20"/>
                <w:szCs w:val="20"/>
                <w:color w:val="auto"/>
              </w:rPr>
            </w:pPr>
            <w:r>
              <w:rPr>
                <w:rFonts w:ascii="Times New Roman" w:cs="Times New Roman" w:eastAsia="Times New Roman" w:hAnsi="Times New Roman"/>
                <w:sz w:val="18"/>
                <w:szCs w:val="18"/>
                <w:color w:val="auto"/>
                <w:w w:val="97"/>
              </w:rPr>
              <w:t>Increases and Reductions of the Commitments; Extensions of the Commitments</w:t>
            </w:r>
          </w:p>
        </w:tc>
        <w:tc>
          <w:tcPr>
            <w:tcW w:w="300" w:type="dxa"/>
            <w:vAlign w:val="bottom"/>
            <w:tcBorders>
              <w:top w:val="single" w:sz="8" w:color="auto"/>
            </w:tcBorders>
          </w:tcPr>
          <w:p>
            <w:pPr>
              <w:spacing w:after="0"/>
              <w:rPr>
                <w:sz w:val="17"/>
                <w:szCs w:val="17"/>
                <w:color w:val="auto"/>
              </w:rPr>
            </w:pPr>
          </w:p>
        </w:tc>
        <w:tc>
          <w:tcPr>
            <w:tcW w:w="3640" w:type="dxa"/>
            <w:vAlign w:val="bottom"/>
            <w:gridSpan w:val="3"/>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196"/>
        </w:trPr>
        <w:tc>
          <w:tcPr>
            <w:tcW w:w="1580" w:type="dxa"/>
            <w:vAlign w:val="bottom"/>
          </w:tcPr>
          <w:p>
            <w:pPr>
              <w:ind w:left="440"/>
              <w:spacing w:after="0" w:line="196" w:lineRule="exact"/>
              <w:rPr>
                <w:sz w:val="20"/>
                <w:szCs w:val="20"/>
                <w:color w:val="auto"/>
              </w:rPr>
            </w:pPr>
            <w:r>
              <w:rPr>
                <w:rFonts w:ascii="Times New Roman" w:cs="Times New Roman" w:eastAsia="Times New Roman" w:hAnsi="Times New Roman"/>
                <w:sz w:val="18"/>
                <w:szCs w:val="18"/>
                <w:color w:val="auto"/>
              </w:rPr>
              <w:t>Section 2.7.</w:t>
            </w:r>
          </w:p>
        </w:tc>
        <w:tc>
          <w:tcPr>
            <w:tcW w:w="940" w:type="dxa"/>
            <w:vAlign w:val="bottom"/>
            <w:tcBorders>
              <w:bottom w:val="single" w:sz="8" w:color="auto"/>
            </w:tcBorders>
            <w:gridSpan w:val="4"/>
          </w:tcPr>
          <w:p>
            <w:pPr>
              <w:spacing w:after="0" w:line="196" w:lineRule="exact"/>
              <w:rPr>
                <w:sz w:val="20"/>
                <w:szCs w:val="20"/>
                <w:color w:val="auto"/>
              </w:rPr>
            </w:pPr>
            <w:r>
              <w:rPr>
                <w:rFonts w:ascii="Times New Roman" w:cs="Times New Roman" w:eastAsia="Times New Roman" w:hAnsi="Times New Roman"/>
                <w:sz w:val="18"/>
                <w:szCs w:val="18"/>
                <w:color w:val="auto"/>
                <w:w w:val="95"/>
              </w:rPr>
              <w:t>Interest; Fees</w:t>
            </w:r>
          </w:p>
        </w:tc>
        <w:tc>
          <w:tcPr>
            <w:tcW w:w="8620" w:type="dxa"/>
            <w:vAlign w:val="bottom"/>
            <w:gridSpan w:val="19"/>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196"/>
        </w:trPr>
        <w:tc>
          <w:tcPr>
            <w:tcW w:w="1580" w:type="dxa"/>
            <w:vAlign w:val="bottom"/>
          </w:tcPr>
          <w:p>
            <w:pPr>
              <w:ind w:left="440"/>
              <w:spacing w:after="0" w:line="196" w:lineRule="exact"/>
              <w:rPr>
                <w:sz w:val="20"/>
                <w:szCs w:val="20"/>
                <w:color w:val="auto"/>
              </w:rPr>
            </w:pPr>
            <w:r>
              <w:rPr>
                <w:rFonts w:ascii="Times New Roman" w:cs="Times New Roman" w:eastAsia="Times New Roman" w:hAnsi="Times New Roman"/>
                <w:sz w:val="18"/>
                <w:szCs w:val="18"/>
                <w:color w:val="auto"/>
              </w:rPr>
              <w:t>Section 2.8.</w:t>
            </w:r>
          </w:p>
        </w:tc>
        <w:tc>
          <w:tcPr>
            <w:tcW w:w="1960" w:type="dxa"/>
            <w:vAlign w:val="bottom"/>
            <w:tcBorders>
              <w:bottom w:val="single" w:sz="8" w:color="auto"/>
            </w:tcBorders>
            <w:gridSpan w:val="8"/>
          </w:tcPr>
          <w:p>
            <w:pPr>
              <w:spacing w:after="0" w:line="196" w:lineRule="exact"/>
              <w:rPr>
                <w:sz w:val="20"/>
                <w:szCs w:val="20"/>
                <w:color w:val="auto"/>
              </w:rPr>
            </w:pPr>
            <w:r>
              <w:rPr>
                <w:rFonts w:ascii="Times New Roman" w:cs="Times New Roman" w:eastAsia="Times New Roman" w:hAnsi="Times New Roman"/>
                <w:sz w:val="18"/>
                <w:szCs w:val="18"/>
                <w:color w:val="auto"/>
                <w:w w:val="96"/>
              </w:rPr>
              <w:t>Indemnification by ABRCF</w:t>
            </w:r>
          </w:p>
        </w:tc>
        <w:tc>
          <w:tcPr>
            <w:tcW w:w="7600" w:type="dxa"/>
            <w:vAlign w:val="bottom"/>
            <w:gridSpan w:val="15"/>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196"/>
        </w:trPr>
        <w:tc>
          <w:tcPr>
            <w:tcW w:w="1580" w:type="dxa"/>
            <w:vAlign w:val="bottom"/>
          </w:tcPr>
          <w:p>
            <w:pPr>
              <w:ind w:left="440"/>
              <w:spacing w:after="0" w:line="196" w:lineRule="exact"/>
              <w:rPr>
                <w:sz w:val="20"/>
                <w:szCs w:val="20"/>
                <w:color w:val="auto"/>
              </w:rPr>
            </w:pPr>
            <w:r>
              <w:rPr>
                <w:rFonts w:ascii="Times New Roman" w:cs="Times New Roman" w:eastAsia="Times New Roman" w:hAnsi="Times New Roman"/>
                <w:sz w:val="18"/>
                <w:szCs w:val="18"/>
                <w:color w:val="auto"/>
              </w:rPr>
              <w:t>Section 2.9.</w:t>
            </w:r>
          </w:p>
        </w:tc>
        <w:tc>
          <w:tcPr>
            <w:tcW w:w="956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auto"/>
              </w:rPr>
              <w:t>Funding Agents</w:t>
            </w:r>
          </w:p>
        </w:tc>
        <w:tc>
          <w:tcPr>
            <w:tcW w:w="3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0"/>
        </w:trPr>
        <w:tc>
          <w:tcPr>
            <w:tcW w:w="15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3"/>
        </w:trPr>
        <w:tc>
          <w:tcPr>
            <w:tcW w:w="11140" w:type="dxa"/>
            <w:vAlign w:val="bottom"/>
            <w:gridSpan w:val="24"/>
          </w:tcPr>
          <w:p>
            <w:pPr>
              <w:spacing w:after="0"/>
              <w:rPr>
                <w:sz w:val="20"/>
                <w:szCs w:val="20"/>
                <w:color w:val="auto"/>
              </w:rPr>
            </w:pPr>
            <w:r>
              <w:rPr>
                <w:rFonts w:ascii="Times New Roman" w:cs="Times New Roman" w:eastAsia="Times New Roman" w:hAnsi="Times New Roman"/>
                <w:sz w:val="18"/>
                <w:szCs w:val="18"/>
                <w:color w:val="auto"/>
              </w:rPr>
              <w:t>ARTICLE III SERIES 2009-3 ALLOCATIONS</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86"/>
        </w:trPr>
        <w:tc>
          <w:tcPr>
            <w:tcW w:w="15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Section 3.1.</w:t>
            </w:r>
          </w:p>
        </w:tc>
        <w:tc>
          <w:tcPr>
            <w:tcW w:w="9140" w:type="dxa"/>
            <w:vAlign w:val="bottom"/>
            <w:tcBorders>
              <w:bottom w:val="single" w:sz="8" w:color="auto"/>
            </w:tcBorders>
            <w:gridSpan w:val="22"/>
          </w:tcPr>
          <w:p>
            <w:pPr>
              <w:spacing w:after="0"/>
              <w:rPr>
                <w:sz w:val="20"/>
                <w:szCs w:val="20"/>
                <w:color w:val="auto"/>
              </w:rPr>
            </w:pPr>
            <w:r>
              <w:rPr>
                <w:rFonts w:ascii="Times New Roman" w:cs="Times New Roman" w:eastAsia="Times New Roman" w:hAnsi="Times New Roman"/>
                <w:sz w:val="18"/>
                <w:szCs w:val="18"/>
                <w:color w:val="auto"/>
                <w:w w:val="97"/>
              </w:rPr>
              <w:t>Establishment of Series 2009-3 Collection Account, Series 2009-3 Excess Collection Account and Series 2009-3 Accrued Interest</w:t>
            </w: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34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auto"/>
              </w:rPr>
              <w:t>Account</w:t>
            </w:r>
          </w:p>
        </w:tc>
        <w:tc>
          <w:tcPr>
            <w:tcW w:w="3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0"/>
        </w:trPr>
        <w:tc>
          <w:tcPr>
            <w:tcW w:w="1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348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580" w:type="dxa"/>
            <w:vAlign w:val="bottom"/>
          </w:tcPr>
          <w:p>
            <w:pPr>
              <w:ind w:left="440"/>
              <w:spacing w:after="0" w:line="196" w:lineRule="exact"/>
              <w:rPr>
                <w:sz w:val="20"/>
                <w:szCs w:val="20"/>
                <w:color w:val="auto"/>
              </w:rPr>
            </w:pPr>
            <w:r>
              <w:rPr>
                <w:rFonts w:ascii="Times New Roman" w:cs="Times New Roman" w:eastAsia="Times New Roman" w:hAnsi="Times New Roman"/>
                <w:sz w:val="18"/>
                <w:szCs w:val="18"/>
                <w:color w:val="auto"/>
              </w:rPr>
              <w:t>Section 3.2.</w:t>
            </w:r>
          </w:p>
        </w:tc>
        <w:tc>
          <w:tcPr>
            <w:tcW w:w="956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auto"/>
              </w:rPr>
              <w:t>Allocations with Respect to the Series 2009-3 Notes</w:t>
            </w:r>
          </w:p>
        </w:tc>
        <w:tc>
          <w:tcPr>
            <w:tcW w:w="3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196"/>
        </w:trPr>
        <w:tc>
          <w:tcPr>
            <w:tcW w:w="1580" w:type="dxa"/>
            <w:vAlign w:val="bottom"/>
          </w:tcPr>
          <w:p>
            <w:pPr>
              <w:ind w:left="440"/>
              <w:spacing w:after="0" w:line="196" w:lineRule="exact"/>
              <w:rPr>
                <w:sz w:val="20"/>
                <w:szCs w:val="20"/>
                <w:color w:val="auto"/>
              </w:rPr>
            </w:pPr>
            <w:r>
              <w:rPr>
                <w:rFonts w:ascii="Times New Roman" w:cs="Times New Roman" w:eastAsia="Times New Roman" w:hAnsi="Times New Roman"/>
                <w:sz w:val="18"/>
                <w:szCs w:val="18"/>
                <w:color w:val="auto"/>
              </w:rPr>
              <w:t>Section 3.3.</w:t>
            </w:r>
          </w:p>
        </w:tc>
        <w:tc>
          <w:tcPr>
            <w:tcW w:w="1760" w:type="dxa"/>
            <w:vAlign w:val="bottom"/>
            <w:tcBorders>
              <w:top w:val="single" w:sz="8" w:color="auto"/>
              <w:bottom w:val="single" w:sz="8" w:color="auto"/>
            </w:tcBorders>
            <w:gridSpan w:val="6"/>
          </w:tcPr>
          <w:p>
            <w:pPr>
              <w:spacing w:after="0" w:line="196" w:lineRule="exact"/>
              <w:rPr>
                <w:sz w:val="20"/>
                <w:szCs w:val="20"/>
                <w:color w:val="auto"/>
              </w:rPr>
            </w:pPr>
            <w:r>
              <w:rPr>
                <w:rFonts w:ascii="Times New Roman" w:cs="Times New Roman" w:eastAsia="Times New Roman" w:hAnsi="Times New Roman"/>
                <w:sz w:val="18"/>
                <w:szCs w:val="18"/>
                <w:color w:val="auto"/>
                <w:w w:val="96"/>
              </w:rPr>
              <w:t>Payments to Noteholders</w:t>
            </w:r>
          </w:p>
        </w:tc>
        <w:tc>
          <w:tcPr>
            <w:tcW w:w="1900" w:type="dxa"/>
            <w:vAlign w:val="bottom"/>
            <w:tcBorders>
              <w:top w:val="single" w:sz="8" w:color="auto"/>
            </w:tcBorders>
            <w:gridSpan w:val="9"/>
          </w:tcPr>
          <w:p>
            <w:pPr>
              <w:spacing w:after="0"/>
              <w:rPr>
                <w:sz w:val="17"/>
                <w:szCs w:val="17"/>
                <w:color w:val="auto"/>
              </w:rPr>
            </w:pPr>
          </w:p>
        </w:tc>
        <w:tc>
          <w:tcPr>
            <w:tcW w:w="5900" w:type="dxa"/>
            <w:vAlign w:val="bottom"/>
            <w:gridSpan w:val="8"/>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196"/>
        </w:trPr>
        <w:tc>
          <w:tcPr>
            <w:tcW w:w="1580" w:type="dxa"/>
            <w:vAlign w:val="bottom"/>
          </w:tcPr>
          <w:p>
            <w:pPr>
              <w:ind w:left="440"/>
              <w:spacing w:after="0" w:line="196" w:lineRule="exact"/>
              <w:rPr>
                <w:sz w:val="20"/>
                <w:szCs w:val="20"/>
                <w:color w:val="auto"/>
              </w:rPr>
            </w:pPr>
            <w:r>
              <w:rPr>
                <w:rFonts w:ascii="Times New Roman" w:cs="Times New Roman" w:eastAsia="Times New Roman" w:hAnsi="Times New Roman"/>
                <w:sz w:val="18"/>
                <w:szCs w:val="18"/>
                <w:color w:val="auto"/>
              </w:rPr>
              <w:t>Section 3.4.</w:t>
            </w:r>
          </w:p>
        </w:tc>
        <w:tc>
          <w:tcPr>
            <w:tcW w:w="956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auto"/>
              </w:rPr>
              <w:t>Payment of Note Interest and Commitment Fees</w:t>
            </w:r>
          </w:p>
        </w:tc>
        <w:tc>
          <w:tcPr>
            <w:tcW w:w="3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196"/>
        </w:trPr>
        <w:tc>
          <w:tcPr>
            <w:tcW w:w="1580" w:type="dxa"/>
            <w:vAlign w:val="bottom"/>
          </w:tcPr>
          <w:p>
            <w:pPr>
              <w:ind w:left="440"/>
              <w:spacing w:after="0" w:line="196" w:lineRule="exact"/>
              <w:rPr>
                <w:sz w:val="20"/>
                <w:szCs w:val="20"/>
                <w:color w:val="auto"/>
              </w:rPr>
            </w:pPr>
            <w:r>
              <w:rPr>
                <w:rFonts w:ascii="Times New Roman" w:cs="Times New Roman" w:eastAsia="Times New Roman" w:hAnsi="Times New Roman"/>
                <w:sz w:val="18"/>
                <w:szCs w:val="18"/>
                <w:color w:val="auto"/>
              </w:rPr>
              <w:t>Section 3.5.</w:t>
            </w:r>
          </w:p>
        </w:tc>
        <w:tc>
          <w:tcPr>
            <w:tcW w:w="3380" w:type="dxa"/>
            <w:vAlign w:val="bottom"/>
            <w:tcBorders>
              <w:top w:val="single" w:sz="8" w:color="auto"/>
            </w:tcBorders>
            <w:gridSpan w:val="13"/>
          </w:tcPr>
          <w:p>
            <w:pPr>
              <w:spacing w:after="0" w:line="196" w:lineRule="exact"/>
              <w:rPr>
                <w:sz w:val="20"/>
                <w:szCs w:val="20"/>
                <w:color w:val="auto"/>
              </w:rPr>
            </w:pPr>
            <w:r>
              <w:rPr>
                <w:rFonts w:ascii="Times New Roman" w:cs="Times New Roman" w:eastAsia="Times New Roman" w:hAnsi="Times New Roman"/>
                <w:sz w:val="18"/>
                <w:szCs w:val="18"/>
                <w:color w:val="auto"/>
              </w:rPr>
              <w:t>Payment of Note Principal</w:t>
            </w:r>
          </w:p>
        </w:tc>
        <w:tc>
          <w:tcPr>
            <w:tcW w:w="6180" w:type="dxa"/>
            <w:vAlign w:val="bottom"/>
            <w:gridSpan w:val="10"/>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0"/>
        </w:trPr>
        <w:tc>
          <w:tcPr>
            <w:tcW w:w="1580" w:type="dxa"/>
            <w:vAlign w:val="bottom"/>
          </w:tcPr>
          <w:p>
            <w:pPr>
              <w:spacing w:after="0" w:line="20" w:lineRule="exact"/>
              <w:rPr>
                <w:sz w:val="1"/>
                <w:szCs w:val="1"/>
                <w:color w:val="auto"/>
              </w:rPr>
            </w:pPr>
          </w:p>
        </w:tc>
        <w:tc>
          <w:tcPr>
            <w:tcW w:w="1860" w:type="dxa"/>
            <w:vAlign w:val="bottom"/>
            <w:gridSpan w:val="7"/>
            <w:shd w:val="clear" w:color="auto" w:fill="000000"/>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174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348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580" w:type="dxa"/>
            <w:vAlign w:val="bottom"/>
          </w:tcPr>
          <w:p>
            <w:pPr>
              <w:ind w:left="440"/>
              <w:spacing w:after="0" w:line="196" w:lineRule="exact"/>
              <w:rPr>
                <w:sz w:val="20"/>
                <w:szCs w:val="20"/>
                <w:color w:val="auto"/>
              </w:rPr>
            </w:pPr>
            <w:r>
              <w:rPr>
                <w:rFonts w:ascii="Times New Roman" w:cs="Times New Roman" w:eastAsia="Times New Roman" w:hAnsi="Times New Roman"/>
                <w:sz w:val="18"/>
                <w:szCs w:val="18"/>
                <w:color w:val="auto"/>
              </w:rPr>
              <w:t>Section 3.6.</w:t>
            </w:r>
          </w:p>
        </w:tc>
        <w:tc>
          <w:tcPr>
            <w:tcW w:w="5420" w:type="dxa"/>
            <w:vAlign w:val="bottom"/>
            <w:tcBorders>
              <w:bottom w:val="single" w:sz="8" w:color="auto"/>
            </w:tcBorders>
            <w:gridSpan w:val="18"/>
          </w:tcPr>
          <w:p>
            <w:pPr>
              <w:spacing w:after="0" w:line="196" w:lineRule="exact"/>
              <w:rPr>
                <w:sz w:val="20"/>
                <w:szCs w:val="20"/>
                <w:color w:val="auto"/>
              </w:rPr>
            </w:pPr>
            <w:r>
              <w:rPr>
                <w:rFonts w:ascii="Times New Roman" w:cs="Times New Roman" w:eastAsia="Times New Roman" w:hAnsi="Times New Roman"/>
                <w:sz w:val="18"/>
                <w:szCs w:val="18"/>
                <w:color w:val="auto"/>
                <w:w w:val="97"/>
              </w:rPr>
              <w:t>Administrator’s Failure to Instruct the Trustee to Make a Deposit or Payment</w:t>
            </w:r>
          </w:p>
        </w:tc>
        <w:tc>
          <w:tcPr>
            <w:tcW w:w="4140" w:type="dxa"/>
            <w:vAlign w:val="bottom"/>
            <w:gridSpan w:val="5"/>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196"/>
        </w:trPr>
        <w:tc>
          <w:tcPr>
            <w:tcW w:w="1580" w:type="dxa"/>
            <w:vAlign w:val="bottom"/>
          </w:tcPr>
          <w:p>
            <w:pPr>
              <w:ind w:left="440"/>
              <w:spacing w:after="0" w:line="196" w:lineRule="exact"/>
              <w:rPr>
                <w:sz w:val="20"/>
                <w:szCs w:val="20"/>
                <w:color w:val="auto"/>
              </w:rPr>
            </w:pPr>
            <w:r>
              <w:rPr>
                <w:rFonts w:ascii="Times New Roman" w:cs="Times New Roman" w:eastAsia="Times New Roman" w:hAnsi="Times New Roman"/>
                <w:sz w:val="18"/>
                <w:szCs w:val="18"/>
                <w:color w:val="auto"/>
              </w:rPr>
              <w:t>Section 3.7.</w:t>
            </w:r>
          </w:p>
        </w:tc>
        <w:tc>
          <w:tcPr>
            <w:tcW w:w="2220" w:type="dxa"/>
            <w:vAlign w:val="bottom"/>
            <w:tcBorders>
              <w:bottom w:val="single" w:sz="8" w:color="auto"/>
            </w:tcBorders>
            <w:gridSpan w:val="9"/>
          </w:tcPr>
          <w:p>
            <w:pPr>
              <w:spacing w:after="0" w:line="196" w:lineRule="exact"/>
              <w:rPr>
                <w:sz w:val="20"/>
                <w:szCs w:val="20"/>
                <w:color w:val="auto"/>
              </w:rPr>
            </w:pPr>
            <w:r>
              <w:rPr>
                <w:rFonts w:ascii="Times New Roman" w:cs="Times New Roman" w:eastAsia="Times New Roman" w:hAnsi="Times New Roman"/>
                <w:sz w:val="18"/>
                <w:szCs w:val="18"/>
                <w:color w:val="auto"/>
                <w:w w:val="96"/>
              </w:rPr>
              <w:t>Series 2009-3 Reserve Account</w:t>
            </w:r>
          </w:p>
        </w:tc>
        <w:tc>
          <w:tcPr>
            <w:tcW w:w="7340" w:type="dxa"/>
            <w:vAlign w:val="bottom"/>
            <w:gridSpan w:val="14"/>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196"/>
        </w:trPr>
        <w:tc>
          <w:tcPr>
            <w:tcW w:w="1580" w:type="dxa"/>
            <w:vAlign w:val="bottom"/>
          </w:tcPr>
          <w:p>
            <w:pPr>
              <w:ind w:left="440"/>
              <w:spacing w:after="0" w:line="196" w:lineRule="exact"/>
              <w:rPr>
                <w:sz w:val="20"/>
                <w:szCs w:val="20"/>
                <w:color w:val="auto"/>
              </w:rPr>
            </w:pPr>
            <w:r>
              <w:rPr>
                <w:rFonts w:ascii="Times New Roman" w:cs="Times New Roman" w:eastAsia="Times New Roman" w:hAnsi="Times New Roman"/>
                <w:sz w:val="18"/>
                <w:szCs w:val="18"/>
                <w:color w:val="auto"/>
              </w:rPr>
              <w:t>Section 3.8.</w:t>
            </w:r>
          </w:p>
        </w:tc>
        <w:tc>
          <w:tcPr>
            <w:tcW w:w="5260" w:type="dxa"/>
            <w:vAlign w:val="bottom"/>
            <w:tcBorders>
              <w:bottom w:val="single" w:sz="8" w:color="auto"/>
            </w:tcBorders>
            <w:gridSpan w:val="17"/>
          </w:tcPr>
          <w:p>
            <w:pPr>
              <w:spacing w:after="0" w:line="196" w:lineRule="exact"/>
              <w:rPr>
                <w:sz w:val="20"/>
                <w:szCs w:val="20"/>
                <w:color w:val="auto"/>
              </w:rPr>
            </w:pPr>
            <w:r>
              <w:rPr>
                <w:rFonts w:ascii="Times New Roman" w:cs="Times New Roman" w:eastAsia="Times New Roman" w:hAnsi="Times New Roman"/>
                <w:sz w:val="18"/>
                <w:szCs w:val="18"/>
                <w:color w:val="auto"/>
                <w:w w:val="97"/>
              </w:rPr>
              <w:t>Series 2009-3 Letters of Credit and Series 2009-3 Cash Collateral Account</w:t>
            </w:r>
          </w:p>
        </w:tc>
        <w:tc>
          <w:tcPr>
            <w:tcW w:w="4300" w:type="dxa"/>
            <w:vAlign w:val="bottom"/>
            <w:gridSpan w:val="6"/>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196"/>
        </w:trPr>
        <w:tc>
          <w:tcPr>
            <w:tcW w:w="1580" w:type="dxa"/>
            <w:vAlign w:val="bottom"/>
          </w:tcPr>
          <w:p>
            <w:pPr>
              <w:ind w:left="440"/>
              <w:spacing w:after="0" w:line="196" w:lineRule="exact"/>
              <w:rPr>
                <w:sz w:val="20"/>
                <w:szCs w:val="20"/>
                <w:color w:val="auto"/>
              </w:rPr>
            </w:pPr>
            <w:r>
              <w:rPr>
                <w:rFonts w:ascii="Times New Roman" w:cs="Times New Roman" w:eastAsia="Times New Roman" w:hAnsi="Times New Roman"/>
                <w:sz w:val="18"/>
                <w:szCs w:val="18"/>
                <w:color w:val="auto"/>
              </w:rPr>
              <w:t>Section 3.9.</w:t>
            </w:r>
          </w:p>
        </w:tc>
        <w:tc>
          <w:tcPr>
            <w:tcW w:w="2500" w:type="dxa"/>
            <w:vAlign w:val="bottom"/>
            <w:tcBorders>
              <w:bottom w:val="single" w:sz="8" w:color="auto"/>
            </w:tcBorders>
            <w:gridSpan w:val="11"/>
          </w:tcPr>
          <w:p>
            <w:pPr>
              <w:spacing w:after="0" w:line="196" w:lineRule="exact"/>
              <w:rPr>
                <w:sz w:val="20"/>
                <w:szCs w:val="20"/>
                <w:color w:val="auto"/>
              </w:rPr>
            </w:pPr>
            <w:r>
              <w:rPr>
                <w:rFonts w:ascii="Times New Roman" w:cs="Times New Roman" w:eastAsia="Times New Roman" w:hAnsi="Times New Roman"/>
                <w:sz w:val="18"/>
                <w:szCs w:val="18"/>
                <w:color w:val="auto"/>
                <w:w w:val="96"/>
              </w:rPr>
              <w:t>Series 2009-3 Distribution Account</w:t>
            </w:r>
          </w:p>
        </w:tc>
        <w:tc>
          <w:tcPr>
            <w:tcW w:w="7060" w:type="dxa"/>
            <w:vAlign w:val="bottom"/>
            <w:gridSpan w:val="12"/>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196"/>
        </w:trPr>
        <w:tc>
          <w:tcPr>
            <w:tcW w:w="1580" w:type="dxa"/>
            <w:vAlign w:val="bottom"/>
          </w:tcPr>
          <w:p>
            <w:pPr>
              <w:ind w:left="440"/>
              <w:spacing w:after="0" w:line="196" w:lineRule="exact"/>
              <w:rPr>
                <w:sz w:val="20"/>
                <w:szCs w:val="20"/>
                <w:color w:val="auto"/>
              </w:rPr>
            </w:pPr>
            <w:r>
              <w:rPr>
                <w:rFonts w:ascii="Times New Roman" w:cs="Times New Roman" w:eastAsia="Times New Roman" w:hAnsi="Times New Roman"/>
                <w:sz w:val="18"/>
                <w:szCs w:val="18"/>
                <w:color w:val="auto"/>
              </w:rPr>
              <w:t>Section 3.10.</w:t>
            </w:r>
          </w:p>
        </w:tc>
        <w:tc>
          <w:tcPr>
            <w:tcW w:w="6080" w:type="dxa"/>
            <w:vAlign w:val="bottom"/>
            <w:tcBorders>
              <w:bottom w:val="single" w:sz="8" w:color="auto"/>
            </w:tcBorders>
            <w:gridSpan w:val="21"/>
          </w:tcPr>
          <w:p>
            <w:pPr>
              <w:spacing w:after="0" w:line="196" w:lineRule="exact"/>
              <w:rPr>
                <w:sz w:val="20"/>
                <w:szCs w:val="20"/>
                <w:color w:val="auto"/>
              </w:rPr>
            </w:pPr>
            <w:r>
              <w:rPr>
                <w:rFonts w:ascii="Times New Roman" w:cs="Times New Roman" w:eastAsia="Times New Roman" w:hAnsi="Times New Roman"/>
                <w:sz w:val="18"/>
                <w:szCs w:val="18"/>
                <w:color w:val="auto"/>
                <w:w w:val="97"/>
              </w:rPr>
              <w:t>Series 2009-3 Demand Notes Constitute Additional Collateral for Series 2009-3 Notes</w:t>
            </w:r>
          </w:p>
        </w:tc>
        <w:tc>
          <w:tcPr>
            <w:tcW w:w="3480" w:type="dxa"/>
            <w:vAlign w:val="bottom"/>
            <w:gridSpan w:val="2"/>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196"/>
        </w:trPr>
        <w:tc>
          <w:tcPr>
            <w:tcW w:w="1580" w:type="dxa"/>
            <w:vAlign w:val="bottom"/>
          </w:tcPr>
          <w:p>
            <w:pPr>
              <w:ind w:left="440"/>
              <w:spacing w:after="0" w:line="196" w:lineRule="exact"/>
              <w:rPr>
                <w:sz w:val="20"/>
                <w:szCs w:val="20"/>
                <w:color w:val="auto"/>
              </w:rPr>
            </w:pPr>
            <w:r>
              <w:rPr>
                <w:rFonts w:ascii="Times New Roman" w:cs="Times New Roman" w:eastAsia="Times New Roman" w:hAnsi="Times New Roman"/>
                <w:sz w:val="18"/>
                <w:szCs w:val="18"/>
                <w:color w:val="auto"/>
              </w:rPr>
              <w:t>Section 3.11.</w:t>
            </w:r>
          </w:p>
        </w:tc>
        <w:tc>
          <w:tcPr>
            <w:tcW w:w="2300" w:type="dxa"/>
            <w:vAlign w:val="bottom"/>
            <w:tcBorders>
              <w:bottom w:val="single" w:sz="8" w:color="auto"/>
            </w:tcBorders>
            <w:gridSpan w:val="10"/>
          </w:tcPr>
          <w:p>
            <w:pPr>
              <w:spacing w:after="0" w:line="196" w:lineRule="exact"/>
              <w:rPr>
                <w:sz w:val="20"/>
                <w:szCs w:val="20"/>
                <w:color w:val="auto"/>
              </w:rPr>
            </w:pPr>
            <w:r>
              <w:rPr>
                <w:rFonts w:ascii="Times New Roman" w:cs="Times New Roman" w:eastAsia="Times New Roman" w:hAnsi="Times New Roman"/>
                <w:sz w:val="18"/>
                <w:szCs w:val="18"/>
                <w:color w:val="auto"/>
                <w:w w:val="96"/>
              </w:rPr>
              <w:t>Series 2009-3 Interest Rate Caps</w:t>
            </w:r>
          </w:p>
        </w:tc>
        <w:tc>
          <w:tcPr>
            <w:tcW w:w="7260" w:type="dxa"/>
            <w:vAlign w:val="bottom"/>
            <w:gridSpan w:val="13"/>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196"/>
        </w:trPr>
        <w:tc>
          <w:tcPr>
            <w:tcW w:w="1580" w:type="dxa"/>
            <w:vAlign w:val="bottom"/>
          </w:tcPr>
          <w:p>
            <w:pPr>
              <w:ind w:left="440"/>
              <w:spacing w:after="0" w:line="196" w:lineRule="exact"/>
              <w:rPr>
                <w:sz w:val="20"/>
                <w:szCs w:val="20"/>
                <w:color w:val="auto"/>
              </w:rPr>
            </w:pPr>
            <w:r>
              <w:rPr>
                <w:rFonts w:ascii="Times New Roman" w:cs="Times New Roman" w:eastAsia="Times New Roman" w:hAnsi="Times New Roman"/>
                <w:sz w:val="18"/>
                <w:szCs w:val="18"/>
                <w:color w:val="auto"/>
              </w:rPr>
              <w:t>Section 3.12.</w:t>
            </w:r>
          </w:p>
        </w:tc>
        <w:tc>
          <w:tcPr>
            <w:tcW w:w="3520" w:type="dxa"/>
            <w:vAlign w:val="bottom"/>
            <w:tcBorders>
              <w:bottom w:val="single" w:sz="8" w:color="auto"/>
            </w:tcBorders>
            <w:gridSpan w:val="14"/>
          </w:tcPr>
          <w:p>
            <w:pPr>
              <w:spacing w:after="0" w:line="196" w:lineRule="exact"/>
              <w:rPr>
                <w:sz w:val="20"/>
                <w:szCs w:val="20"/>
                <w:color w:val="auto"/>
              </w:rPr>
            </w:pPr>
            <w:r>
              <w:rPr>
                <w:rFonts w:ascii="Times New Roman" w:cs="Times New Roman" w:eastAsia="Times New Roman" w:hAnsi="Times New Roman"/>
                <w:sz w:val="18"/>
                <w:szCs w:val="18"/>
                <w:color w:val="auto"/>
                <w:w w:val="96"/>
              </w:rPr>
              <w:t>Payments to Funding Agents or Purchaser Groups</w:t>
            </w:r>
          </w:p>
        </w:tc>
        <w:tc>
          <w:tcPr>
            <w:tcW w:w="6040" w:type="dxa"/>
            <w:vAlign w:val="bottom"/>
            <w:gridSpan w:val="9"/>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bl>
    <w:p>
      <w:pPr>
        <w:sectPr>
          <w:pgSz w:w="11900" w:h="16838" w:orient="portrait"/>
          <w:cols w:equalWidth="0" w:num="1">
            <w:col w:w="11420"/>
          </w:cols>
          <w:pgMar w:left="240" w:top="272" w:right="239" w:bottom="1440" w:gutter="0" w:footer="0" w:header="0"/>
        </w:sectPr>
      </w:pPr>
    </w:p>
    <w:bookmarkStart w:id="272" w:name="page273"/>
    <w:bookmarkEnd w:id="27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TABLE OF CONTENTS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(continued)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15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0"/>
              </w:rPr>
              <w:t>Page</w:t>
            </w:r>
          </w:p>
        </w:tc>
      </w:tr>
      <w:tr>
        <w:trPr>
          <w:trHeight w:val="316"/>
        </w:trPr>
        <w:tc>
          <w:tcPr>
            <w:tcW w:w="1114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ARTICLE IV AMORTIZATION EVENTS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324"/>
        </w:trPr>
        <w:tc>
          <w:tcPr>
            <w:tcW w:w="1114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ARTICLE V RIGHT TO WAIVE PURCHASE RESTRICTIONS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324"/>
        </w:trPr>
        <w:tc>
          <w:tcPr>
            <w:tcW w:w="1114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ARTICLE VI CONDITIONS PRECEDENT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86"/>
        </w:trPr>
        <w:tc>
          <w:tcPr>
            <w:tcW w:w="15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Section 6.1.</w:t>
            </w:r>
          </w:p>
        </w:tc>
        <w:tc>
          <w:tcPr>
            <w:tcW w:w="956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Conditions Precedent to Effectiveness of Supplement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0"/>
        </w:trPr>
        <w:tc>
          <w:tcPr>
            <w:tcW w:w="15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0" w:type="dxa"/>
            <w:vAlign w:val="bottom"/>
            <w:tcBorders>
              <w:right w:val="single" w:sz="8" w:color="auto"/>
            </w:tcBorders>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343"/>
        </w:trPr>
        <w:tc>
          <w:tcPr>
            <w:tcW w:w="1114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ARTICLE VII CHANGE IN CIRCUMSTANCES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86"/>
        </w:trPr>
        <w:tc>
          <w:tcPr>
            <w:tcW w:w="15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Section 7.1.</w:t>
            </w:r>
          </w:p>
        </w:tc>
        <w:tc>
          <w:tcPr>
            <w:tcW w:w="956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Increased Costs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196"/>
        </w:trPr>
        <w:tc>
          <w:tcPr>
            <w:tcW w:w="1580" w:type="dxa"/>
            <w:vAlign w:val="bottom"/>
          </w:tcPr>
          <w:p>
            <w:pPr>
              <w:ind w:left="440"/>
              <w:spacing w:after="0" w:line="196" w:lineRule="exact"/>
              <w:rPr>
                <w:sz w:val="20"/>
                <w:szCs w:val="20"/>
                <w:color w:val="auto"/>
              </w:rPr>
            </w:pPr>
            <w:r>
              <w:rPr>
                <w:rFonts w:ascii="Times New Roman" w:cs="Times New Roman" w:eastAsia="Times New Roman" w:hAnsi="Times New Roman"/>
                <w:sz w:val="18"/>
                <w:szCs w:val="18"/>
                <w:color w:val="auto"/>
              </w:rPr>
              <w:t>Section 7.2.</w:t>
            </w:r>
          </w:p>
        </w:tc>
        <w:tc>
          <w:tcPr>
            <w:tcW w:w="1100" w:type="dxa"/>
            <w:vAlign w:val="bottom"/>
            <w:tcBorders>
              <w:top w:val="single" w:sz="8" w:color="auto"/>
            </w:tcBorders>
            <w:gridSpan w:val="3"/>
          </w:tcPr>
          <w:p>
            <w:pPr>
              <w:spacing w:after="0" w:line="196" w:lineRule="exact"/>
              <w:rPr>
                <w:sz w:val="20"/>
                <w:szCs w:val="20"/>
                <w:color w:val="auto"/>
              </w:rPr>
            </w:pPr>
            <w:r>
              <w:rPr>
                <w:rFonts w:ascii="Times New Roman" w:cs="Times New Roman" w:eastAsia="Times New Roman" w:hAnsi="Times New Roman"/>
                <w:sz w:val="18"/>
                <w:szCs w:val="18"/>
                <w:color w:val="auto"/>
              </w:rPr>
              <w:t>Taxes</w:t>
            </w:r>
          </w:p>
        </w:tc>
        <w:tc>
          <w:tcPr>
            <w:tcW w:w="8460" w:type="dxa"/>
            <w:vAlign w:val="bottom"/>
            <w:gridSpan w:val="16"/>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72</w:t>
            </w:r>
          </w:p>
        </w:tc>
      </w:tr>
      <w:tr>
        <w:trPr>
          <w:trHeight w:val="20"/>
        </w:trPr>
        <w:tc>
          <w:tcPr>
            <w:tcW w:w="15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6"/>
        </w:trPr>
        <w:tc>
          <w:tcPr>
            <w:tcW w:w="1580" w:type="dxa"/>
            <w:vAlign w:val="bottom"/>
          </w:tcPr>
          <w:p>
            <w:pPr>
              <w:ind w:left="440"/>
              <w:spacing w:after="0" w:line="196" w:lineRule="exact"/>
              <w:rPr>
                <w:sz w:val="20"/>
                <w:szCs w:val="20"/>
                <w:color w:val="auto"/>
              </w:rPr>
            </w:pPr>
            <w:r>
              <w:rPr>
                <w:rFonts w:ascii="Times New Roman" w:cs="Times New Roman" w:eastAsia="Times New Roman" w:hAnsi="Times New Roman"/>
                <w:sz w:val="18"/>
                <w:szCs w:val="18"/>
                <w:color w:val="auto"/>
              </w:rPr>
              <w:t>Section 7.3.</w:t>
            </w:r>
          </w:p>
        </w:tc>
        <w:tc>
          <w:tcPr>
            <w:tcW w:w="956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auto"/>
              </w:rPr>
              <w:t>Break Funding Payments</w:t>
            </w:r>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75</w:t>
            </w:r>
          </w:p>
        </w:tc>
      </w:tr>
      <w:tr>
        <w:trPr>
          <w:trHeight w:val="20"/>
        </w:trPr>
        <w:tc>
          <w:tcPr>
            <w:tcW w:w="1580" w:type="dxa"/>
            <w:vAlign w:val="bottom"/>
          </w:tcPr>
          <w:p>
            <w:pPr>
              <w:spacing w:after="0" w:line="20" w:lineRule="exact"/>
              <w:rPr>
                <w:sz w:val="1"/>
                <w:szCs w:val="1"/>
                <w:color w:val="auto"/>
              </w:rPr>
            </w:pPr>
          </w:p>
        </w:tc>
        <w:tc>
          <w:tcPr>
            <w:tcW w:w="920" w:type="dxa"/>
            <w:vAlign w:val="bottom"/>
            <w:gridSpan w:val="2"/>
            <w:shd w:val="clear" w:color="auto" w:fill="000000"/>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6"/>
        </w:trPr>
        <w:tc>
          <w:tcPr>
            <w:tcW w:w="1580" w:type="dxa"/>
            <w:vAlign w:val="bottom"/>
          </w:tcPr>
          <w:p>
            <w:pPr>
              <w:ind w:left="440"/>
              <w:spacing w:after="0" w:line="196" w:lineRule="exact"/>
              <w:rPr>
                <w:sz w:val="20"/>
                <w:szCs w:val="20"/>
                <w:color w:val="auto"/>
              </w:rPr>
            </w:pPr>
            <w:r>
              <w:rPr>
                <w:rFonts w:ascii="Times New Roman" w:cs="Times New Roman" w:eastAsia="Times New Roman" w:hAnsi="Times New Roman"/>
                <w:sz w:val="18"/>
                <w:szCs w:val="18"/>
                <w:color w:val="auto"/>
              </w:rPr>
              <w:t>Section 7.4.</w:t>
            </w:r>
          </w:p>
        </w:tc>
        <w:tc>
          <w:tcPr>
            <w:tcW w:w="1780" w:type="dxa"/>
            <w:vAlign w:val="bottom"/>
            <w:tcBorders>
              <w:bottom w:val="single" w:sz="8" w:color="auto"/>
            </w:tcBorders>
            <w:gridSpan w:val="9"/>
          </w:tcPr>
          <w:p>
            <w:pPr>
              <w:spacing w:after="0" w:line="196" w:lineRule="exact"/>
              <w:rPr>
                <w:sz w:val="20"/>
                <w:szCs w:val="20"/>
                <w:color w:val="auto"/>
              </w:rPr>
            </w:pPr>
            <w:r>
              <w:rPr>
                <w:rFonts w:ascii="Times New Roman" w:cs="Times New Roman" w:eastAsia="Times New Roman" w:hAnsi="Times New Roman"/>
                <w:sz w:val="18"/>
                <w:szCs w:val="18"/>
                <w:color w:val="auto"/>
                <w:w w:val="96"/>
              </w:rPr>
              <w:t>Alternate Rate of Interest</w:t>
            </w:r>
          </w:p>
        </w:tc>
        <w:tc>
          <w:tcPr>
            <w:tcW w:w="7780" w:type="dxa"/>
            <w:vAlign w:val="bottom"/>
            <w:gridSpan w:val="10"/>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75</w:t>
            </w:r>
          </w:p>
        </w:tc>
      </w:tr>
      <w:tr>
        <w:trPr>
          <w:trHeight w:val="196"/>
        </w:trPr>
        <w:tc>
          <w:tcPr>
            <w:tcW w:w="1580" w:type="dxa"/>
            <w:vAlign w:val="bottom"/>
          </w:tcPr>
          <w:p>
            <w:pPr>
              <w:ind w:left="440"/>
              <w:spacing w:after="0" w:line="196" w:lineRule="exact"/>
              <w:rPr>
                <w:sz w:val="20"/>
                <w:szCs w:val="20"/>
                <w:color w:val="auto"/>
              </w:rPr>
            </w:pPr>
            <w:r>
              <w:rPr>
                <w:rFonts w:ascii="Times New Roman" w:cs="Times New Roman" w:eastAsia="Times New Roman" w:hAnsi="Times New Roman"/>
                <w:sz w:val="18"/>
                <w:szCs w:val="18"/>
                <w:color w:val="auto"/>
              </w:rPr>
              <w:t>Section 7.5.</w:t>
            </w:r>
          </w:p>
        </w:tc>
        <w:tc>
          <w:tcPr>
            <w:tcW w:w="1600" w:type="dxa"/>
            <w:vAlign w:val="bottom"/>
            <w:tcBorders>
              <w:bottom w:val="single" w:sz="8" w:color="auto"/>
            </w:tcBorders>
            <w:gridSpan w:val="6"/>
          </w:tcPr>
          <w:p>
            <w:pPr>
              <w:spacing w:after="0" w:line="196" w:lineRule="exact"/>
              <w:rPr>
                <w:sz w:val="20"/>
                <w:szCs w:val="20"/>
                <w:color w:val="auto"/>
              </w:rPr>
            </w:pPr>
            <w:r>
              <w:rPr>
                <w:rFonts w:ascii="Times New Roman" w:cs="Times New Roman" w:eastAsia="Times New Roman" w:hAnsi="Times New Roman"/>
                <w:sz w:val="18"/>
                <w:szCs w:val="18"/>
                <w:color w:val="auto"/>
                <w:w w:val="96"/>
              </w:rPr>
              <w:t>Mitigation Obligations</w:t>
            </w:r>
          </w:p>
        </w:tc>
        <w:tc>
          <w:tcPr>
            <w:tcW w:w="7960" w:type="dxa"/>
            <w:vAlign w:val="bottom"/>
            <w:gridSpan w:val="13"/>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76</w:t>
            </w:r>
          </w:p>
        </w:tc>
      </w:tr>
      <w:tr>
        <w:trPr>
          <w:trHeight w:val="343"/>
        </w:trPr>
        <w:tc>
          <w:tcPr>
            <w:tcW w:w="1114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ARTICLE VIII REPRESENTATIONS AND WARRANTIES, COVENANTS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86"/>
        </w:trPr>
        <w:tc>
          <w:tcPr>
            <w:tcW w:w="15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Section 8.1.</w:t>
            </w:r>
          </w:p>
        </w:tc>
        <w:tc>
          <w:tcPr>
            <w:tcW w:w="956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Representations and Warranties of ABRCF and the Administrator</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196"/>
        </w:trPr>
        <w:tc>
          <w:tcPr>
            <w:tcW w:w="1580" w:type="dxa"/>
            <w:vAlign w:val="bottom"/>
          </w:tcPr>
          <w:p>
            <w:pPr>
              <w:ind w:left="440"/>
              <w:spacing w:after="0" w:line="196" w:lineRule="exact"/>
              <w:rPr>
                <w:sz w:val="20"/>
                <w:szCs w:val="20"/>
                <w:color w:val="auto"/>
              </w:rPr>
            </w:pPr>
            <w:r>
              <w:rPr>
                <w:rFonts w:ascii="Times New Roman" w:cs="Times New Roman" w:eastAsia="Times New Roman" w:hAnsi="Times New Roman"/>
                <w:sz w:val="18"/>
                <w:szCs w:val="18"/>
                <w:color w:val="auto"/>
              </w:rPr>
              <w:t>Section 8.2.</w:t>
            </w:r>
          </w:p>
        </w:tc>
        <w:tc>
          <w:tcPr>
            <w:tcW w:w="3140" w:type="dxa"/>
            <w:vAlign w:val="bottom"/>
            <w:tcBorders>
              <w:top w:val="single" w:sz="8" w:color="auto"/>
              <w:bottom w:val="single" w:sz="8" w:color="auto"/>
            </w:tcBorders>
            <w:gridSpan w:val="12"/>
          </w:tcPr>
          <w:p>
            <w:pPr>
              <w:spacing w:after="0" w:line="196" w:lineRule="exact"/>
              <w:rPr>
                <w:sz w:val="20"/>
                <w:szCs w:val="20"/>
                <w:color w:val="auto"/>
              </w:rPr>
            </w:pPr>
            <w:r>
              <w:rPr>
                <w:rFonts w:ascii="Times New Roman" w:cs="Times New Roman" w:eastAsia="Times New Roman" w:hAnsi="Times New Roman"/>
                <w:sz w:val="18"/>
                <w:szCs w:val="18"/>
                <w:color w:val="auto"/>
                <w:w w:val="97"/>
              </w:rPr>
              <w:t>Covenants of ABRCF and the Administrator</w:t>
            </w:r>
          </w:p>
        </w:tc>
        <w:tc>
          <w:tcPr>
            <w:tcW w:w="1460" w:type="dxa"/>
            <w:vAlign w:val="bottom"/>
            <w:tcBorders>
              <w:top w:val="single" w:sz="8" w:color="auto"/>
            </w:tcBorders>
            <w:gridSpan w:val="2"/>
          </w:tcPr>
          <w:p>
            <w:pPr>
              <w:spacing w:after="0"/>
              <w:rPr>
                <w:sz w:val="17"/>
                <w:szCs w:val="17"/>
                <w:color w:val="auto"/>
              </w:rPr>
            </w:pPr>
          </w:p>
        </w:tc>
        <w:tc>
          <w:tcPr>
            <w:tcW w:w="4960" w:type="dxa"/>
            <w:vAlign w:val="bottom"/>
            <w:gridSpan w:val="5"/>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77</w:t>
            </w:r>
          </w:p>
        </w:tc>
      </w:tr>
      <w:tr>
        <w:trPr>
          <w:trHeight w:val="343"/>
        </w:trPr>
        <w:tc>
          <w:tcPr>
            <w:tcW w:w="1114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ARTICLE IX THE ADMINISTRATIVE AGENT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86"/>
        </w:trPr>
        <w:tc>
          <w:tcPr>
            <w:tcW w:w="15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Section 9.1.</w:t>
            </w:r>
          </w:p>
        </w:tc>
        <w:tc>
          <w:tcPr>
            <w:tcW w:w="956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Appointment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0"/>
        </w:trPr>
        <w:tc>
          <w:tcPr>
            <w:tcW w:w="1580" w:type="dxa"/>
            <w:vAlign w:val="bottom"/>
          </w:tcPr>
          <w:p>
            <w:pPr>
              <w:spacing w:after="0" w:line="20" w:lineRule="exact"/>
              <w:rPr>
                <w:sz w:val="1"/>
                <w:szCs w:val="1"/>
                <w:color w:val="auto"/>
              </w:rPr>
            </w:pPr>
          </w:p>
        </w:tc>
        <w:tc>
          <w:tcPr>
            <w:tcW w:w="920" w:type="dxa"/>
            <w:vAlign w:val="bottom"/>
            <w:gridSpan w:val="2"/>
            <w:shd w:val="clear" w:color="auto" w:fill="000000"/>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6"/>
        </w:trPr>
        <w:tc>
          <w:tcPr>
            <w:tcW w:w="1580" w:type="dxa"/>
            <w:vAlign w:val="bottom"/>
          </w:tcPr>
          <w:p>
            <w:pPr>
              <w:ind w:left="440"/>
              <w:spacing w:after="0" w:line="196" w:lineRule="exact"/>
              <w:rPr>
                <w:sz w:val="20"/>
                <w:szCs w:val="20"/>
                <w:color w:val="auto"/>
              </w:rPr>
            </w:pPr>
            <w:r>
              <w:rPr>
                <w:rFonts w:ascii="Times New Roman" w:cs="Times New Roman" w:eastAsia="Times New Roman" w:hAnsi="Times New Roman"/>
                <w:sz w:val="18"/>
                <w:szCs w:val="18"/>
                <w:color w:val="auto"/>
              </w:rPr>
              <w:t>Section 9.2.</w:t>
            </w:r>
          </w:p>
        </w:tc>
        <w:tc>
          <w:tcPr>
            <w:tcW w:w="1460" w:type="dxa"/>
            <w:vAlign w:val="bottom"/>
            <w:tcBorders>
              <w:bottom w:val="single" w:sz="8" w:color="auto"/>
            </w:tcBorders>
            <w:gridSpan w:val="5"/>
          </w:tcPr>
          <w:p>
            <w:pPr>
              <w:spacing w:after="0" w:line="196" w:lineRule="exact"/>
              <w:rPr>
                <w:sz w:val="20"/>
                <w:szCs w:val="20"/>
                <w:color w:val="auto"/>
              </w:rPr>
            </w:pPr>
            <w:r>
              <w:rPr>
                <w:rFonts w:ascii="Times New Roman" w:cs="Times New Roman" w:eastAsia="Times New Roman" w:hAnsi="Times New Roman"/>
                <w:sz w:val="18"/>
                <w:szCs w:val="18"/>
                <w:color w:val="auto"/>
                <w:w w:val="95"/>
              </w:rPr>
              <w:t>Delegation of Duties</w:t>
            </w:r>
          </w:p>
        </w:tc>
        <w:tc>
          <w:tcPr>
            <w:tcW w:w="8100" w:type="dxa"/>
            <w:vAlign w:val="bottom"/>
            <w:gridSpan w:val="14"/>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79</w:t>
            </w:r>
          </w:p>
        </w:tc>
      </w:tr>
      <w:tr>
        <w:trPr>
          <w:trHeight w:val="196"/>
        </w:trPr>
        <w:tc>
          <w:tcPr>
            <w:tcW w:w="1580" w:type="dxa"/>
            <w:vAlign w:val="bottom"/>
          </w:tcPr>
          <w:p>
            <w:pPr>
              <w:ind w:left="440"/>
              <w:spacing w:after="0" w:line="196" w:lineRule="exact"/>
              <w:rPr>
                <w:sz w:val="20"/>
                <w:szCs w:val="20"/>
                <w:color w:val="auto"/>
              </w:rPr>
            </w:pPr>
            <w:r>
              <w:rPr>
                <w:rFonts w:ascii="Times New Roman" w:cs="Times New Roman" w:eastAsia="Times New Roman" w:hAnsi="Times New Roman"/>
                <w:sz w:val="18"/>
                <w:szCs w:val="18"/>
                <w:color w:val="auto"/>
              </w:rPr>
              <w:t>Section 9.3.</w:t>
            </w:r>
          </w:p>
        </w:tc>
        <w:tc>
          <w:tcPr>
            <w:tcW w:w="1640" w:type="dxa"/>
            <w:vAlign w:val="bottom"/>
            <w:tcBorders>
              <w:bottom w:val="single" w:sz="8" w:color="auto"/>
            </w:tcBorders>
            <w:gridSpan w:val="7"/>
          </w:tcPr>
          <w:p>
            <w:pPr>
              <w:spacing w:after="0" w:line="196" w:lineRule="exact"/>
              <w:rPr>
                <w:sz w:val="20"/>
                <w:szCs w:val="20"/>
                <w:color w:val="auto"/>
              </w:rPr>
            </w:pPr>
            <w:r>
              <w:rPr>
                <w:rFonts w:ascii="Times New Roman" w:cs="Times New Roman" w:eastAsia="Times New Roman" w:hAnsi="Times New Roman"/>
                <w:sz w:val="18"/>
                <w:szCs w:val="18"/>
                <w:color w:val="auto"/>
                <w:w w:val="96"/>
              </w:rPr>
              <w:t>Exculpatory Provisions</w:t>
            </w:r>
          </w:p>
        </w:tc>
        <w:tc>
          <w:tcPr>
            <w:tcW w:w="7920" w:type="dxa"/>
            <w:vAlign w:val="bottom"/>
            <w:gridSpan w:val="12"/>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79</w:t>
            </w:r>
          </w:p>
        </w:tc>
      </w:tr>
      <w:tr>
        <w:trPr>
          <w:trHeight w:val="196"/>
        </w:trPr>
        <w:tc>
          <w:tcPr>
            <w:tcW w:w="1580" w:type="dxa"/>
            <w:vAlign w:val="bottom"/>
          </w:tcPr>
          <w:p>
            <w:pPr>
              <w:ind w:left="440"/>
              <w:spacing w:after="0" w:line="196" w:lineRule="exact"/>
              <w:rPr>
                <w:sz w:val="20"/>
                <w:szCs w:val="20"/>
                <w:color w:val="auto"/>
              </w:rPr>
            </w:pPr>
            <w:r>
              <w:rPr>
                <w:rFonts w:ascii="Times New Roman" w:cs="Times New Roman" w:eastAsia="Times New Roman" w:hAnsi="Times New Roman"/>
                <w:sz w:val="18"/>
                <w:szCs w:val="18"/>
                <w:color w:val="auto"/>
              </w:rPr>
              <w:t>Section 9.4.</w:t>
            </w:r>
          </w:p>
        </w:tc>
        <w:tc>
          <w:tcPr>
            <w:tcW w:w="2400" w:type="dxa"/>
            <w:vAlign w:val="bottom"/>
            <w:tcBorders>
              <w:bottom w:val="single" w:sz="8" w:color="auto"/>
            </w:tcBorders>
            <w:gridSpan w:val="11"/>
          </w:tcPr>
          <w:p>
            <w:pPr>
              <w:spacing w:after="0" w:line="196" w:lineRule="exact"/>
              <w:rPr>
                <w:sz w:val="20"/>
                <w:szCs w:val="20"/>
                <w:color w:val="auto"/>
              </w:rPr>
            </w:pPr>
            <w:r>
              <w:rPr>
                <w:rFonts w:ascii="Times New Roman" w:cs="Times New Roman" w:eastAsia="Times New Roman" w:hAnsi="Times New Roman"/>
                <w:sz w:val="18"/>
                <w:szCs w:val="18"/>
                <w:color w:val="auto"/>
                <w:w w:val="96"/>
              </w:rPr>
              <w:t>Reliance by Administrative Agent</w:t>
            </w:r>
          </w:p>
        </w:tc>
        <w:tc>
          <w:tcPr>
            <w:tcW w:w="7160" w:type="dxa"/>
            <w:vAlign w:val="bottom"/>
            <w:gridSpan w:val="8"/>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79</w:t>
            </w:r>
          </w:p>
        </w:tc>
      </w:tr>
      <w:tr>
        <w:trPr>
          <w:trHeight w:val="196"/>
        </w:trPr>
        <w:tc>
          <w:tcPr>
            <w:tcW w:w="1580" w:type="dxa"/>
            <w:vAlign w:val="bottom"/>
          </w:tcPr>
          <w:p>
            <w:pPr>
              <w:ind w:left="440"/>
              <w:spacing w:after="0" w:line="196" w:lineRule="exact"/>
              <w:rPr>
                <w:sz w:val="20"/>
                <w:szCs w:val="20"/>
                <w:color w:val="auto"/>
              </w:rPr>
            </w:pPr>
            <w:r>
              <w:rPr>
                <w:rFonts w:ascii="Times New Roman" w:cs="Times New Roman" w:eastAsia="Times New Roman" w:hAnsi="Times New Roman"/>
                <w:sz w:val="18"/>
                <w:szCs w:val="18"/>
                <w:color w:val="auto"/>
              </w:rPr>
              <w:t>Section 9.5.</w:t>
            </w:r>
          </w:p>
        </w:tc>
        <w:tc>
          <w:tcPr>
            <w:tcW w:w="956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auto"/>
              </w:rPr>
              <w:t>Notice of Administrator Default or Amortization Event or Potential Amortization Event</w:t>
            </w:r>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80</w:t>
            </w:r>
          </w:p>
        </w:tc>
      </w:tr>
      <w:tr>
        <w:trPr>
          <w:trHeight w:val="196"/>
        </w:trPr>
        <w:tc>
          <w:tcPr>
            <w:tcW w:w="1580" w:type="dxa"/>
            <w:vAlign w:val="bottom"/>
          </w:tcPr>
          <w:p>
            <w:pPr>
              <w:ind w:left="440"/>
              <w:spacing w:after="0" w:line="196" w:lineRule="exact"/>
              <w:rPr>
                <w:sz w:val="20"/>
                <w:szCs w:val="20"/>
                <w:color w:val="auto"/>
              </w:rPr>
            </w:pPr>
            <w:r>
              <w:rPr>
                <w:rFonts w:ascii="Times New Roman" w:cs="Times New Roman" w:eastAsia="Times New Roman" w:hAnsi="Times New Roman"/>
                <w:sz w:val="18"/>
                <w:szCs w:val="18"/>
                <w:color w:val="auto"/>
              </w:rPr>
              <w:t>Section 9.6.</w:t>
            </w:r>
          </w:p>
        </w:tc>
        <w:tc>
          <w:tcPr>
            <w:tcW w:w="5060" w:type="dxa"/>
            <w:vAlign w:val="bottom"/>
            <w:tcBorders>
              <w:top w:val="single" w:sz="8" w:color="auto"/>
              <w:bottom w:val="single" w:sz="8" w:color="auto"/>
            </w:tcBorders>
            <w:gridSpan w:val="17"/>
          </w:tcPr>
          <w:p>
            <w:pPr>
              <w:spacing w:after="0" w:line="196" w:lineRule="exact"/>
              <w:rPr>
                <w:sz w:val="20"/>
                <w:szCs w:val="20"/>
                <w:color w:val="auto"/>
              </w:rPr>
            </w:pPr>
            <w:r>
              <w:rPr>
                <w:rFonts w:ascii="Times New Roman" w:cs="Times New Roman" w:eastAsia="Times New Roman" w:hAnsi="Times New Roman"/>
                <w:sz w:val="18"/>
                <w:szCs w:val="18"/>
                <w:color w:val="auto"/>
                <w:w w:val="97"/>
              </w:rPr>
              <w:t>Non-Reliance on the Administrative Agent and Other Purchaser Groups</w:t>
            </w:r>
          </w:p>
        </w:tc>
        <w:tc>
          <w:tcPr>
            <w:tcW w:w="1100" w:type="dxa"/>
            <w:vAlign w:val="bottom"/>
            <w:tcBorders>
              <w:top w:val="single" w:sz="8" w:color="auto"/>
            </w:tcBorders>
          </w:tcPr>
          <w:p>
            <w:pPr>
              <w:spacing w:after="0"/>
              <w:rPr>
                <w:sz w:val="17"/>
                <w:szCs w:val="17"/>
                <w:color w:val="auto"/>
              </w:rPr>
            </w:pPr>
          </w:p>
        </w:tc>
        <w:tc>
          <w:tcPr>
            <w:tcW w:w="3400" w:type="dxa"/>
            <w:vAlign w:val="bottom"/>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80</w:t>
            </w:r>
          </w:p>
        </w:tc>
      </w:tr>
      <w:tr>
        <w:trPr>
          <w:trHeight w:val="196"/>
        </w:trPr>
        <w:tc>
          <w:tcPr>
            <w:tcW w:w="1580" w:type="dxa"/>
            <w:vAlign w:val="bottom"/>
          </w:tcPr>
          <w:p>
            <w:pPr>
              <w:ind w:left="440"/>
              <w:spacing w:after="0" w:line="196" w:lineRule="exact"/>
              <w:rPr>
                <w:sz w:val="20"/>
                <w:szCs w:val="20"/>
                <w:color w:val="auto"/>
              </w:rPr>
            </w:pPr>
            <w:r>
              <w:rPr>
                <w:rFonts w:ascii="Times New Roman" w:cs="Times New Roman" w:eastAsia="Times New Roman" w:hAnsi="Times New Roman"/>
                <w:sz w:val="18"/>
                <w:szCs w:val="18"/>
                <w:color w:val="auto"/>
              </w:rPr>
              <w:t>Section 9.7.</w:t>
            </w:r>
          </w:p>
        </w:tc>
        <w:tc>
          <w:tcPr>
            <w:tcW w:w="1120" w:type="dxa"/>
            <w:vAlign w:val="bottom"/>
            <w:tcBorders>
              <w:bottom w:val="single" w:sz="8" w:color="auto"/>
            </w:tcBorders>
            <w:gridSpan w:val="4"/>
          </w:tcPr>
          <w:p>
            <w:pPr>
              <w:spacing w:after="0" w:line="196" w:lineRule="exact"/>
              <w:rPr>
                <w:sz w:val="20"/>
                <w:szCs w:val="20"/>
                <w:color w:val="auto"/>
              </w:rPr>
            </w:pPr>
            <w:r>
              <w:rPr>
                <w:rFonts w:ascii="Times New Roman" w:cs="Times New Roman" w:eastAsia="Times New Roman" w:hAnsi="Times New Roman"/>
                <w:sz w:val="18"/>
                <w:szCs w:val="18"/>
                <w:color w:val="auto"/>
                <w:w w:val="95"/>
              </w:rPr>
              <w:t>Indemnification</w:t>
            </w:r>
          </w:p>
        </w:tc>
        <w:tc>
          <w:tcPr>
            <w:tcW w:w="8440" w:type="dxa"/>
            <w:vAlign w:val="bottom"/>
            <w:gridSpan w:val="15"/>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81</w:t>
            </w:r>
          </w:p>
        </w:tc>
      </w:tr>
      <w:tr>
        <w:trPr>
          <w:trHeight w:val="196"/>
        </w:trPr>
        <w:tc>
          <w:tcPr>
            <w:tcW w:w="1580" w:type="dxa"/>
            <w:vAlign w:val="bottom"/>
          </w:tcPr>
          <w:p>
            <w:pPr>
              <w:ind w:left="440"/>
              <w:spacing w:after="0" w:line="196" w:lineRule="exact"/>
              <w:rPr>
                <w:sz w:val="20"/>
                <w:szCs w:val="20"/>
                <w:color w:val="auto"/>
              </w:rPr>
            </w:pPr>
            <w:r>
              <w:rPr>
                <w:rFonts w:ascii="Times New Roman" w:cs="Times New Roman" w:eastAsia="Times New Roman" w:hAnsi="Times New Roman"/>
                <w:sz w:val="18"/>
                <w:szCs w:val="18"/>
                <w:color w:val="auto"/>
              </w:rPr>
              <w:t>Section 9.8.</w:t>
            </w:r>
          </w:p>
        </w:tc>
        <w:tc>
          <w:tcPr>
            <w:tcW w:w="3740" w:type="dxa"/>
            <w:vAlign w:val="bottom"/>
            <w:tcBorders>
              <w:bottom w:val="single" w:sz="8" w:color="auto"/>
            </w:tcBorders>
            <w:gridSpan w:val="13"/>
          </w:tcPr>
          <w:p>
            <w:pPr>
              <w:spacing w:after="0" w:line="196" w:lineRule="exact"/>
              <w:rPr>
                <w:sz w:val="20"/>
                <w:szCs w:val="20"/>
                <w:color w:val="auto"/>
              </w:rPr>
            </w:pPr>
            <w:r>
              <w:rPr>
                <w:rFonts w:ascii="Times New Roman" w:cs="Times New Roman" w:eastAsia="Times New Roman" w:hAnsi="Times New Roman"/>
                <w:sz w:val="18"/>
                <w:szCs w:val="18"/>
                <w:color w:val="auto"/>
                <w:w w:val="98"/>
              </w:rPr>
              <w:t>The Administrative Agent in Its Individual Capacity</w:t>
            </w:r>
          </w:p>
        </w:tc>
        <w:tc>
          <w:tcPr>
            <w:tcW w:w="5820" w:type="dxa"/>
            <w:vAlign w:val="bottom"/>
            <w:gridSpan w:val="6"/>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81</w:t>
            </w:r>
          </w:p>
        </w:tc>
      </w:tr>
      <w:tr>
        <w:trPr>
          <w:trHeight w:val="196"/>
        </w:trPr>
        <w:tc>
          <w:tcPr>
            <w:tcW w:w="1580" w:type="dxa"/>
            <w:vAlign w:val="bottom"/>
          </w:tcPr>
          <w:p>
            <w:pPr>
              <w:ind w:left="440"/>
              <w:spacing w:after="0" w:line="196" w:lineRule="exact"/>
              <w:rPr>
                <w:sz w:val="20"/>
                <w:szCs w:val="20"/>
                <w:color w:val="auto"/>
              </w:rPr>
            </w:pPr>
            <w:r>
              <w:rPr>
                <w:rFonts w:ascii="Times New Roman" w:cs="Times New Roman" w:eastAsia="Times New Roman" w:hAnsi="Times New Roman"/>
                <w:sz w:val="18"/>
                <w:szCs w:val="18"/>
                <w:color w:val="auto"/>
              </w:rPr>
              <w:t>Section 9.9.</w:t>
            </w:r>
          </w:p>
        </w:tc>
        <w:tc>
          <w:tcPr>
            <w:tcW w:w="4960" w:type="dxa"/>
            <w:vAlign w:val="bottom"/>
            <w:tcBorders>
              <w:bottom w:val="single" w:sz="8" w:color="auto"/>
            </w:tcBorders>
            <w:gridSpan w:val="16"/>
          </w:tcPr>
          <w:p>
            <w:pPr>
              <w:spacing w:after="0" w:line="196" w:lineRule="exact"/>
              <w:rPr>
                <w:sz w:val="20"/>
                <w:szCs w:val="20"/>
                <w:color w:val="auto"/>
              </w:rPr>
            </w:pPr>
            <w:r>
              <w:rPr>
                <w:rFonts w:ascii="Times New Roman" w:cs="Times New Roman" w:eastAsia="Times New Roman" w:hAnsi="Times New Roman"/>
                <w:sz w:val="18"/>
                <w:szCs w:val="18"/>
                <w:color w:val="auto"/>
                <w:w w:val="97"/>
              </w:rPr>
              <w:t>Resignation of Administrative Agent; Successor Administrative Agent</w:t>
            </w:r>
          </w:p>
        </w:tc>
        <w:tc>
          <w:tcPr>
            <w:tcW w:w="4600" w:type="dxa"/>
            <w:vAlign w:val="bottom"/>
            <w:gridSpan w:val="3"/>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81</w:t>
            </w:r>
          </w:p>
        </w:tc>
      </w:tr>
      <w:tr>
        <w:trPr>
          <w:trHeight w:val="343"/>
        </w:trPr>
        <w:tc>
          <w:tcPr>
            <w:tcW w:w="1114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ARTICLE X THE FUNDING AGENTS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86"/>
        </w:trPr>
        <w:tc>
          <w:tcPr>
            <w:tcW w:w="15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Section 10.1.</w:t>
            </w:r>
          </w:p>
        </w:tc>
        <w:tc>
          <w:tcPr>
            <w:tcW w:w="956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Appointment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0"/>
        </w:trPr>
        <w:tc>
          <w:tcPr>
            <w:tcW w:w="1580" w:type="dxa"/>
            <w:vAlign w:val="bottom"/>
          </w:tcPr>
          <w:p>
            <w:pPr>
              <w:spacing w:after="0" w:line="20" w:lineRule="exact"/>
              <w:rPr>
                <w:sz w:val="1"/>
                <w:szCs w:val="1"/>
                <w:color w:val="auto"/>
              </w:rPr>
            </w:pPr>
          </w:p>
        </w:tc>
        <w:tc>
          <w:tcPr>
            <w:tcW w:w="920" w:type="dxa"/>
            <w:vAlign w:val="bottom"/>
            <w:gridSpan w:val="2"/>
            <w:shd w:val="clear" w:color="auto" w:fill="000000"/>
          </w:tcPr>
          <w:p>
            <w:pPr>
              <w:spacing w:after="0" w:line="20" w:lineRule="exact"/>
              <w:rPr>
                <w:sz w:val="1"/>
                <w:szCs w:val="1"/>
                <w:color w:val="auto"/>
              </w:rPr>
            </w:pPr>
          </w:p>
        </w:tc>
        <w:tc>
          <w:tcPr>
            <w:tcW w:w="1400" w:type="dxa"/>
            <w:vAlign w:val="bottom"/>
            <w:gridSpan w:val="8"/>
          </w:tcPr>
          <w:p>
            <w:pPr>
              <w:spacing w:after="0" w:line="20" w:lineRule="exact"/>
              <w:rPr>
                <w:sz w:val="1"/>
                <w:szCs w:val="1"/>
                <w:color w:val="auto"/>
              </w:rPr>
            </w:pPr>
          </w:p>
        </w:tc>
        <w:tc>
          <w:tcPr>
            <w:tcW w:w="2400" w:type="dxa"/>
            <w:vAlign w:val="bottom"/>
            <w:gridSpan w:val="5"/>
          </w:tcPr>
          <w:p>
            <w:pPr>
              <w:spacing w:after="0" w:line="20" w:lineRule="exact"/>
              <w:rPr>
                <w:sz w:val="1"/>
                <w:szCs w:val="1"/>
                <w:color w:val="auto"/>
              </w:rPr>
            </w:pPr>
          </w:p>
        </w:tc>
        <w:tc>
          <w:tcPr>
            <w:tcW w:w="4840" w:type="dxa"/>
            <w:vAlign w:val="bottom"/>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6"/>
        </w:trPr>
        <w:tc>
          <w:tcPr>
            <w:tcW w:w="1580" w:type="dxa"/>
            <w:vAlign w:val="bottom"/>
          </w:tcPr>
          <w:p>
            <w:pPr>
              <w:ind w:left="440"/>
              <w:spacing w:after="0" w:line="196" w:lineRule="exact"/>
              <w:rPr>
                <w:sz w:val="20"/>
                <w:szCs w:val="20"/>
                <w:color w:val="auto"/>
              </w:rPr>
            </w:pPr>
            <w:r>
              <w:rPr>
                <w:rFonts w:ascii="Times New Roman" w:cs="Times New Roman" w:eastAsia="Times New Roman" w:hAnsi="Times New Roman"/>
                <w:sz w:val="18"/>
                <w:szCs w:val="18"/>
                <w:color w:val="auto"/>
              </w:rPr>
              <w:t>Section 10.2.</w:t>
            </w:r>
          </w:p>
        </w:tc>
        <w:tc>
          <w:tcPr>
            <w:tcW w:w="1460" w:type="dxa"/>
            <w:vAlign w:val="bottom"/>
            <w:tcBorders>
              <w:bottom w:val="single" w:sz="8" w:color="auto"/>
            </w:tcBorders>
            <w:gridSpan w:val="5"/>
          </w:tcPr>
          <w:p>
            <w:pPr>
              <w:spacing w:after="0" w:line="196" w:lineRule="exact"/>
              <w:rPr>
                <w:sz w:val="20"/>
                <w:szCs w:val="20"/>
                <w:color w:val="auto"/>
              </w:rPr>
            </w:pPr>
            <w:r>
              <w:rPr>
                <w:rFonts w:ascii="Times New Roman" w:cs="Times New Roman" w:eastAsia="Times New Roman" w:hAnsi="Times New Roman"/>
                <w:sz w:val="18"/>
                <w:szCs w:val="18"/>
                <w:color w:val="auto"/>
                <w:w w:val="95"/>
              </w:rPr>
              <w:t>Delegation of Duties</w:t>
            </w:r>
          </w:p>
        </w:tc>
        <w:tc>
          <w:tcPr>
            <w:tcW w:w="8100" w:type="dxa"/>
            <w:vAlign w:val="bottom"/>
            <w:gridSpan w:val="14"/>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82</w:t>
            </w:r>
          </w:p>
        </w:tc>
      </w:tr>
      <w:tr>
        <w:trPr>
          <w:trHeight w:val="196"/>
        </w:trPr>
        <w:tc>
          <w:tcPr>
            <w:tcW w:w="1580" w:type="dxa"/>
            <w:vAlign w:val="bottom"/>
          </w:tcPr>
          <w:p>
            <w:pPr>
              <w:ind w:left="440"/>
              <w:spacing w:after="0" w:line="196" w:lineRule="exact"/>
              <w:rPr>
                <w:sz w:val="20"/>
                <w:szCs w:val="20"/>
                <w:color w:val="auto"/>
              </w:rPr>
            </w:pPr>
            <w:r>
              <w:rPr>
                <w:rFonts w:ascii="Times New Roman" w:cs="Times New Roman" w:eastAsia="Times New Roman" w:hAnsi="Times New Roman"/>
                <w:sz w:val="18"/>
                <w:szCs w:val="18"/>
                <w:color w:val="auto"/>
              </w:rPr>
              <w:t>Section 10.3.</w:t>
            </w:r>
          </w:p>
        </w:tc>
        <w:tc>
          <w:tcPr>
            <w:tcW w:w="1640" w:type="dxa"/>
            <w:vAlign w:val="bottom"/>
            <w:tcBorders>
              <w:bottom w:val="single" w:sz="8" w:color="auto"/>
            </w:tcBorders>
            <w:gridSpan w:val="7"/>
          </w:tcPr>
          <w:p>
            <w:pPr>
              <w:spacing w:after="0" w:line="196" w:lineRule="exact"/>
              <w:rPr>
                <w:sz w:val="20"/>
                <w:szCs w:val="20"/>
                <w:color w:val="auto"/>
              </w:rPr>
            </w:pPr>
            <w:r>
              <w:rPr>
                <w:rFonts w:ascii="Times New Roman" w:cs="Times New Roman" w:eastAsia="Times New Roman" w:hAnsi="Times New Roman"/>
                <w:sz w:val="18"/>
                <w:szCs w:val="18"/>
                <w:color w:val="auto"/>
                <w:w w:val="96"/>
              </w:rPr>
              <w:t>Exculpatory Provisions</w:t>
            </w:r>
          </w:p>
        </w:tc>
        <w:tc>
          <w:tcPr>
            <w:tcW w:w="7920" w:type="dxa"/>
            <w:vAlign w:val="bottom"/>
            <w:gridSpan w:val="12"/>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82</w:t>
            </w:r>
          </w:p>
        </w:tc>
      </w:tr>
      <w:tr>
        <w:trPr>
          <w:trHeight w:val="196"/>
        </w:trPr>
        <w:tc>
          <w:tcPr>
            <w:tcW w:w="1580" w:type="dxa"/>
            <w:vAlign w:val="bottom"/>
          </w:tcPr>
          <w:p>
            <w:pPr>
              <w:ind w:left="440"/>
              <w:spacing w:after="0" w:line="196" w:lineRule="exact"/>
              <w:rPr>
                <w:sz w:val="20"/>
                <w:szCs w:val="20"/>
                <w:color w:val="auto"/>
              </w:rPr>
            </w:pPr>
            <w:r>
              <w:rPr>
                <w:rFonts w:ascii="Times New Roman" w:cs="Times New Roman" w:eastAsia="Times New Roman" w:hAnsi="Times New Roman"/>
                <w:sz w:val="18"/>
                <w:szCs w:val="18"/>
                <w:color w:val="auto"/>
              </w:rPr>
              <w:t>Section 10.4.</w:t>
            </w:r>
          </w:p>
        </w:tc>
        <w:tc>
          <w:tcPr>
            <w:tcW w:w="956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auto"/>
              </w:rPr>
              <w:t>Reliance by Each Funding Agent</w:t>
            </w:r>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83</w:t>
            </w:r>
          </w:p>
        </w:tc>
      </w:tr>
      <w:tr>
        <w:trPr>
          <w:trHeight w:val="20"/>
        </w:trPr>
        <w:tc>
          <w:tcPr>
            <w:tcW w:w="1580" w:type="dxa"/>
            <w:vAlign w:val="bottom"/>
          </w:tcPr>
          <w:p>
            <w:pPr>
              <w:spacing w:after="0" w:line="20" w:lineRule="exact"/>
              <w:rPr>
                <w:sz w:val="1"/>
                <w:szCs w:val="1"/>
                <w:color w:val="auto"/>
              </w:rPr>
            </w:pPr>
          </w:p>
        </w:tc>
        <w:tc>
          <w:tcPr>
            <w:tcW w:w="2320" w:type="dxa"/>
            <w:vAlign w:val="bottom"/>
            <w:gridSpan w:val="10"/>
            <w:shd w:val="clear" w:color="auto" w:fill="000000"/>
          </w:tcPr>
          <w:p>
            <w:pPr>
              <w:spacing w:after="0" w:line="20" w:lineRule="exact"/>
              <w:rPr>
                <w:sz w:val="1"/>
                <w:szCs w:val="1"/>
                <w:color w:val="auto"/>
              </w:rPr>
            </w:pPr>
          </w:p>
        </w:tc>
        <w:tc>
          <w:tcPr>
            <w:tcW w:w="2400" w:type="dxa"/>
            <w:vAlign w:val="bottom"/>
            <w:gridSpan w:val="5"/>
          </w:tcPr>
          <w:p>
            <w:pPr>
              <w:spacing w:after="0" w:line="20" w:lineRule="exact"/>
              <w:rPr>
                <w:sz w:val="1"/>
                <w:szCs w:val="1"/>
                <w:color w:val="auto"/>
              </w:rPr>
            </w:pPr>
          </w:p>
        </w:tc>
        <w:tc>
          <w:tcPr>
            <w:tcW w:w="4840" w:type="dxa"/>
            <w:vAlign w:val="bottom"/>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6"/>
        </w:trPr>
        <w:tc>
          <w:tcPr>
            <w:tcW w:w="1580" w:type="dxa"/>
            <w:vAlign w:val="bottom"/>
          </w:tcPr>
          <w:p>
            <w:pPr>
              <w:ind w:left="440"/>
              <w:spacing w:after="0" w:line="196" w:lineRule="exact"/>
              <w:rPr>
                <w:sz w:val="20"/>
                <w:szCs w:val="20"/>
                <w:color w:val="auto"/>
              </w:rPr>
            </w:pPr>
            <w:r>
              <w:rPr>
                <w:rFonts w:ascii="Times New Roman" w:cs="Times New Roman" w:eastAsia="Times New Roman" w:hAnsi="Times New Roman"/>
                <w:sz w:val="18"/>
                <w:szCs w:val="18"/>
                <w:color w:val="auto"/>
              </w:rPr>
              <w:t>Section 10.5.</w:t>
            </w:r>
          </w:p>
        </w:tc>
        <w:tc>
          <w:tcPr>
            <w:tcW w:w="956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auto"/>
              </w:rPr>
              <w:t>Notice of Administrator Default or Amortization Event or Potential Amortization Event</w:t>
            </w:r>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83</w:t>
            </w:r>
          </w:p>
        </w:tc>
      </w:tr>
      <w:tr>
        <w:trPr>
          <w:trHeight w:val="196"/>
        </w:trPr>
        <w:tc>
          <w:tcPr>
            <w:tcW w:w="1580" w:type="dxa"/>
            <w:vAlign w:val="bottom"/>
          </w:tcPr>
          <w:p>
            <w:pPr>
              <w:ind w:left="440"/>
              <w:spacing w:after="0" w:line="196" w:lineRule="exact"/>
              <w:rPr>
                <w:sz w:val="20"/>
                <w:szCs w:val="20"/>
                <w:color w:val="auto"/>
              </w:rPr>
            </w:pPr>
            <w:r>
              <w:rPr>
                <w:rFonts w:ascii="Times New Roman" w:cs="Times New Roman" w:eastAsia="Times New Roman" w:hAnsi="Times New Roman"/>
                <w:sz w:val="18"/>
                <w:szCs w:val="18"/>
                <w:color w:val="auto"/>
              </w:rPr>
              <w:t>Section 10.6.</w:t>
            </w:r>
          </w:p>
        </w:tc>
        <w:tc>
          <w:tcPr>
            <w:tcW w:w="6160" w:type="dxa"/>
            <w:vAlign w:val="bottom"/>
            <w:tcBorders>
              <w:top w:val="single" w:sz="8" w:color="auto"/>
            </w:tcBorders>
            <w:gridSpan w:val="18"/>
          </w:tcPr>
          <w:p>
            <w:pPr>
              <w:spacing w:after="0" w:line="196" w:lineRule="exact"/>
              <w:rPr>
                <w:sz w:val="20"/>
                <w:szCs w:val="20"/>
                <w:color w:val="auto"/>
              </w:rPr>
            </w:pPr>
            <w:r>
              <w:rPr>
                <w:rFonts w:ascii="Times New Roman" w:cs="Times New Roman" w:eastAsia="Times New Roman" w:hAnsi="Times New Roman"/>
                <w:sz w:val="18"/>
                <w:szCs w:val="18"/>
                <w:color w:val="auto"/>
              </w:rPr>
              <w:t>Non-Reliance on Each Funding Agent and Other Purchaser Groups</w:t>
            </w:r>
          </w:p>
        </w:tc>
        <w:tc>
          <w:tcPr>
            <w:tcW w:w="3400" w:type="dxa"/>
            <w:vAlign w:val="bottom"/>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83</w:t>
            </w:r>
          </w:p>
        </w:tc>
      </w:tr>
      <w:tr>
        <w:trPr>
          <w:trHeight w:val="196"/>
        </w:trPr>
        <w:tc>
          <w:tcPr>
            <w:tcW w:w="1580" w:type="dxa"/>
            <w:vAlign w:val="bottom"/>
          </w:tcPr>
          <w:p>
            <w:pPr>
              <w:ind w:left="440"/>
              <w:spacing w:after="0" w:line="196" w:lineRule="exact"/>
              <w:rPr>
                <w:sz w:val="20"/>
                <w:szCs w:val="20"/>
                <w:color w:val="auto"/>
              </w:rPr>
            </w:pPr>
            <w:r>
              <w:rPr>
                <w:rFonts w:ascii="Times New Roman" w:cs="Times New Roman" w:eastAsia="Times New Roman" w:hAnsi="Times New Roman"/>
                <w:sz w:val="18"/>
                <w:szCs w:val="18"/>
                <w:color w:val="auto"/>
              </w:rPr>
              <w:t>Section 10.7.</w:t>
            </w:r>
          </w:p>
        </w:tc>
        <w:tc>
          <w:tcPr>
            <w:tcW w:w="1120" w:type="dxa"/>
            <w:vAlign w:val="bottom"/>
            <w:tcBorders>
              <w:top w:val="single" w:sz="8" w:color="auto"/>
              <w:bottom w:val="single" w:sz="8" w:color="auto"/>
            </w:tcBorders>
            <w:gridSpan w:val="4"/>
          </w:tcPr>
          <w:p>
            <w:pPr>
              <w:spacing w:after="0" w:line="196" w:lineRule="exact"/>
              <w:rPr>
                <w:sz w:val="20"/>
                <w:szCs w:val="20"/>
                <w:color w:val="auto"/>
              </w:rPr>
            </w:pPr>
            <w:r>
              <w:rPr>
                <w:rFonts w:ascii="Times New Roman" w:cs="Times New Roman" w:eastAsia="Times New Roman" w:hAnsi="Times New Roman"/>
                <w:sz w:val="18"/>
                <w:szCs w:val="18"/>
                <w:color w:val="auto"/>
                <w:w w:val="95"/>
              </w:rPr>
              <w:t>Indemnification</w:t>
            </w:r>
          </w:p>
        </w:tc>
        <w:tc>
          <w:tcPr>
            <w:tcW w:w="3600" w:type="dxa"/>
            <w:vAlign w:val="bottom"/>
            <w:tcBorders>
              <w:top w:val="single" w:sz="8" w:color="auto"/>
            </w:tcBorders>
            <w:gridSpan w:val="11"/>
          </w:tcPr>
          <w:p>
            <w:pPr>
              <w:spacing w:after="0"/>
              <w:rPr>
                <w:sz w:val="17"/>
                <w:szCs w:val="17"/>
                <w:color w:val="auto"/>
              </w:rPr>
            </w:pPr>
          </w:p>
        </w:tc>
        <w:tc>
          <w:tcPr>
            <w:tcW w:w="4840" w:type="dxa"/>
            <w:vAlign w:val="bottom"/>
            <w:gridSpan w:val="4"/>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84</w:t>
            </w:r>
          </w:p>
        </w:tc>
      </w:tr>
    </w:tbl>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1420"/>
          </w:cols>
          <w:pgMar w:left="240" w:top="272" w:right="239" w:bottom="1440" w:gutter="0" w:footer="0" w:header="0"/>
        </w:sectPr>
      </w:pPr>
    </w:p>
    <w:bookmarkStart w:id="273" w:name="page274"/>
    <w:bookmarkEnd w:id="273"/>
    <w:tbl>
      <w:tblPr>
        <w:tblLayout w:type="fixed"/>
        <w:tblInd w:w="0" w:type="dxa"/>
        <w:tblCellMar>
          <w:top w:w="0" w:type="dxa"/>
          <w:left w:w="0" w:type="dxa"/>
          <w:bottom w:w="0" w:type="dxa"/>
          <w:right w:w="0" w:type="dxa"/>
        </w:tblCellMar>
      </w:tblPr>
      <w:tr>
        <w:trPr>
          <w:trHeight w:val="218"/>
        </w:trPr>
        <w:tc>
          <w:tcPr>
            <w:tcW w:w="16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80" w:type="dxa"/>
            <w:vAlign w:val="bottom"/>
            <w:gridSpan w:val="2"/>
          </w:tcPr>
          <w:p>
            <w:pPr>
              <w:jc w:val="center"/>
              <w:ind w:right="3760"/>
              <w:spacing w:after="0"/>
              <w:rPr>
                <w:sz w:val="20"/>
                <w:szCs w:val="20"/>
                <w:color w:val="auto"/>
              </w:rPr>
            </w:pPr>
            <w:r>
              <w:rPr>
                <w:rFonts w:ascii="Times New Roman" w:cs="Times New Roman" w:eastAsia="Times New Roman" w:hAnsi="Times New Roman"/>
                <w:sz w:val="18"/>
                <w:szCs w:val="18"/>
                <w:b w:val="1"/>
                <w:bCs w:val="1"/>
                <w:color w:val="auto"/>
                <w:w w:val="96"/>
              </w:rPr>
              <w:t>TABLE OF CONTENTS</w:t>
            </w:r>
          </w:p>
        </w:tc>
        <w:tc>
          <w:tcPr>
            <w:tcW w:w="280" w:type="dxa"/>
            <w:vAlign w:val="bottom"/>
          </w:tcPr>
          <w:p>
            <w:pPr>
              <w:spacing w:after="0"/>
              <w:rPr>
                <w:sz w:val="18"/>
                <w:szCs w:val="18"/>
                <w:color w:val="auto"/>
              </w:rPr>
            </w:pPr>
          </w:p>
        </w:tc>
      </w:tr>
      <w:tr>
        <w:trPr>
          <w:trHeight w:val="228"/>
        </w:trPr>
        <w:tc>
          <w:tcPr>
            <w:tcW w:w="16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80" w:type="dxa"/>
            <w:vAlign w:val="bottom"/>
            <w:gridSpan w:val="2"/>
          </w:tcPr>
          <w:p>
            <w:pPr>
              <w:jc w:val="center"/>
              <w:ind w:right="3780"/>
              <w:spacing w:after="0"/>
              <w:rPr>
                <w:sz w:val="20"/>
                <w:szCs w:val="20"/>
                <w:color w:val="auto"/>
              </w:rPr>
            </w:pPr>
            <w:r>
              <w:rPr>
                <w:rFonts w:ascii="Times New Roman" w:cs="Times New Roman" w:eastAsia="Times New Roman" w:hAnsi="Times New Roman"/>
                <w:sz w:val="18"/>
                <w:szCs w:val="18"/>
                <w:color w:val="auto"/>
                <w:w w:val="98"/>
              </w:rPr>
              <w:t>(continued)</w:t>
            </w:r>
          </w:p>
        </w:tc>
        <w:tc>
          <w:tcPr>
            <w:tcW w:w="280" w:type="dxa"/>
            <w:vAlign w:val="bottom"/>
          </w:tcPr>
          <w:p>
            <w:pPr>
              <w:spacing w:after="0"/>
              <w:rPr>
                <w:sz w:val="19"/>
                <w:szCs w:val="19"/>
                <w:color w:val="auto"/>
              </w:rPr>
            </w:pPr>
          </w:p>
        </w:tc>
      </w:tr>
      <w:tr>
        <w:trPr>
          <w:trHeight w:val="353"/>
        </w:trPr>
        <w:tc>
          <w:tcPr>
            <w:tcW w:w="16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5720" w:type="dxa"/>
            <w:vAlign w:val="bottom"/>
          </w:tcPr>
          <w:p>
            <w:pPr>
              <w:spacing w:after="0"/>
              <w:rPr>
                <w:sz w:val="24"/>
                <w:szCs w:val="24"/>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0"/>
              </w:rPr>
              <w:t>Page</w:t>
            </w:r>
          </w:p>
        </w:tc>
      </w:tr>
      <w:tr>
        <w:trPr>
          <w:trHeight w:val="316"/>
        </w:trPr>
        <w:tc>
          <w:tcPr>
            <w:tcW w:w="1114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ARTICLE XI GENERAL</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86"/>
        </w:trPr>
        <w:tc>
          <w:tcPr>
            <w:tcW w:w="16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Section 11.1.</w:t>
            </w:r>
          </w:p>
        </w:tc>
        <w:tc>
          <w:tcPr>
            <w:tcW w:w="948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Successors and Assigns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196"/>
        </w:trPr>
        <w:tc>
          <w:tcPr>
            <w:tcW w:w="1660" w:type="dxa"/>
            <w:vAlign w:val="bottom"/>
          </w:tcPr>
          <w:p>
            <w:pPr>
              <w:ind w:left="440"/>
              <w:spacing w:after="0" w:line="196" w:lineRule="exact"/>
              <w:rPr>
                <w:sz w:val="20"/>
                <w:szCs w:val="20"/>
                <w:color w:val="auto"/>
              </w:rPr>
            </w:pPr>
            <w:r>
              <w:rPr>
                <w:rFonts w:ascii="Times New Roman" w:cs="Times New Roman" w:eastAsia="Times New Roman" w:hAnsi="Times New Roman"/>
                <w:sz w:val="18"/>
                <w:szCs w:val="18"/>
                <w:color w:val="auto"/>
              </w:rPr>
              <w:t>Section 11.2.</w:t>
            </w:r>
          </w:p>
        </w:tc>
        <w:tc>
          <w:tcPr>
            <w:tcW w:w="1660" w:type="dxa"/>
            <w:vAlign w:val="bottom"/>
            <w:tcBorders>
              <w:top w:val="single" w:sz="8" w:color="auto"/>
            </w:tcBorders>
            <w:gridSpan w:val="10"/>
          </w:tcPr>
          <w:p>
            <w:pPr>
              <w:spacing w:after="0" w:line="196" w:lineRule="exact"/>
              <w:rPr>
                <w:sz w:val="20"/>
                <w:szCs w:val="20"/>
                <w:color w:val="auto"/>
              </w:rPr>
            </w:pPr>
            <w:r>
              <w:rPr>
                <w:rFonts w:ascii="Times New Roman" w:cs="Times New Roman" w:eastAsia="Times New Roman" w:hAnsi="Times New Roman"/>
                <w:sz w:val="18"/>
                <w:szCs w:val="18"/>
                <w:color w:val="auto"/>
              </w:rPr>
              <w:t>Securities Law</w:t>
            </w:r>
          </w:p>
        </w:tc>
        <w:tc>
          <w:tcPr>
            <w:tcW w:w="7820" w:type="dxa"/>
            <w:vAlign w:val="bottom"/>
            <w:gridSpan w:val="9"/>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87</w:t>
            </w:r>
          </w:p>
        </w:tc>
      </w:tr>
      <w:tr>
        <w:trPr>
          <w:trHeight w:val="20"/>
        </w:trPr>
        <w:tc>
          <w:tcPr>
            <w:tcW w:w="1660" w:type="dxa"/>
            <w:vAlign w:val="bottom"/>
          </w:tcPr>
          <w:p>
            <w:pPr>
              <w:spacing w:after="0" w:line="20" w:lineRule="exact"/>
              <w:rPr>
                <w:sz w:val="1"/>
                <w:szCs w:val="1"/>
                <w:color w:val="auto"/>
              </w:rPr>
            </w:pPr>
          </w:p>
        </w:tc>
        <w:tc>
          <w:tcPr>
            <w:tcW w:w="580" w:type="dxa"/>
            <w:vAlign w:val="bottom"/>
            <w:tcBorders>
              <w:right w:val="single" w:sz="8" w:color="auto"/>
            </w:tcBorders>
            <w:shd w:val="clear" w:color="auto" w:fill="000000"/>
          </w:tcPr>
          <w:p>
            <w:pPr>
              <w:spacing w:after="0" w:line="20" w:lineRule="exact"/>
              <w:rPr>
                <w:sz w:val="1"/>
                <w:szCs w:val="1"/>
                <w:color w:val="auto"/>
              </w:rPr>
            </w:pPr>
          </w:p>
        </w:tc>
        <w:tc>
          <w:tcPr>
            <w:tcW w:w="32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6"/>
        </w:trPr>
        <w:tc>
          <w:tcPr>
            <w:tcW w:w="1660" w:type="dxa"/>
            <w:vAlign w:val="bottom"/>
          </w:tcPr>
          <w:p>
            <w:pPr>
              <w:ind w:left="440"/>
              <w:spacing w:after="0" w:line="196" w:lineRule="exact"/>
              <w:rPr>
                <w:sz w:val="20"/>
                <w:szCs w:val="20"/>
                <w:color w:val="auto"/>
              </w:rPr>
            </w:pPr>
            <w:r>
              <w:rPr>
                <w:rFonts w:ascii="Times New Roman" w:cs="Times New Roman" w:eastAsia="Times New Roman" w:hAnsi="Times New Roman"/>
                <w:sz w:val="18"/>
                <w:szCs w:val="18"/>
                <w:color w:val="auto"/>
              </w:rPr>
              <w:t>Section 11.3.</w:t>
            </w:r>
          </w:p>
        </w:tc>
        <w:tc>
          <w:tcPr>
            <w:tcW w:w="948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auto"/>
              </w:rPr>
              <w:t>Adjustments; Set-off</w:t>
            </w:r>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87</w:t>
            </w:r>
          </w:p>
        </w:tc>
      </w:tr>
      <w:tr>
        <w:trPr>
          <w:trHeight w:val="20"/>
        </w:trPr>
        <w:tc>
          <w:tcPr>
            <w:tcW w:w="1660" w:type="dxa"/>
            <w:vAlign w:val="bottom"/>
          </w:tcPr>
          <w:p>
            <w:pPr>
              <w:spacing w:after="0" w:line="20" w:lineRule="exact"/>
              <w:rPr>
                <w:sz w:val="1"/>
                <w:szCs w:val="1"/>
                <w:color w:val="auto"/>
              </w:rPr>
            </w:pPr>
          </w:p>
        </w:tc>
        <w:tc>
          <w:tcPr>
            <w:tcW w:w="580" w:type="dxa"/>
            <w:vAlign w:val="bottom"/>
            <w:tcBorders>
              <w:right w:val="single" w:sz="8" w:color="auto"/>
            </w:tcBorders>
            <w:shd w:val="clear" w:color="auto" w:fill="000000"/>
          </w:tcPr>
          <w:p>
            <w:pPr>
              <w:spacing w:after="0" w:line="20" w:lineRule="exact"/>
              <w:rPr>
                <w:sz w:val="1"/>
                <w:szCs w:val="1"/>
                <w:color w:val="auto"/>
              </w:rPr>
            </w:pPr>
          </w:p>
        </w:tc>
        <w:tc>
          <w:tcPr>
            <w:tcW w:w="32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6"/>
        </w:trPr>
        <w:tc>
          <w:tcPr>
            <w:tcW w:w="1660" w:type="dxa"/>
            <w:vAlign w:val="bottom"/>
          </w:tcPr>
          <w:p>
            <w:pPr>
              <w:ind w:left="440"/>
              <w:spacing w:after="0" w:line="196" w:lineRule="exact"/>
              <w:rPr>
                <w:sz w:val="20"/>
                <w:szCs w:val="20"/>
                <w:color w:val="auto"/>
              </w:rPr>
            </w:pPr>
            <w:r>
              <w:rPr>
                <w:rFonts w:ascii="Times New Roman" w:cs="Times New Roman" w:eastAsia="Times New Roman" w:hAnsi="Times New Roman"/>
                <w:sz w:val="18"/>
                <w:szCs w:val="18"/>
                <w:color w:val="auto"/>
              </w:rPr>
              <w:t>Section 11.4.</w:t>
            </w:r>
          </w:p>
        </w:tc>
        <w:tc>
          <w:tcPr>
            <w:tcW w:w="948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auto"/>
              </w:rPr>
              <w:t>No Bankruptcy Petition</w:t>
            </w:r>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88</w:t>
            </w:r>
          </w:p>
        </w:tc>
      </w:tr>
      <w:tr>
        <w:trPr>
          <w:trHeight w:val="196"/>
        </w:trPr>
        <w:tc>
          <w:tcPr>
            <w:tcW w:w="1660" w:type="dxa"/>
            <w:vAlign w:val="bottom"/>
          </w:tcPr>
          <w:p>
            <w:pPr>
              <w:ind w:left="440"/>
              <w:spacing w:after="0" w:line="196" w:lineRule="exact"/>
              <w:rPr>
                <w:sz w:val="20"/>
                <w:szCs w:val="20"/>
                <w:color w:val="auto"/>
              </w:rPr>
            </w:pPr>
            <w:r>
              <w:rPr>
                <w:rFonts w:ascii="Times New Roman" w:cs="Times New Roman" w:eastAsia="Times New Roman" w:hAnsi="Times New Roman"/>
                <w:sz w:val="18"/>
                <w:szCs w:val="18"/>
                <w:color w:val="auto"/>
              </w:rPr>
              <w:t>Section 11.5.</w:t>
            </w:r>
          </w:p>
        </w:tc>
        <w:tc>
          <w:tcPr>
            <w:tcW w:w="1660" w:type="dxa"/>
            <w:vAlign w:val="bottom"/>
            <w:tcBorders>
              <w:top w:val="single" w:sz="8" w:color="auto"/>
            </w:tcBorders>
            <w:gridSpan w:val="10"/>
          </w:tcPr>
          <w:p>
            <w:pPr>
              <w:spacing w:after="0" w:line="196" w:lineRule="exact"/>
              <w:rPr>
                <w:sz w:val="20"/>
                <w:szCs w:val="20"/>
                <w:color w:val="auto"/>
              </w:rPr>
            </w:pPr>
            <w:r>
              <w:rPr>
                <w:rFonts w:ascii="Times New Roman" w:cs="Times New Roman" w:eastAsia="Times New Roman" w:hAnsi="Times New Roman"/>
                <w:sz w:val="18"/>
                <w:szCs w:val="18"/>
                <w:color w:val="auto"/>
              </w:rPr>
              <w:t>Limited Recourse</w:t>
            </w:r>
          </w:p>
        </w:tc>
        <w:tc>
          <w:tcPr>
            <w:tcW w:w="7820" w:type="dxa"/>
            <w:vAlign w:val="bottom"/>
            <w:gridSpan w:val="9"/>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88</w:t>
            </w:r>
          </w:p>
        </w:tc>
      </w:tr>
      <w:tr>
        <w:trPr>
          <w:trHeight w:val="20"/>
        </w:trPr>
        <w:tc>
          <w:tcPr>
            <w:tcW w:w="1660" w:type="dxa"/>
            <w:vAlign w:val="bottom"/>
          </w:tcPr>
          <w:p>
            <w:pPr>
              <w:spacing w:after="0" w:line="20" w:lineRule="exact"/>
              <w:rPr>
                <w:sz w:val="1"/>
                <w:szCs w:val="1"/>
                <w:color w:val="auto"/>
              </w:rPr>
            </w:pPr>
          </w:p>
        </w:tc>
        <w:tc>
          <w:tcPr>
            <w:tcW w:w="580" w:type="dxa"/>
            <w:vAlign w:val="bottom"/>
            <w:tcBorders>
              <w:right w:val="single" w:sz="8" w:color="auto"/>
            </w:tcBorders>
            <w:shd w:val="clear" w:color="auto" w:fill="000000"/>
          </w:tcPr>
          <w:p>
            <w:pPr>
              <w:spacing w:after="0" w:line="20" w:lineRule="exact"/>
              <w:rPr>
                <w:sz w:val="1"/>
                <w:szCs w:val="1"/>
                <w:color w:val="auto"/>
              </w:rPr>
            </w:pPr>
          </w:p>
        </w:tc>
        <w:tc>
          <w:tcPr>
            <w:tcW w:w="32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6"/>
        </w:trPr>
        <w:tc>
          <w:tcPr>
            <w:tcW w:w="1660" w:type="dxa"/>
            <w:vAlign w:val="bottom"/>
          </w:tcPr>
          <w:p>
            <w:pPr>
              <w:ind w:left="440"/>
              <w:spacing w:after="0" w:line="196" w:lineRule="exact"/>
              <w:rPr>
                <w:sz w:val="20"/>
                <w:szCs w:val="20"/>
                <w:color w:val="auto"/>
              </w:rPr>
            </w:pPr>
            <w:r>
              <w:rPr>
                <w:rFonts w:ascii="Times New Roman" w:cs="Times New Roman" w:eastAsia="Times New Roman" w:hAnsi="Times New Roman"/>
                <w:sz w:val="18"/>
                <w:szCs w:val="18"/>
                <w:color w:val="auto"/>
              </w:rPr>
              <w:t>Section 11.6.</w:t>
            </w:r>
          </w:p>
        </w:tc>
        <w:tc>
          <w:tcPr>
            <w:tcW w:w="1460" w:type="dxa"/>
            <w:vAlign w:val="bottom"/>
            <w:tcBorders>
              <w:bottom w:val="single" w:sz="8" w:color="auto"/>
            </w:tcBorders>
            <w:gridSpan w:val="8"/>
          </w:tcPr>
          <w:p>
            <w:pPr>
              <w:spacing w:after="0" w:line="196" w:lineRule="exact"/>
              <w:rPr>
                <w:sz w:val="20"/>
                <w:szCs w:val="20"/>
                <w:color w:val="auto"/>
              </w:rPr>
            </w:pPr>
            <w:r>
              <w:rPr>
                <w:rFonts w:ascii="Times New Roman" w:cs="Times New Roman" w:eastAsia="Times New Roman" w:hAnsi="Times New Roman"/>
                <w:sz w:val="18"/>
                <w:szCs w:val="18"/>
                <w:color w:val="auto"/>
                <w:w w:val="99"/>
              </w:rPr>
              <w:t>Costs and Expenses</w:t>
            </w:r>
          </w:p>
        </w:tc>
        <w:tc>
          <w:tcPr>
            <w:tcW w:w="8020" w:type="dxa"/>
            <w:vAlign w:val="bottom"/>
            <w:gridSpan w:val="11"/>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89</w:t>
            </w:r>
          </w:p>
        </w:tc>
      </w:tr>
      <w:tr>
        <w:trPr>
          <w:trHeight w:val="196"/>
        </w:trPr>
        <w:tc>
          <w:tcPr>
            <w:tcW w:w="1660" w:type="dxa"/>
            <w:vAlign w:val="bottom"/>
          </w:tcPr>
          <w:p>
            <w:pPr>
              <w:ind w:left="440"/>
              <w:spacing w:after="0" w:line="196" w:lineRule="exact"/>
              <w:rPr>
                <w:sz w:val="20"/>
                <w:szCs w:val="20"/>
                <w:color w:val="auto"/>
              </w:rPr>
            </w:pPr>
            <w:r>
              <w:rPr>
                <w:rFonts w:ascii="Times New Roman" w:cs="Times New Roman" w:eastAsia="Times New Roman" w:hAnsi="Times New Roman"/>
                <w:sz w:val="18"/>
                <w:szCs w:val="18"/>
                <w:color w:val="auto"/>
              </w:rPr>
              <w:t>Section 11.7.</w:t>
            </w:r>
          </w:p>
        </w:tc>
        <w:tc>
          <w:tcPr>
            <w:tcW w:w="948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auto"/>
              </w:rPr>
              <w:t>Exhibits</w:t>
            </w:r>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89</w:t>
            </w:r>
          </w:p>
        </w:tc>
      </w:tr>
      <w:tr>
        <w:trPr>
          <w:trHeight w:val="20"/>
        </w:trPr>
        <w:tc>
          <w:tcPr>
            <w:tcW w:w="1660" w:type="dxa"/>
            <w:vAlign w:val="bottom"/>
          </w:tcPr>
          <w:p>
            <w:pPr>
              <w:spacing w:after="0" w:line="20" w:lineRule="exact"/>
              <w:rPr>
                <w:sz w:val="1"/>
                <w:szCs w:val="1"/>
                <w:color w:val="auto"/>
              </w:rPr>
            </w:pPr>
          </w:p>
        </w:tc>
        <w:tc>
          <w:tcPr>
            <w:tcW w:w="580" w:type="dxa"/>
            <w:vAlign w:val="bottom"/>
            <w:tcBorders>
              <w:right w:val="single" w:sz="8" w:color="auto"/>
            </w:tcBorders>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6"/>
        </w:trPr>
        <w:tc>
          <w:tcPr>
            <w:tcW w:w="1660" w:type="dxa"/>
            <w:vAlign w:val="bottom"/>
          </w:tcPr>
          <w:p>
            <w:pPr>
              <w:ind w:left="440"/>
              <w:spacing w:after="0" w:line="196" w:lineRule="exact"/>
              <w:rPr>
                <w:sz w:val="20"/>
                <w:szCs w:val="20"/>
                <w:color w:val="auto"/>
              </w:rPr>
            </w:pPr>
            <w:r>
              <w:rPr>
                <w:rFonts w:ascii="Times New Roman" w:cs="Times New Roman" w:eastAsia="Times New Roman" w:hAnsi="Times New Roman"/>
                <w:sz w:val="18"/>
                <w:szCs w:val="18"/>
                <w:color w:val="auto"/>
              </w:rPr>
              <w:t>Section 11.8.</w:t>
            </w:r>
          </w:p>
        </w:tc>
        <w:tc>
          <w:tcPr>
            <w:tcW w:w="2120" w:type="dxa"/>
            <w:vAlign w:val="bottom"/>
            <w:tcBorders>
              <w:bottom w:val="single" w:sz="8" w:color="auto"/>
            </w:tcBorders>
            <w:gridSpan w:val="16"/>
          </w:tcPr>
          <w:p>
            <w:pPr>
              <w:spacing w:after="0" w:line="196" w:lineRule="exact"/>
              <w:rPr>
                <w:sz w:val="20"/>
                <w:szCs w:val="20"/>
                <w:color w:val="auto"/>
              </w:rPr>
            </w:pPr>
            <w:r>
              <w:rPr>
                <w:rFonts w:ascii="Times New Roman" w:cs="Times New Roman" w:eastAsia="Times New Roman" w:hAnsi="Times New Roman"/>
                <w:sz w:val="18"/>
                <w:szCs w:val="18"/>
                <w:color w:val="auto"/>
                <w:w w:val="96"/>
              </w:rPr>
              <w:t>Ratification of Base Indenture</w:t>
            </w:r>
          </w:p>
        </w:tc>
        <w:tc>
          <w:tcPr>
            <w:tcW w:w="7360" w:type="dxa"/>
            <w:vAlign w:val="bottom"/>
            <w:gridSpan w:val="3"/>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89</w:t>
            </w:r>
          </w:p>
        </w:tc>
      </w:tr>
      <w:tr>
        <w:trPr>
          <w:trHeight w:val="196"/>
        </w:trPr>
        <w:tc>
          <w:tcPr>
            <w:tcW w:w="1660" w:type="dxa"/>
            <w:vAlign w:val="bottom"/>
          </w:tcPr>
          <w:p>
            <w:pPr>
              <w:ind w:left="440"/>
              <w:spacing w:after="0" w:line="196" w:lineRule="exact"/>
              <w:rPr>
                <w:sz w:val="20"/>
                <w:szCs w:val="20"/>
                <w:color w:val="auto"/>
              </w:rPr>
            </w:pPr>
            <w:r>
              <w:rPr>
                <w:rFonts w:ascii="Times New Roman" w:cs="Times New Roman" w:eastAsia="Times New Roman" w:hAnsi="Times New Roman"/>
                <w:sz w:val="18"/>
                <w:szCs w:val="18"/>
                <w:color w:val="auto"/>
              </w:rPr>
              <w:t>Section 11.9.</w:t>
            </w:r>
          </w:p>
        </w:tc>
        <w:tc>
          <w:tcPr>
            <w:tcW w:w="948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auto"/>
              </w:rPr>
              <w:t>Counterparts</w:t>
            </w:r>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90</w:t>
            </w:r>
          </w:p>
        </w:tc>
      </w:tr>
      <w:tr>
        <w:trPr>
          <w:trHeight w:val="20"/>
        </w:trPr>
        <w:tc>
          <w:tcPr>
            <w:tcW w:w="1660" w:type="dxa"/>
            <w:vAlign w:val="bottom"/>
          </w:tcPr>
          <w:p>
            <w:pPr>
              <w:spacing w:after="0" w:line="20" w:lineRule="exact"/>
              <w:rPr>
                <w:sz w:val="1"/>
                <w:szCs w:val="1"/>
                <w:color w:val="auto"/>
              </w:rPr>
            </w:pPr>
          </w:p>
        </w:tc>
        <w:tc>
          <w:tcPr>
            <w:tcW w:w="580" w:type="dxa"/>
            <w:vAlign w:val="bottom"/>
            <w:tcBorders>
              <w:right w:val="single" w:sz="8" w:color="auto"/>
            </w:tcBorders>
            <w:shd w:val="clear" w:color="auto" w:fill="000000"/>
          </w:tcPr>
          <w:p>
            <w:pPr>
              <w:spacing w:after="0" w:line="20" w:lineRule="exact"/>
              <w:rPr>
                <w:sz w:val="1"/>
                <w:szCs w:val="1"/>
                <w:color w:val="auto"/>
              </w:rPr>
            </w:pPr>
          </w:p>
        </w:tc>
        <w:tc>
          <w:tcPr>
            <w:tcW w:w="32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6"/>
        </w:trPr>
        <w:tc>
          <w:tcPr>
            <w:tcW w:w="1660" w:type="dxa"/>
            <w:vAlign w:val="bottom"/>
          </w:tcPr>
          <w:p>
            <w:pPr>
              <w:ind w:left="440"/>
              <w:spacing w:after="0" w:line="196" w:lineRule="exact"/>
              <w:rPr>
                <w:sz w:val="20"/>
                <w:szCs w:val="20"/>
                <w:color w:val="auto"/>
              </w:rPr>
            </w:pPr>
            <w:r>
              <w:rPr>
                <w:rFonts w:ascii="Times New Roman" w:cs="Times New Roman" w:eastAsia="Times New Roman" w:hAnsi="Times New Roman"/>
                <w:sz w:val="18"/>
                <w:szCs w:val="18"/>
                <w:color w:val="auto"/>
              </w:rPr>
              <w:t>Section 11.10.</w:t>
            </w:r>
          </w:p>
        </w:tc>
        <w:tc>
          <w:tcPr>
            <w:tcW w:w="948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auto"/>
              </w:rPr>
              <w:t>Governing Law</w:t>
            </w:r>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90</w:t>
            </w:r>
          </w:p>
        </w:tc>
      </w:tr>
      <w:tr>
        <w:trPr>
          <w:trHeight w:val="196"/>
        </w:trPr>
        <w:tc>
          <w:tcPr>
            <w:tcW w:w="1660" w:type="dxa"/>
            <w:vAlign w:val="bottom"/>
          </w:tcPr>
          <w:p>
            <w:pPr>
              <w:ind w:left="440"/>
              <w:spacing w:after="0" w:line="196" w:lineRule="exact"/>
              <w:rPr>
                <w:sz w:val="20"/>
                <w:szCs w:val="20"/>
                <w:color w:val="auto"/>
              </w:rPr>
            </w:pPr>
            <w:r>
              <w:rPr>
                <w:rFonts w:ascii="Times New Roman" w:cs="Times New Roman" w:eastAsia="Times New Roman" w:hAnsi="Times New Roman"/>
                <w:sz w:val="18"/>
                <w:szCs w:val="18"/>
                <w:color w:val="auto"/>
              </w:rPr>
              <w:t>Section 11.11.</w:t>
            </w:r>
          </w:p>
        </w:tc>
        <w:tc>
          <w:tcPr>
            <w:tcW w:w="940" w:type="dxa"/>
            <w:vAlign w:val="bottom"/>
            <w:tcBorders>
              <w:top w:val="single" w:sz="8" w:color="auto"/>
              <w:bottom w:val="single" w:sz="8" w:color="auto"/>
            </w:tcBorders>
            <w:gridSpan w:val="3"/>
          </w:tcPr>
          <w:p>
            <w:pPr>
              <w:spacing w:after="0" w:line="196" w:lineRule="exact"/>
              <w:rPr>
                <w:sz w:val="20"/>
                <w:szCs w:val="20"/>
                <w:color w:val="auto"/>
              </w:rPr>
            </w:pPr>
            <w:r>
              <w:rPr>
                <w:rFonts w:ascii="Times New Roman" w:cs="Times New Roman" w:eastAsia="Times New Roman" w:hAnsi="Times New Roman"/>
                <w:sz w:val="18"/>
                <w:szCs w:val="18"/>
                <w:color w:val="auto"/>
                <w:w w:val="95"/>
              </w:rPr>
              <w:t>Amendments</w:t>
            </w:r>
          </w:p>
        </w:tc>
        <w:tc>
          <w:tcPr>
            <w:tcW w:w="160" w:type="dxa"/>
            <w:vAlign w:val="bottom"/>
            <w:tcBorders>
              <w:top w:val="single" w:sz="8" w:color="auto"/>
            </w:tcBorders>
            <w:gridSpan w:val="2"/>
          </w:tcPr>
          <w:p>
            <w:pPr>
              <w:spacing w:after="0"/>
              <w:rPr>
                <w:sz w:val="17"/>
                <w:szCs w:val="17"/>
                <w:color w:val="auto"/>
              </w:rPr>
            </w:pPr>
          </w:p>
        </w:tc>
        <w:tc>
          <w:tcPr>
            <w:tcW w:w="8380" w:type="dxa"/>
            <w:vAlign w:val="bottom"/>
            <w:gridSpan w:val="14"/>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90</w:t>
            </w:r>
          </w:p>
        </w:tc>
      </w:tr>
      <w:tr>
        <w:trPr>
          <w:trHeight w:val="196"/>
        </w:trPr>
        <w:tc>
          <w:tcPr>
            <w:tcW w:w="1660" w:type="dxa"/>
            <w:vAlign w:val="bottom"/>
          </w:tcPr>
          <w:p>
            <w:pPr>
              <w:ind w:left="440"/>
              <w:spacing w:after="0" w:line="196" w:lineRule="exact"/>
              <w:rPr>
                <w:sz w:val="20"/>
                <w:szCs w:val="20"/>
                <w:color w:val="auto"/>
              </w:rPr>
            </w:pPr>
            <w:r>
              <w:rPr>
                <w:rFonts w:ascii="Times New Roman" w:cs="Times New Roman" w:eastAsia="Times New Roman" w:hAnsi="Times New Roman"/>
                <w:sz w:val="18"/>
                <w:szCs w:val="18"/>
                <w:color w:val="auto"/>
              </w:rPr>
              <w:t>Section 11.12.</w:t>
            </w:r>
          </w:p>
        </w:tc>
        <w:tc>
          <w:tcPr>
            <w:tcW w:w="1620" w:type="dxa"/>
            <w:vAlign w:val="bottom"/>
            <w:tcBorders>
              <w:bottom w:val="single" w:sz="8" w:color="auto"/>
            </w:tcBorders>
            <w:gridSpan w:val="9"/>
          </w:tcPr>
          <w:p>
            <w:pPr>
              <w:spacing w:after="0" w:line="196" w:lineRule="exact"/>
              <w:rPr>
                <w:sz w:val="20"/>
                <w:szCs w:val="20"/>
                <w:color w:val="auto"/>
              </w:rPr>
            </w:pPr>
            <w:r>
              <w:rPr>
                <w:rFonts w:ascii="Times New Roman" w:cs="Times New Roman" w:eastAsia="Times New Roman" w:hAnsi="Times New Roman"/>
                <w:sz w:val="18"/>
                <w:szCs w:val="18"/>
                <w:color w:val="auto"/>
                <w:w w:val="96"/>
              </w:rPr>
              <w:t>Discharge of Indenture</w:t>
            </w:r>
          </w:p>
        </w:tc>
        <w:tc>
          <w:tcPr>
            <w:tcW w:w="7860" w:type="dxa"/>
            <w:vAlign w:val="bottom"/>
            <w:gridSpan w:val="10"/>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90</w:t>
            </w:r>
          </w:p>
        </w:tc>
      </w:tr>
      <w:tr>
        <w:trPr>
          <w:trHeight w:val="196"/>
        </w:trPr>
        <w:tc>
          <w:tcPr>
            <w:tcW w:w="1660" w:type="dxa"/>
            <w:vAlign w:val="bottom"/>
          </w:tcPr>
          <w:p>
            <w:pPr>
              <w:ind w:left="440"/>
              <w:spacing w:after="0" w:line="196" w:lineRule="exact"/>
              <w:rPr>
                <w:sz w:val="20"/>
                <w:szCs w:val="20"/>
                <w:color w:val="auto"/>
              </w:rPr>
            </w:pPr>
            <w:r>
              <w:rPr>
                <w:rFonts w:ascii="Times New Roman" w:cs="Times New Roman" w:eastAsia="Times New Roman" w:hAnsi="Times New Roman"/>
                <w:sz w:val="18"/>
                <w:szCs w:val="18"/>
                <w:color w:val="auto"/>
              </w:rPr>
              <w:t>Section 11.13.</w:t>
            </w:r>
          </w:p>
        </w:tc>
        <w:tc>
          <w:tcPr>
            <w:tcW w:w="1800" w:type="dxa"/>
            <w:vAlign w:val="bottom"/>
            <w:tcBorders>
              <w:bottom w:val="single" w:sz="8" w:color="auto"/>
            </w:tcBorders>
            <w:gridSpan w:val="13"/>
          </w:tcPr>
          <w:p>
            <w:pPr>
              <w:spacing w:after="0" w:line="196" w:lineRule="exact"/>
              <w:rPr>
                <w:sz w:val="20"/>
                <w:szCs w:val="20"/>
                <w:color w:val="auto"/>
              </w:rPr>
            </w:pPr>
            <w:r>
              <w:rPr>
                <w:rFonts w:ascii="Times New Roman" w:cs="Times New Roman" w:eastAsia="Times New Roman" w:hAnsi="Times New Roman"/>
                <w:sz w:val="18"/>
                <w:szCs w:val="18"/>
                <w:color w:val="auto"/>
                <w:w w:val="96"/>
              </w:rPr>
              <w:t>Capitalization of ABRCF</w:t>
            </w:r>
          </w:p>
        </w:tc>
        <w:tc>
          <w:tcPr>
            <w:tcW w:w="7680" w:type="dxa"/>
            <w:vAlign w:val="bottom"/>
            <w:gridSpan w:val="6"/>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90</w:t>
            </w:r>
          </w:p>
        </w:tc>
      </w:tr>
      <w:tr>
        <w:trPr>
          <w:trHeight w:val="196"/>
        </w:trPr>
        <w:tc>
          <w:tcPr>
            <w:tcW w:w="1660" w:type="dxa"/>
            <w:vAlign w:val="bottom"/>
          </w:tcPr>
          <w:p>
            <w:pPr>
              <w:ind w:left="440"/>
              <w:spacing w:after="0" w:line="196" w:lineRule="exact"/>
              <w:rPr>
                <w:sz w:val="20"/>
                <w:szCs w:val="20"/>
                <w:color w:val="auto"/>
              </w:rPr>
            </w:pPr>
            <w:r>
              <w:rPr>
                <w:rFonts w:ascii="Times New Roman" w:cs="Times New Roman" w:eastAsia="Times New Roman" w:hAnsi="Times New Roman"/>
                <w:sz w:val="18"/>
                <w:szCs w:val="18"/>
                <w:color w:val="auto"/>
              </w:rPr>
              <w:t>Section 11.14.</w:t>
            </w:r>
          </w:p>
        </w:tc>
        <w:tc>
          <w:tcPr>
            <w:tcW w:w="2060" w:type="dxa"/>
            <w:vAlign w:val="bottom"/>
            <w:tcBorders>
              <w:bottom w:val="single" w:sz="8" w:color="auto"/>
            </w:tcBorders>
            <w:gridSpan w:val="15"/>
          </w:tcPr>
          <w:p>
            <w:pPr>
              <w:spacing w:after="0" w:line="196" w:lineRule="exact"/>
              <w:rPr>
                <w:sz w:val="20"/>
                <w:szCs w:val="20"/>
                <w:color w:val="auto"/>
              </w:rPr>
            </w:pPr>
            <w:r>
              <w:rPr>
                <w:rFonts w:ascii="Times New Roman" w:cs="Times New Roman" w:eastAsia="Times New Roman" w:hAnsi="Times New Roman"/>
                <w:sz w:val="18"/>
                <w:szCs w:val="18"/>
                <w:color w:val="auto"/>
                <w:w w:val="96"/>
              </w:rPr>
              <w:t>Series 2009-3 Demand Notes</w:t>
            </w:r>
          </w:p>
        </w:tc>
        <w:tc>
          <w:tcPr>
            <w:tcW w:w="7420" w:type="dxa"/>
            <w:vAlign w:val="bottom"/>
            <w:gridSpan w:val="4"/>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90</w:t>
            </w:r>
          </w:p>
        </w:tc>
      </w:tr>
      <w:tr>
        <w:trPr>
          <w:trHeight w:val="196"/>
        </w:trPr>
        <w:tc>
          <w:tcPr>
            <w:tcW w:w="1660" w:type="dxa"/>
            <w:vAlign w:val="bottom"/>
          </w:tcPr>
          <w:p>
            <w:pPr>
              <w:ind w:left="440"/>
              <w:spacing w:after="0" w:line="196" w:lineRule="exact"/>
              <w:rPr>
                <w:sz w:val="20"/>
                <w:szCs w:val="20"/>
                <w:color w:val="auto"/>
              </w:rPr>
            </w:pPr>
            <w:r>
              <w:rPr>
                <w:rFonts w:ascii="Times New Roman" w:cs="Times New Roman" w:eastAsia="Times New Roman" w:hAnsi="Times New Roman"/>
                <w:sz w:val="18"/>
                <w:szCs w:val="18"/>
                <w:color w:val="auto"/>
              </w:rPr>
              <w:t>Section 11.15.</w:t>
            </w:r>
          </w:p>
        </w:tc>
        <w:tc>
          <w:tcPr>
            <w:tcW w:w="948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auto"/>
              </w:rPr>
              <w:t>Termination of Supplement</w:t>
            </w:r>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90</w:t>
            </w:r>
          </w:p>
        </w:tc>
      </w:tr>
      <w:tr>
        <w:trPr>
          <w:trHeight w:val="20"/>
        </w:trPr>
        <w:tc>
          <w:tcPr>
            <w:tcW w:w="1660" w:type="dxa"/>
            <w:vAlign w:val="bottom"/>
          </w:tcPr>
          <w:p>
            <w:pPr>
              <w:spacing w:after="0" w:line="20" w:lineRule="exact"/>
              <w:rPr>
                <w:sz w:val="1"/>
                <w:szCs w:val="1"/>
                <w:color w:val="auto"/>
              </w:rPr>
            </w:pPr>
          </w:p>
        </w:tc>
        <w:tc>
          <w:tcPr>
            <w:tcW w:w="580" w:type="dxa"/>
            <w:vAlign w:val="bottom"/>
            <w:tcBorders>
              <w:right w:val="single" w:sz="8" w:color="auto"/>
            </w:tcBorders>
            <w:shd w:val="clear" w:color="auto" w:fill="000000"/>
          </w:tcPr>
          <w:p>
            <w:pPr>
              <w:spacing w:after="0" w:line="20" w:lineRule="exact"/>
              <w:rPr>
                <w:sz w:val="1"/>
                <w:szCs w:val="1"/>
                <w:color w:val="auto"/>
              </w:rPr>
            </w:pPr>
          </w:p>
        </w:tc>
        <w:tc>
          <w:tcPr>
            <w:tcW w:w="320" w:type="dxa"/>
            <w:vAlign w:val="bottom"/>
            <w:tcBorders>
              <w:right w:val="single" w:sz="8" w:color="auto"/>
            </w:tcBorders>
            <w:shd w:val="clear" w:color="auto" w:fill="000000"/>
          </w:tcPr>
          <w:p>
            <w:pPr>
              <w:spacing w:after="0" w:line="20" w:lineRule="exact"/>
              <w:rPr>
                <w:sz w:val="1"/>
                <w:szCs w:val="1"/>
                <w:color w:val="auto"/>
              </w:rPr>
            </w:pPr>
          </w:p>
        </w:tc>
        <w:tc>
          <w:tcPr>
            <w:tcW w:w="260" w:type="dxa"/>
            <w:vAlign w:val="bottom"/>
            <w:gridSpan w:val="4"/>
            <w:shd w:val="clear" w:color="auto" w:fill="000000"/>
          </w:tcPr>
          <w:p>
            <w:pPr>
              <w:spacing w:after="0" w:line="20" w:lineRule="exact"/>
              <w:rPr>
                <w:sz w:val="1"/>
                <w:szCs w:val="1"/>
                <w:color w:val="auto"/>
              </w:rPr>
            </w:pPr>
          </w:p>
        </w:tc>
        <w:tc>
          <w:tcPr>
            <w:tcW w:w="540" w:type="dxa"/>
            <w:vAlign w:val="bottom"/>
            <w:gridSpan w:val="5"/>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500" w:type="dxa"/>
            <w:vAlign w:val="bottom"/>
            <w:tcBorders>
              <w:left w:val="single" w:sz="8" w:color="auto"/>
            </w:tcBorders>
            <w:gridSpan w:val="3"/>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6"/>
        </w:trPr>
        <w:tc>
          <w:tcPr>
            <w:tcW w:w="1660" w:type="dxa"/>
            <w:vAlign w:val="bottom"/>
          </w:tcPr>
          <w:p>
            <w:pPr>
              <w:ind w:left="440"/>
              <w:spacing w:after="0" w:line="196" w:lineRule="exact"/>
              <w:rPr>
                <w:sz w:val="20"/>
                <w:szCs w:val="20"/>
                <w:color w:val="auto"/>
              </w:rPr>
            </w:pPr>
            <w:r>
              <w:rPr>
                <w:rFonts w:ascii="Times New Roman" w:cs="Times New Roman" w:eastAsia="Times New Roman" w:hAnsi="Times New Roman"/>
                <w:sz w:val="18"/>
                <w:szCs w:val="18"/>
                <w:color w:val="auto"/>
              </w:rPr>
              <w:t>Section 11.16.</w:t>
            </w:r>
          </w:p>
        </w:tc>
        <w:tc>
          <w:tcPr>
            <w:tcW w:w="948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auto"/>
              </w:rPr>
              <w:t>Collateral Representations and Warranties of ABRCF</w:t>
            </w:r>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91</w:t>
            </w:r>
          </w:p>
        </w:tc>
      </w:tr>
      <w:tr>
        <w:trPr>
          <w:trHeight w:val="196"/>
        </w:trPr>
        <w:tc>
          <w:tcPr>
            <w:tcW w:w="1660" w:type="dxa"/>
            <w:vAlign w:val="bottom"/>
          </w:tcPr>
          <w:p>
            <w:pPr>
              <w:ind w:left="440"/>
              <w:spacing w:after="0" w:line="196" w:lineRule="exact"/>
              <w:rPr>
                <w:sz w:val="20"/>
                <w:szCs w:val="20"/>
                <w:color w:val="auto"/>
              </w:rPr>
            </w:pPr>
            <w:r>
              <w:rPr>
                <w:rFonts w:ascii="Times New Roman" w:cs="Times New Roman" w:eastAsia="Times New Roman" w:hAnsi="Times New Roman"/>
                <w:sz w:val="18"/>
                <w:szCs w:val="18"/>
                <w:color w:val="auto"/>
              </w:rPr>
              <w:t>Section 11.17.</w:t>
            </w:r>
          </w:p>
        </w:tc>
        <w:tc>
          <w:tcPr>
            <w:tcW w:w="3760" w:type="dxa"/>
            <w:vAlign w:val="bottom"/>
            <w:tcBorders>
              <w:top w:val="single" w:sz="8" w:color="auto"/>
            </w:tcBorders>
            <w:gridSpan w:val="18"/>
          </w:tcPr>
          <w:p>
            <w:pPr>
              <w:spacing w:after="0" w:line="196" w:lineRule="exact"/>
              <w:rPr>
                <w:sz w:val="20"/>
                <w:szCs w:val="20"/>
                <w:color w:val="auto"/>
              </w:rPr>
            </w:pPr>
            <w:r>
              <w:rPr>
                <w:rFonts w:ascii="Times New Roman" w:cs="Times New Roman" w:eastAsia="Times New Roman" w:hAnsi="Times New Roman"/>
                <w:sz w:val="18"/>
                <w:szCs w:val="18"/>
                <w:color w:val="auto"/>
              </w:rPr>
              <w:t>No Waiver; Cumulative Remedies</w:t>
            </w:r>
          </w:p>
        </w:tc>
        <w:tc>
          <w:tcPr>
            <w:tcW w:w="5720" w:type="dxa"/>
            <w:vAlign w:val="bottom"/>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92</w:t>
            </w:r>
          </w:p>
        </w:tc>
      </w:tr>
      <w:tr>
        <w:trPr>
          <w:trHeight w:val="196"/>
        </w:trPr>
        <w:tc>
          <w:tcPr>
            <w:tcW w:w="1660" w:type="dxa"/>
            <w:vAlign w:val="bottom"/>
          </w:tcPr>
          <w:p>
            <w:pPr>
              <w:ind w:left="440"/>
              <w:spacing w:after="0" w:line="196" w:lineRule="exact"/>
              <w:rPr>
                <w:sz w:val="20"/>
                <w:szCs w:val="20"/>
                <w:color w:val="auto"/>
              </w:rPr>
            </w:pPr>
            <w:r>
              <w:rPr>
                <w:rFonts w:ascii="Times New Roman" w:cs="Times New Roman" w:eastAsia="Times New Roman" w:hAnsi="Times New Roman"/>
                <w:sz w:val="18"/>
                <w:szCs w:val="18"/>
                <w:color w:val="auto"/>
              </w:rPr>
              <w:t>Section 11.18.</w:t>
            </w:r>
          </w:p>
        </w:tc>
        <w:tc>
          <w:tcPr>
            <w:tcW w:w="1160" w:type="dxa"/>
            <w:vAlign w:val="bottom"/>
            <w:tcBorders>
              <w:top w:val="single" w:sz="8" w:color="auto"/>
              <w:bottom w:val="single" w:sz="8" w:color="auto"/>
            </w:tcBorders>
            <w:gridSpan w:val="6"/>
          </w:tcPr>
          <w:p>
            <w:pPr>
              <w:spacing w:after="0" w:line="196" w:lineRule="exact"/>
              <w:rPr>
                <w:sz w:val="20"/>
                <w:szCs w:val="20"/>
                <w:color w:val="auto"/>
              </w:rPr>
            </w:pPr>
            <w:r>
              <w:rPr>
                <w:rFonts w:ascii="Times New Roman" w:cs="Times New Roman" w:eastAsia="Times New Roman" w:hAnsi="Times New Roman"/>
                <w:sz w:val="18"/>
                <w:szCs w:val="18"/>
                <w:color w:val="auto"/>
                <w:w w:val="94"/>
              </w:rPr>
              <w:t>Waiver of Setoff</w:t>
            </w:r>
          </w:p>
        </w:tc>
        <w:tc>
          <w:tcPr>
            <w:tcW w:w="1240" w:type="dxa"/>
            <w:vAlign w:val="bottom"/>
            <w:tcBorders>
              <w:top w:val="single" w:sz="8" w:color="auto"/>
            </w:tcBorders>
            <w:gridSpan w:val="11"/>
          </w:tcPr>
          <w:p>
            <w:pPr>
              <w:spacing w:after="0"/>
              <w:rPr>
                <w:sz w:val="17"/>
                <w:szCs w:val="17"/>
                <w:color w:val="auto"/>
              </w:rPr>
            </w:pPr>
          </w:p>
        </w:tc>
        <w:tc>
          <w:tcPr>
            <w:tcW w:w="7080" w:type="dxa"/>
            <w:vAlign w:val="bottom"/>
            <w:gridSpan w:val="2"/>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92</w:t>
            </w:r>
          </w:p>
        </w:tc>
      </w:tr>
      <w:tr>
        <w:trPr>
          <w:trHeight w:val="196"/>
        </w:trPr>
        <w:tc>
          <w:tcPr>
            <w:tcW w:w="1660" w:type="dxa"/>
            <w:vAlign w:val="bottom"/>
          </w:tcPr>
          <w:p>
            <w:pPr>
              <w:ind w:left="440"/>
              <w:spacing w:after="0" w:line="196" w:lineRule="exact"/>
              <w:rPr>
                <w:sz w:val="20"/>
                <w:szCs w:val="20"/>
                <w:color w:val="auto"/>
              </w:rPr>
            </w:pPr>
            <w:r>
              <w:rPr>
                <w:rFonts w:ascii="Times New Roman" w:cs="Times New Roman" w:eastAsia="Times New Roman" w:hAnsi="Times New Roman"/>
                <w:sz w:val="18"/>
                <w:szCs w:val="18"/>
                <w:color w:val="auto"/>
              </w:rPr>
              <w:t>Section 11.19.</w:t>
            </w:r>
          </w:p>
        </w:tc>
        <w:tc>
          <w:tcPr>
            <w:tcW w:w="580" w:type="dxa"/>
            <w:vAlign w:val="bottom"/>
            <w:tcBorders>
              <w:bottom w:val="single" w:sz="8" w:color="auto"/>
            </w:tcBorders>
          </w:tcPr>
          <w:p>
            <w:pPr>
              <w:spacing w:after="0" w:line="196" w:lineRule="exact"/>
              <w:rPr>
                <w:sz w:val="20"/>
                <w:szCs w:val="20"/>
                <w:color w:val="auto"/>
              </w:rPr>
            </w:pPr>
            <w:r>
              <w:rPr>
                <w:rFonts w:ascii="Times New Roman" w:cs="Times New Roman" w:eastAsia="Times New Roman" w:hAnsi="Times New Roman"/>
                <w:sz w:val="18"/>
                <w:szCs w:val="18"/>
                <w:color w:val="auto"/>
                <w:w w:val="98"/>
              </w:rPr>
              <w:t>Notices</w:t>
            </w:r>
          </w:p>
        </w:tc>
        <w:tc>
          <w:tcPr>
            <w:tcW w:w="8900" w:type="dxa"/>
            <w:vAlign w:val="bottom"/>
            <w:gridSpan w:val="18"/>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92</w:t>
            </w:r>
          </w:p>
        </w:tc>
      </w:tr>
      <w:tr>
        <w:trPr>
          <w:trHeight w:val="196"/>
        </w:trPr>
        <w:tc>
          <w:tcPr>
            <w:tcW w:w="1660" w:type="dxa"/>
            <w:vAlign w:val="bottom"/>
          </w:tcPr>
          <w:p>
            <w:pPr>
              <w:ind w:left="440"/>
              <w:spacing w:after="0" w:line="196" w:lineRule="exact"/>
              <w:rPr>
                <w:sz w:val="20"/>
                <w:szCs w:val="20"/>
                <w:color w:val="auto"/>
              </w:rPr>
            </w:pPr>
            <w:r>
              <w:rPr>
                <w:rFonts w:ascii="Times New Roman" w:cs="Times New Roman" w:eastAsia="Times New Roman" w:hAnsi="Times New Roman"/>
                <w:sz w:val="18"/>
                <w:szCs w:val="18"/>
                <w:color w:val="auto"/>
              </w:rPr>
              <w:t>Section 11.20.</w:t>
            </w:r>
          </w:p>
        </w:tc>
        <w:tc>
          <w:tcPr>
            <w:tcW w:w="1760" w:type="dxa"/>
            <w:vAlign w:val="bottom"/>
            <w:tcBorders>
              <w:bottom w:val="single" w:sz="8" w:color="auto"/>
            </w:tcBorders>
            <w:gridSpan w:val="12"/>
          </w:tcPr>
          <w:p>
            <w:pPr>
              <w:spacing w:after="0" w:line="196" w:lineRule="exact"/>
              <w:rPr>
                <w:sz w:val="20"/>
                <w:szCs w:val="20"/>
                <w:color w:val="auto"/>
              </w:rPr>
            </w:pPr>
            <w:r>
              <w:rPr>
                <w:rFonts w:ascii="Times New Roman" w:cs="Times New Roman" w:eastAsia="Times New Roman" w:hAnsi="Times New Roman"/>
                <w:sz w:val="18"/>
                <w:szCs w:val="18"/>
                <w:color w:val="auto"/>
                <w:w w:val="96"/>
              </w:rPr>
              <w:t>Confidential Information</w:t>
            </w:r>
          </w:p>
        </w:tc>
        <w:tc>
          <w:tcPr>
            <w:tcW w:w="7720" w:type="dxa"/>
            <w:vAlign w:val="bottom"/>
            <w:gridSpan w:val="7"/>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92</w:t>
            </w:r>
          </w:p>
        </w:tc>
      </w:tr>
      <w:tr>
        <w:trPr>
          <w:trHeight w:val="196"/>
        </w:trPr>
        <w:tc>
          <w:tcPr>
            <w:tcW w:w="1660" w:type="dxa"/>
            <w:vAlign w:val="bottom"/>
          </w:tcPr>
          <w:p>
            <w:pPr>
              <w:ind w:left="440"/>
              <w:spacing w:after="0" w:line="196" w:lineRule="exact"/>
              <w:rPr>
                <w:sz w:val="20"/>
                <w:szCs w:val="20"/>
                <w:color w:val="auto"/>
              </w:rPr>
            </w:pPr>
            <w:r>
              <w:rPr>
                <w:rFonts w:ascii="Times New Roman" w:cs="Times New Roman" w:eastAsia="Times New Roman" w:hAnsi="Times New Roman"/>
                <w:sz w:val="18"/>
                <w:szCs w:val="18"/>
                <w:color w:val="auto"/>
              </w:rPr>
              <w:t>Section 11.21.</w:t>
            </w:r>
          </w:p>
        </w:tc>
        <w:tc>
          <w:tcPr>
            <w:tcW w:w="900" w:type="dxa"/>
            <w:vAlign w:val="bottom"/>
            <w:tcBorders>
              <w:bottom w:val="single" w:sz="8" w:color="auto"/>
            </w:tcBorders>
            <w:gridSpan w:val="2"/>
          </w:tcPr>
          <w:p>
            <w:pPr>
              <w:spacing w:after="0" w:line="196" w:lineRule="exact"/>
              <w:rPr>
                <w:sz w:val="20"/>
                <w:szCs w:val="20"/>
                <w:color w:val="auto"/>
              </w:rPr>
            </w:pPr>
            <w:r>
              <w:rPr>
                <w:rFonts w:ascii="Times New Roman" w:cs="Times New Roman" w:eastAsia="Times New Roman" w:hAnsi="Times New Roman"/>
                <w:sz w:val="18"/>
                <w:szCs w:val="18"/>
                <w:color w:val="auto"/>
                <w:w w:val="99"/>
              </w:rPr>
              <w:t>Information</w:t>
            </w:r>
          </w:p>
        </w:tc>
        <w:tc>
          <w:tcPr>
            <w:tcW w:w="8580" w:type="dxa"/>
            <w:vAlign w:val="bottom"/>
            <w:gridSpan w:val="17"/>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94</w:t>
            </w:r>
          </w:p>
        </w:tc>
      </w:tr>
      <w:tr>
        <w:trPr>
          <w:trHeight w:val="196"/>
        </w:trPr>
        <w:tc>
          <w:tcPr>
            <w:tcW w:w="1660" w:type="dxa"/>
            <w:vAlign w:val="bottom"/>
          </w:tcPr>
          <w:p>
            <w:pPr>
              <w:ind w:left="440"/>
              <w:spacing w:after="0" w:line="196" w:lineRule="exact"/>
              <w:rPr>
                <w:sz w:val="20"/>
                <w:szCs w:val="20"/>
                <w:color w:val="auto"/>
              </w:rPr>
            </w:pPr>
            <w:r>
              <w:rPr>
                <w:rFonts w:ascii="Times New Roman" w:cs="Times New Roman" w:eastAsia="Times New Roman" w:hAnsi="Times New Roman"/>
                <w:sz w:val="18"/>
                <w:szCs w:val="18"/>
                <w:color w:val="auto"/>
              </w:rPr>
              <w:t>Section 11.22.</w:t>
            </w:r>
          </w:p>
        </w:tc>
        <w:tc>
          <w:tcPr>
            <w:tcW w:w="948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auto"/>
              </w:rPr>
              <w:t>Waiver of Jury Trial, etc.</w:t>
            </w:r>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94</w:t>
            </w:r>
          </w:p>
        </w:tc>
      </w:tr>
      <w:tr>
        <w:trPr>
          <w:trHeight w:val="20"/>
        </w:trPr>
        <w:tc>
          <w:tcPr>
            <w:tcW w:w="1660" w:type="dxa"/>
            <w:vAlign w:val="bottom"/>
          </w:tcPr>
          <w:p>
            <w:pPr>
              <w:spacing w:after="0" w:line="20" w:lineRule="exact"/>
              <w:rPr>
                <w:sz w:val="1"/>
                <w:szCs w:val="1"/>
                <w:color w:val="auto"/>
              </w:rPr>
            </w:pPr>
          </w:p>
        </w:tc>
        <w:tc>
          <w:tcPr>
            <w:tcW w:w="1700" w:type="dxa"/>
            <w:vAlign w:val="bottom"/>
            <w:gridSpan w:val="11"/>
            <w:shd w:val="clear" w:color="auto" w:fill="000000"/>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7580" w:type="dxa"/>
            <w:vAlign w:val="bottom"/>
            <w:gridSpan w:val="5"/>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6"/>
        </w:trPr>
        <w:tc>
          <w:tcPr>
            <w:tcW w:w="1660" w:type="dxa"/>
            <w:vAlign w:val="bottom"/>
          </w:tcPr>
          <w:p>
            <w:pPr>
              <w:ind w:left="440"/>
              <w:spacing w:after="0" w:line="196" w:lineRule="exact"/>
              <w:rPr>
                <w:sz w:val="20"/>
                <w:szCs w:val="20"/>
                <w:color w:val="auto"/>
              </w:rPr>
            </w:pPr>
            <w:r>
              <w:rPr>
                <w:rFonts w:ascii="Times New Roman" w:cs="Times New Roman" w:eastAsia="Times New Roman" w:hAnsi="Times New Roman"/>
                <w:sz w:val="18"/>
                <w:szCs w:val="18"/>
                <w:color w:val="auto"/>
              </w:rPr>
              <w:t>Section 11.23.</w:t>
            </w:r>
          </w:p>
        </w:tc>
        <w:tc>
          <w:tcPr>
            <w:tcW w:w="948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auto"/>
              </w:rPr>
              <w:t>Submission To Jurisdiction</w:t>
            </w:r>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94</w:t>
            </w:r>
          </w:p>
        </w:tc>
      </w:tr>
      <w:tr>
        <w:trPr>
          <w:trHeight w:val="20"/>
        </w:trPr>
        <w:tc>
          <w:tcPr>
            <w:tcW w:w="1660" w:type="dxa"/>
            <w:vAlign w:val="bottom"/>
          </w:tcPr>
          <w:p>
            <w:pPr>
              <w:spacing w:after="0" w:line="20" w:lineRule="exact"/>
              <w:rPr>
                <w:sz w:val="1"/>
                <w:szCs w:val="1"/>
                <w:color w:val="auto"/>
              </w:rPr>
            </w:pPr>
          </w:p>
        </w:tc>
        <w:tc>
          <w:tcPr>
            <w:tcW w:w="580" w:type="dxa"/>
            <w:vAlign w:val="bottom"/>
            <w:tcBorders>
              <w:right w:val="single" w:sz="8" w:color="auto"/>
            </w:tcBorders>
            <w:shd w:val="clear" w:color="auto" w:fill="000000"/>
          </w:tcPr>
          <w:p>
            <w:pPr>
              <w:spacing w:after="0" w:line="20" w:lineRule="exact"/>
              <w:rPr>
                <w:sz w:val="1"/>
                <w:szCs w:val="1"/>
                <w:color w:val="auto"/>
              </w:rPr>
            </w:pPr>
          </w:p>
        </w:tc>
        <w:tc>
          <w:tcPr>
            <w:tcW w:w="32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bl>
    <w:p>
      <w:pPr>
        <w:spacing w:after="0" w:line="16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8"/>
          <w:szCs w:val="18"/>
          <w:color w:val="auto"/>
        </w:rPr>
        <w:t>iii</w:t>
      </w:r>
    </w:p>
    <w:p>
      <w:pPr>
        <w:sectPr>
          <w:pgSz w:w="11900" w:h="16838" w:orient="portrait"/>
          <w:cols w:equalWidth="0" w:num="1">
            <w:col w:w="11420"/>
          </w:cols>
          <w:pgMar w:left="240" w:top="272" w:right="239" w:bottom="1440" w:gutter="0" w:footer="0" w:header="0"/>
        </w:sectPr>
      </w:pPr>
    </w:p>
    <w:bookmarkStart w:id="274" w:name="page275"/>
    <w:bookmarkEnd w:id="274"/>
    <w:p>
      <w:pPr>
        <w:jc w:val="right"/>
        <w:spacing w:after="0"/>
        <w:rPr>
          <w:sz w:val="20"/>
          <w:szCs w:val="20"/>
          <w:color w:val="auto"/>
        </w:rPr>
      </w:pPr>
      <w:r>
        <w:rPr>
          <w:rFonts w:ascii="Times New Roman" w:cs="Times New Roman" w:eastAsia="Times New Roman" w:hAnsi="Times New Roman"/>
          <w:sz w:val="18"/>
          <w:szCs w:val="18"/>
          <w:b w:val="1"/>
          <w:bCs w:val="1"/>
          <w:color w:val="auto"/>
        </w:rPr>
        <w:t>Exhibit 10.41(b)</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FIRST AMENDMENT TO THE SERIES 2009-3 SUPPLEMENT</w:t>
      </w:r>
    </w:p>
    <w:p>
      <w:pPr>
        <w:spacing w:after="0" w:line="171" w:lineRule="exact"/>
        <w:rPr>
          <w:sz w:val="20"/>
          <w:szCs w:val="20"/>
          <w:color w:val="auto"/>
        </w:rPr>
      </w:pPr>
    </w:p>
    <w:p>
      <w:pPr>
        <w:ind w:right="20" w:firstLine="913"/>
        <w:spacing w:after="0" w:line="287" w:lineRule="auto"/>
        <w:rPr>
          <w:sz w:val="20"/>
          <w:szCs w:val="20"/>
          <w:color w:val="auto"/>
        </w:rPr>
      </w:pPr>
      <w:r>
        <w:rPr>
          <w:rFonts w:ascii="Times New Roman" w:cs="Times New Roman" w:eastAsia="Times New Roman" w:hAnsi="Times New Roman"/>
          <w:sz w:val="16"/>
          <w:szCs w:val="16"/>
          <w:color w:val="auto"/>
        </w:rPr>
        <w:t>This FIRST AMENDMENT TO THE SERIES 2009-3 SUPPLEMENT (this “</w:t>
      </w:r>
      <w:r>
        <w:rPr>
          <w:rFonts w:ascii="Times New Roman" w:cs="Times New Roman" w:eastAsia="Times New Roman" w:hAnsi="Times New Roman"/>
          <w:sz w:val="16"/>
          <w:szCs w:val="16"/>
          <w:u w:val="single" w:color="auto"/>
          <w:color w:val="auto"/>
        </w:rPr>
        <w:t>Amendment</w:t>
      </w:r>
      <w:r>
        <w:rPr>
          <w:rFonts w:ascii="Times New Roman" w:cs="Times New Roman" w:eastAsia="Times New Roman" w:hAnsi="Times New Roman"/>
          <w:sz w:val="16"/>
          <w:szCs w:val="16"/>
          <w:color w:val="auto"/>
        </w:rPr>
        <w:t>”), dated as of December 8, 2009, amends the Series 2009-3 Supplement (the “</w:t>
      </w:r>
      <w:r>
        <w:rPr>
          <w:rFonts w:ascii="Times New Roman" w:cs="Times New Roman" w:eastAsia="Times New Roman" w:hAnsi="Times New Roman"/>
          <w:sz w:val="16"/>
          <w:szCs w:val="16"/>
          <w:u w:val="single" w:color="auto"/>
          <w:color w:val="auto"/>
        </w:rPr>
        <w:t>Series 2009-3 Supplement</w:t>
      </w:r>
      <w:r>
        <w:rPr>
          <w:rFonts w:ascii="Times New Roman" w:cs="Times New Roman" w:eastAsia="Times New Roman" w:hAnsi="Times New Roman"/>
          <w:sz w:val="16"/>
          <w:szCs w:val="16"/>
          <w:color w:val="auto"/>
        </w:rPr>
        <w:t>”), dated as of November 5, 2009, among AVIS BUDGET RENTAL CAR FUNDING (AESOP) LLC, a special purpose limited liability company established under the laws of Delaware (“</w:t>
      </w:r>
      <w:r>
        <w:rPr>
          <w:rFonts w:ascii="Times New Roman" w:cs="Times New Roman" w:eastAsia="Times New Roman" w:hAnsi="Times New Roman"/>
          <w:sz w:val="16"/>
          <w:szCs w:val="16"/>
          <w:u w:val="single" w:color="auto"/>
          <w:color w:val="auto"/>
        </w:rPr>
        <w:t>ABRCF</w:t>
      </w:r>
      <w:r>
        <w:rPr>
          <w:rFonts w:ascii="Times New Roman" w:cs="Times New Roman" w:eastAsia="Times New Roman" w:hAnsi="Times New Roman"/>
          <w:sz w:val="16"/>
          <w:szCs w:val="16"/>
          <w:color w:val="auto"/>
        </w:rPr>
        <w:t>”), AVIS BUDGET CAR RENTAL, LLC, a limited liability company established under the laws of Delaware, as administrator (the “</w:t>
      </w:r>
      <w:r>
        <w:rPr>
          <w:rFonts w:ascii="Times New Roman" w:cs="Times New Roman" w:eastAsia="Times New Roman" w:hAnsi="Times New Roman"/>
          <w:sz w:val="16"/>
          <w:szCs w:val="16"/>
          <w:u w:val="single" w:color="auto"/>
          <w:color w:val="auto"/>
        </w:rPr>
        <w:t>Administrator</w:t>
      </w:r>
      <w:r>
        <w:rPr>
          <w:rFonts w:ascii="Times New Roman" w:cs="Times New Roman" w:eastAsia="Times New Roman" w:hAnsi="Times New Roman"/>
          <w:sz w:val="16"/>
          <w:szCs w:val="16"/>
          <w:color w:val="auto"/>
        </w:rPr>
        <w:t>”), DEUTSCHE BANK AG, NEW YORK BRANCH, as administrative agent (the “</w:t>
      </w:r>
      <w:r>
        <w:rPr>
          <w:rFonts w:ascii="Times New Roman" w:cs="Times New Roman" w:eastAsia="Times New Roman" w:hAnsi="Times New Roman"/>
          <w:sz w:val="16"/>
          <w:szCs w:val="16"/>
          <w:u w:val="single" w:color="auto"/>
          <w:color w:val="auto"/>
        </w:rPr>
        <w:t>Administrative Agent</w:t>
      </w:r>
      <w:r>
        <w:rPr>
          <w:rFonts w:ascii="Times New Roman" w:cs="Times New Roman" w:eastAsia="Times New Roman" w:hAnsi="Times New Roman"/>
          <w:sz w:val="16"/>
          <w:szCs w:val="16"/>
          <w:color w:val="auto"/>
        </w:rPr>
        <w:t>”), the several commercial paper conduits listed on Schedule I thereto (each a “</w:t>
      </w:r>
      <w:r>
        <w:rPr>
          <w:rFonts w:ascii="Times New Roman" w:cs="Times New Roman" w:eastAsia="Times New Roman" w:hAnsi="Times New Roman"/>
          <w:sz w:val="16"/>
          <w:szCs w:val="16"/>
          <w:u w:val="single" w:color="auto"/>
          <w:color w:val="auto"/>
        </w:rPr>
        <w:t>CP Conduit Purchaser</w:t>
      </w:r>
      <w:r>
        <w:rPr>
          <w:rFonts w:ascii="Times New Roman" w:cs="Times New Roman" w:eastAsia="Times New Roman" w:hAnsi="Times New Roman"/>
          <w:sz w:val="16"/>
          <w:szCs w:val="16"/>
          <w:color w:val="auto"/>
        </w:rPr>
        <w:t>”), the several banks set forth opposite the name of each CP Conduit Purchaser on Schedule I thereto (each an “</w:t>
      </w:r>
      <w:r>
        <w:rPr>
          <w:rFonts w:ascii="Times New Roman" w:cs="Times New Roman" w:eastAsia="Times New Roman" w:hAnsi="Times New Roman"/>
          <w:sz w:val="16"/>
          <w:szCs w:val="16"/>
          <w:u w:val="single" w:color="auto"/>
          <w:color w:val="auto"/>
        </w:rPr>
        <w:t>APA Bank</w:t>
      </w:r>
      <w:r>
        <w:rPr>
          <w:rFonts w:ascii="Times New Roman" w:cs="Times New Roman" w:eastAsia="Times New Roman" w:hAnsi="Times New Roman"/>
          <w:sz w:val="16"/>
          <w:szCs w:val="16"/>
          <w:color w:val="auto"/>
        </w:rPr>
        <w:t>” with respect to such CP Conduit Purchaser), the several agent banks set forth opposite the name of each CP Conduit Purchaser on Schedule I thereto (each a “</w:t>
      </w:r>
      <w:r>
        <w:rPr>
          <w:rFonts w:ascii="Times New Roman" w:cs="Times New Roman" w:eastAsia="Times New Roman" w:hAnsi="Times New Roman"/>
          <w:sz w:val="16"/>
          <w:szCs w:val="16"/>
          <w:u w:val="single" w:color="auto"/>
          <w:color w:val="auto"/>
        </w:rPr>
        <w:t>Funding Agent</w:t>
      </w:r>
      <w:r>
        <w:rPr>
          <w:rFonts w:ascii="Times New Roman" w:cs="Times New Roman" w:eastAsia="Times New Roman" w:hAnsi="Times New Roman"/>
          <w:sz w:val="16"/>
          <w:szCs w:val="16"/>
          <w:color w:val="auto"/>
        </w:rPr>
        <w:t>” with respect to such CP Conduit Purchaser), THE BANK OF NEW YORK MELLON TRUST COMPANY, N.A., a national banking association, as trustee (in such capacity, the “</w:t>
      </w:r>
      <w:r>
        <w:rPr>
          <w:rFonts w:ascii="Times New Roman" w:cs="Times New Roman" w:eastAsia="Times New Roman" w:hAnsi="Times New Roman"/>
          <w:sz w:val="16"/>
          <w:szCs w:val="16"/>
          <w:u w:val="single" w:color="auto"/>
          <w:color w:val="auto"/>
        </w:rPr>
        <w:t>Trustee</w:t>
      </w:r>
      <w:r>
        <w:rPr>
          <w:rFonts w:ascii="Times New Roman" w:cs="Times New Roman" w:eastAsia="Times New Roman" w:hAnsi="Times New Roman"/>
          <w:sz w:val="16"/>
          <w:szCs w:val="16"/>
          <w:color w:val="auto"/>
        </w:rPr>
        <w:t>”) and as agent for the benefit of the Series 2009-3 Noteholders (in such capacity, the “</w:t>
      </w:r>
      <w:r>
        <w:rPr>
          <w:rFonts w:ascii="Times New Roman" w:cs="Times New Roman" w:eastAsia="Times New Roman" w:hAnsi="Times New Roman"/>
          <w:sz w:val="16"/>
          <w:szCs w:val="16"/>
          <w:u w:val="single" w:color="auto"/>
          <w:color w:val="auto"/>
        </w:rPr>
        <w:t>Series 2009-3 Agent</w:t>
      </w:r>
      <w:r>
        <w:rPr>
          <w:rFonts w:ascii="Times New Roman" w:cs="Times New Roman" w:eastAsia="Times New Roman" w:hAnsi="Times New Roman"/>
          <w:sz w:val="16"/>
          <w:szCs w:val="16"/>
          <w:color w:val="auto"/>
        </w:rPr>
        <w:t>”), to the Second Amended and Restated Base Indenture, dated as of June 3, 2004, between ABRCF and the Trustee (as amended, modified or supplemented from time to time, exclusive of Supplements creating a new Series of Notes, the “</w:t>
      </w:r>
      <w:r>
        <w:rPr>
          <w:rFonts w:ascii="Times New Roman" w:cs="Times New Roman" w:eastAsia="Times New Roman" w:hAnsi="Times New Roman"/>
          <w:sz w:val="16"/>
          <w:szCs w:val="16"/>
          <w:u w:val="single" w:color="auto"/>
          <w:color w:val="auto"/>
        </w:rPr>
        <w:t>Base Indenture</w:t>
      </w:r>
      <w:r>
        <w:rPr>
          <w:rFonts w:ascii="Times New Roman" w:cs="Times New Roman" w:eastAsia="Times New Roman" w:hAnsi="Times New Roman"/>
          <w:sz w:val="16"/>
          <w:szCs w:val="16"/>
          <w:color w:val="auto"/>
        </w:rPr>
        <w:t>”). All capitalized terms used herein and not otherwise defined herein shall have the respective meanings provided therefor in the Definitions List attached as Schedule I to the Base Indenture (as amended through the date hereof) or the Series 2009-3 Supplement, as applicable.</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W I T N E S S E T H</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ind w:right="160" w:firstLine="913"/>
        <w:spacing w:after="0" w:line="275" w:lineRule="auto"/>
        <w:rPr>
          <w:sz w:val="20"/>
          <w:szCs w:val="20"/>
          <w:color w:val="auto"/>
        </w:rPr>
      </w:pPr>
      <w:r>
        <w:rPr>
          <w:rFonts w:ascii="Times New Roman" w:cs="Times New Roman" w:eastAsia="Times New Roman" w:hAnsi="Times New Roman"/>
          <w:sz w:val="18"/>
          <w:szCs w:val="18"/>
          <w:color w:val="auto"/>
        </w:rPr>
        <w:t>WHEREAS, pursuant to Section 12.2 of the Base Indenture, any Supplement thereto may be amended with the consent of ABRCF, the Trustee and the Required Noteholders of the applicable Series of Notes, so long as such amendment only affects the Noteholders of such Series of Notes;</w:t>
      </w:r>
    </w:p>
    <w:p>
      <w:pPr>
        <w:spacing w:after="0" w:line="120" w:lineRule="exact"/>
        <w:rPr>
          <w:sz w:val="20"/>
          <w:szCs w:val="20"/>
          <w:color w:val="auto"/>
        </w:rPr>
      </w:pPr>
    </w:p>
    <w:p>
      <w:pPr>
        <w:ind w:right="240" w:firstLine="913"/>
        <w:spacing w:after="0" w:line="262" w:lineRule="auto"/>
        <w:rPr>
          <w:sz w:val="20"/>
          <w:szCs w:val="20"/>
          <w:color w:val="auto"/>
        </w:rPr>
      </w:pPr>
      <w:r>
        <w:rPr>
          <w:rFonts w:ascii="Times New Roman" w:cs="Times New Roman" w:eastAsia="Times New Roman" w:hAnsi="Times New Roman"/>
          <w:sz w:val="18"/>
          <w:szCs w:val="18"/>
          <w:color w:val="auto"/>
        </w:rPr>
        <w:t>WHEREAS, pursuant to Section 11.11 of the Series 2009-3 Supplement (i) such Supplement may be amended in accordance with the terms of the Base Indenture and (ii) if the consent of the Required Noteholders is required for an amendment pursuant to the Base Indenture, such requirement shall be satisfied if such amendment is consented to by the Requisite Noteholders;</w:t>
      </w:r>
    </w:p>
    <w:p>
      <w:pPr>
        <w:spacing w:after="0" w:line="132" w:lineRule="exact"/>
        <w:rPr>
          <w:sz w:val="20"/>
          <w:szCs w:val="20"/>
          <w:color w:val="auto"/>
        </w:rPr>
      </w:pPr>
    </w:p>
    <w:p>
      <w:pPr>
        <w:ind w:right="460" w:firstLine="913"/>
        <w:spacing w:after="0" w:line="275" w:lineRule="auto"/>
        <w:rPr>
          <w:sz w:val="20"/>
          <w:szCs w:val="20"/>
          <w:color w:val="auto"/>
        </w:rPr>
      </w:pPr>
      <w:r>
        <w:rPr>
          <w:rFonts w:ascii="Times New Roman" w:cs="Times New Roman" w:eastAsia="Times New Roman" w:hAnsi="Times New Roman"/>
          <w:sz w:val="18"/>
          <w:szCs w:val="18"/>
          <w:color w:val="auto"/>
        </w:rPr>
        <w:t>WHEREAS, the parties desire to amend the Series 2009-3 Supplement to modify a condition precedent to any increase of the Purchaser Group Invested Amounts; and</w:t>
      </w:r>
    </w:p>
    <w:p>
      <w:pPr>
        <w:spacing w:after="0" w:line="120" w:lineRule="exact"/>
        <w:rPr>
          <w:sz w:val="20"/>
          <w:szCs w:val="20"/>
          <w:color w:val="auto"/>
        </w:rPr>
      </w:pPr>
    </w:p>
    <w:p>
      <w:pPr>
        <w:ind w:right="180" w:firstLine="913"/>
        <w:spacing w:after="0" w:line="262" w:lineRule="auto"/>
        <w:rPr>
          <w:sz w:val="20"/>
          <w:szCs w:val="20"/>
          <w:color w:val="auto"/>
        </w:rPr>
      </w:pPr>
      <w:r>
        <w:rPr>
          <w:rFonts w:ascii="Times New Roman" w:cs="Times New Roman" w:eastAsia="Times New Roman" w:hAnsi="Times New Roman"/>
          <w:sz w:val="18"/>
          <w:szCs w:val="18"/>
          <w:color w:val="auto"/>
        </w:rPr>
        <w:t>WHEREAS, ABRCF has requested the Trustee, the Series 2009-3 Agent, the Administrator, the Administrative Agent and the Series 2009-3 Noteholders to, and, upon the effectiveness of this Amendment, ABRCF, the Trustee, the Series 2009-3 Agent, the Administrator, the Administrative Agent and each Series 2009-3 Noteholder party hereto have agreed to, amend a certain provision of the Series 2009-3 Supplement as set forth herein;</w:t>
      </w:r>
    </w:p>
    <w:p>
      <w:pPr>
        <w:spacing w:after="0" w:line="13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NOW, THEREFORE, it is agreed:</w:t>
      </w:r>
    </w:p>
    <w:p>
      <w:pPr>
        <w:sectPr>
          <w:pgSz w:w="11900" w:h="16838" w:orient="portrait"/>
          <w:cols w:equalWidth="0" w:num="1">
            <w:col w:w="11420"/>
          </w:cols>
          <w:pgMar w:left="240" w:top="123" w:right="239" w:bottom="1440" w:gutter="0" w:footer="0" w:header="0"/>
        </w:sectPr>
      </w:pPr>
    </w:p>
    <w:bookmarkStart w:id="275" w:name="page276"/>
    <w:bookmarkEnd w:id="275"/>
    <w:p>
      <w:pPr>
        <w:ind w:left="9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1. </w:t>
      </w:r>
      <w:r>
        <w:rPr>
          <w:rFonts w:ascii="Times New Roman" w:cs="Times New Roman" w:eastAsia="Times New Roman" w:hAnsi="Times New Roman"/>
          <w:sz w:val="18"/>
          <w:szCs w:val="18"/>
          <w:u w:val="single" w:color="auto"/>
          <w:color w:val="auto"/>
        </w:rPr>
        <w:t>Amendment to Section 2.3(c)(iv)</w:t>
      </w:r>
      <w:r>
        <w:rPr>
          <w:rFonts w:ascii="Times New Roman" w:cs="Times New Roman" w:eastAsia="Times New Roman" w:hAnsi="Times New Roman"/>
          <w:sz w:val="18"/>
          <w:szCs w:val="18"/>
          <w:color w:val="auto"/>
        </w:rPr>
        <w:t>. Section 2.3(c)(iv) of the Series 2009-3 Supplement is hereby amended and restated in its entirety as follows:</w:t>
      </w:r>
    </w:p>
    <w:p>
      <w:pPr>
        <w:spacing w:after="0" w:line="90" w:lineRule="exact"/>
        <w:rPr>
          <w:sz w:val="20"/>
          <w:szCs w:val="20"/>
          <w:color w:val="auto"/>
        </w:rPr>
      </w:pPr>
    </w:p>
    <w:p>
      <w:pPr>
        <w:ind w:left="460" w:right="80"/>
        <w:spacing w:after="0" w:line="258" w:lineRule="auto"/>
        <w:rPr>
          <w:sz w:val="20"/>
          <w:szCs w:val="20"/>
          <w:color w:val="auto"/>
        </w:rPr>
      </w:pPr>
      <w:r>
        <w:rPr>
          <w:rFonts w:ascii="Times New Roman" w:cs="Times New Roman" w:eastAsia="Times New Roman" w:hAnsi="Times New Roman"/>
          <w:sz w:val="18"/>
          <w:szCs w:val="18"/>
          <w:color w:val="auto"/>
        </w:rPr>
        <w:t>“(iv) no Amortization Event or Potential Amortization Event (in each case, other than an Amortization Event or Potential Amortization Event in respect of another Series of Notes solely resulting from a Surety Default (as such term is defined in the Supplement pursuant to which such other Series of Notes was issued)) has occurred and is continuing on the Series 2009-3 Closing Date or such Increase Date, as applicable, or would occur and be continuing after giving effect to such Series 2009-3 Initial Invested Amount or such Increase;”</w:t>
      </w:r>
    </w:p>
    <w:p>
      <w:pPr>
        <w:spacing w:after="0" w:line="136" w:lineRule="exact"/>
        <w:rPr>
          <w:sz w:val="20"/>
          <w:szCs w:val="20"/>
          <w:color w:val="auto"/>
        </w:rPr>
      </w:pPr>
    </w:p>
    <w:p>
      <w:pPr>
        <w:ind w:right="60" w:firstLine="921"/>
        <w:spacing w:after="0" w:line="262" w:lineRule="auto"/>
        <w:tabs>
          <w:tab w:leader="none" w:pos="1088"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Direction</w:t>
      </w:r>
      <w:r>
        <w:rPr>
          <w:rFonts w:ascii="Times New Roman" w:cs="Times New Roman" w:eastAsia="Times New Roman" w:hAnsi="Times New Roman"/>
          <w:sz w:val="18"/>
          <w:szCs w:val="18"/>
          <w:color w:val="auto"/>
        </w:rPr>
        <w:t>. By their signatures hereto, each of the undersigned (excluding The Bank of New York Mellon Trust Company, N.A., in its capacity as Trustee and Series 2009-3 Agent) hereby authorize and direct the Trustee and Series 2009-3 Agent to execute this Amendment and take any and all further action necessary or appropriate to give effect to the transaction contemplated hereby.</w:t>
      </w:r>
    </w:p>
    <w:p>
      <w:pPr>
        <w:spacing w:after="0" w:line="132" w:lineRule="exact"/>
        <w:rPr>
          <w:rFonts w:ascii="Times New Roman" w:cs="Times New Roman" w:eastAsia="Times New Roman" w:hAnsi="Times New Roman"/>
          <w:sz w:val="18"/>
          <w:szCs w:val="18"/>
          <w:color w:val="auto"/>
        </w:rPr>
      </w:pPr>
    </w:p>
    <w:p>
      <w:pPr>
        <w:ind w:right="320" w:firstLine="921"/>
        <w:spacing w:after="0" w:line="275" w:lineRule="auto"/>
        <w:tabs>
          <w:tab w:leader="none" w:pos="1088"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Amendment is limited as specified and, except as expressly stated herein, shall not constitute a modification, acceptance or waiver of any other provision of the Series 2009-3 Supplement.</w:t>
      </w:r>
    </w:p>
    <w:p>
      <w:pPr>
        <w:spacing w:after="0" w:line="119" w:lineRule="exact"/>
        <w:rPr>
          <w:rFonts w:ascii="Times New Roman" w:cs="Times New Roman" w:eastAsia="Times New Roman" w:hAnsi="Times New Roman"/>
          <w:sz w:val="18"/>
          <w:szCs w:val="18"/>
          <w:color w:val="auto"/>
        </w:rPr>
      </w:pPr>
    </w:p>
    <w:p>
      <w:pPr>
        <w:ind w:firstLine="921"/>
        <w:spacing w:after="0" w:line="285" w:lineRule="auto"/>
        <w:tabs>
          <w:tab w:leader="none" w:pos="1088" w:val="left"/>
        </w:tabs>
        <w:numPr>
          <w:ilvl w:val="0"/>
          <w:numId w:val="20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Amendment shall become effective on the date (the “</w:t>
      </w:r>
      <w:r>
        <w:rPr>
          <w:rFonts w:ascii="Times New Roman" w:cs="Times New Roman" w:eastAsia="Times New Roman" w:hAnsi="Times New Roman"/>
          <w:sz w:val="16"/>
          <w:szCs w:val="16"/>
          <w:u w:val="single" w:color="auto"/>
          <w:color w:val="auto"/>
        </w:rPr>
        <w:t>Series 2009-3 First Amendment Effective Date</w:t>
      </w:r>
      <w:r>
        <w:rPr>
          <w:rFonts w:ascii="Times New Roman" w:cs="Times New Roman" w:eastAsia="Times New Roman" w:hAnsi="Times New Roman"/>
          <w:sz w:val="16"/>
          <w:szCs w:val="16"/>
          <w:color w:val="auto"/>
        </w:rPr>
        <w:t>”) that is the later of (a) the date hereof or (b) the first date on which each of the following have occurred: (i) each of ABRCF, the Administrator, the Administrative Agent and the Requisite Noteholders shall have executed and delivered this Amendment to the Trustee, and the Trustee shall have executed this Amendment, (ii) the Rating Agency Consent Condition shall have been satisfied with respect to this Amendment, (iii) Standard &amp; Poor’s shall have confirmed that this Amendment shall not result in a withdrawal or downgrade of the rating of the Commercial Paper issued by any CP Conduit Purchaser whose Commercial Paper is rated by Standard &amp; Poor’s on the Series</w:t>
      </w:r>
    </w:p>
    <w:p>
      <w:pPr>
        <w:ind w:right="220"/>
        <w:spacing w:after="0" w:line="261" w:lineRule="auto"/>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2009-3 First Amendment Effective Date and (iv) all certificates and opinions of counsel required under the Base Indenture or by the Series 2009-3 Noteholders shall have been delivered to the Trustee and the Series 2009-3 Noteholders, as applicable.</w:t>
      </w:r>
    </w:p>
    <w:p>
      <w:pPr>
        <w:spacing w:after="0" w:line="131" w:lineRule="exact"/>
        <w:rPr>
          <w:rFonts w:ascii="Times New Roman" w:cs="Times New Roman" w:eastAsia="Times New Roman" w:hAnsi="Times New Roman"/>
          <w:sz w:val="16"/>
          <w:szCs w:val="16"/>
          <w:color w:val="auto"/>
        </w:rPr>
      </w:pPr>
    </w:p>
    <w:p>
      <w:pPr>
        <w:ind w:right="740" w:firstLine="921"/>
        <w:spacing w:after="0" w:line="275" w:lineRule="auto"/>
        <w:tabs>
          <w:tab w:leader="none" w:pos="1088"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and after the Series 2009-3 First Amendment Effective Date, all references to the Series 2009-3 Supplement shall be deemed to be references to the Series 2009-3 Supplement as amended hereby.</w:t>
      </w:r>
    </w:p>
    <w:p>
      <w:pPr>
        <w:spacing w:after="0" w:line="119" w:lineRule="exact"/>
        <w:rPr>
          <w:rFonts w:ascii="Times New Roman" w:cs="Times New Roman" w:eastAsia="Times New Roman" w:hAnsi="Times New Roman"/>
          <w:sz w:val="18"/>
          <w:szCs w:val="18"/>
          <w:color w:val="auto"/>
        </w:rPr>
      </w:pPr>
    </w:p>
    <w:p>
      <w:pPr>
        <w:ind w:right="540" w:firstLine="921"/>
        <w:spacing w:after="0" w:line="275" w:lineRule="auto"/>
        <w:tabs>
          <w:tab w:leader="none" w:pos="1088"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Amendment may be executed in separate counterparts by the parties hereto, each of which when so executed and delivered shall be an original but all of which shall together constitute one and the same instrument.</w:t>
      </w:r>
    </w:p>
    <w:p>
      <w:pPr>
        <w:spacing w:after="0" w:line="119" w:lineRule="exact"/>
        <w:rPr>
          <w:rFonts w:ascii="Times New Roman" w:cs="Times New Roman" w:eastAsia="Times New Roman" w:hAnsi="Times New Roman"/>
          <w:sz w:val="18"/>
          <w:szCs w:val="18"/>
          <w:color w:val="auto"/>
        </w:rPr>
      </w:pPr>
    </w:p>
    <w:p>
      <w:pPr>
        <w:ind w:right="940" w:firstLine="921"/>
        <w:spacing w:after="0" w:line="275" w:lineRule="auto"/>
        <w:tabs>
          <w:tab w:leader="none" w:pos="1088"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AMENDMENT AND THE RIGHTS AND OBLIGATIONS OF THE PARTIES HEREUNDER SHALL BE CONSTRUED IN ACCORDANCE WITH AND GOVERNED BY THE LAWS OF THE STATE OF NEW YORK.</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20"/>
          </w:cols>
          <w:pgMar w:left="240" w:top="274" w:right="239" w:bottom="1440" w:gutter="0" w:footer="0" w:header="0"/>
        </w:sectPr>
      </w:pPr>
    </w:p>
    <w:bookmarkStart w:id="276" w:name="page277"/>
    <w:bookmarkEnd w:id="276"/>
    <w:p>
      <w:pPr>
        <w:ind w:firstLine="913"/>
        <w:spacing w:after="0" w:line="27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hereto have caused this Amendment to be duly executed by their respective duly authorized officers as of the date above first written.</w:t>
      </w:r>
    </w:p>
    <w:p>
      <w:pPr>
        <w:spacing w:after="0" w:line="160"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AVIS BUDGET RENTAL CAR FUNDING</w:t>
      </w:r>
    </w:p>
    <w:p>
      <w:pPr>
        <w:spacing w:after="0" w:line="21" w:lineRule="exact"/>
        <w:rPr>
          <w:sz w:val="20"/>
          <w:szCs w:val="20"/>
          <w:color w:val="auto"/>
        </w:rPr>
      </w:pPr>
    </w:p>
    <w:p>
      <w:pPr>
        <w:ind w:left="7080"/>
        <w:spacing w:after="0"/>
        <w:rPr>
          <w:sz w:val="20"/>
          <w:szCs w:val="20"/>
          <w:color w:val="auto"/>
        </w:rPr>
      </w:pPr>
      <w:r>
        <w:rPr>
          <w:rFonts w:ascii="Times New Roman" w:cs="Times New Roman" w:eastAsia="Times New Roman" w:hAnsi="Times New Roman"/>
          <w:sz w:val="18"/>
          <w:szCs w:val="18"/>
          <w:color w:val="auto"/>
        </w:rPr>
        <w:t>(AESOP) LLC, as Issuer</w:t>
      </w:r>
    </w:p>
    <w:p>
      <w:pPr>
        <w:spacing w:after="0" w:line="213"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By:  /s/ Rochelle Tarlowe</w:t>
      </w:r>
    </w:p>
    <w:p>
      <w:pPr>
        <w:spacing w:after="0" w:line="23"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Name: Rochelle Tarlowe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-130175</wp:posOffset>
            </wp:positionV>
            <wp:extent cx="2718435" cy="88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1" w:lineRule="exact"/>
        <w:rPr>
          <w:sz w:val="20"/>
          <w:szCs w:val="20"/>
          <w:color w:val="auto"/>
        </w:rPr>
      </w:pPr>
    </w:p>
    <w:p>
      <w:pPr>
        <w:ind w:left="7240"/>
        <w:spacing w:after="0"/>
        <w:tabs>
          <w:tab w:leader="none" w:pos="77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6"/>
          <w:szCs w:val="16"/>
          <w:color w:val="auto"/>
        </w:rPr>
        <w:t>Vice President and Treasurer</w:t>
      </w:r>
    </w:p>
    <w:p>
      <w:pPr>
        <w:sectPr>
          <w:pgSz w:w="11900" w:h="16838" w:orient="portrait"/>
          <w:cols w:equalWidth="0" w:num="1">
            <w:col w:w="11300"/>
          </w:cols>
          <w:pgMar w:left="240" w:top="274" w:right="359" w:bottom="1440" w:gutter="0" w:footer="0" w:header="0"/>
        </w:sectPr>
      </w:pPr>
    </w:p>
    <w:bookmarkStart w:id="277" w:name="page278"/>
    <w:bookmarkEnd w:id="277"/>
    <w:p>
      <w:pPr>
        <w:ind w:left="5660"/>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BANK OF NEW YORK MELLON TRUST COMPANY,</w:t>
      </w:r>
    </w:p>
    <w:p>
      <w:pPr>
        <w:spacing w:after="0" w:line="44"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8"/>
          <w:szCs w:val="18"/>
          <w:color w:val="auto"/>
        </w:rPr>
        <w:t>N.A., as Trustee and Series 2009-3 Agent</w:t>
      </w:r>
    </w:p>
    <w:p>
      <w:pPr>
        <w:spacing w:after="0" w:line="213"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By:  /s/ Sally R. Tokich</w:t>
      </w:r>
    </w:p>
    <w:p>
      <w:pPr>
        <w:spacing w:after="0" w:line="23"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Name: Sally R. Tokich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3771265</wp:posOffset>
            </wp:positionH>
            <wp:positionV relativeFrom="paragraph">
              <wp:posOffset>-130175</wp:posOffset>
            </wp:positionV>
            <wp:extent cx="2718435" cy="88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1" w:lineRule="exact"/>
        <w:rPr>
          <w:sz w:val="20"/>
          <w:szCs w:val="20"/>
          <w:color w:val="auto"/>
        </w:rPr>
      </w:pPr>
    </w:p>
    <w:p>
      <w:pPr>
        <w:ind w:left="6040"/>
        <w:spacing w:after="0"/>
        <w:tabs>
          <w:tab w:leader="none" w:pos="65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6"/>
          <w:szCs w:val="16"/>
          <w:color w:val="auto"/>
        </w:rPr>
        <w:t>Senior Associate</w:t>
      </w:r>
    </w:p>
    <w:p>
      <w:pPr>
        <w:sectPr>
          <w:pgSz w:w="11900" w:h="16838" w:orient="portrait"/>
          <w:cols w:equalWidth="0" w:num="1">
            <w:col w:w="10100"/>
          </w:cols>
          <w:pgMar w:left="1440" w:top="274" w:right="359" w:bottom="1440" w:gutter="0" w:footer="0" w:header="0"/>
        </w:sectPr>
      </w:pPr>
    </w:p>
    <w:bookmarkStart w:id="278" w:name="page279"/>
    <w:bookmarkEnd w:id="278"/>
    <w:p>
      <w:pPr>
        <w:ind w:left="5660"/>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DEUTSCHE BANK AG, NEW YORK BRANCH, as</w:t>
      </w:r>
    </w:p>
    <w:p>
      <w:pPr>
        <w:spacing w:after="0" w:line="44"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8"/>
          <w:szCs w:val="18"/>
          <w:color w:val="auto"/>
        </w:rPr>
        <w:t>Administrative Agent</w:t>
      </w:r>
    </w:p>
    <w:p>
      <w:pPr>
        <w:spacing w:after="0" w:line="213"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By:  /s/ Robert Sheldon</w:t>
      </w:r>
    </w:p>
    <w:p>
      <w:pPr>
        <w:spacing w:after="0" w:line="23"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Name: Robert Sheldon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3771265</wp:posOffset>
            </wp:positionH>
            <wp:positionV relativeFrom="paragraph">
              <wp:posOffset>-130175</wp:posOffset>
            </wp:positionV>
            <wp:extent cx="2718435" cy="88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1" w:lineRule="exact"/>
        <w:rPr>
          <w:sz w:val="20"/>
          <w:szCs w:val="20"/>
          <w:color w:val="auto"/>
        </w:rPr>
      </w:pPr>
    </w:p>
    <w:p>
      <w:pPr>
        <w:ind w:left="6040"/>
        <w:spacing w:after="0"/>
        <w:tabs>
          <w:tab w:leader="none" w:pos="65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6"/>
          <w:szCs w:val="16"/>
          <w:color w:val="auto"/>
        </w:rPr>
        <w:t>Director</w:t>
      </w:r>
    </w:p>
    <w:p>
      <w:pPr>
        <w:spacing w:after="0" w:line="226"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By:  /s/ Daniel Gerber</w:t>
      </w:r>
    </w:p>
    <w:p>
      <w:pPr>
        <w:spacing w:after="0" w:line="23"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Name: Daniel Gerber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3771265</wp:posOffset>
            </wp:positionH>
            <wp:positionV relativeFrom="paragraph">
              <wp:posOffset>-130175</wp:posOffset>
            </wp:positionV>
            <wp:extent cx="2718435" cy="88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1" w:lineRule="exact"/>
        <w:rPr>
          <w:sz w:val="20"/>
          <w:szCs w:val="20"/>
          <w:color w:val="auto"/>
        </w:rPr>
      </w:pPr>
    </w:p>
    <w:p>
      <w:pPr>
        <w:ind w:left="6040"/>
        <w:spacing w:after="0"/>
        <w:tabs>
          <w:tab w:leader="none" w:pos="65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6"/>
          <w:szCs w:val="16"/>
          <w:color w:val="auto"/>
        </w:rPr>
        <w:t>Director</w:t>
      </w:r>
    </w:p>
    <w:p>
      <w:pPr>
        <w:sectPr>
          <w:pgSz w:w="11900" w:h="16838" w:orient="portrait"/>
          <w:cols w:equalWidth="0" w:num="1">
            <w:col w:w="9440"/>
          </w:cols>
          <w:pgMar w:left="1440" w:top="274" w:right="1019" w:bottom="1440" w:gutter="0" w:footer="0" w:header="0"/>
        </w:sectPr>
      </w:pPr>
    </w:p>
    <w:bookmarkStart w:id="279" w:name="page280"/>
    <w:bookmarkEnd w:id="279"/>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AGREED, ACKNOWLEDGED AND CONSENTED: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GEMINI SECURITIZATION CORP., LLC,</w:t>
      </w:r>
    </w:p>
    <w:p>
      <w:pPr>
        <w:spacing w:after="0" w:line="2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as a CP Conduit Purchaser under the Series 2009-3</w:t>
      </w:r>
    </w:p>
    <w:p>
      <w:pPr>
        <w:spacing w:after="0" w:line="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Supplement</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1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 Frank B. Bilotta</w:t>
            </w:r>
          </w:p>
        </w:tc>
      </w:tr>
      <w:tr>
        <w:trPr>
          <w:trHeight w:val="196"/>
        </w:trPr>
        <w:tc>
          <w:tcPr>
            <w:tcW w:w="460" w:type="dxa"/>
            <w:vAlign w:val="bottom"/>
          </w:tcPr>
          <w:p>
            <w:pPr>
              <w:spacing w:after="0"/>
              <w:rPr>
                <w:sz w:val="17"/>
                <w:szCs w:val="17"/>
                <w:color w:val="auto"/>
              </w:rPr>
            </w:pPr>
          </w:p>
        </w:tc>
        <w:tc>
          <w:tcPr>
            <w:tcW w:w="4120" w:type="dxa"/>
            <w:vAlign w:val="bottom"/>
          </w:tcPr>
          <w:p>
            <w:pPr>
              <w:ind w:left="100"/>
              <w:spacing w:after="0" w:line="196" w:lineRule="exact"/>
              <w:rPr>
                <w:sz w:val="20"/>
                <w:szCs w:val="20"/>
                <w:color w:val="auto"/>
              </w:rPr>
            </w:pPr>
            <w:r>
              <w:rPr>
                <w:rFonts w:ascii="Times New Roman" w:cs="Times New Roman" w:eastAsia="Times New Roman" w:hAnsi="Times New Roman"/>
                <w:sz w:val="18"/>
                <w:szCs w:val="18"/>
                <w:color w:val="auto"/>
              </w:rPr>
              <w:t>Name: Frank B. Bilotta</w:t>
            </w:r>
          </w:p>
        </w:tc>
      </w:tr>
      <w:tr>
        <w:trPr>
          <w:trHeight w:val="228"/>
        </w:trPr>
        <w:tc>
          <w:tcPr>
            <w:tcW w:w="460" w:type="dxa"/>
            <w:vAlign w:val="bottom"/>
          </w:tcPr>
          <w:p>
            <w:pPr>
              <w:spacing w:after="0"/>
              <w:rPr>
                <w:sz w:val="19"/>
                <w:szCs w:val="19"/>
                <w:color w:val="auto"/>
              </w:rPr>
            </w:pPr>
          </w:p>
        </w:tc>
        <w:tc>
          <w:tcPr>
            <w:tcW w:w="4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Title:  President</w:t>
            </w:r>
          </w:p>
        </w:tc>
      </w:tr>
    </w:tbl>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DEUTSCHE BANK AG, NEW YORK BRANCH, as a Funding</w:t>
      </w:r>
    </w:p>
    <w:p>
      <w:pPr>
        <w:spacing w:after="0" w:line="4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6"/>
          <w:szCs w:val="16"/>
          <w:color w:val="auto"/>
        </w:rPr>
        <w:t>Agent and an APA Bank under the Series 2009-3 Supplement</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12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/s/ Robert Sheldon</w:t>
            </w:r>
          </w:p>
        </w:tc>
      </w:tr>
      <w:tr>
        <w:trPr>
          <w:trHeight w:val="196"/>
        </w:trPr>
        <w:tc>
          <w:tcPr>
            <w:tcW w:w="460" w:type="dxa"/>
            <w:vAlign w:val="bottom"/>
          </w:tcPr>
          <w:p>
            <w:pPr>
              <w:spacing w:after="0"/>
              <w:rPr>
                <w:sz w:val="17"/>
                <w:szCs w:val="17"/>
                <w:color w:val="auto"/>
              </w:rPr>
            </w:pPr>
          </w:p>
        </w:tc>
        <w:tc>
          <w:tcPr>
            <w:tcW w:w="4120" w:type="dxa"/>
            <w:vAlign w:val="bottom"/>
            <w:gridSpan w:val="2"/>
          </w:tcPr>
          <w:p>
            <w:pPr>
              <w:ind w:left="100"/>
              <w:spacing w:after="0" w:line="196" w:lineRule="exact"/>
              <w:rPr>
                <w:sz w:val="20"/>
                <w:szCs w:val="20"/>
                <w:color w:val="auto"/>
              </w:rPr>
            </w:pPr>
            <w:r>
              <w:rPr>
                <w:rFonts w:ascii="Times New Roman" w:cs="Times New Roman" w:eastAsia="Times New Roman" w:hAnsi="Times New Roman"/>
                <w:sz w:val="18"/>
                <w:szCs w:val="18"/>
                <w:color w:val="auto"/>
              </w:rPr>
              <w:t>Name: Robert Sheldon</w:t>
            </w:r>
          </w:p>
        </w:tc>
      </w:tr>
      <w:tr>
        <w:trPr>
          <w:trHeight w:val="228"/>
        </w:trPr>
        <w:tc>
          <w:tcPr>
            <w:tcW w:w="460" w:type="dxa"/>
            <w:vAlign w:val="bottom"/>
          </w:tcPr>
          <w:p>
            <w:pPr>
              <w:spacing w:after="0"/>
              <w:rPr>
                <w:sz w:val="19"/>
                <w:szCs w:val="19"/>
                <w:color w:val="auto"/>
              </w:rPr>
            </w:pPr>
          </w:p>
        </w:tc>
        <w:tc>
          <w:tcPr>
            <w:tcW w:w="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Title:</w:t>
            </w:r>
          </w:p>
        </w:tc>
        <w:tc>
          <w:tcPr>
            <w:tcW w:w="3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Director</w:t>
            </w:r>
          </w:p>
        </w:tc>
      </w:tr>
      <w:tr>
        <w:trPr>
          <w:trHeight w:val="447"/>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12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/s/ Daniel Gerber</w:t>
            </w:r>
          </w:p>
        </w:tc>
      </w:tr>
      <w:tr>
        <w:trPr>
          <w:trHeight w:val="196"/>
        </w:trPr>
        <w:tc>
          <w:tcPr>
            <w:tcW w:w="460" w:type="dxa"/>
            <w:vAlign w:val="bottom"/>
          </w:tcPr>
          <w:p>
            <w:pPr>
              <w:spacing w:after="0"/>
              <w:rPr>
                <w:sz w:val="17"/>
                <w:szCs w:val="17"/>
                <w:color w:val="auto"/>
              </w:rPr>
            </w:pPr>
          </w:p>
        </w:tc>
        <w:tc>
          <w:tcPr>
            <w:tcW w:w="4120" w:type="dxa"/>
            <w:vAlign w:val="bottom"/>
            <w:gridSpan w:val="2"/>
          </w:tcPr>
          <w:p>
            <w:pPr>
              <w:ind w:left="100"/>
              <w:spacing w:after="0" w:line="196" w:lineRule="exact"/>
              <w:rPr>
                <w:sz w:val="20"/>
                <w:szCs w:val="20"/>
                <w:color w:val="auto"/>
              </w:rPr>
            </w:pPr>
            <w:r>
              <w:rPr>
                <w:rFonts w:ascii="Times New Roman" w:cs="Times New Roman" w:eastAsia="Times New Roman" w:hAnsi="Times New Roman"/>
                <w:sz w:val="18"/>
                <w:szCs w:val="18"/>
                <w:color w:val="auto"/>
              </w:rPr>
              <w:t>Name: Daniel Gerber</w:t>
            </w:r>
          </w:p>
        </w:tc>
      </w:tr>
      <w:tr>
        <w:trPr>
          <w:trHeight w:val="228"/>
        </w:trPr>
        <w:tc>
          <w:tcPr>
            <w:tcW w:w="460" w:type="dxa"/>
            <w:vAlign w:val="bottom"/>
          </w:tcPr>
          <w:p>
            <w:pPr>
              <w:spacing w:after="0"/>
              <w:rPr>
                <w:sz w:val="19"/>
                <w:szCs w:val="19"/>
                <w:color w:val="auto"/>
              </w:rPr>
            </w:pPr>
          </w:p>
        </w:tc>
        <w:tc>
          <w:tcPr>
            <w:tcW w:w="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Title:</w:t>
            </w:r>
          </w:p>
        </w:tc>
        <w:tc>
          <w:tcPr>
            <w:tcW w:w="3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Director</w:t>
            </w:r>
          </w:p>
        </w:tc>
      </w:tr>
    </w:tbl>
    <w:p>
      <w:pPr>
        <w:sectPr>
          <w:pgSz w:w="11900" w:h="16838" w:orient="portrait"/>
          <w:cols w:equalWidth="0" w:num="1">
            <w:col w:w="10219"/>
          </w:cols>
          <w:pgMar w:left="240" w:top="274" w:right="1440" w:bottom="1440" w:gutter="0" w:footer="0" w:header="0"/>
        </w:sectPr>
      </w:pPr>
    </w:p>
    <w:bookmarkStart w:id="280" w:name="page281"/>
    <w:bookmarkEnd w:id="280"/>
    <w:p>
      <w:pPr>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AVIS BUDGET CAR RENTAL, LLC, as Administrator</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Rochelle Tarlowe</w:t>
      </w:r>
    </w:p>
    <w:p>
      <w:pPr>
        <w:spacing w:after="0" w:line="2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Name: Rochelle Tarlowe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-130175</wp:posOffset>
            </wp:positionV>
            <wp:extent cx="2693035" cy="88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 w:lineRule="exact"/>
        <w:rPr>
          <w:sz w:val="20"/>
          <w:szCs w:val="20"/>
          <w:color w:val="auto"/>
        </w:rPr>
      </w:pPr>
    </w:p>
    <w:p>
      <w:pPr>
        <w:ind w:left="380"/>
        <w:spacing w:after="0"/>
        <w:tabs>
          <w:tab w:leader="none" w:pos="9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6"/>
          <w:szCs w:val="16"/>
          <w:color w:val="auto"/>
        </w:rPr>
        <w:t>Vice President and Treasurer</w:t>
      </w:r>
    </w:p>
    <w:p>
      <w:pPr>
        <w:sectPr>
          <w:pgSz w:w="11900" w:h="16838" w:orient="portrait"/>
          <w:cols w:equalWidth="0" w:num="1">
            <w:col w:w="10219"/>
          </w:cols>
          <w:pgMar w:left="240" w:top="274" w:right="1440" w:bottom="1440" w:gutter="0" w:footer="0" w:header="0"/>
        </w:sectPr>
      </w:pPr>
    </w:p>
    <w:bookmarkStart w:id="281" w:name="page282"/>
    <w:bookmarkEnd w:id="281"/>
    <w:p>
      <w:pPr>
        <w:jc w:val="right"/>
        <w:spacing w:after="0"/>
        <w:rPr>
          <w:sz w:val="20"/>
          <w:szCs w:val="20"/>
          <w:color w:val="auto"/>
        </w:rPr>
      </w:pPr>
      <w:r>
        <w:rPr>
          <w:rFonts w:ascii="Times New Roman" w:cs="Times New Roman" w:eastAsia="Times New Roman" w:hAnsi="Times New Roman"/>
          <w:sz w:val="18"/>
          <w:szCs w:val="18"/>
          <w:b w:val="1"/>
          <w:bCs w:val="1"/>
          <w:color w:val="auto"/>
        </w:rPr>
        <w:t>Exhibit 10.53(L)</w:t>
      </w:r>
    </w:p>
    <w:p>
      <w:pPr>
        <w:spacing w:after="0" w:line="171"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b w:val="1"/>
          <w:bCs w:val="1"/>
          <w:u w:val="single" w:color="auto"/>
          <w:color w:val="auto"/>
        </w:rPr>
        <w:t>AMENDING AGREEMENT NO. 11</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MEMORANDUM OF AGREEMENT </w:t>
      </w:r>
      <w:r>
        <w:rPr>
          <w:rFonts w:ascii="Times New Roman" w:cs="Times New Roman" w:eastAsia="Times New Roman" w:hAnsi="Times New Roman"/>
          <w:sz w:val="18"/>
          <w:szCs w:val="18"/>
          <w:color w:val="auto"/>
        </w:rPr>
        <w:t>made as of the 9</w:t>
      </w:r>
      <w:r>
        <w:rPr>
          <w:rFonts w:ascii="Times New Roman" w:cs="Times New Roman" w:eastAsia="Times New Roman" w:hAnsi="Times New Roman"/>
          <w:sz w:val="11"/>
          <w:szCs w:val="11"/>
          <w:color w:val="auto"/>
        </w:rPr>
        <w:t>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day of November, 2009,</w:t>
      </w:r>
    </w:p>
    <w:p>
      <w:pPr>
        <w:spacing w:after="0" w:line="17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B E T W E E N:</w:t>
      </w:r>
    </w:p>
    <w:p>
      <w:pPr>
        <w:spacing w:after="0" w:line="210"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b w:val="1"/>
          <w:bCs w:val="1"/>
          <w:color w:val="auto"/>
        </w:rPr>
        <w:t>AVISCAR INC.</w:t>
      </w:r>
      <w:r>
        <w:rPr>
          <w:rFonts w:ascii="Times New Roman" w:cs="Times New Roman" w:eastAsia="Times New Roman" w:hAnsi="Times New Roman"/>
          <w:sz w:val="18"/>
          <w:szCs w:val="18"/>
          <w:color w:val="auto"/>
        </w:rPr>
        <w:t>,</w:t>
      </w:r>
    </w:p>
    <w:p>
      <w:pPr>
        <w:spacing w:after="0" w:line="23" w:lineRule="exact"/>
        <w:rPr>
          <w:sz w:val="20"/>
          <w:szCs w:val="20"/>
          <w:color w:val="auto"/>
        </w:rPr>
      </w:pPr>
    </w:p>
    <w:p>
      <w:pPr>
        <w:jc w:val="center"/>
        <w:ind w:right="1960"/>
        <w:spacing w:after="0"/>
        <w:rPr>
          <w:sz w:val="20"/>
          <w:szCs w:val="20"/>
          <w:color w:val="auto"/>
        </w:rPr>
      </w:pPr>
      <w:r>
        <w:rPr>
          <w:rFonts w:ascii="Times New Roman" w:cs="Times New Roman" w:eastAsia="Times New Roman" w:hAnsi="Times New Roman"/>
          <w:sz w:val="18"/>
          <w:szCs w:val="18"/>
          <w:color w:val="auto"/>
        </w:rPr>
        <w:t>a corporation incorporated under the laws of Canada,</w:t>
      </w:r>
    </w:p>
    <w:p>
      <w:pPr>
        <w:spacing w:after="0" w:line="197" w:lineRule="exact"/>
        <w:rPr>
          <w:sz w:val="20"/>
          <w:szCs w:val="20"/>
          <w:color w:val="auto"/>
        </w:rPr>
      </w:pPr>
    </w:p>
    <w:p>
      <w:pPr>
        <w:jc w:val="center"/>
        <w:ind w:right="2000"/>
        <w:spacing w:after="0"/>
        <w:rPr>
          <w:sz w:val="20"/>
          <w:szCs w:val="20"/>
          <w:color w:val="auto"/>
        </w:rPr>
      </w:pPr>
      <w:r>
        <w:rPr>
          <w:rFonts w:ascii="Times New Roman" w:cs="Times New Roman" w:eastAsia="Times New Roman" w:hAnsi="Times New Roman"/>
          <w:sz w:val="18"/>
          <w:szCs w:val="18"/>
          <w:color w:val="auto"/>
        </w:rPr>
        <w:t>(hereinafter referred to as “</w:t>
      </w:r>
      <w:r>
        <w:rPr>
          <w:rFonts w:ascii="Times New Roman" w:cs="Times New Roman" w:eastAsia="Times New Roman" w:hAnsi="Times New Roman"/>
          <w:sz w:val="18"/>
          <w:szCs w:val="18"/>
          <w:b w:val="1"/>
          <w:bCs w:val="1"/>
          <w:color w:val="auto"/>
        </w:rPr>
        <w:t>Avis General Partner</w:t>
      </w:r>
      <w:r>
        <w:rPr>
          <w:rFonts w:ascii="Times New Roman" w:cs="Times New Roman" w:eastAsia="Times New Roman" w:hAnsi="Times New Roman"/>
          <w:sz w:val="18"/>
          <w:szCs w:val="18"/>
          <w:color w:val="auto"/>
        </w:rPr>
        <w:t>”),</w:t>
      </w:r>
    </w:p>
    <w:p>
      <w:pPr>
        <w:spacing w:after="0" w:line="214" w:lineRule="exact"/>
        <w:rPr>
          <w:sz w:val="20"/>
          <w:szCs w:val="20"/>
          <w:color w:val="auto"/>
        </w:rPr>
      </w:pPr>
    </w:p>
    <w:p>
      <w:pPr>
        <w:jc w:val="center"/>
        <w:ind w:right="1780"/>
        <w:spacing w:after="0"/>
        <w:rPr>
          <w:sz w:val="20"/>
          <w:szCs w:val="20"/>
          <w:color w:val="auto"/>
        </w:rPr>
      </w:pPr>
      <w:r>
        <w:rPr>
          <w:rFonts w:ascii="Times New Roman" w:cs="Times New Roman" w:eastAsia="Times New Roman" w:hAnsi="Times New Roman"/>
          <w:sz w:val="18"/>
          <w:szCs w:val="18"/>
          <w:color w:val="auto"/>
        </w:rPr>
        <w:t>- and -</w:t>
      </w:r>
    </w:p>
    <w:p>
      <w:pPr>
        <w:spacing w:after="0" w:line="210"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b w:val="1"/>
          <w:bCs w:val="1"/>
          <w:color w:val="auto"/>
        </w:rPr>
        <w:t>BUDGETCAR INC.,</w:t>
      </w:r>
    </w:p>
    <w:p>
      <w:pPr>
        <w:spacing w:after="0" w:line="23"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color w:val="auto"/>
        </w:rPr>
        <w:t>a corporation existing under the laws of Canada,</w:t>
      </w:r>
    </w:p>
    <w:p>
      <w:pPr>
        <w:spacing w:after="0" w:line="197"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color w:val="auto"/>
        </w:rPr>
        <w:t>(hereinafter referred to as “</w:t>
      </w:r>
      <w:r>
        <w:rPr>
          <w:rFonts w:ascii="Times New Roman" w:cs="Times New Roman" w:eastAsia="Times New Roman" w:hAnsi="Times New Roman"/>
          <w:sz w:val="18"/>
          <w:szCs w:val="18"/>
          <w:b w:val="1"/>
          <w:bCs w:val="1"/>
          <w:color w:val="auto"/>
        </w:rPr>
        <w:t>Budget General Partner</w:t>
      </w:r>
      <w:r>
        <w:rPr>
          <w:rFonts w:ascii="Times New Roman" w:cs="Times New Roman" w:eastAsia="Times New Roman" w:hAnsi="Times New Roman"/>
          <w:sz w:val="18"/>
          <w:szCs w:val="18"/>
          <w:color w:val="auto"/>
        </w:rPr>
        <w:t>”),</w:t>
      </w:r>
    </w:p>
    <w:p>
      <w:pPr>
        <w:spacing w:after="0" w:line="214"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color w:val="auto"/>
        </w:rPr>
        <w:t>- and -</w:t>
      </w:r>
    </w:p>
    <w:p>
      <w:pPr>
        <w:spacing w:after="0" w:line="210"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b w:val="1"/>
          <w:bCs w:val="1"/>
          <w:color w:val="auto"/>
        </w:rPr>
        <w:t>BNY TRUST COMPANY OF CANADA,</w:t>
      </w:r>
    </w:p>
    <w:p>
      <w:pPr>
        <w:spacing w:after="0" w:line="23" w:lineRule="exact"/>
        <w:rPr>
          <w:sz w:val="20"/>
          <w:szCs w:val="20"/>
          <w:color w:val="auto"/>
        </w:rPr>
      </w:pPr>
    </w:p>
    <w:p>
      <w:pPr>
        <w:ind w:left="2880" w:right="40"/>
        <w:spacing w:after="0" w:line="255" w:lineRule="auto"/>
        <w:rPr>
          <w:sz w:val="20"/>
          <w:szCs w:val="20"/>
          <w:color w:val="auto"/>
        </w:rPr>
      </w:pPr>
      <w:r>
        <w:rPr>
          <w:rFonts w:ascii="Times New Roman" w:cs="Times New Roman" w:eastAsia="Times New Roman" w:hAnsi="Times New Roman"/>
          <w:sz w:val="18"/>
          <w:szCs w:val="18"/>
          <w:color w:val="auto"/>
        </w:rPr>
        <w:t xml:space="preserve">a trust company incorporated under the laws of Canada and registered to carry on the business of a trust company in each of the provinces of Canada, in its capacity as trustee of </w:t>
      </w:r>
      <w:r>
        <w:rPr>
          <w:rFonts w:ascii="Times New Roman" w:cs="Times New Roman" w:eastAsia="Times New Roman" w:hAnsi="Times New Roman"/>
          <w:sz w:val="18"/>
          <w:szCs w:val="18"/>
          <w:b w:val="1"/>
          <w:bCs w:val="1"/>
          <w:color w:val="auto"/>
        </w:rPr>
        <w:t>STARS TRUST</w:t>
      </w:r>
      <w:r>
        <w:rPr>
          <w:rFonts w:ascii="Times New Roman" w:cs="Times New Roman" w:eastAsia="Times New Roman" w:hAnsi="Times New Roman"/>
          <w:sz w:val="18"/>
          <w:szCs w:val="18"/>
          <w:color w:val="auto"/>
        </w:rPr>
        <w:t>, a trust established under the laws of the Province of Ontario,</w:t>
      </w:r>
    </w:p>
    <w:p>
      <w:pPr>
        <w:spacing w:after="0" w:line="177" w:lineRule="exact"/>
        <w:rPr>
          <w:sz w:val="20"/>
          <w:szCs w:val="20"/>
          <w:color w:val="auto"/>
        </w:rPr>
      </w:pPr>
    </w:p>
    <w:p>
      <w:pPr>
        <w:jc w:val="center"/>
        <w:ind w:right="1520"/>
        <w:spacing w:after="0"/>
        <w:rPr>
          <w:sz w:val="20"/>
          <w:szCs w:val="20"/>
          <w:color w:val="auto"/>
        </w:rPr>
      </w:pPr>
      <w:r>
        <w:rPr>
          <w:rFonts w:ascii="Times New Roman" w:cs="Times New Roman" w:eastAsia="Times New Roman" w:hAnsi="Times New Roman"/>
          <w:sz w:val="18"/>
          <w:szCs w:val="18"/>
          <w:color w:val="auto"/>
        </w:rPr>
        <w:t>(hereinafter referred to as the “</w:t>
      </w:r>
      <w:r>
        <w:rPr>
          <w:rFonts w:ascii="Times New Roman" w:cs="Times New Roman" w:eastAsia="Times New Roman" w:hAnsi="Times New Roman"/>
          <w:sz w:val="18"/>
          <w:szCs w:val="18"/>
          <w:b w:val="1"/>
          <w:bCs w:val="1"/>
          <w:color w:val="auto"/>
        </w:rPr>
        <w:t>STARS Limited Partner</w:t>
      </w:r>
      <w:r>
        <w:rPr>
          <w:rFonts w:ascii="Times New Roman" w:cs="Times New Roman" w:eastAsia="Times New Roman" w:hAnsi="Times New Roman"/>
          <w:sz w:val="18"/>
          <w:szCs w:val="18"/>
          <w:color w:val="auto"/>
        </w:rPr>
        <w:t>”),</w:t>
      </w:r>
    </w:p>
    <w:p>
      <w:pPr>
        <w:spacing w:after="0" w:line="214"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color w:val="auto"/>
        </w:rPr>
        <w:t>- and - -</w:t>
      </w:r>
    </w:p>
    <w:p>
      <w:pPr>
        <w:spacing w:after="0" w:line="210"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b w:val="1"/>
          <w:bCs w:val="1"/>
          <w:color w:val="auto"/>
        </w:rPr>
        <w:t>MONTREAL TRUST COMPANY OF CANADA</w:t>
      </w:r>
      <w:r>
        <w:rPr>
          <w:rFonts w:ascii="Times New Roman" w:cs="Times New Roman" w:eastAsia="Times New Roman" w:hAnsi="Times New Roman"/>
          <w:sz w:val="18"/>
          <w:szCs w:val="18"/>
          <w:color w:val="auto"/>
        </w:rPr>
        <w:t>,</w:t>
      </w:r>
    </w:p>
    <w:p>
      <w:pPr>
        <w:spacing w:after="0" w:line="23" w:lineRule="exact"/>
        <w:rPr>
          <w:sz w:val="20"/>
          <w:szCs w:val="20"/>
          <w:color w:val="auto"/>
        </w:rPr>
      </w:pPr>
    </w:p>
    <w:p>
      <w:pPr>
        <w:jc w:val="both"/>
        <w:ind w:left="2880" w:right="40"/>
        <w:spacing w:after="0" w:line="255" w:lineRule="auto"/>
        <w:rPr>
          <w:sz w:val="20"/>
          <w:szCs w:val="20"/>
          <w:color w:val="auto"/>
        </w:rPr>
      </w:pPr>
      <w:r>
        <w:rPr>
          <w:rFonts w:ascii="Times New Roman" w:cs="Times New Roman" w:eastAsia="Times New Roman" w:hAnsi="Times New Roman"/>
          <w:sz w:val="18"/>
          <w:szCs w:val="18"/>
          <w:color w:val="auto"/>
        </w:rPr>
        <w:t xml:space="preserve">a trust company incorporated under the laws of Canada and registered to carry on the business of a trust company in each of the provinces in Canada, in its capacity as trustee of </w:t>
      </w:r>
      <w:r>
        <w:rPr>
          <w:rFonts w:ascii="Times New Roman" w:cs="Times New Roman" w:eastAsia="Times New Roman" w:hAnsi="Times New Roman"/>
          <w:sz w:val="18"/>
          <w:szCs w:val="18"/>
          <w:b w:val="1"/>
          <w:bCs w:val="1"/>
          <w:color w:val="auto"/>
        </w:rPr>
        <w:t>BAY STREET FUNDING TRUST</w:t>
      </w:r>
      <w:r>
        <w:rPr>
          <w:rFonts w:ascii="Times New Roman" w:cs="Times New Roman" w:eastAsia="Times New Roman" w:hAnsi="Times New Roman"/>
          <w:sz w:val="18"/>
          <w:szCs w:val="18"/>
          <w:color w:val="auto"/>
        </w:rPr>
        <w:t>, a trust established under the laws of the Province of Ontario,</w:t>
      </w:r>
    </w:p>
    <w:p>
      <w:pPr>
        <w:spacing w:after="0" w:line="177"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color w:val="auto"/>
        </w:rPr>
        <w:t>(hereinafter called the “</w:t>
      </w:r>
      <w:r>
        <w:rPr>
          <w:rFonts w:ascii="Times New Roman" w:cs="Times New Roman" w:eastAsia="Times New Roman" w:hAnsi="Times New Roman"/>
          <w:sz w:val="18"/>
          <w:szCs w:val="18"/>
          <w:b w:val="1"/>
          <w:bCs w:val="1"/>
          <w:color w:val="auto"/>
        </w:rPr>
        <w:t>Bay Street Limited Partner</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right="120" w:firstLine="456"/>
        <w:spacing w:after="0" w:line="258" w:lineRule="auto"/>
        <w:rPr>
          <w:sz w:val="20"/>
          <w:szCs w:val="20"/>
          <w:color w:val="auto"/>
        </w:rPr>
      </w:pPr>
      <w:r>
        <w:rPr>
          <w:rFonts w:ascii="Times New Roman" w:cs="Times New Roman" w:eastAsia="Times New Roman" w:hAnsi="Times New Roman"/>
          <w:sz w:val="18"/>
          <w:szCs w:val="18"/>
          <w:color w:val="auto"/>
        </w:rPr>
        <w:t>WHEREAS the Avis General Partner, the Budget General Partner, the STARS Limited Partner and the Bay Street Limited Partner have entered into a fourth amended and restated limited partnership agreement made as of the 20th day of April, 2005, as amended by amending agreements between the parties dated October 11, 2005, July 7, 2006, December 11, 2006, November 21, 2007, February 12, 2008, March 5, 2008, April 30, 2008, June 16, 2008, December 22, 2008 and March 16, 2009 (collectively, the “</w:t>
      </w:r>
      <w:r>
        <w:rPr>
          <w:rFonts w:ascii="Times New Roman" w:cs="Times New Roman" w:eastAsia="Times New Roman" w:hAnsi="Times New Roman"/>
          <w:sz w:val="18"/>
          <w:szCs w:val="18"/>
          <w:b w:val="1"/>
          <w:bCs w:val="1"/>
          <w:color w:val="auto"/>
        </w:rPr>
        <w:t>Limited Partnership Agreement</w:t>
      </w:r>
      <w:r>
        <w:rPr>
          <w:rFonts w:ascii="Times New Roman" w:cs="Times New Roman" w:eastAsia="Times New Roman" w:hAnsi="Times New Roman"/>
          <w:sz w:val="18"/>
          <w:szCs w:val="18"/>
          <w:color w:val="auto"/>
        </w:rPr>
        <w:t>”);</w:t>
      </w:r>
    </w:p>
    <w:p>
      <w:pPr>
        <w:spacing w:after="0" w:line="136" w:lineRule="exact"/>
        <w:rPr>
          <w:sz w:val="20"/>
          <w:szCs w:val="20"/>
          <w:color w:val="auto"/>
        </w:rPr>
      </w:pPr>
    </w:p>
    <w:p>
      <w:pPr>
        <w:ind w:right="320" w:firstLine="456"/>
        <w:spacing w:after="0" w:line="275" w:lineRule="auto"/>
        <w:rPr>
          <w:sz w:val="20"/>
          <w:szCs w:val="20"/>
          <w:color w:val="auto"/>
        </w:rPr>
      </w:pPr>
      <w:r>
        <w:rPr>
          <w:rFonts w:ascii="Times New Roman" w:cs="Times New Roman" w:eastAsia="Times New Roman" w:hAnsi="Times New Roman"/>
          <w:sz w:val="18"/>
          <w:szCs w:val="18"/>
          <w:color w:val="auto"/>
        </w:rPr>
        <w:t>AND WHEREAS the Avis General Partner, the Budget General Partner, the STARS Limited Partner and the Bay Street Limited Partner wish to further amend the Limited Partnership Agreement;</w:t>
      </w:r>
    </w:p>
    <w:p>
      <w:pPr>
        <w:sectPr>
          <w:pgSz w:w="11900" w:h="16838" w:orient="portrait"/>
          <w:cols w:equalWidth="0" w:num="1">
            <w:col w:w="11420"/>
          </w:cols>
          <w:pgMar w:left="240" w:top="123" w:right="239" w:bottom="1440" w:gutter="0" w:footer="0" w:header="0"/>
        </w:sectPr>
      </w:pPr>
    </w:p>
    <w:bookmarkStart w:id="282" w:name="page283"/>
    <w:bookmarkEnd w:id="282"/>
    <w:p>
      <w:pPr>
        <w:ind w:firstLine="456"/>
        <w:spacing w:after="0" w:line="26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NOW THEREFORE THIS AGREEMENT WITNESSETH that in consideration of the premises and covenants and agreements of the parties herein contained and for other good and valuable consideration (the receipt and sufficiency of which are hereby acknowledged by each of the parties), the parties hereby covenant and agree as follows:</w:t>
      </w:r>
    </w:p>
    <w:p>
      <w:pPr>
        <w:spacing w:after="0" w:line="252" w:lineRule="exact"/>
        <w:rPr>
          <w:sz w:val="20"/>
          <w:szCs w:val="20"/>
          <w:color w:val="auto"/>
        </w:rPr>
      </w:pPr>
    </w:p>
    <w:p>
      <w:pPr>
        <w:ind w:left="460" w:hanging="452"/>
        <w:spacing w:after="0"/>
        <w:tabs>
          <w:tab w:leader="none" w:pos="460" w:val="left"/>
        </w:tabs>
        <w:numPr>
          <w:ilvl w:val="0"/>
          <w:numId w:val="20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Interpretation</w:t>
      </w:r>
    </w:p>
    <w:p>
      <w:pPr>
        <w:spacing w:after="0" w:line="92" w:lineRule="exact"/>
        <w:rPr>
          <w:rFonts w:ascii="Times New Roman" w:cs="Times New Roman" w:eastAsia="Times New Roman" w:hAnsi="Times New Roman"/>
          <w:sz w:val="18"/>
          <w:szCs w:val="18"/>
          <w:b w:val="1"/>
          <w:bCs w:val="1"/>
          <w:color w:val="auto"/>
        </w:rPr>
      </w:pPr>
    </w:p>
    <w:p>
      <w:pPr>
        <w:ind w:left="900" w:right="60" w:hanging="446"/>
        <w:spacing w:after="0" w:line="275" w:lineRule="auto"/>
        <w:tabs>
          <w:tab w:leader="none" w:pos="900" w:val="left"/>
        </w:tabs>
        <w:numPr>
          <w:ilvl w:val="1"/>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words and expressions defined in the Limited Partnership Agreement and not otherwise defined in this Agreement have the respective meanings specified in the Limited Partnership Agreement.</w:t>
      </w:r>
    </w:p>
    <w:p>
      <w:pPr>
        <w:spacing w:after="0" w:line="38"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1"/>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headings are for convenience only.</w:t>
      </w:r>
    </w:p>
    <w:p>
      <w:pPr>
        <w:spacing w:after="0" w:line="291" w:lineRule="exact"/>
        <w:rPr>
          <w:sz w:val="20"/>
          <w:szCs w:val="20"/>
          <w:color w:val="auto"/>
        </w:rPr>
      </w:pPr>
    </w:p>
    <w:p>
      <w:pPr>
        <w:ind w:left="460" w:hanging="452"/>
        <w:spacing w:after="0"/>
        <w:tabs>
          <w:tab w:leader="none" w:pos="460" w:val="left"/>
        </w:tabs>
        <w:numPr>
          <w:ilvl w:val="0"/>
          <w:numId w:val="20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Amendments to the Limited Partnership Agreement</w:t>
      </w:r>
    </w:p>
    <w:p>
      <w:pPr>
        <w:spacing w:after="0" w:line="90" w:lineRule="exact"/>
        <w:rPr>
          <w:sz w:val="20"/>
          <w:szCs w:val="20"/>
          <w:color w:val="auto"/>
        </w:rPr>
      </w:pPr>
    </w:p>
    <w:p>
      <w:pPr>
        <w:ind w:left="460" w:right="380" w:hanging="445"/>
        <w:spacing w:after="0" w:line="277" w:lineRule="auto"/>
        <w:tabs>
          <w:tab w:leader="none" w:pos="440" w:val="left"/>
        </w:tabs>
        <w:rPr>
          <w:sz w:val="20"/>
          <w:szCs w:val="20"/>
          <w:color w:val="auto"/>
        </w:rPr>
      </w:pPr>
      <w:r>
        <w:rPr>
          <w:rFonts w:ascii="Times New Roman" w:cs="Times New Roman" w:eastAsia="Times New Roman" w:hAnsi="Times New Roman"/>
          <w:sz w:val="18"/>
          <w:szCs w:val="18"/>
          <w:b w:val="1"/>
          <w:bCs w:val="1"/>
          <w:color w:val="auto"/>
        </w:rPr>
        <w:t>2.1</w:t>
      </w:r>
      <w:r>
        <w:rPr>
          <w:sz w:val="20"/>
          <w:szCs w:val="20"/>
          <w:color w:val="auto"/>
        </w:rPr>
        <w:tab/>
      </w:r>
      <w:r>
        <w:rPr>
          <w:rFonts w:ascii="Times New Roman" w:cs="Times New Roman" w:eastAsia="Times New Roman" w:hAnsi="Times New Roman"/>
          <w:sz w:val="18"/>
          <w:szCs w:val="18"/>
          <w:color w:val="auto"/>
        </w:rPr>
        <w:t>Section 1.1 of the Limited Partnership Agreement is hereby amended by deleting the definition of “</w:t>
      </w:r>
      <w:r>
        <w:rPr>
          <w:rFonts w:ascii="Times New Roman" w:cs="Times New Roman" w:eastAsia="Times New Roman" w:hAnsi="Times New Roman"/>
          <w:sz w:val="18"/>
          <w:szCs w:val="18"/>
          <w:b w:val="1"/>
          <w:bCs w:val="1"/>
          <w:color w:val="auto"/>
        </w:rPr>
        <w:t>Available Call Amount</w:t>
      </w:r>
      <w:r>
        <w:rPr>
          <w:rFonts w:ascii="Times New Roman" w:cs="Times New Roman" w:eastAsia="Times New Roman" w:hAnsi="Times New Roman"/>
          <w:sz w:val="18"/>
          <w:szCs w:val="18"/>
          <w:color w:val="auto"/>
        </w:rPr>
        <w:t>” and replacing it with the following definition:</w:t>
      </w:r>
    </w:p>
    <w:p>
      <w:pPr>
        <w:spacing w:after="0" w:line="3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Available Call Amount</w:t>
      </w:r>
      <w:r>
        <w:rPr>
          <w:rFonts w:ascii="Times New Roman" w:cs="Times New Roman" w:eastAsia="Times New Roman" w:hAnsi="Times New Roman"/>
          <w:sz w:val="18"/>
          <w:szCs w:val="18"/>
          <w:color w:val="auto"/>
        </w:rPr>
        <w:t>” means at any time of determination, (x) in respect of the STARS Limited Partner, the amount by which (a) the sum of</w:t>
      </w:r>
    </w:p>
    <w:p>
      <w:pPr>
        <w:spacing w:after="0" w:line="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$215,000,000 and the aggregate Principal Amount of Bonds issued by the STARS Limited Partner outstanding at such time exceeds (b) the balance of the</w:t>
      </w:r>
    </w:p>
    <w:p>
      <w:pPr>
        <w:spacing w:after="0" w:line="3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STARS Limited Partner’s Capital Account at such time; and (y) in respect of the Bay Street Limited Partner, the amount by which (a) the sum of</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$175,000,000 and the aggregate Principal Amount of Bonds issued by the Bay Street Limited Partner outstanding at such time exceeds (b) the balance of</w:t>
      </w:r>
    </w:p>
    <w:p>
      <w:pPr>
        <w:spacing w:after="0" w:line="3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the Bay Street Limited Partner’s Capital Account at such time; provided that on and after the occurrence of a Funding Termination Event for any Limited</w:t>
      </w:r>
    </w:p>
    <w:p>
      <w:pPr>
        <w:spacing w:after="0" w:line="3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Partner, the Available Call Amount for such Limited Partner shall be deemed to be zero;”.</w:t>
      </w:r>
    </w:p>
    <w:p>
      <w:pPr>
        <w:spacing w:after="0" w:line="76"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b w:val="1"/>
          <w:bCs w:val="1"/>
          <w:color w:val="auto"/>
        </w:rPr>
        <w:t>2.2</w:t>
      </w:r>
      <w:r>
        <w:rPr>
          <w:sz w:val="20"/>
          <w:szCs w:val="20"/>
          <w:color w:val="auto"/>
        </w:rPr>
        <w:tab/>
      </w:r>
      <w:r>
        <w:rPr>
          <w:rFonts w:ascii="Times New Roman" w:cs="Times New Roman" w:eastAsia="Times New Roman" w:hAnsi="Times New Roman"/>
          <w:sz w:val="16"/>
          <w:szCs w:val="16"/>
          <w:color w:val="auto"/>
        </w:rPr>
        <w:t>Section 3.3(b) of the Limited Partnership Agreement is hereby deleted in its entirety and replaced with the following:</w:t>
      </w:r>
    </w:p>
    <w:p>
      <w:pPr>
        <w:spacing w:after="0" w:line="92" w:lineRule="exact"/>
        <w:rPr>
          <w:sz w:val="20"/>
          <w:szCs w:val="20"/>
          <w:color w:val="auto"/>
        </w:rPr>
      </w:pPr>
    </w:p>
    <w:p>
      <w:pPr>
        <w:ind w:left="900" w:right="240" w:hanging="439"/>
        <w:spacing w:after="0" w:line="258" w:lineRule="auto"/>
        <w:tabs>
          <w:tab w:leader="none" w:pos="880" w:val="left"/>
        </w:tabs>
        <w:rPr>
          <w:sz w:val="20"/>
          <w:szCs w:val="20"/>
          <w:color w:val="auto"/>
        </w:rPr>
      </w:pPr>
      <w:r>
        <w:rPr>
          <w:rFonts w:ascii="Times New Roman" w:cs="Times New Roman" w:eastAsia="Times New Roman" w:hAnsi="Times New Roman"/>
          <w:sz w:val="18"/>
          <w:szCs w:val="18"/>
          <w:color w:val="auto"/>
        </w:rPr>
        <w:t>“(b)</w:t>
        <w:tab/>
        <w:t>The balance of the STARS Limited Partner’s Capital Account shall not at any time exceed an amount equal to the sum of $215,000,000 plus the aggregate Principal Amount of Bonds issued and outstanding by the STARS Limited Partner at the time of determination. The balance of the Bay Street Limited Partner’s Capital Account shall not at any time exceed an amount equal to the sum of $175,000,000 plus the aggregate Principal Amount of Bonds issued and outstanding by the Bay Street Limited Partner at the time of determination.”.</w:t>
      </w:r>
    </w:p>
    <w:p>
      <w:pPr>
        <w:spacing w:after="0" w:line="256" w:lineRule="exact"/>
        <w:rPr>
          <w:sz w:val="20"/>
          <w:szCs w:val="20"/>
          <w:color w:val="auto"/>
        </w:rPr>
      </w:pPr>
    </w:p>
    <w:p>
      <w:pPr>
        <w:ind w:left="460" w:hanging="452"/>
        <w:spacing w:after="0"/>
        <w:tabs>
          <w:tab w:leader="none" w:pos="460" w:val="left"/>
        </w:tabs>
        <w:numPr>
          <w:ilvl w:val="0"/>
          <w:numId w:val="20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Other Documents</w:t>
      </w:r>
    </w:p>
    <w:p>
      <w:pPr>
        <w:spacing w:after="0" w:line="92"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Any reference to the Limited Partnership Agreement made in any documents delivered pursuant thereto or in connection therewith shall be deemed to refer to the Limited Partnership Agreement as amended or supplemented from time to time.</w:t>
      </w:r>
    </w:p>
    <w:p>
      <w:pPr>
        <w:spacing w:after="0" w:line="10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- 2 -</w:t>
      </w:r>
    </w:p>
    <w:p>
      <w:pPr>
        <w:sectPr>
          <w:pgSz w:w="11900" w:h="16838" w:orient="portrait"/>
          <w:cols w:equalWidth="0" w:num="1">
            <w:col w:w="11360"/>
          </w:cols>
          <w:pgMar w:left="240" w:top="274" w:right="299" w:bottom="1440" w:gutter="0" w:footer="0" w:header="0"/>
        </w:sectPr>
      </w:pPr>
    </w:p>
    <w:bookmarkStart w:id="283" w:name="page284"/>
    <w:bookmarkEnd w:id="283"/>
    <w:p>
      <w:pPr>
        <w:ind w:left="452" w:hanging="452"/>
        <w:spacing w:after="0"/>
        <w:tabs>
          <w:tab w:leader="none" w:pos="452" w:val="left"/>
        </w:tabs>
        <w:numPr>
          <w:ilvl w:val="0"/>
          <w:numId w:val="20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Miscellaneous</w:t>
      </w:r>
    </w:p>
    <w:p>
      <w:pPr>
        <w:spacing w:after="0" w:line="92" w:lineRule="exact"/>
        <w:rPr>
          <w:rFonts w:ascii="Times New Roman" w:cs="Times New Roman" w:eastAsia="Times New Roman" w:hAnsi="Times New Roman"/>
          <w:sz w:val="18"/>
          <w:szCs w:val="18"/>
          <w:b w:val="1"/>
          <w:bCs w:val="1"/>
          <w:color w:val="auto"/>
        </w:rPr>
      </w:pPr>
    </w:p>
    <w:p>
      <w:pPr>
        <w:ind w:left="892" w:hanging="446"/>
        <w:spacing w:after="0"/>
        <w:tabs>
          <w:tab w:leader="none" w:pos="892" w:val="left"/>
        </w:tabs>
        <w:numPr>
          <w:ilvl w:val="1"/>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exception of the foregoing amendments, the Limited Partnership Agreement shall continue in full force and effect, unamended.</w:t>
      </w:r>
    </w:p>
    <w:p>
      <w:pPr>
        <w:spacing w:after="0" w:line="90" w:lineRule="exact"/>
        <w:rPr>
          <w:rFonts w:ascii="Times New Roman" w:cs="Times New Roman" w:eastAsia="Times New Roman" w:hAnsi="Times New Roman"/>
          <w:sz w:val="18"/>
          <w:szCs w:val="18"/>
          <w:color w:val="auto"/>
        </w:rPr>
      </w:pPr>
    </w:p>
    <w:p>
      <w:pPr>
        <w:ind w:left="892" w:hanging="446"/>
        <w:spacing w:after="0"/>
        <w:tabs>
          <w:tab w:leader="none" w:pos="892" w:val="left"/>
        </w:tabs>
        <w:numPr>
          <w:ilvl w:val="1"/>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shall enure to the benefit of and be binding upon the parties, their successors and any permitted assigns.</w:t>
      </w:r>
    </w:p>
    <w:p>
      <w:pPr>
        <w:spacing w:after="0" w:line="90" w:lineRule="exact"/>
        <w:rPr>
          <w:rFonts w:ascii="Times New Roman" w:cs="Times New Roman" w:eastAsia="Times New Roman" w:hAnsi="Times New Roman"/>
          <w:sz w:val="18"/>
          <w:szCs w:val="18"/>
          <w:color w:val="auto"/>
        </w:rPr>
      </w:pPr>
    </w:p>
    <w:p>
      <w:pPr>
        <w:ind w:left="892" w:hanging="446"/>
        <w:spacing w:after="0" w:line="275" w:lineRule="auto"/>
        <w:tabs>
          <w:tab w:leader="none" w:pos="892" w:val="left"/>
        </w:tabs>
        <w:numPr>
          <w:ilvl w:val="1"/>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may be executed in one or more counterparts each of which shall be deemed an original and all of which when taken together, shall constitute one and the same instrument.</w:t>
      </w:r>
    </w:p>
    <w:p>
      <w:pPr>
        <w:spacing w:after="0" w:line="38" w:lineRule="exact"/>
        <w:rPr>
          <w:rFonts w:ascii="Times New Roman" w:cs="Times New Roman" w:eastAsia="Times New Roman" w:hAnsi="Times New Roman"/>
          <w:sz w:val="18"/>
          <w:szCs w:val="18"/>
          <w:color w:val="auto"/>
        </w:rPr>
      </w:pPr>
    </w:p>
    <w:p>
      <w:pPr>
        <w:ind w:left="892" w:hanging="446"/>
        <w:spacing w:after="0"/>
        <w:tabs>
          <w:tab w:leader="none" w:pos="892" w:val="left"/>
        </w:tabs>
        <w:numPr>
          <w:ilvl w:val="1"/>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rights or obligations hereunder shall be assignable or transferable by any party without the prior written consent of the other party.</w:t>
      </w:r>
    </w:p>
    <w:p>
      <w:pPr>
        <w:spacing w:after="0" w:line="90" w:lineRule="exact"/>
        <w:rPr>
          <w:rFonts w:ascii="Times New Roman" w:cs="Times New Roman" w:eastAsia="Times New Roman" w:hAnsi="Times New Roman"/>
          <w:sz w:val="18"/>
          <w:szCs w:val="18"/>
          <w:color w:val="auto"/>
        </w:rPr>
      </w:pPr>
    </w:p>
    <w:p>
      <w:pPr>
        <w:ind w:left="892" w:right="100" w:hanging="446"/>
        <w:spacing w:after="0" w:line="275" w:lineRule="auto"/>
        <w:tabs>
          <w:tab w:leader="none" w:pos="892" w:val="left"/>
        </w:tabs>
        <w:numPr>
          <w:ilvl w:val="1"/>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shall be governed and construed in accordance with the laws of the Province of Ontario and the federal laws of Canada applicable therein.</w:t>
      </w:r>
    </w:p>
    <w:p>
      <w:pPr>
        <w:spacing w:after="0" w:line="120" w:lineRule="exact"/>
        <w:rPr>
          <w:sz w:val="20"/>
          <w:szCs w:val="20"/>
          <w:color w:val="auto"/>
        </w:rPr>
      </w:pPr>
    </w:p>
    <w:p>
      <w:pPr>
        <w:jc w:val="center"/>
        <w:ind w:right="-111"/>
        <w:spacing w:after="0"/>
        <w:rPr>
          <w:sz w:val="20"/>
          <w:szCs w:val="20"/>
          <w:color w:val="auto"/>
        </w:rPr>
      </w:pPr>
      <w:r>
        <w:rPr>
          <w:rFonts w:ascii="Times New Roman" w:cs="Times New Roman" w:eastAsia="Times New Roman" w:hAnsi="Times New Roman"/>
          <w:sz w:val="18"/>
          <w:szCs w:val="18"/>
          <w:color w:val="auto"/>
        </w:rPr>
        <w:t>[REMAINDER OF THIS PAGE INTENTIONALLY LEFT BLANK]</w:t>
      </w:r>
    </w:p>
    <w:p>
      <w:pPr>
        <w:spacing w:after="0" w:line="158" w:lineRule="exact"/>
        <w:rPr>
          <w:sz w:val="20"/>
          <w:szCs w:val="20"/>
          <w:color w:val="auto"/>
        </w:rPr>
      </w:pPr>
    </w:p>
    <w:p>
      <w:pPr>
        <w:jc w:val="center"/>
        <w:ind w:right="-111"/>
        <w:spacing w:after="0"/>
        <w:rPr>
          <w:sz w:val="20"/>
          <w:szCs w:val="20"/>
          <w:color w:val="auto"/>
        </w:rPr>
      </w:pPr>
      <w:r>
        <w:rPr>
          <w:rFonts w:ascii="Times New Roman" w:cs="Times New Roman" w:eastAsia="Times New Roman" w:hAnsi="Times New Roman"/>
          <w:sz w:val="18"/>
          <w:szCs w:val="18"/>
          <w:color w:val="auto"/>
        </w:rPr>
        <w:t>- 3 -</w:t>
      </w:r>
    </w:p>
    <w:p>
      <w:pPr>
        <w:sectPr>
          <w:pgSz w:w="11900" w:h="16838" w:orient="portrait"/>
          <w:cols w:equalWidth="0" w:num="1">
            <w:col w:w="11292"/>
          </w:cols>
          <w:pgMar w:left="248" w:top="272" w:right="359" w:bottom="1440" w:gutter="0" w:footer="0" w:header="0"/>
        </w:sectPr>
      </w:pPr>
    </w:p>
    <w:bookmarkStart w:id="284" w:name="page285"/>
    <w:bookmarkEnd w:id="284"/>
    <w:p>
      <w:pPr>
        <w:ind w:right="120" w:firstLine="456"/>
        <w:spacing w:after="0" w:line="27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hereto have cause this Agreement to be executed by their authorizes signatories thereunto duly authorized, as of the date first above written.</w:t>
      </w:r>
    </w:p>
    <w:p>
      <w:pPr>
        <w:spacing w:after="0" w:line="158"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b w:val="1"/>
          <w:bCs w:val="1"/>
          <w:color w:val="auto"/>
        </w:rPr>
        <w:t>AVISCAR INC.</w:t>
      </w:r>
    </w:p>
    <w:p>
      <w:pPr>
        <w:spacing w:after="0" w:line="227" w:lineRule="exact"/>
        <w:rPr>
          <w:sz w:val="20"/>
          <w:szCs w:val="20"/>
          <w:color w:val="auto"/>
        </w:rPr>
      </w:pPr>
    </w:p>
    <w:tbl>
      <w:tblPr>
        <w:tblLayout w:type="fixed"/>
        <w:tblInd w:w="6860" w:type="dxa"/>
        <w:tblCellMar>
          <w:top w:w="0" w:type="dxa"/>
          <w:left w:w="0" w:type="dxa"/>
          <w:bottom w:w="0" w:type="dxa"/>
          <w:right w:w="0" w:type="dxa"/>
        </w:tblCellMar>
      </w:tblPr>
      <w:tr>
        <w:trPr>
          <w:trHeight w:val="229"/>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w w:val="99"/>
              </w:rPr>
              <w:t>By:</w:t>
            </w:r>
          </w:p>
        </w:tc>
        <w:tc>
          <w:tcPr>
            <w:tcW w:w="4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w:t>
            </w:r>
          </w:p>
        </w:tc>
        <w:tc>
          <w:tcPr>
            <w:tcW w:w="3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David Calabria</w:t>
            </w:r>
          </w:p>
        </w:tc>
      </w:tr>
      <w:tr>
        <w:trPr>
          <w:trHeight w:val="196"/>
        </w:trPr>
        <w:tc>
          <w:tcPr>
            <w:tcW w:w="280" w:type="dxa"/>
            <w:vAlign w:val="bottom"/>
          </w:tcPr>
          <w:p>
            <w:pPr>
              <w:spacing w:after="0"/>
              <w:rPr>
                <w:sz w:val="17"/>
                <w:szCs w:val="17"/>
                <w:color w:val="auto"/>
              </w:rPr>
            </w:pPr>
          </w:p>
        </w:tc>
        <w:tc>
          <w:tcPr>
            <w:tcW w:w="4280" w:type="dxa"/>
            <w:vAlign w:val="bottom"/>
            <w:gridSpan w:val="2"/>
          </w:tcPr>
          <w:p>
            <w:pPr>
              <w:ind w:left="100"/>
              <w:spacing w:after="0" w:line="196" w:lineRule="exact"/>
              <w:rPr>
                <w:sz w:val="20"/>
                <w:szCs w:val="20"/>
                <w:color w:val="auto"/>
              </w:rPr>
            </w:pPr>
            <w:r>
              <w:rPr>
                <w:rFonts w:ascii="Times New Roman" w:cs="Times New Roman" w:eastAsia="Times New Roman" w:hAnsi="Times New Roman"/>
                <w:sz w:val="18"/>
                <w:szCs w:val="18"/>
                <w:color w:val="auto"/>
              </w:rPr>
              <w:t>Name: David Calabria</w:t>
            </w:r>
          </w:p>
        </w:tc>
      </w:tr>
      <w:tr>
        <w:trPr>
          <w:trHeight w:val="228"/>
        </w:trPr>
        <w:tc>
          <w:tcPr>
            <w:tcW w:w="280" w:type="dxa"/>
            <w:vAlign w:val="bottom"/>
          </w:tcPr>
          <w:p>
            <w:pPr>
              <w:spacing w:after="0"/>
              <w:rPr>
                <w:sz w:val="19"/>
                <w:szCs w:val="19"/>
                <w:color w:val="auto"/>
              </w:rPr>
            </w:pPr>
          </w:p>
        </w:tc>
        <w:tc>
          <w:tcPr>
            <w:tcW w:w="48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2"/>
              </w:rPr>
              <w:t>Title:</w:t>
            </w:r>
          </w:p>
        </w:tc>
        <w:tc>
          <w:tcPr>
            <w:tcW w:w="3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Assistant Treasurer</w:t>
            </w:r>
          </w:p>
        </w:tc>
      </w:tr>
      <w:tr>
        <w:trPr>
          <w:trHeight w:val="434"/>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w w:val="99"/>
              </w:rPr>
              <w:t>By:</w:t>
            </w:r>
          </w:p>
        </w:tc>
        <w:tc>
          <w:tcPr>
            <w:tcW w:w="48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tcPr>
          <w:p>
            <w:pPr>
              <w:spacing w:after="0"/>
              <w:rPr>
                <w:sz w:val="24"/>
                <w:szCs w:val="24"/>
                <w:color w:val="auto"/>
              </w:rPr>
            </w:pPr>
          </w:p>
        </w:tc>
      </w:tr>
      <w:tr>
        <w:trPr>
          <w:trHeight w:val="195"/>
        </w:trPr>
        <w:tc>
          <w:tcPr>
            <w:tcW w:w="280" w:type="dxa"/>
            <w:vAlign w:val="bottom"/>
          </w:tcPr>
          <w:p>
            <w:pPr>
              <w:spacing w:after="0"/>
              <w:rPr>
                <w:sz w:val="16"/>
                <w:szCs w:val="16"/>
                <w:color w:val="auto"/>
              </w:rPr>
            </w:pPr>
          </w:p>
        </w:tc>
        <w:tc>
          <w:tcPr>
            <w:tcW w:w="4280" w:type="dxa"/>
            <w:vAlign w:val="bottom"/>
            <w:gridSpan w:val="2"/>
          </w:tcPr>
          <w:p>
            <w:pPr>
              <w:ind w:left="100"/>
              <w:spacing w:after="0" w:line="195" w:lineRule="exact"/>
              <w:rPr>
                <w:sz w:val="20"/>
                <w:szCs w:val="20"/>
                <w:color w:val="auto"/>
              </w:rPr>
            </w:pPr>
            <w:r>
              <w:rPr>
                <w:rFonts w:ascii="Times New Roman" w:cs="Times New Roman" w:eastAsia="Times New Roman" w:hAnsi="Times New Roman"/>
                <w:sz w:val="18"/>
                <w:szCs w:val="18"/>
                <w:color w:val="auto"/>
              </w:rPr>
              <w:t>Name:</w:t>
            </w:r>
          </w:p>
        </w:tc>
      </w:tr>
      <w:tr>
        <w:trPr>
          <w:trHeight w:val="228"/>
        </w:trPr>
        <w:tc>
          <w:tcPr>
            <w:tcW w:w="280" w:type="dxa"/>
            <w:vAlign w:val="bottom"/>
          </w:tcPr>
          <w:p>
            <w:pPr>
              <w:spacing w:after="0"/>
              <w:rPr>
                <w:sz w:val="19"/>
                <w:szCs w:val="19"/>
                <w:color w:val="auto"/>
              </w:rPr>
            </w:pPr>
          </w:p>
        </w:tc>
        <w:tc>
          <w:tcPr>
            <w:tcW w:w="48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2"/>
              </w:rPr>
              <w:t>Title:</w:t>
            </w:r>
          </w:p>
        </w:tc>
        <w:tc>
          <w:tcPr>
            <w:tcW w:w="3800" w:type="dxa"/>
            <w:vAlign w:val="bottom"/>
          </w:tcPr>
          <w:p>
            <w:pPr>
              <w:spacing w:after="0"/>
              <w:rPr>
                <w:sz w:val="19"/>
                <w:szCs w:val="19"/>
                <w:color w:val="auto"/>
              </w:rPr>
            </w:pPr>
          </w:p>
        </w:tc>
      </w:tr>
      <w:tr>
        <w:trPr>
          <w:trHeight w:val="446"/>
        </w:trPr>
        <w:tc>
          <w:tcPr>
            <w:tcW w:w="45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BUDGETCAR INC.</w:t>
            </w:r>
          </w:p>
        </w:tc>
      </w:tr>
      <w:tr>
        <w:trPr>
          <w:trHeight w:val="433"/>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w w:val="99"/>
              </w:rPr>
              <w:t>By:</w:t>
            </w:r>
          </w:p>
        </w:tc>
        <w:tc>
          <w:tcPr>
            <w:tcW w:w="4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w:t>
            </w:r>
          </w:p>
        </w:tc>
        <w:tc>
          <w:tcPr>
            <w:tcW w:w="3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Tim Smith</w:t>
            </w:r>
          </w:p>
        </w:tc>
      </w:tr>
      <w:tr>
        <w:trPr>
          <w:trHeight w:val="196"/>
        </w:trPr>
        <w:tc>
          <w:tcPr>
            <w:tcW w:w="280" w:type="dxa"/>
            <w:vAlign w:val="bottom"/>
          </w:tcPr>
          <w:p>
            <w:pPr>
              <w:spacing w:after="0"/>
              <w:rPr>
                <w:sz w:val="17"/>
                <w:szCs w:val="17"/>
                <w:color w:val="auto"/>
              </w:rPr>
            </w:pPr>
          </w:p>
        </w:tc>
        <w:tc>
          <w:tcPr>
            <w:tcW w:w="4280" w:type="dxa"/>
            <w:vAlign w:val="bottom"/>
            <w:gridSpan w:val="2"/>
          </w:tcPr>
          <w:p>
            <w:pPr>
              <w:ind w:left="100"/>
              <w:spacing w:after="0" w:line="196" w:lineRule="exact"/>
              <w:rPr>
                <w:sz w:val="20"/>
                <w:szCs w:val="20"/>
                <w:color w:val="auto"/>
              </w:rPr>
            </w:pPr>
            <w:r>
              <w:rPr>
                <w:rFonts w:ascii="Times New Roman" w:cs="Times New Roman" w:eastAsia="Times New Roman" w:hAnsi="Times New Roman"/>
                <w:sz w:val="18"/>
                <w:szCs w:val="18"/>
                <w:color w:val="auto"/>
              </w:rPr>
              <w:t>Name: Tim Smith</w:t>
            </w:r>
          </w:p>
        </w:tc>
      </w:tr>
      <w:tr>
        <w:trPr>
          <w:trHeight w:val="228"/>
        </w:trPr>
        <w:tc>
          <w:tcPr>
            <w:tcW w:w="280" w:type="dxa"/>
            <w:vAlign w:val="bottom"/>
          </w:tcPr>
          <w:p>
            <w:pPr>
              <w:spacing w:after="0"/>
              <w:rPr>
                <w:sz w:val="19"/>
                <w:szCs w:val="19"/>
                <w:color w:val="auto"/>
              </w:rPr>
            </w:pPr>
          </w:p>
        </w:tc>
        <w:tc>
          <w:tcPr>
            <w:tcW w:w="48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2"/>
              </w:rPr>
              <w:t>Title:</w:t>
            </w:r>
          </w:p>
        </w:tc>
        <w:tc>
          <w:tcPr>
            <w:tcW w:w="3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Assistant Treasurer</w:t>
            </w:r>
          </w:p>
        </w:tc>
      </w:tr>
    </w:tbl>
    <w:p>
      <w:pPr>
        <w:spacing w:after="0" w:line="21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6350</wp:posOffset>
            </wp:positionV>
            <wp:extent cx="2718435" cy="889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1"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Title:</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- 4 -</w:t>
      </w:r>
    </w:p>
    <w:p>
      <w:pPr>
        <w:sectPr>
          <w:pgSz w:w="11900" w:h="16838" w:orient="portrait"/>
          <w:cols w:equalWidth="0" w:num="1">
            <w:col w:w="11420"/>
          </w:cols>
          <w:pgMar w:left="240" w:top="274" w:right="239" w:bottom="1440" w:gutter="0" w:footer="0" w:header="0"/>
        </w:sectPr>
      </w:pPr>
    </w:p>
    <w:bookmarkStart w:id="285" w:name="page286"/>
    <w:bookmarkEnd w:id="285"/>
    <w:p>
      <w:pPr>
        <w:ind w:left="5660"/>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BNY TRUST COMPANY OF CANADA</w:t>
      </w:r>
      <w:r>
        <w:rPr>
          <w:rFonts w:ascii="Times New Roman" w:cs="Times New Roman" w:eastAsia="Times New Roman" w:hAnsi="Times New Roman"/>
          <w:sz w:val="16"/>
          <w:szCs w:val="16"/>
          <w:color w:val="auto"/>
        </w:rPr>
        <w:t>, AS TRUSTEE OF</w:t>
      </w:r>
    </w:p>
    <w:p>
      <w:pPr>
        <w:spacing w:after="0" w:line="46"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b w:val="1"/>
          <w:bCs w:val="1"/>
          <w:color w:val="auto"/>
        </w:rPr>
        <w:t xml:space="preserve">STARS TRUST </w:t>
      </w:r>
      <w:r>
        <w:rPr>
          <w:rFonts w:ascii="Times New Roman" w:cs="Times New Roman" w:eastAsia="Times New Roman" w:hAnsi="Times New Roman"/>
          <w:sz w:val="18"/>
          <w:szCs w:val="18"/>
          <w:color w:val="auto"/>
        </w:rPr>
        <w:t>(WITH LIABILITY LIMITED TO THE</w:t>
      </w:r>
    </w:p>
    <w:p>
      <w:pPr>
        <w:spacing w:after="0" w:line="9"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ASSETS OF STARS TRUST) BY ITS SECURITIZATION</w:t>
      </w:r>
    </w:p>
    <w:p>
      <w:pPr>
        <w:spacing w:after="0" w:line="9"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 xml:space="preserve">AGENT, </w:t>
      </w:r>
      <w:r>
        <w:rPr>
          <w:rFonts w:ascii="Times New Roman" w:cs="Times New Roman" w:eastAsia="Times New Roman" w:hAnsi="Times New Roman"/>
          <w:sz w:val="18"/>
          <w:szCs w:val="18"/>
          <w:b w:val="1"/>
          <w:bCs w:val="1"/>
          <w:color w:val="auto"/>
        </w:rPr>
        <w:t>BMO NESBITT BURNS INC.</w:t>
      </w:r>
    </w:p>
    <w:p>
      <w:pPr>
        <w:spacing w:after="0" w:line="213" w:lineRule="exact"/>
        <w:rPr>
          <w:sz w:val="20"/>
          <w:szCs w:val="20"/>
          <w:color w:val="auto"/>
        </w:rPr>
      </w:pPr>
    </w:p>
    <w:tbl>
      <w:tblPr>
        <w:tblLayout w:type="fixed"/>
        <w:tblInd w:w="5660" w:type="dxa"/>
        <w:tblCellMar>
          <w:top w:w="0" w:type="dxa"/>
          <w:left w:w="0" w:type="dxa"/>
          <w:bottom w:w="0" w:type="dxa"/>
          <w:right w:w="0" w:type="dxa"/>
        </w:tblCellMar>
      </w:tblPr>
      <w:tr>
        <w:trPr>
          <w:trHeight w:val="229"/>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w w:val="99"/>
              </w:rPr>
              <w:t>By:</w:t>
            </w:r>
          </w:p>
        </w:tc>
        <w:tc>
          <w:tcPr>
            <w:tcW w:w="4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w:t>
            </w:r>
          </w:p>
        </w:tc>
        <w:tc>
          <w:tcPr>
            <w:tcW w:w="3800" w:type="dxa"/>
            <w:vAlign w:val="bottom"/>
            <w:tcBorders>
              <w:bottom w:val="single" w:sz="8" w:color="auto"/>
            </w:tcBorders>
          </w:tcPr>
          <w:p>
            <w:pPr>
              <w:jc w:val="right"/>
              <w:ind w:right="2632"/>
              <w:spacing w:after="0"/>
              <w:rPr>
                <w:sz w:val="20"/>
                <w:szCs w:val="20"/>
                <w:color w:val="auto"/>
              </w:rPr>
            </w:pPr>
            <w:r>
              <w:rPr>
                <w:rFonts w:ascii="Times New Roman" w:cs="Times New Roman" w:eastAsia="Times New Roman" w:hAnsi="Times New Roman"/>
                <w:sz w:val="18"/>
                <w:szCs w:val="18"/>
                <w:color w:val="auto"/>
                <w:w w:val="94"/>
              </w:rPr>
              <w:t>Terry J. Ritchie</w:t>
            </w:r>
          </w:p>
        </w:tc>
      </w:tr>
      <w:tr>
        <w:trPr>
          <w:trHeight w:val="196"/>
        </w:trPr>
        <w:tc>
          <w:tcPr>
            <w:tcW w:w="280" w:type="dxa"/>
            <w:vAlign w:val="bottom"/>
          </w:tcPr>
          <w:p>
            <w:pPr>
              <w:spacing w:after="0"/>
              <w:rPr>
                <w:sz w:val="17"/>
                <w:szCs w:val="17"/>
                <w:color w:val="auto"/>
              </w:rPr>
            </w:pPr>
          </w:p>
        </w:tc>
        <w:tc>
          <w:tcPr>
            <w:tcW w:w="4280" w:type="dxa"/>
            <w:vAlign w:val="bottom"/>
            <w:gridSpan w:val="2"/>
          </w:tcPr>
          <w:p>
            <w:pPr>
              <w:ind w:left="100"/>
              <w:spacing w:after="0" w:line="196" w:lineRule="exact"/>
              <w:rPr>
                <w:sz w:val="20"/>
                <w:szCs w:val="20"/>
                <w:color w:val="auto"/>
              </w:rPr>
            </w:pPr>
            <w:r>
              <w:rPr>
                <w:rFonts w:ascii="Times New Roman" w:cs="Times New Roman" w:eastAsia="Times New Roman" w:hAnsi="Times New Roman"/>
                <w:sz w:val="18"/>
                <w:szCs w:val="18"/>
                <w:color w:val="auto"/>
              </w:rPr>
              <w:t>Name: Terry Ritchie</w:t>
            </w:r>
          </w:p>
        </w:tc>
      </w:tr>
      <w:tr>
        <w:trPr>
          <w:trHeight w:val="228"/>
        </w:trPr>
        <w:tc>
          <w:tcPr>
            <w:tcW w:w="280" w:type="dxa"/>
            <w:vAlign w:val="bottom"/>
          </w:tcPr>
          <w:p>
            <w:pPr>
              <w:spacing w:after="0"/>
              <w:rPr>
                <w:sz w:val="19"/>
                <w:szCs w:val="19"/>
                <w:color w:val="auto"/>
              </w:rPr>
            </w:pPr>
          </w:p>
        </w:tc>
        <w:tc>
          <w:tcPr>
            <w:tcW w:w="48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2"/>
              </w:rPr>
              <w:t>Title:</w:t>
            </w:r>
          </w:p>
        </w:tc>
        <w:tc>
          <w:tcPr>
            <w:tcW w:w="3800" w:type="dxa"/>
            <w:vAlign w:val="bottom"/>
          </w:tcPr>
          <w:p>
            <w:pPr>
              <w:jc w:val="right"/>
              <w:ind w:right="2252"/>
              <w:spacing w:after="0"/>
              <w:rPr>
                <w:sz w:val="20"/>
                <w:szCs w:val="20"/>
                <w:color w:val="auto"/>
              </w:rPr>
            </w:pPr>
            <w:r>
              <w:rPr>
                <w:rFonts w:ascii="Times New Roman" w:cs="Times New Roman" w:eastAsia="Times New Roman" w:hAnsi="Times New Roman"/>
                <w:sz w:val="18"/>
                <w:szCs w:val="18"/>
                <w:color w:val="auto"/>
              </w:rPr>
              <w:t>Managing Director</w:t>
            </w:r>
          </w:p>
        </w:tc>
      </w:tr>
      <w:tr>
        <w:trPr>
          <w:trHeight w:val="447"/>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w w:val="99"/>
              </w:rPr>
              <w:t>By:</w:t>
            </w:r>
          </w:p>
        </w:tc>
        <w:tc>
          <w:tcPr>
            <w:tcW w:w="4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w:t>
            </w:r>
          </w:p>
        </w:tc>
        <w:tc>
          <w:tcPr>
            <w:tcW w:w="3800" w:type="dxa"/>
            <w:vAlign w:val="bottom"/>
            <w:tcBorders>
              <w:bottom w:val="single" w:sz="8" w:color="auto"/>
            </w:tcBorders>
          </w:tcPr>
          <w:p>
            <w:pPr>
              <w:jc w:val="right"/>
              <w:ind w:right="2252"/>
              <w:spacing w:after="0"/>
              <w:rPr>
                <w:sz w:val="20"/>
                <w:szCs w:val="20"/>
                <w:color w:val="auto"/>
              </w:rPr>
            </w:pPr>
            <w:r>
              <w:rPr>
                <w:rFonts w:ascii="Times New Roman" w:cs="Times New Roman" w:eastAsia="Times New Roman" w:hAnsi="Times New Roman"/>
                <w:sz w:val="18"/>
                <w:szCs w:val="18"/>
                <w:color w:val="auto"/>
                <w:w w:val="95"/>
              </w:rPr>
              <w:t>Christopher Romano</w:t>
            </w:r>
          </w:p>
        </w:tc>
      </w:tr>
      <w:tr>
        <w:trPr>
          <w:trHeight w:val="196"/>
        </w:trPr>
        <w:tc>
          <w:tcPr>
            <w:tcW w:w="280" w:type="dxa"/>
            <w:vAlign w:val="bottom"/>
          </w:tcPr>
          <w:p>
            <w:pPr>
              <w:spacing w:after="0"/>
              <w:rPr>
                <w:sz w:val="17"/>
                <w:szCs w:val="17"/>
                <w:color w:val="auto"/>
              </w:rPr>
            </w:pPr>
          </w:p>
        </w:tc>
        <w:tc>
          <w:tcPr>
            <w:tcW w:w="4280" w:type="dxa"/>
            <w:vAlign w:val="bottom"/>
            <w:gridSpan w:val="2"/>
          </w:tcPr>
          <w:p>
            <w:pPr>
              <w:ind w:left="100"/>
              <w:spacing w:after="0" w:line="196" w:lineRule="exact"/>
              <w:rPr>
                <w:sz w:val="20"/>
                <w:szCs w:val="20"/>
                <w:color w:val="auto"/>
              </w:rPr>
            </w:pPr>
            <w:r>
              <w:rPr>
                <w:rFonts w:ascii="Times New Roman" w:cs="Times New Roman" w:eastAsia="Times New Roman" w:hAnsi="Times New Roman"/>
                <w:sz w:val="18"/>
                <w:szCs w:val="18"/>
                <w:color w:val="auto"/>
              </w:rPr>
              <w:t>Name: Christopher Romano</w:t>
            </w:r>
          </w:p>
        </w:tc>
      </w:tr>
      <w:tr>
        <w:trPr>
          <w:trHeight w:val="228"/>
        </w:trPr>
        <w:tc>
          <w:tcPr>
            <w:tcW w:w="280" w:type="dxa"/>
            <w:vAlign w:val="bottom"/>
          </w:tcPr>
          <w:p>
            <w:pPr>
              <w:spacing w:after="0"/>
              <w:rPr>
                <w:sz w:val="19"/>
                <w:szCs w:val="19"/>
                <w:color w:val="auto"/>
              </w:rPr>
            </w:pPr>
          </w:p>
        </w:tc>
        <w:tc>
          <w:tcPr>
            <w:tcW w:w="48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2"/>
              </w:rPr>
              <w:t>Title:</w:t>
            </w:r>
          </w:p>
        </w:tc>
        <w:tc>
          <w:tcPr>
            <w:tcW w:w="3800" w:type="dxa"/>
            <w:vAlign w:val="bottom"/>
          </w:tcPr>
          <w:p>
            <w:pPr>
              <w:jc w:val="right"/>
              <w:ind w:right="2252"/>
              <w:spacing w:after="0"/>
              <w:rPr>
                <w:sz w:val="20"/>
                <w:szCs w:val="20"/>
                <w:color w:val="auto"/>
              </w:rPr>
            </w:pPr>
            <w:r>
              <w:rPr>
                <w:rFonts w:ascii="Times New Roman" w:cs="Times New Roman" w:eastAsia="Times New Roman" w:hAnsi="Times New Roman"/>
                <w:sz w:val="18"/>
                <w:szCs w:val="18"/>
                <w:color w:val="auto"/>
              </w:rPr>
              <w:t>Managing Director</w:t>
            </w:r>
          </w:p>
        </w:tc>
      </w:tr>
    </w:tbl>
    <w:p>
      <w:pPr>
        <w:spacing w:after="0" w:line="215"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6"/>
          <w:szCs w:val="16"/>
          <w:b w:val="1"/>
          <w:bCs w:val="1"/>
          <w:color w:val="auto"/>
        </w:rPr>
        <w:t>MONTREAL TRUST COMPANY OF CANADA</w:t>
      </w:r>
      <w:r>
        <w:rPr>
          <w:rFonts w:ascii="Times New Roman" w:cs="Times New Roman" w:eastAsia="Times New Roman" w:hAnsi="Times New Roman"/>
          <w:sz w:val="16"/>
          <w:szCs w:val="16"/>
          <w:color w:val="auto"/>
        </w:rPr>
        <w:t>, as trustee</w:t>
      </w:r>
    </w:p>
    <w:p>
      <w:pPr>
        <w:spacing w:after="0" w:line="46"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6"/>
          <w:szCs w:val="16"/>
          <w:color w:val="auto"/>
        </w:rPr>
        <w:t xml:space="preserve">of </w:t>
      </w:r>
      <w:r>
        <w:rPr>
          <w:rFonts w:ascii="Times New Roman" w:cs="Times New Roman" w:eastAsia="Times New Roman" w:hAnsi="Times New Roman"/>
          <w:sz w:val="16"/>
          <w:szCs w:val="16"/>
          <w:b w:val="1"/>
          <w:bCs w:val="1"/>
          <w:color w:val="auto"/>
        </w:rPr>
        <w:t>BAY STREET FUNDING TRUST</w:t>
      </w:r>
      <w:r>
        <w:rPr>
          <w:rFonts w:ascii="Times New Roman" w:cs="Times New Roman" w:eastAsia="Times New Roman" w:hAnsi="Times New Roman"/>
          <w:sz w:val="16"/>
          <w:szCs w:val="16"/>
          <w:color w:val="auto"/>
        </w:rPr>
        <w:t xml:space="preserve"> (with liability limited to</w:t>
      </w:r>
    </w:p>
    <w:p>
      <w:pPr>
        <w:spacing w:after="0" w:line="32"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the assets of Bay Street Funding Trust) by its administrator,</w:t>
      </w:r>
    </w:p>
    <w:p>
      <w:pPr>
        <w:spacing w:after="0" w:line="9"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b w:val="1"/>
          <w:bCs w:val="1"/>
          <w:color w:val="auto"/>
        </w:rPr>
        <w:t>SCOTIA CAPITAL INC</w:t>
      </w:r>
      <w:r>
        <w:rPr>
          <w:rFonts w:ascii="Times New Roman" w:cs="Times New Roman" w:eastAsia="Times New Roman" w:hAnsi="Times New Roman"/>
          <w:sz w:val="18"/>
          <w:szCs w:val="18"/>
          <w:color w:val="auto"/>
        </w:rPr>
        <w:t>.</w:t>
      </w:r>
    </w:p>
    <w:p>
      <w:pPr>
        <w:spacing w:after="0" w:line="213" w:lineRule="exact"/>
        <w:rPr>
          <w:sz w:val="20"/>
          <w:szCs w:val="20"/>
          <w:color w:val="auto"/>
        </w:rPr>
      </w:pPr>
    </w:p>
    <w:tbl>
      <w:tblPr>
        <w:tblLayout w:type="fixed"/>
        <w:tblInd w:w="5660" w:type="dxa"/>
        <w:tblCellMar>
          <w:top w:w="0" w:type="dxa"/>
          <w:left w:w="0" w:type="dxa"/>
          <w:bottom w:w="0" w:type="dxa"/>
          <w:right w:w="0" w:type="dxa"/>
        </w:tblCellMar>
      </w:tblPr>
      <w:tr>
        <w:trPr>
          <w:trHeight w:val="229"/>
        </w:trPr>
        <w:tc>
          <w:tcPr>
            <w:tcW w:w="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  /s/</w:t>
            </w:r>
          </w:p>
        </w:tc>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Douglas Noe</w:t>
            </w:r>
          </w:p>
        </w:tc>
      </w:tr>
      <w:tr>
        <w:trPr>
          <w:trHeight w:val="196"/>
        </w:trPr>
        <w:tc>
          <w:tcPr>
            <w:tcW w:w="280" w:type="dxa"/>
            <w:vAlign w:val="bottom"/>
          </w:tcPr>
          <w:p>
            <w:pPr>
              <w:spacing w:after="0"/>
              <w:rPr>
                <w:sz w:val="17"/>
                <w:szCs w:val="17"/>
                <w:color w:val="auto"/>
              </w:rPr>
            </w:pPr>
          </w:p>
        </w:tc>
        <w:tc>
          <w:tcPr>
            <w:tcW w:w="4280" w:type="dxa"/>
            <w:vAlign w:val="bottom"/>
            <w:tcBorders>
              <w:top w:val="single" w:sz="8" w:color="auto"/>
            </w:tcBorders>
            <w:gridSpan w:val="2"/>
          </w:tcPr>
          <w:p>
            <w:pPr>
              <w:ind w:left="100"/>
              <w:spacing w:after="0" w:line="196" w:lineRule="exact"/>
              <w:rPr>
                <w:sz w:val="20"/>
                <w:szCs w:val="20"/>
                <w:color w:val="auto"/>
              </w:rPr>
            </w:pPr>
            <w:r>
              <w:rPr>
                <w:rFonts w:ascii="Times New Roman" w:cs="Times New Roman" w:eastAsia="Times New Roman" w:hAnsi="Times New Roman"/>
                <w:sz w:val="18"/>
                <w:szCs w:val="18"/>
                <w:color w:val="auto"/>
              </w:rPr>
              <w:t>Name: Douglas Noe</w:t>
            </w:r>
          </w:p>
        </w:tc>
      </w:tr>
      <w:tr>
        <w:trPr>
          <w:trHeight w:val="228"/>
        </w:trPr>
        <w:tc>
          <w:tcPr>
            <w:tcW w:w="280" w:type="dxa"/>
            <w:vAlign w:val="bottom"/>
          </w:tcPr>
          <w:p>
            <w:pPr>
              <w:spacing w:after="0"/>
              <w:rPr>
                <w:sz w:val="19"/>
                <w:szCs w:val="19"/>
                <w:color w:val="auto"/>
              </w:rPr>
            </w:pPr>
          </w:p>
        </w:tc>
        <w:tc>
          <w:tcPr>
            <w:tcW w:w="48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2"/>
              </w:rPr>
              <w:t>Title:</w:t>
            </w:r>
          </w:p>
        </w:tc>
        <w:tc>
          <w:tcPr>
            <w:tcW w:w="3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Director, Structured Finance</w:t>
            </w:r>
          </w:p>
        </w:tc>
      </w:tr>
    </w:tbl>
    <w:p>
      <w:pPr>
        <w:spacing w:after="0" w:line="217"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3771265</wp:posOffset>
            </wp:positionH>
            <wp:positionV relativeFrom="paragraph">
              <wp:posOffset>6350</wp:posOffset>
            </wp:positionV>
            <wp:extent cx="2718435" cy="88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1"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Title:</w:t>
      </w:r>
    </w:p>
    <w:p>
      <w:pPr>
        <w:spacing w:after="0" w:line="159"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- 5 -</w:t>
      </w:r>
    </w:p>
    <w:p>
      <w:pPr>
        <w:sectPr>
          <w:pgSz w:w="11900" w:h="16838" w:orient="portrait"/>
          <w:cols w:equalWidth="0" w:num="1">
            <w:col w:w="10220"/>
          </w:cols>
          <w:pgMar w:left="1440" w:top="272" w:right="239" w:bottom="1440" w:gutter="0" w:footer="0" w:header="0"/>
        </w:sectPr>
      </w:pPr>
    </w:p>
    <w:bookmarkStart w:id="286" w:name="page287"/>
    <w:bookmarkEnd w:id="286"/>
    <w:p>
      <w:pPr>
        <w:ind w:left="4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undersigned hereby acknowledges notice of and consents to the foregoing amendments to the Limited Partnership Agreement.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this 9</w:t>
      </w:r>
      <w:r>
        <w:rPr>
          <w:rFonts w:ascii="Times New Roman" w:cs="Times New Roman" w:eastAsia="Times New Roman" w:hAnsi="Times New Roman"/>
          <w:sz w:val="11"/>
          <w:szCs w:val="11"/>
          <w:color w:val="auto"/>
        </w:rPr>
        <w:t>th</w:t>
      </w:r>
      <w:r>
        <w:rPr>
          <w:rFonts w:ascii="Times New Roman" w:cs="Times New Roman" w:eastAsia="Times New Roman" w:hAnsi="Times New Roman"/>
          <w:sz w:val="18"/>
          <w:szCs w:val="18"/>
          <w:color w:val="auto"/>
        </w:rPr>
        <w:t xml:space="preserve"> day of November, 2009.</w:t>
      </w:r>
    </w:p>
    <w:p>
      <w:pPr>
        <w:spacing w:after="0" w:line="210"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b w:val="1"/>
          <w:bCs w:val="1"/>
          <w:color w:val="auto"/>
        </w:rPr>
        <w:t>AVIS BUDGET CAR RENTAL, LLC</w:t>
      </w:r>
    </w:p>
    <w:p>
      <w:pPr>
        <w:spacing w:after="0" w:line="227" w:lineRule="exact"/>
        <w:rPr>
          <w:sz w:val="20"/>
          <w:szCs w:val="20"/>
          <w:color w:val="auto"/>
        </w:rPr>
      </w:pPr>
    </w:p>
    <w:tbl>
      <w:tblPr>
        <w:tblLayout w:type="fixed"/>
        <w:tblInd w:w="6860" w:type="dxa"/>
        <w:tblCellMar>
          <w:top w:w="0" w:type="dxa"/>
          <w:left w:w="0" w:type="dxa"/>
          <w:bottom w:w="0" w:type="dxa"/>
          <w:right w:w="0" w:type="dxa"/>
        </w:tblCellMar>
      </w:tblPr>
      <w:tr>
        <w:trPr>
          <w:trHeight w:val="229"/>
        </w:trPr>
        <w:tc>
          <w:tcPr>
            <w:tcW w:w="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  /s/</w:t>
            </w:r>
          </w:p>
        </w:tc>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David Calabria</w:t>
            </w:r>
          </w:p>
        </w:tc>
      </w:tr>
      <w:tr>
        <w:trPr>
          <w:trHeight w:val="196"/>
        </w:trPr>
        <w:tc>
          <w:tcPr>
            <w:tcW w:w="280" w:type="dxa"/>
            <w:vAlign w:val="bottom"/>
          </w:tcPr>
          <w:p>
            <w:pPr>
              <w:spacing w:after="0"/>
              <w:rPr>
                <w:sz w:val="17"/>
                <w:szCs w:val="17"/>
                <w:color w:val="auto"/>
              </w:rPr>
            </w:pPr>
          </w:p>
        </w:tc>
        <w:tc>
          <w:tcPr>
            <w:tcW w:w="4280" w:type="dxa"/>
            <w:vAlign w:val="bottom"/>
            <w:tcBorders>
              <w:top w:val="single" w:sz="8" w:color="auto"/>
            </w:tcBorders>
            <w:gridSpan w:val="2"/>
          </w:tcPr>
          <w:p>
            <w:pPr>
              <w:ind w:left="100"/>
              <w:spacing w:after="0" w:line="196" w:lineRule="exact"/>
              <w:rPr>
                <w:sz w:val="20"/>
                <w:szCs w:val="20"/>
                <w:color w:val="auto"/>
              </w:rPr>
            </w:pPr>
            <w:r>
              <w:rPr>
                <w:rFonts w:ascii="Times New Roman" w:cs="Times New Roman" w:eastAsia="Times New Roman" w:hAnsi="Times New Roman"/>
                <w:sz w:val="18"/>
                <w:szCs w:val="18"/>
                <w:color w:val="auto"/>
              </w:rPr>
              <w:t>Name: David Calabria</w:t>
            </w:r>
          </w:p>
        </w:tc>
      </w:tr>
      <w:tr>
        <w:trPr>
          <w:trHeight w:val="228"/>
        </w:trPr>
        <w:tc>
          <w:tcPr>
            <w:tcW w:w="280" w:type="dxa"/>
            <w:vAlign w:val="bottom"/>
          </w:tcPr>
          <w:p>
            <w:pPr>
              <w:spacing w:after="0"/>
              <w:rPr>
                <w:sz w:val="19"/>
                <w:szCs w:val="19"/>
                <w:color w:val="auto"/>
              </w:rPr>
            </w:pPr>
          </w:p>
        </w:tc>
        <w:tc>
          <w:tcPr>
            <w:tcW w:w="48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2"/>
              </w:rPr>
              <w:t>Title:</w:t>
            </w:r>
          </w:p>
        </w:tc>
        <w:tc>
          <w:tcPr>
            <w:tcW w:w="3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Assistant Treasurer</w:t>
            </w:r>
          </w:p>
        </w:tc>
      </w:tr>
    </w:tbl>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- 6 -</w:t>
      </w:r>
    </w:p>
    <w:p>
      <w:pPr>
        <w:sectPr>
          <w:pgSz w:w="11900" w:h="16838" w:orient="portrait"/>
          <w:cols w:equalWidth="0" w:num="1">
            <w:col w:w="11420"/>
          </w:cols>
          <w:pgMar w:left="240" w:top="274" w:right="239" w:bottom="1440" w:gutter="0" w:footer="0" w:header="0"/>
        </w:sectPr>
      </w:pPr>
    </w:p>
    <w:bookmarkStart w:id="287" w:name="page288"/>
    <w:bookmarkEnd w:id="287"/>
    <w:p>
      <w:pPr>
        <w:jc w:val="right"/>
        <w:spacing w:after="0"/>
        <w:rPr>
          <w:sz w:val="20"/>
          <w:szCs w:val="20"/>
          <w:color w:val="auto"/>
        </w:rPr>
      </w:pPr>
      <w:r>
        <w:rPr>
          <w:rFonts w:ascii="Times New Roman" w:cs="Times New Roman" w:eastAsia="Times New Roman" w:hAnsi="Times New Roman"/>
          <w:sz w:val="18"/>
          <w:szCs w:val="18"/>
          <w:b w:val="1"/>
          <w:bCs w:val="1"/>
          <w:color w:val="auto"/>
        </w:rPr>
        <w:t>Exhibit 12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Avis Budget Group, Inc.</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COMPUTATION OF RATIO OF EARNINGS TO FIXED CHARGES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millions)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116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Year Ended December 31,</w:t>
            </w:r>
          </w:p>
        </w:tc>
        <w:tc>
          <w:tcPr>
            <w:tcW w:w="14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40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Earnings available to cover fixed charges:</w:t>
            </w:r>
          </w:p>
        </w:tc>
        <w:tc>
          <w:tcPr>
            <w:tcW w:w="9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2009</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2008</w:t>
            </w: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w w:val="99"/>
              </w:rPr>
              <w:t>2007</w:t>
            </w:r>
          </w:p>
        </w:tc>
        <w:tc>
          <w:tcPr>
            <w:tcW w:w="7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2006</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2005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4060" w:type="dxa"/>
            <w:vAlign w:val="bottom"/>
            <w:gridSpan w:val="2"/>
            <w:vMerge w:val="continue"/>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 from continuing operations before</w:t>
            </w: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income taxes</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(77)</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(1,343)</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558"/>
              <w:spacing w:after="0"/>
              <w:rPr>
                <w:sz w:val="20"/>
                <w:szCs w:val="20"/>
                <w:color w:val="auto"/>
              </w:rPr>
            </w:pPr>
            <w:r>
              <w:rPr>
                <w:rFonts w:ascii="Times New Roman" w:cs="Times New Roman" w:eastAsia="Times New Roman" w:hAnsi="Times New Roman"/>
                <w:sz w:val="18"/>
                <w:szCs w:val="18"/>
                <w:color w:val="auto"/>
              </w:rPr>
              <w:t>(992)</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(677)</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28"/>
        </w:trPr>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Plus: Fixed charges</w:t>
            </w: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w:t>
            </w: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w:t>
            </w: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w:t>
            </w: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693</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569</w:t>
            </w:r>
          </w:p>
        </w:tc>
        <w:tc>
          <w:tcPr>
            <w:tcW w:w="0" w:type="dxa"/>
            <w:vAlign w:val="bottom"/>
          </w:tcPr>
          <w:p>
            <w:pPr>
              <w:spacing w:after="0"/>
              <w:rPr>
                <w:sz w:val="1"/>
                <w:szCs w:val="1"/>
                <w:color w:val="auto"/>
              </w:rPr>
            </w:pPr>
          </w:p>
        </w:tc>
      </w:tr>
      <w:tr>
        <w:trPr>
          <w:trHeight w:val="224"/>
        </w:trPr>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Earnings available to cover fixed charges</w:t>
            </w:r>
          </w:p>
        </w:tc>
        <w:tc>
          <w:tcPr>
            <w:tcW w:w="9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(879</w:t>
            </w:r>
          </w:p>
        </w:tc>
        <w:tc>
          <w:tcPr>
            <w:tcW w:w="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(436</w:t>
            </w:r>
          </w:p>
        </w:tc>
        <w:tc>
          <w:tcPr>
            <w:tcW w:w="700" w:type="dxa"/>
            <w:vAlign w:val="bottom"/>
          </w:tcPr>
          <w:p>
            <w:pPr>
              <w:jc w:val="right"/>
              <w:ind w:right="558"/>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 xml:space="preserve">Fixed charges </w:t>
            </w:r>
            <w:r>
              <w:rPr>
                <w:rFonts w:ascii="Times New Roman" w:cs="Times New Roman" w:eastAsia="Times New Roman" w:hAnsi="Times New Roman"/>
                <w:sz w:val="11"/>
                <w:szCs w:val="11"/>
                <w:b w:val="1"/>
                <w:bCs w:val="1"/>
                <w:color w:val="auto"/>
              </w:rPr>
              <w:t>(a)</w:t>
            </w:r>
            <w:r>
              <w:rPr>
                <w:rFonts w:ascii="Times New Roman" w:cs="Times New Roman" w:eastAsia="Times New Roman" w:hAnsi="Times New Roman"/>
                <w:sz w:val="18"/>
                <w:szCs w:val="18"/>
                <w:b w:val="1"/>
                <w:bCs w:val="1"/>
                <w:color w:val="auto"/>
              </w:rPr>
              <w:t xml:space="preserve"> :</w:t>
            </w:r>
          </w:p>
        </w:tc>
        <w:tc>
          <w:tcPr>
            <w:tcW w:w="9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060" w:type="dxa"/>
            <w:vAlign w:val="bottom"/>
            <w:gridSpan w:val="2"/>
            <w:vMerge w:val="continue"/>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including amortization of deferred</w:t>
            </w: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financing costs</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38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6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w:t>
            </w:r>
          </w:p>
        </w:tc>
        <w:tc>
          <w:tcPr>
            <w:tcW w:w="7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632</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512</w:t>
            </w:r>
          </w:p>
        </w:tc>
        <w:tc>
          <w:tcPr>
            <w:tcW w:w="0" w:type="dxa"/>
            <w:vAlign w:val="bottom"/>
          </w:tcPr>
          <w:p>
            <w:pPr>
              <w:spacing w:after="0"/>
              <w:rPr>
                <w:sz w:val="1"/>
                <w:szCs w:val="1"/>
                <w:color w:val="auto"/>
              </w:rPr>
            </w:pPr>
          </w:p>
        </w:tc>
      </w:tr>
      <w:tr>
        <w:trPr>
          <w:trHeight w:val="228"/>
        </w:trPr>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portion of rental payment</w:t>
            </w: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61</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24"/>
        </w:trPr>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fixed charges</w:t>
            </w:r>
          </w:p>
        </w:tc>
        <w:tc>
          <w:tcPr>
            <w:tcW w:w="9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408</w:t>
            </w: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464</w:t>
            </w: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556</w:t>
            </w:r>
          </w:p>
        </w:tc>
        <w:tc>
          <w:tcPr>
            <w:tcW w:w="7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693</w:t>
            </w: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 xml:space="preserve">Ratio of earnings to fixed charges </w:t>
            </w:r>
            <w:r>
              <w:rPr>
                <w:rFonts w:ascii="Times New Roman" w:cs="Times New Roman" w:eastAsia="Times New Roman" w:hAnsi="Times New Roman"/>
                <w:sz w:val="11"/>
                <w:szCs w:val="11"/>
                <w:b w:val="1"/>
                <w:bCs w:val="1"/>
                <w:color w:val="auto"/>
              </w:rPr>
              <w:t>(b)</w:t>
            </w:r>
          </w:p>
        </w:tc>
        <w:tc>
          <w:tcPr>
            <w:tcW w:w="9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4060" w:type="dxa"/>
            <w:vAlign w:val="bottom"/>
            <w:gridSpan w:val="2"/>
            <w:vMerge w:val="continue"/>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2900" w:type="dxa"/>
            <w:vAlign w:val="bottom"/>
          </w:tcPr>
          <w:p>
            <w:pPr>
              <w:spacing w:after="0"/>
              <w:rPr>
                <w:sz w:val="8"/>
                <w:szCs w:val="8"/>
                <w:color w:val="auto"/>
              </w:rPr>
            </w:pPr>
          </w:p>
        </w:tc>
        <w:tc>
          <w:tcPr>
            <w:tcW w:w="9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7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3" w:lineRule="exact"/>
        <w:rPr>
          <w:sz w:val="20"/>
          <w:szCs w:val="20"/>
          <w:color w:val="auto"/>
        </w:rPr>
      </w:pPr>
    </w:p>
    <w:p>
      <w:pPr>
        <w:ind w:left="340" w:right="140" w:hanging="332"/>
        <w:spacing w:after="0" w:line="275" w:lineRule="auto"/>
        <w:tabs>
          <w:tab w:leader="none" w:pos="340"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interest expense on all indebtedness (including amortization of deferred financing costs) and the portion of operating lease rental expense that is representative of the interest factor. Interest expense on all indebtedness is detailed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1160" w:type="dxa"/>
            <w:vAlign w:val="bottom"/>
          </w:tcPr>
          <w:p>
            <w:pPr>
              <w:spacing w:after="0"/>
              <w:rPr>
                <w:sz w:val="20"/>
                <w:szCs w:val="20"/>
                <w:color w:val="auto"/>
              </w:rPr>
            </w:pPr>
          </w:p>
        </w:tc>
        <w:tc>
          <w:tcPr>
            <w:tcW w:w="5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760" w:type="dxa"/>
            <w:vAlign w:val="bottom"/>
            <w:tcBorders>
              <w:bottom w:val="single" w:sz="8" w:color="auto"/>
            </w:tcBorders>
            <w:gridSpan w:val="8"/>
          </w:tcPr>
          <w:p>
            <w:pPr>
              <w:ind w:left="16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8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11"/>
        </w:trPr>
        <w:tc>
          <w:tcPr>
            <w:tcW w:w="1160" w:type="dxa"/>
            <w:vAlign w:val="bottom"/>
          </w:tcPr>
          <w:p>
            <w:pPr>
              <w:spacing w:after="0"/>
              <w:rPr>
                <w:sz w:val="18"/>
                <w:szCs w:val="18"/>
                <w:color w:val="auto"/>
              </w:rPr>
            </w:pPr>
          </w:p>
        </w:tc>
        <w:tc>
          <w:tcPr>
            <w:tcW w:w="5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w w:val="88"/>
              </w:rPr>
              <w:t>2009</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2008</w:t>
            </w:r>
          </w:p>
        </w:tc>
        <w:tc>
          <w:tcPr>
            <w:tcW w:w="4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2007</w:t>
            </w:r>
          </w:p>
        </w:tc>
        <w:tc>
          <w:tcPr>
            <w:tcW w:w="4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w w:val="88"/>
              </w:rPr>
              <w:t>2006</w:t>
            </w:r>
          </w:p>
        </w:tc>
        <w:tc>
          <w:tcPr>
            <w:tcW w:w="4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4"/>
              </w:rPr>
              <w:t>2005</w:t>
            </w:r>
          </w:p>
        </w:tc>
        <w:tc>
          <w:tcPr>
            <w:tcW w:w="20" w:type="dxa"/>
            <w:vAlign w:val="bottom"/>
          </w:tcPr>
          <w:p>
            <w:pPr>
              <w:spacing w:after="0"/>
              <w:rPr>
                <w:sz w:val="18"/>
                <w:szCs w:val="18"/>
                <w:color w:val="auto"/>
              </w:rPr>
            </w:pPr>
          </w:p>
        </w:tc>
      </w:tr>
      <w:tr>
        <w:trPr>
          <w:trHeight w:val="195"/>
        </w:trPr>
        <w:tc>
          <w:tcPr>
            <w:tcW w:w="7120" w:type="dxa"/>
            <w:vAlign w:val="bottom"/>
            <w:gridSpan w:val="2"/>
          </w:tcPr>
          <w:p>
            <w:pPr>
              <w:spacing w:after="0" w:line="195" w:lineRule="exact"/>
              <w:rPr>
                <w:sz w:val="20"/>
                <w:szCs w:val="20"/>
                <w:color w:val="auto"/>
              </w:rPr>
            </w:pPr>
            <w:r>
              <w:rPr>
                <w:rFonts w:ascii="Times New Roman" w:cs="Times New Roman" w:eastAsia="Times New Roman" w:hAnsi="Times New Roman"/>
                <w:sz w:val="18"/>
                <w:szCs w:val="18"/>
                <w:color w:val="auto"/>
              </w:rPr>
              <w:t>Related to debt under vehicle programs</w:t>
            </w:r>
          </w:p>
        </w:tc>
        <w:tc>
          <w:tcPr>
            <w:tcW w:w="2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4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186</w:t>
            </w: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40" w:type="dxa"/>
            <w:vAlign w:val="bottom"/>
          </w:tcPr>
          <w:p>
            <w:pPr>
              <w:ind w:left="180"/>
              <w:spacing w:after="0" w:line="195" w:lineRule="exact"/>
              <w:rPr>
                <w:sz w:val="20"/>
                <w:szCs w:val="20"/>
                <w:color w:val="auto"/>
              </w:rPr>
            </w:pPr>
            <w:r>
              <w:rPr>
                <w:rFonts w:ascii="Times New Roman" w:cs="Times New Roman" w:eastAsia="Times New Roman" w:hAnsi="Times New Roman"/>
                <w:sz w:val="18"/>
                <w:szCs w:val="18"/>
                <w:color w:val="auto"/>
                <w:w w:val="88"/>
              </w:rPr>
              <w:t>266</w:t>
            </w:r>
          </w:p>
        </w:tc>
        <w:tc>
          <w:tcPr>
            <w:tcW w:w="420" w:type="dxa"/>
            <w:vAlign w:val="bottom"/>
          </w:tcPr>
          <w:p>
            <w:pPr>
              <w:spacing w:after="0"/>
              <w:rPr>
                <w:sz w:val="16"/>
                <w:szCs w:val="16"/>
                <w:color w:val="auto"/>
              </w:rPr>
            </w:pPr>
          </w:p>
        </w:tc>
        <w:tc>
          <w:tcPr>
            <w:tcW w:w="10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356</w:t>
            </w:r>
          </w:p>
        </w:tc>
        <w:tc>
          <w:tcPr>
            <w:tcW w:w="420" w:type="dxa"/>
            <w:vAlign w:val="bottom"/>
          </w:tcPr>
          <w:p>
            <w:pPr>
              <w:spacing w:after="0"/>
              <w:rPr>
                <w:sz w:val="16"/>
                <w:szCs w:val="16"/>
                <w:color w:val="auto"/>
              </w:rPr>
            </w:pPr>
          </w:p>
        </w:tc>
        <w:tc>
          <w:tcPr>
            <w:tcW w:w="10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361</w:t>
            </w:r>
          </w:p>
        </w:tc>
        <w:tc>
          <w:tcPr>
            <w:tcW w:w="42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4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313</w:t>
            </w:r>
          </w:p>
        </w:tc>
        <w:tc>
          <w:tcPr>
            <w:tcW w:w="20" w:type="dxa"/>
            <w:vAlign w:val="bottom"/>
          </w:tcPr>
          <w:p>
            <w:pPr>
              <w:spacing w:after="0"/>
              <w:rPr>
                <w:sz w:val="16"/>
                <w:szCs w:val="16"/>
                <w:color w:val="auto"/>
              </w:rPr>
            </w:pPr>
          </w:p>
        </w:tc>
      </w:tr>
      <w:tr>
        <w:trPr>
          <w:trHeight w:val="229"/>
        </w:trPr>
        <w:tc>
          <w:tcPr>
            <w:tcW w:w="7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All other</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157</w:t>
            </w: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88"/>
              </w:rPr>
              <w:t>136</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271</w:t>
            </w:r>
          </w:p>
        </w:tc>
        <w:tc>
          <w:tcPr>
            <w:tcW w:w="80" w:type="dxa"/>
            <w:vAlign w:val="bottom"/>
          </w:tcPr>
          <w:p>
            <w:pPr>
              <w:spacing w:after="0"/>
              <w:rPr>
                <w:sz w:val="19"/>
                <w:szCs w:val="19"/>
                <w:color w:val="auto"/>
              </w:rPr>
            </w:pPr>
          </w:p>
        </w:tc>
        <w:tc>
          <w:tcPr>
            <w:tcW w:w="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199</w:t>
            </w:r>
          </w:p>
        </w:tc>
      </w:tr>
      <w:tr>
        <w:trPr>
          <w:trHeight w:val="224"/>
        </w:trPr>
        <w:tc>
          <w:tcPr>
            <w:tcW w:w="1160" w:type="dxa"/>
            <w:vAlign w:val="bottom"/>
          </w:tcPr>
          <w:p>
            <w:pPr>
              <w:spacing w:after="0"/>
              <w:rPr>
                <w:sz w:val="19"/>
                <w:szCs w:val="19"/>
                <w:color w:val="auto"/>
              </w:rPr>
            </w:pPr>
          </w:p>
        </w:tc>
        <w:tc>
          <w:tcPr>
            <w:tcW w:w="59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6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343</w:t>
            </w:r>
          </w:p>
        </w:tc>
        <w:tc>
          <w:tcPr>
            <w:tcW w:w="3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40" w:type="dxa"/>
            <w:vAlign w:val="bottom"/>
            <w:tcBorders>
              <w:top w:val="single" w:sz="8" w:color="auto"/>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w w:val="88"/>
              </w:rPr>
              <w:t>402</w:t>
            </w:r>
          </w:p>
        </w:tc>
        <w:tc>
          <w:tcPr>
            <w:tcW w:w="4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497</w:t>
            </w:r>
          </w:p>
        </w:tc>
        <w:tc>
          <w:tcPr>
            <w:tcW w:w="4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632</w:t>
            </w:r>
          </w:p>
        </w:tc>
        <w:tc>
          <w:tcPr>
            <w:tcW w:w="4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512</w:t>
            </w:r>
          </w:p>
        </w:tc>
        <w:tc>
          <w:tcPr>
            <w:tcW w:w="20" w:type="dxa"/>
            <w:vAlign w:val="bottom"/>
          </w:tcPr>
          <w:p>
            <w:pPr>
              <w:spacing w:after="0"/>
              <w:rPr>
                <w:sz w:val="19"/>
                <w:szCs w:val="19"/>
                <w:color w:val="auto"/>
              </w:rPr>
            </w:pPr>
          </w:p>
        </w:tc>
      </w:tr>
      <w:tr>
        <w:trPr>
          <w:trHeight w:val="20"/>
        </w:trPr>
        <w:tc>
          <w:tcPr>
            <w:tcW w:w="116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89"/>
        </w:trPr>
        <w:tc>
          <w:tcPr>
            <w:tcW w:w="1160" w:type="dxa"/>
            <w:vAlign w:val="bottom"/>
            <w:tcBorders>
              <w:bottom w:val="single" w:sz="8" w:color="auto"/>
            </w:tcBorders>
          </w:tcPr>
          <w:p>
            <w:pPr>
              <w:spacing w:after="0"/>
              <w:rPr>
                <w:sz w:val="7"/>
                <w:szCs w:val="7"/>
                <w:color w:val="auto"/>
              </w:rPr>
            </w:pPr>
          </w:p>
        </w:tc>
        <w:tc>
          <w:tcPr>
            <w:tcW w:w="59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 w:type="dxa"/>
            <w:vAlign w:val="bottom"/>
          </w:tcPr>
          <w:p>
            <w:pPr>
              <w:spacing w:after="0"/>
              <w:rPr>
                <w:sz w:val="7"/>
                <w:szCs w:val="7"/>
                <w:color w:val="auto"/>
              </w:rPr>
            </w:pPr>
          </w:p>
        </w:tc>
      </w:tr>
    </w:tbl>
    <w:p>
      <w:pPr>
        <w:spacing w:after="0" w:line="13" w:lineRule="exact"/>
        <w:rPr>
          <w:sz w:val="20"/>
          <w:szCs w:val="20"/>
          <w:color w:val="auto"/>
        </w:rPr>
      </w:pPr>
    </w:p>
    <w:p>
      <w:pPr>
        <w:ind w:left="340" w:right="780"/>
        <w:spacing w:after="0" w:line="257" w:lineRule="auto"/>
        <w:rPr>
          <w:sz w:val="20"/>
          <w:szCs w:val="20"/>
          <w:color w:val="auto"/>
        </w:rPr>
      </w:pPr>
      <w:r>
        <w:rPr>
          <w:rFonts w:ascii="Times New Roman" w:cs="Times New Roman" w:eastAsia="Times New Roman" w:hAnsi="Times New Roman"/>
          <w:sz w:val="18"/>
          <w:szCs w:val="18"/>
          <w:color w:val="auto"/>
        </w:rPr>
        <w:t>Does not include interest expense from discontinued operations of $87 million and $163 million for the years ended December 31, 2006 and 2005, respectively.</w:t>
      </w:r>
    </w:p>
    <w:p>
      <w:pPr>
        <w:spacing w:after="0" w:line="1" w:lineRule="exact"/>
        <w:rPr>
          <w:sz w:val="20"/>
          <w:szCs w:val="20"/>
          <w:color w:val="auto"/>
        </w:rPr>
      </w:pPr>
    </w:p>
    <w:p>
      <w:pPr>
        <w:ind w:left="340" w:hanging="332"/>
        <w:spacing w:after="0"/>
        <w:tabs>
          <w:tab w:leader="none" w:pos="340"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Earnings were not sufficient to cover fixed charges in 2009, 2008, 2007, 2006 and 2005.</w:t>
      </w:r>
    </w:p>
    <w:p>
      <w:pPr>
        <w:spacing w:after="0" w:line="158"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w:t>
      </w:r>
    </w:p>
    <w:p>
      <w:pPr>
        <w:sectPr>
          <w:pgSz w:w="11900" w:h="16838" w:orient="portrait"/>
          <w:cols w:equalWidth="0" w:num="1">
            <w:col w:w="11420"/>
          </w:cols>
          <w:pgMar w:left="240" w:top="123" w:right="239" w:bottom="1440" w:gutter="0" w:footer="0" w:header="0"/>
        </w:sectPr>
      </w:pPr>
    </w:p>
    <w:bookmarkStart w:id="288" w:name="page289"/>
    <w:bookmarkEnd w:id="288"/>
    <w:p>
      <w:pPr>
        <w:jc w:val="right"/>
        <w:spacing w:after="0"/>
        <w:rPr>
          <w:sz w:val="20"/>
          <w:szCs w:val="20"/>
          <w:color w:val="auto"/>
        </w:rPr>
      </w:pPr>
      <w:r>
        <w:rPr>
          <w:rFonts w:ascii="Times New Roman" w:cs="Times New Roman" w:eastAsia="Times New Roman" w:hAnsi="Times New Roman"/>
          <w:sz w:val="16"/>
          <w:szCs w:val="16"/>
          <w:b w:val="1"/>
          <w:bCs w:val="1"/>
          <w:color w:val="auto"/>
        </w:rPr>
        <w:t>Exhibit 21</w:t>
      </w:r>
    </w:p>
    <w:p>
      <w:pPr>
        <w:sectPr>
          <w:pgSz w:w="11900" w:h="16838" w:orient="portrait"/>
          <w:cols w:equalWidth="0" w:num="1">
            <w:col w:w="11420"/>
          </w:cols>
          <w:pgMar w:left="240" w:top="123" w:right="239" w:bottom="1440" w:gutter="0" w:footer="0" w:header="0"/>
        </w:sect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Subsidiary</w:t>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Jurisdiction of</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Incorporation</w:t>
      </w:r>
    </w:p>
    <w:p>
      <w:pPr>
        <w:spacing w:after="0" w:line="105" w:lineRule="exact"/>
        <w:rPr>
          <w:sz w:val="20"/>
          <w:szCs w:val="20"/>
          <w:color w:val="auto"/>
        </w:rPr>
      </w:pPr>
    </w:p>
    <w:p>
      <w:pPr>
        <w:sectPr>
          <w:pgSz w:w="11900" w:h="16838" w:orient="portrait"/>
          <w:cols w:equalWidth="0" w:num="2">
            <w:col w:w="7520" w:space="720"/>
            <w:col w:w="3180"/>
          </w:cols>
          <w:pgMar w:left="240" w:top="123" w:right="2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AB Car Rental Services Inc.</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AB Funding Pty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ABG Car Services Holdings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Advance Ross Corporation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Advance Ross Intermediate Corporation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Advance Ross Sub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AESOP Leasing Corp.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AESOP Leasing LP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ARAC Management Services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ARACS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Arbitra S.A.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Auto Accident Consultants Pty. Limited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Avis Asia and Pacific Limited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Avis Budget Car Rental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Avis Budget Car Rental Canada ULC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Avis Budget Contact Centers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Avis Budget de Puerto Rico,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Avis Budget Finance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Avis Budget Group Pty Limited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Avis Budget Holdings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Avis Budget Rental Car Funding (AESOP) LLC</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Avis Budget Group Limited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Avis Car Rental Group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Avis Caribbean, Limited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Avis Enterprises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Avis Group Holdings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Avis International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Avis Leasing Corporation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Avis Lube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Avis Management Pty. Limited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Avis Management Services,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Avis Operations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Avis Rent A Car de Puerto Rico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Avis Rent A Car Limited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Avis Rent A Car Sdn. Bhd.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Avis Rent A Car Sdn. Bhd.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Avis Rent A Car System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Avis Service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Aviscar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Baker Car and Truck Rental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BGI Leasing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Budget Funding Corporation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Budget Locacao de Veiculos Ltda.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Budget Rent A Car Australia Pty.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Budget Rent A Car Limited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Budget Rent a Car Operations Pty.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Budget Rent A Car System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Budget Truck Rental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Budgetcar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Australia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Argentina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Australia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Nova Scotia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Canada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Puerto Rico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Australia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New Zealand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Australia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Puerto Rico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New Zealand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Malaysia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Singapore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Canada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Arkansas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Brazil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Australia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New Zealand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Australia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Canada</w:t>
      </w:r>
    </w:p>
    <w:p>
      <w:pPr>
        <w:sectPr>
          <w:pgSz w:w="11900" w:h="16838" w:orient="portrait"/>
          <w:cols w:equalWidth="0" w:num="2">
            <w:col w:w="7520" w:space="720"/>
            <w:col w:w="3180"/>
          </w:cols>
          <w:pgMar w:left="240" w:top="123" w:right="239" w:bottom="1440" w:gutter="0" w:footer="0" w:header="0"/>
          <w:type w:val="continuous"/>
        </w:sectPr>
      </w:pPr>
    </w:p>
    <w:bookmarkStart w:id="289" w:name="page290"/>
    <w:bookmarkEnd w:id="289"/>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Subsidiary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b w:val="1"/>
          <w:bCs w:val="1"/>
          <w:color w:val="auto"/>
        </w:rPr>
        <w:t>Jurisdiction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-5239385</wp:posOffset>
            </wp:positionH>
            <wp:positionV relativeFrom="paragraph">
              <wp:posOffset>-200025</wp:posOffset>
            </wp:positionV>
            <wp:extent cx="7289165" cy="3810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Incorporation</w:t>
      </w:r>
    </w:p>
    <w:p>
      <w:pPr>
        <w:spacing w:after="0" w:line="105" w:lineRule="exact"/>
        <w:rPr>
          <w:sz w:val="20"/>
          <w:szCs w:val="20"/>
          <w:color w:val="auto"/>
        </w:rPr>
      </w:pPr>
    </w:p>
    <w:p>
      <w:pPr>
        <w:sectPr>
          <w:pgSz w:w="11900" w:h="16838" w:orient="portrait"/>
          <w:cols w:equalWidth="0" w:num="2">
            <w:col w:w="7520" w:space="720"/>
            <w:col w:w="1979"/>
          </w:cols>
          <w:pgMar w:left="240" w:top="272" w:right="1440" w:bottom="1440" w:gutter="0" w:footer="0" w:header="0"/>
        </w:sectPr>
      </w:pPr>
    </w:p>
    <w:p>
      <w:pPr>
        <w:spacing w:after="0"/>
        <w:rPr>
          <w:sz w:val="20"/>
          <w:szCs w:val="20"/>
          <w:color w:val="auto"/>
        </w:rPr>
      </w:pPr>
      <w:r>
        <w:rPr>
          <w:rFonts w:ascii="Times New Roman" w:cs="Times New Roman" w:eastAsia="Times New Roman" w:hAnsi="Times New Roman"/>
          <w:sz w:val="18"/>
          <w:szCs w:val="18"/>
          <w:color w:val="auto"/>
        </w:rPr>
        <w:t>Budget Rent A Car De Puerto Rico, Inc.</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Camfox Pty.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CCRG Servicos De Automoveis Ltda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CD Intellectual Property Holdings,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Cendant Finance Holding Company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Centre Point Funding,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Chaconne Pty. Limited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Constellation Reinsurance Company Limited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HFS Truck Funding Corporation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Motorent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Pathfinder Insurance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PF Claims Management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 Holdco,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PV Holding Corp.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Quartx Fleet Management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Rent-A-Car Company, Incorporated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Runabout,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Servicios Avis S.A.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Show Group Enterprises Pty Limited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Team Fleet Financing Corporation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Virgin Islands Enterprises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W.T.H. Fleet Leasing Pty. Limited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W.T.H. PTY. Limited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Try Harder Pty. Limited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Wizard Co.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Wizard Services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WTH Canada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WTH Funding Limited Partnership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Yourway Rent A Car Limited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Yourway Rent A Car Pty Limited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Puerto Rico</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Australia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Brazil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Australia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Barbados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Tennessee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Colorado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Virginia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Mexico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Australia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Virgin Islands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Australia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Australia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Australia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Canada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Canada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Zealand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Australia</w:t>
      </w:r>
    </w:p>
    <w:p>
      <w:pPr>
        <w:sectPr>
          <w:pgSz w:w="11900" w:h="16838" w:orient="portrait"/>
          <w:cols w:equalWidth="0" w:num="2">
            <w:col w:w="7520" w:space="720"/>
            <w:col w:w="1979"/>
          </w:cols>
          <w:pgMar w:left="240" w:top="272" w:right="1440" w:bottom="1440" w:gutter="0" w:footer="0" w:header="0"/>
          <w:type w:val="continuous"/>
        </w:sectPr>
      </w:pPr>
    </w:p>
    <w:bookmarkStart w:id="290" w:name="page291"/>
    <w:bookmarkEnd w:id="290"/>
    <w:p>
      <w:pPr>
        <w:jc w:val="right"/>
        <w:spacing w:after="0"/>
        <w:rPr>
          <w:sz w:val="20"/>
          <w:szCs w:val="20"/>
          <w:color w:val="auto"/>
        </w:rPr>
      </w:pPr>
      <w:r>
        <w:rPr>
          <w:rFonts w:ascii="Times New Roman" w:cs="Times New Roman" w:eastAsia="Times New Roman" w:hAnsi="Times New Roman"/>
          <w:sz w:val="18"/>
          <w:szCs w:val="18"/>
          <w:b w:val="1"/>
          <w:bCs w:val="1"/>
          <w:color w:val="auto"/>
        </w:rPr>
        <w:t>Exhibit 23</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CONSENT OF INDEPENDENT REGISTERED PUBLIC ACCOUNTING FIRM</w:t>
      </w:r>
    </w:p>
    <w:p>
      <w:pPr>
        <w:spacing w:after="0" w:line="171"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We consent to the incorporation by reference in Registration Statement Nos. 333-11035, 333-17323, 333-17411, 333-20391, 333-23063, 333-26927, 333-35707, 333-45155, 333-45227, 333-49405, 333-78447, 333-51586, 333-59246, 333-65578, 333-65456, 333-65858, 333-83334, 333-84626, 333-86674, 333-87464, 333-35709, and 333-86469 on Form S-3 and Registration Statement Nos. 33-74066, 33-91658, 333-00475, 333-03237, 33-58896, 33-91656, 333-03241, 33-26875, 33-75682, 33-93322, 33-93372, 33-80834, 333-09633, 333-09637, 333-30649, 333-42503, 333-34517-2, 333-42549, 333-45183, 333-47537, 333-69505, 333-75303, 333-78475, 333-51544, 333-38638, 333-64738, 333-71250, 333-58670, 333-89686, 333-98933, 333-102059, 333-22003, 333-114744, 333-120557, 333-12495, 333-144143 and 333-161418 on Form S-8 of our reports dated February 23, 2010 relating to the consolidated financial statements and financial statement schedule of Avis Budget Group, Inc. (formerly Cendant Corporation) and effectiveness of Avis Budget Group, Inc.’s internal control over financial reporting appearing in this Annual Report on Form 10-K of Avis Budget Group, Inc. for the year ended December 31, 2009.</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23, 2010</w:t>
      </w:r>
    </w:p>
    <w:p>
      <w:pPr>
        <w:sectPr>
          <w:pgSz w:w="11900" w:h="16838" w:orient="portrait"/>
          <w:cols w:equalWidth="0" w:num="1">
            <w:col w:w="11420"/>
          </w:cols>
          <w:pgMar w:left="240" w:top="123" w:right="239" w:bottom="1440" w:gutter="0" w:footer="0" w:header="0"/>
        </w:sectPr>
      </w:pPr>
    </w:p>
    <w:bookmarkStart w:id="291" w:name="page292"/>
    <w:bookmarkEnd w:id="291"/>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Ronald L. Nelson, certify that:</w:t>
      </w:r>
    </w:p>
    <w:p>
      <w:pPr>
        <w:spacing w:after="0" w:line="212" w:lineRule="exact"/>
        <w:rPr>
          <w:sz w:val="20"/>
          <w:szCs w:val="20"/>
          <w:color w:val="auto"/>
        </w:rPr>
      </w:pPr>
    </w:p>
    <w:p>
      <w:pPr>
        <w:ind w:left="460" w:hanging="452"/>
        <w:spacing w:after="0"/>
        <w:tabs>
          <w:tab w:leader="none" w:pos="460"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Avis Budget Group, Inc.;</w:t>
      </w:r>
    </w:p>
    <w:p>
      <w:pPr>
        <w:spacing w:after="0" w:line="211" w:lineRule="exact"/>
        <w:rPr>
          <w:rFonts w:ascii="Times New Roman" w:cs="Times New Roman" w:eastAsia="Times New Roman" w:hAnsi="Times New Roman"/>
          <w:sz w:val="18"/>
          <w:szCs w:val="18"/>
          <w:color w:val="auto"/>
        </w:rPr>
      </w:pPr>
    </w:p>
    <w:p>
      <w:pPr>
        <w:ind w:left="460" w:right="260" w:hanging="452"/>
        <w:spacing w:after="0" w:line="339" w:lineRule="auto"/>
        <w:tabs>
          <w:tab w:leader="none" w:pos="460" w:val="left"/>
        </w:tabs>
        <w:numPr>
          <w:ilvl w:val="0"/>
          <w:numId w:val="2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4" w:lineRule="exact"/>
        <w:rPr>
          <w:rFonts w:ascii="Times New Roman" w:cs="Times New Roman" w:eastAsia="Times New Roman" w:hAnsi="Times New Roman"/>
          <w:sz w:val="16"/>
          <w:szCs w:val="16"/>
          <w:color w:val="auto"/>
        </w:rPr>
      </w:pPr>
    </w:p>
    <w:p>
      <w:pPr>
        <w:ind w:left="460" w:right="60" w:hanging="452"/>
        <w:spacing w:after="0" w:line="275" w:lineRule="auto"/>
        <w:tabs>
          <w:tab w:leader="none" w:pos="460"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0" w:lineRule="exact"/>
        <w:rPr>
          <w:rFonts w:ascii="Times New Roman" w:cs="Times New Roman" w:eastAsia="Times New Roman" w:hAnsi="Times New Roman"/>
          <w:sz w:val="18"/>
          <w:szCs w:val="18"/>
          <w:color w:val="auto"/>
        </w:rPr>
      </w:pPr>
    </w:p>
    <w:p>
      <w:pPr>
        <w:ind w:left="460" w:right="20" w:hanging="452"/>
        <w:spacing w:after="0" w:line="262" w:lineRule="auto"/>
        <w:tabs>
          <w:tab w:leader="none" w:pos="460"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2" w:lineRule="exact"/>
        <w:rPr>
          <w:rFonts w:ascii="Times New Roman" w:cs="Times New Roman" w:eastAsia="Times New Roman" w:hAnsi="Times New Roman"/>
          <w:sz w:val="18"/>
          <w:szCs w:val="18"/>
          <w:color w:val="auto"/>
        </w:rPr>
      </w:pPr>
    </w:p>
    <w:p>
      <w:pPr>
        <w:ind w:left="1140" w:right="320" w:hanging="565"/>
        <w:spacing w:after="0" w:line="262" w:lineRule="auto"/>
        <w:tabs>
          <w:tab w:leader="none" w:pos="1140" w:val="left"/>
        </w:tabs>
        <w:numPr>
          <w:ilvl w:val="1"/>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1" w:lineRule="exact"/>
        <w:rPr>
          <w:rFonts w:ascii="Times New Roman" w:cs="Times New Roman" w:eastAsia="Times New Roman" w:hAnsi="Times New Roman"/>
          <w:sz w:val="18"/>
          <w:szCs w:val="18"/>
          <w:color w:val="auto"/>
        </w:rPr>
      </w:pPr>
    </w:p>
    <w:p>
      <w:pPr>
        <w:ind w:left="1140" w:right="20" w:hanging="565"/>
        <w:spacing w:after="0" w:line="262" w:lineRule="auto"/>
        <w:tabs>
          <w:tab w:leader="none" w:pos="1140" w:val="left"/>
        </w:tabs>
        <w:numPr>
          <w:ilvl w:val="1"/>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1" w:lineRule="exact"/>
        <w:rPr>
          <w:rFonts w:ascii="Times New Roman" w:cs="Times New Roman" w:eastAsia="Times New Roman" w:hAnsi="Times New Roman"/>
          <w:sz w:val="18"/>
          <w:szCs w:val="18"/>
          <w:color w:val="auto"/>
        </w:rPr>
      </w:pPr>
    </w:p>
    <w:p>
      <w:pPr>
        <w:jc w:val="both"/>
        <w:ind w:left="1140" w:right="780" w:hanging="565"/>
        <w:spacing w:after="0" w:line="334" w:lineRule="auto"/>
        <w:tabs>
          <w:tab w:leader="none" w:pos="1140" w:val="left"/>
        </w:tabs>
        <w:numPr>
          <w:ilvl w:val="1"/>
          <w:numId w:val="2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Times New Roman" w:cs="Times New Roman" w:eastAsia="Times New Roman" w:hAnsi="Times New Roman"/>
          <w:sz w:val="16"/>
          <w:szCs w:val="16"/>
          <w:color w:val="auto"/>
        </w:rPr>
      </w:pPr>
    </w:p>
    <w:p>
      <w:pPr>
        <w:ind w:left="1140" w:right="40" w:hanging="565"/>
        <w:spacing w:after="0" w:line="262" w:lineRule="auto"/>
        <w:tabs>
          <w:tab w:leader="none" w:pos="1140" w:val="left"/>
        </w:tabs>
        <w:numPr>
          <w:ilvl w:val="1"/>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1" w:lineRule="exact"/>
        <w:rPr>
          <w:rFonts w:ascii="Times New Roman" w:cs="Times New Roman" w:eastAsia="Times New Roman" w:hAnsi="Times New Roman"/>
          <w:sz w:val="18"/>
          <w:szCs w:val="18"/>
          <w:color w:val="auto"/>
        </w:rPr>
      </w:pPr>
    </w:p>
    <w:p>
      <w:pPr>
        <w:ind w:left="460" w:right="460" w:hanging="452"/>
        <w:spacing w:after="0" w:line="275" w:lineRule="auto"/>
        <w:tabs>
          <w:tab w:leader="none" w:pos="460"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0" w:lineRule="exact"/>
        <w:rPr>
          <w:rFonts w:ascii="Times New Roman" w:cs="Times New Roman" w:eastAsia="Times New Roman" w:hAnsi="Times New Roman"/>
          <w:sz w:val="18"/>
          <w:szCs w:val="18"/>
          <w:color w:val="auto"/>
        </w:rPr>
      </w:pPr>
    </w:p>
    <w:p>
      <w:pPr>
        <w:ind w:left="1140" w:right="220" w:hanging="565"/>
        <w:spacing w:after="0" w:line="275" w:lineRule="auto"/>
        <w:tabs>
          <w:tab w:leader="none" w:pos="1140" w:val="left"/>
        </w:tabs>
        <w:numPr>
          <w:ilvl w:val="1"/>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Times New Roman" w:cs="Times New Roman" w:eastAsia="Times New Roman" w:hAnsi="Times New Roman"/>
          <w:sz w:val="18"/>
          <w:szCs w:val="18"/>
          <w:color w:val="auto"/>
        </w:rPr>
      </w:pPr>
    </w:p>
    <w:p>
      <w:pPr>
        <w:ind w:left="1140" w:right="180" w:hanging="565"/>
        <w:spacing w:after="0" w:line="275" w:lineRule="auto"/>
        <w:tabs>
          <w:tab w:leader="none" w:pos="1140" w:val="left"/>
        </w:tabs>
        <w:numPr>
          <w:ilvl w:val="1"/>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23, 2010</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 Ronald L. Nelson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40640</wp:posOffset>
            </wp:positionV>
            <wp:extent cx="1878330" cy="889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1420"/>
          </w:cols>
          <w:pgMar w:left="240" w:top="124" w:right="239" w:bottom="1440" w:gutter="0" w:footer="0" w:header="0"/>
        </w:sectPr>
      </w:pPr>
    </w:p>
    <w:bookmarkStart w:id="292" w:name="page293"/>
    <w:bookmarkEnd w:id="292"/>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David B. Wyshner, certify that:</w:t>
      </w:r>
    </w:p>
    <w:p>
      <w:pPr>
        <w:spacing w:after="0" w:line="212" w:lineRule="exact"/>
        <w:rPr>
          <w:sz w:val="20"/>
          <w:szCs w:val="20"/>
          <w:color w:val="auto"/>
        </w:rPr>
      </w:pPr>
    </w:p>
    <w:p>
      <w:pPr>
        <w:ind w:left="460" w:hanging="452"/>
        <w:spacing w:after="0"/>
        <w:tabs>
          <w:tab w:leader="none" w:pos="460"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Avis Budget Group, Inc.;</w:t>
      </w:r>
    </w:p>
    <w:p>
      <w:pPr>
        <w:spacing w:after="0" w:line="211" w:lineRule="exact"/>
        <w:rPr>
          <w:rFonts w:ascii="Times New Roman" w:cs="Times New Roman" w:eastAsia="Times New Roman" w:hAnsi="Times New Roman"/>
          <w:sz w:val="18"/>
          <w:szCs w:val="18"/>
          <w:color w:val="auto"/>
        </w:rPr>
      </w:pPr>
    </w:p>
    <w:p>
      <w:pPr>
        <w:ind w:left="460" w:right="260" w:hanging="452"/>
        <w:spacing w:after="0" w:line="339" w:lineRule="auto"/>
        <w:tabs>
          <w:tab w:leader="none" w:pos="460" w:val="left"/>
        </w:tabs>
        <w:numPr>
          <w:ilvl w:val="0"/>
          <w:numId w:val="2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4" w:lineRule="exact"/>
        <w:rPr>
          <w:rFonts w:ascii="Times New Roman" w:cs="Times New Roman" w:eastAsia="Times New Roman" w:hAnsi="Times New Roman"/>
          <w:sz w:val="16"/>
          <w:szCs w:val="16"/>
          <w:color w:val="auto"/>
        </w:rPr>
      </w:pPr>
    </w:p>
    <w:p>
      <w:pPr>
        <w:ind w:left="460" w:right="60" w:hanging="452"/>
        <w:spacing w:after="0" w:line="275" w:lineRule="auto"/>
        <w:tabs>
          <w:tab w:leader="none" w:pos="460"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0" w:lineRule="exact"/>
        <w:rPr>
          <w:rFonts w:ascii="Times New Roman" w:cs="Times New Roman" w:eastAsia="Times New Roman" w:hAnsi="Times New Roman"/>
          <w:sz w:val="18"/>
          <w:szCs w:val="18"/>
          <w:color w:val="auto"/>
        </w:rPr>
      </w:pPr>
    </w:p>
    <w:p>
      <w:pPr>
        <w:ind w:left="460" w:right="20" w:hanging="452"/>
        <w:spacing w:after="0" w:line="262" w:lineRule="auto"/>
        <w:tabs>
          <w:tab w:leader="none" w:pos="460"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2" w:lineRule="exact"/>
        <w:rPr>
          <w:rFonts w:ascii="Times New Roman" w:cs="Times New Roman" w:eastAsia="Times New Roman" w:hAnsi="Times New Roman"/>
          <w:sz w:val="18"/>
          <w:szCs w:val="18"/>
          <w:color w:val="auto"/>
        </w:rPr>
      </w:pPr>
    </w:p>
    <w:p>
      <w:pPr>
        <w:ind w:left="1140" w:right="320" w:hanging="565"/>
        <w:spacing w:after="0" w:line="262" w:lineRule="auto"/>
        <w:tabs>
          <w:tab w:leader="none" w:pos="1140" w:val="left"/>
        </w:tabs>
        <w:numPr>
          <w:ilvl w:val="1"/>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1" w:lineRule="exact"/>
        <w:rPr>
          <w:rFonts w:ascii="Times New Roman" w:cs="Times New Roman" w:eastAsia="Times New Roman" w:hAnsi="Times New Roman"/>
          <w:sz w:val="18"/>
          <w:szCs w:val="18"/>
          <w:color w:val="auto"/>
        </w:rPr>
      </w:pPr>
    </w:p>
    <w:p>
      <w:pPr>
        <w:ind w:left="1140" w:right="20" w:hanging="565"/>
        <w:spacing w:after="0" w:line="262" w:lineRule="auto"/>
        <w:tabs>
          <w:tab w:leader="none" w:pos="1140" w:val="left"/>
        </w:tabs>
        <w:numPr>
          <w:ilvl w:val="1"/>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1" w:lineRule="exact"/>
        <w:rPr>
          <w:rFonts w:ascii="Times New Roman" w:cs="Times New Roman" w:eastAsia="Times New Roman" w:hAnsi="Times New Roman"/>
          <w:sz w:val="18"/>
          <w:szCs w:val="18"/>
          <w:color w:val="auto"/>
        </w:rPr>
      </w:pPr>
    </w:p>
    <w:p>
      <w:pPr>
        <w:jc w:val="both"/>
        <w:ind w:left="1140" w:right="780" w:hanging="565"/>
        <w:spacing w:after="0" w:line="334" w:lineRule="auto"/>
        <w:tabs>
          <w:tab w:leader="none" w:pos="1140" w:val="left"/>
        </w:tabs>
        <w:numPr>
          <w:ilvl w:val="1"/>
          <w:numId w:val="2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Times New Roman" w:cs="Times New Roman" w:eastAsia="Times New Roman" w:hAnsi="Times New Roman"/>
          <w:sz w:val="16"/>
          <w:szCs w:val="16"/>
          <w:color w:val="auto"/>
        </w:rPr>
      </w:pPr>
    </w:p>
    <w:p>
      <w:pPr>
        <w:ind w:left="1140" w:right="40" w:hanging="565"/>
        <w:spacing w:after="0" w:line="262" w:lineRule="auto"/>
        <w:tabs>
          <w:tab w:leader="none" w:pos="1140" w:val="left"/>
        </w:tabs>
        <w:numPr>
          <w:ilvl w:val="1"/>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1" w:lineRule="exact"/>
        <w:rPr>
          <w:rFonts w:ascii="Times New Roman" w:cs="Times New Roman" w:eastAsia="Times New Roman" w:hAnsi="Times New Roman"/>
          <w:sz w:val="18"/>
          <w:szCs w:val="18"/>
          <w:color w:val="auto"/>
        </w:rPr>
      </w:pPr>
    </w:p>
    <w:p>
      <w:pPr>
        <w:ind w:left="460" w:right="460" w:hanging="452"/>
        <w:spacing w:after="0" w:line="275" w:lineRule="auto"/>
        <w:tabs>
          <w:tab w:leader="none" w:pos="460"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0" w:lineRule="exact"/>
        <w:rPr>
          <w:rFonts w:ascii="Times New Roman" w:cs="Times New Roman" w:eastAsia="Times New Roman" w:hAnsi="Times New Roman"/>
          <w:sz w:val="18"/>
          <w:szCs w:val="18"/>
          <w:color w:val="auto"/>
        </w:rPr>
      </w:pPr>
    </w:p>
    <w:p>
      <w:pPr>
        <w:ind w:left="1140" w:right="220" w:hanging="565"/>
        <w:spacing w:after="0" w:line="275" w:lineRule="auto"/>
        <w:tabs>
          <w:tab w:leader="none" w:pos="1140" w:val="left"/>
        </w:tabs>
        <w:numPr>
          <w:ilvl w:val="1"/>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Times New Roman" w:cs="Times New Roman" w:eastAsia="Times New Roman" w:hAnsi="Times New Roman"/>
          <w:sz w:val="18"/>
          <w:szCs w:val="18"/>
          <w:color w:val="auto"/>
        </w:rPr>
      </w:pPr>
    </w:p>
    <w:p>
      <w:pPr>
        <w:ind w:left="1140" w:right="180" w:hanging="565"/>
        <w:spacing w:after="0" w:line="275" w:lineRule="auto"/>
        <w:tabs>
          <w:tab w:leader="none" w:pos="1140" w:val="left"/>
        </w:tabs>
        <w:numPr>
          <w:ilvl w:val="1"/>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23, 2010</w:t>
      </w:r>
    </w:p>
    <w:p>
      <w:pPr>
        <w:spacing w:after="0" w:line="171"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/s/ David B. Wyshner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40640</wp:posOffset>
            </wp:positionV>
            <wp:extent cx="1878330" cy="889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70"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color w:val="auto"/>
        </w:rPr>
        <w:t>Executive Vice President and</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420"/>
          </w:cols>
          <w:pgMar w:left="240" w:top="123" w:right="239" w:bottom="1440" w:gutter="0" w:footer="0" w:header="0"/>
        </w:sectPr>
      </w:pPr>
    </w:p>
    <w:bookmarkStart w:id="293" w:name="page294"/>
    <w:bookmarkEnd w:id="293"/>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CEO AND CFO PURSUANT TO</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5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 connection with the Annual Report of Avis Budget Group, Inc. (the “Company”) on Form 10-K for the period ended December 31, 2009, as filed with the Securities and Exchange Commission on the date hereof (the “Report”), Ronald L. Nelson, as Chief Executive Officer of the Company, and David B. Wyshner, as Chief Financial Officer of the Company, each hereby certifies, pursuant to 18 U.S.C. Section 1350, as adopted pursuant to Section 906 of the Sarbanes-Oxley Act of 2002, that, to the best of his knowledge:</w:t>
      </w:r>
    </w:p>
    <w:p>
      <w:pPr>
        <w:spacing w:after="0" w:line="177" w:lineRule="exact"/>
        <w:rPr>
          <w:sz w:val="20"/>
          <w:szCs w:val="20"/>
          <w:color w:val="auto"/>
        </w:rPr>
      </w:pPr>
    </w:p>
    <w:p>
      <w:pPr>
        <w:ind w:left="900" w:hanging="446"/>
        <w:spacing w:after="0"/>
        <w:tabs>
          <w:tab w:leader="none" w:pos="900"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11"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71" w:lineRule="exact"/>
        <w:rPr>
          <w:sz w:val="20"/>
          <w:szCs w:val="20"/>
          <w:color w:val="auto"/>
        </w:rPr>
      </w:pPr>
    </w:p>
    <w:p>
      <w:pPr>
        <w:ind w:right="40"/>
        <w:spacing w:after="0" w:line="275" w:lineRule="auto"/>
        <w:rPr>
          <w:sz w:val="20"/>
          <w:szCs w:val="20"/>
          <w:color w:val="auto"/>
        </w:rPr>
      </w:pPr>
      <w:r>
        <w:rPr>
          <w:rFonts w:ascii="Times New Roman" w:cs="Times New Roman" w:eastAsia="Times New Roman" w:hAnsi="Times New Roman"/>
          <w:sz w:val="18"/>
          <w:szCs w:val="18"/>
          <w:color w:val="auto"/>
        </w:rPr>
        <w:t>This certification accompanies the Report pursuant to Section 906 of the Sarbanes-Oxley Act of 2002 and shall not, except to the extent required by the Sarbanes-Oxley Act of 2002, be deemed filed by the Company for purposes of Section 18 of the Securities Exchange Act of 1934, as amended.</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RONALD L. NELSON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2607310" cy="889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Ronald L. Nelson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23, 2010</w:t>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DAVID B. WYSHNER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607310" cy="889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David B. Wyshner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Executive Vice President and Chief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23, 2010</w:t>
      </w:r>
    </w:p>
    <w:sectPr>
      <w:pgSz w:w="11900" w:h="16838" w:orient="portrait"/>
      <w:cols w:equalWidth="0" w:num="1">
        <w:col w:w="11420"/>
      </w:cols>
      <w:pgMar w:left="240" w:top="12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9ADEA3D"/>
    <w:multiLevelType w:val="hybridMultilevel"/>
    <w:lvl w:ilvl="0">
      <w:lvlJc w:val="left"/>
      <w:lvlText w:val="☒"/>
      <w:numFmt w:val="bullet"/>
      <w:start w:val="1"/>
    </w:lvl>
  </w:abstractNum>
  <w:abstractNum w:abstractNumId="1">
    <w:nsid w:val="288F1A34"/>
    <w:multiLevelType w:val="hybridMultilevel"/>
    <w:lvl w:ilvl="0">
      <w:lvlJc w:val="left"/>
      <w:lvlText w:val="☐"/>
      <w:numFmt w:val="bullet"/>
      <w:start w:val="1"/>
    </w:lvl>
  </w:abstractNum>
  <w:abstractNum w:abstractNumId="2">
    <w:nsid w:val="2A155DBC"/>
    <w:multiLevelType w:val="hybridMultilevel"/>
    <w:lvl w:ilvl="0">
      <w:lvlJc w:val="left"/>
      <w:lvlText w:val="•"/>
      <w:numFmt w:val="bullet"/>
      <w:start w:val="1"/>
    </w:lvl>
  </w:abstractNum>
  <w:abstractNum w:abstractNumId="3">
    <w:nsid w:val="1D9F6E5F"/>
    <w:multiLevelType w:val="hybridMultilevel"/>
    <w:lvl w:ilvl="0">
      <w:lvlJc w:val="left"/>
      <w:lvlText w:val="•"/>
      <w:numFmt w:val="bullet"/>
      <w:start w:val="1"/>
    </w:lvl>
  </w:abstractNum>
  <w:abstractNum w:abstractNumId="4">
    <w:nsid w:val="97E1B4E"/>
    <w:multiLevelType w:val="hybridMultilevel"/>
    <w:lvl w:ilvl="0">
      <w:lvlJc w:val="left"/>
      <w:lvlText w:val="•"/>
      <w:numFmt w:val="bullet"/>
      <w:start w:val="1"/>
    </w:lvl>
  </w:abstractNum>
  <w:abstractNum w:abstractNumId="5">
    <w:nsid w:val="51088277"/>
    <w:multiLevelType w:val="hybridMultilevel"/>
    <w:lvl w:ilvl="0">
      <w:lvlJc w:val="left"/>
      <w:lvlText w:val="•"/>
      <w:numFmt w:val="bullet"/>
      <w:start w:val="1"/>
    </w:lvl>
  </w:abstractNum>
  <w:abstractNum w:abstractNumId="6">
    <w:nsid w:val="1CA0C5FA"/>
    <w:multiLevelType w:val="hybridMultilevel"/>
    <w:lvl w:ilvl="0">
      <w:lvlJc w:val="left"/>
      <w:lvlText w:val="•"/>
      <w:numFmt w:val="bullet"/>
      <w:start w:val="1"/>
    </w:lvl>
  </w:abstractNum>
  <w:abstractNum w:abstractNumId="7">
    <w:nsid w:val="53584BCB"/>
    <w:multiLevelType w:val="hybridMultilevel"/>
    <w:lvl w:ilvl="0">
      <w:lvlJc w:val="left"/>
      <w:lvlText w:val="•"/>
      <w:numFmt w:val="bullet"/>
      <w:start w:val="1"/>
    </w:lvl>
    <w:lvl w:ilvl="1">
      <w:lvlJc w:val="left"/>
      <w:lvlText w:val="*"/>
      <w:numFmt w:val="bullet"/>
      <w:start w:val="1"/>
    </w:lvl>
  </w:abstractNum>
  <w:abstractNum w:abstractNumId="8">
    <w:nsid w:val="415E286C"/>
    <w:multiLevelType w:val="hybridMultilevel"/>
    <w:lvl w:ilvl="0">
      <w:lvlJc w:val="left"/>
      <w:lvlText w:val="•"/>
      <w:numFmt w:val="bullet"/>
      <w:start w:val="1"/>
    </w:lvl>
  </w:abstractNum>
  <w:abstractNum w:abstractNumId="9">
    <w:nsid w:val="7C58FD05"/>
    <w:multiLevelType w:val="hybridMultilevel"/>
    <w:lvl w:ilvl="0">
      <w:lvlJc w:val="left"/>
      <w:lvlText w:val="•"/>
      <w:numFmt w:val="bullet"/>
      <w:start w:val="1"/>
    </w:lvl>
  </w:abstractNum>
  <w:abstractNum w:abstractNumId="10">
    <w:nsid w:val="23D86AAC"/>
    <w:multiLevelType w:val="hybridMultilevel"/>
    <w:lvl w:ilvl="0">
      <w:lvlJc w:val="left"/>
      <w:lvlText w:val="•"/>
      <w:numFmt w:val="bullet"/>
      <w:start w:val="1"/>
    </w:lvl>
  </w:abstractNum>
  <w:abstractNum w:abstractNumId="11">
    <w:nsid w:val="45E6D486"/>
    <w:multiLevelType w:val="hybridMultilevel"/>
    <w:lvl w:ilvl="0">
      <w:lvlJc w:val="left"/>
      <w:lvlText w:val="•"/>
      <w:numFmt w:val="bullet"/>
      <w:start w:val="1"/>
    </w:lvl>
  </w:abstractNum>
  <w:abstractNum w:abstractNumId="12">
    <w:nsid w:val="5C10FE21"/>
    <w:multiLevelType w:val="hybridMultilevel"/>
    <w:lvl w:ilvl="0">
      <w:lvlJc w:val="left"/>
      <w:lvlText w:val="•"/>
      <w:numFmt w:val="bullet"/>
      <w:start w:val="1"/>
    </w:lvl>
  </w:abstractNum>
  <w:abstractNum w:abstractNumId="13">
    <w:nsid w:val="E7FFA2B"/>
    <w:multiLevelType w:val="hybridMultilevel"/>
    <w:lvl w:ilvl="0">
      <w:lvlJc w:val="left"/>
      <w:lvlText w:val="•"/>
      <w:numFmt w:val="bullet"/>
      <w:start w:val="1"/>
    </w:lvl>
  </w:abstractNum>
  <w:abstractNum w:abstractNumId="14">
    <w:nsid w:val="3C5991AA"/>
    <w:multiLevelType w:val="hybridMultilevel"/>
    <w:lvl w:ilvl="0">
      <w:lvlJc w:val="left"/>
      <w:lvlText w:val="•"/>
      <w:numFmt w:val="bullet"/>
      <w:start w:val="1"/>
    </w:lvl>
  </w:abstractNum>
  <w:abstractNum w:abstractNumId="15">
    <w:nsid w:val="4BD8591A"/>
    <w:multiLevelType w:val="hybridMultilevel"/>
    <w:lvl w:ilvl="0">
      <w:lvlJc w:val="left"/>
      <w:lvlText w:val="•"/>
      <w:numFmt w:val="bullet"/>
      <w:start w:val="1"/>
    </w:lvl>
  </w:abstractNum>
  <w:abstractNum w:abstractNumId="16">
    <w:nsid w:val="78DF6A55"/>
    <w:multiLevelType w:val="hybridMultilevel"/>
    <w:lvl w:ilvl="0">
      <w:lvlJc w:val="left"/>
      <w:lvlText w:val="•"/>
      <w:numFmt w:val="bullet"/>
      <w:start w:val="1"/>
    </w:lvl>
  </w:abstractNum>
  <w:abstractNum w:abstractNumId="17">
    <w:nsid w:val="39B7AAA2"/>
    <w:multiLevelType w:val="hybridMultilevel"/>
    <w:lvl w:ilvl="0">
      <w:lvlJc w:val="left"/>
      <w:lvlText w:val="•"/>
      <w:numFmt w:val="bullet"/>
      <w:start w:val="1"/>
    </w:lvl>
  </w:abstractNum>
  <w:abstractNum w:abstractNumId="18">
    <w:nsid w:val="2B0D8DBE"/>
    <w:multiLevelType w:val="hybridMultilevel"/>
    <w:lvl w:ilvl="0">
      <w:lvlJc w:val="left"/>
      <w:lvlText w:val="•"/>
      <w:numFmt w:val="bullet"/>
      <w:start w:val="1"/>
    </w:lvl>
  </w:abstractNum>
  <w:abstractNum w:abstractNumId="19">
    <w:nsid w:val="6C80EC70"/>
    <w:multiLevelType w:val="hybridMultilevel"/>
    <w:lvl w:ilvl="0">
      <w:lvlJc w:val="left"/>
      <w:lvlText w:val="(%1)"/>
      <w:numFmt w:val="lowerLetter"/>
      <w:start w:val="1"/>
    </w:lvl>
  </w:abstractNum>
  <w:abstractNum w:abstractNumId="20">
    <w:nsid w:val="379E21B5"/>
    <w:multiLevelType w:val="hybridMultilevel"/>
    <w:lvl w:ilvl="0">
      <w:lvlJc w:val="left"/>
      <w:lvlText w:val="(%1)"/>
      <w:numFmt w:val="lowerLetter"/>
      <w:start w:val="1"/>
    </w:lvl>
  </w:abstractNum>
  <w:abstractNum w:abstractNumId="21">
    <w:nsid w:val="69E373"/>
    <w:multiLevelType w:val="hybridMultilevel"/>
    <w:lvl w:ilvl="0">
      <w:lvlJc w:val="left"/>
      <w:lvlText w:val="•"/>
      <w:numFmt w:val="bullet"/>
      <w:start w:val="1"/>
    </w:lvl>
  </w:abstractNum>
  <w:abstractNum w:abstractNumId="22">
    <w:nsid w:val="2C27173B"/>
    <w:multiLevelType w:val="hybridMultilevel"/>
    <w:lvl w:ilvl="0">
      <w:lvlJc w:val="left"/>
      <w:lvlText w:val="•"/>
      <w:numFmt w:val="bullet"/>
      <w:start w:val="1"/>
    </w:lvl>
  </w:abstractNum>
  <w:abstractNum w:abstractNumId="23">
    <w:nsid w:val="4C9B0904"/>
    <w:multiLevelType w:val="hybridMultilevel"/>
    <w:lvl w:ilvl="0">
      <w:lvlJc w:val="left"/>
      <w:lvlText w:val="•"/>
      <w:numFmt w:val="bullet"/>
      <w:start w:val="1"/>
    </w:lvl>
  </w:abstractNum>
  <w:abstractNum w:abstractNumId="24">
    <w:nsid w:val="6AA7B75C"/>
    <w:multiLevelType w:val="hybridMultilevel"/>
    <w:lvl w:ilvl="0">
      <w:lvlJc w:val="left"/>
      <w:lvlText w:val="(*)"/>
      <w:numFmt w:val="bullet"/>
      <w:start w:val="1"/>
    </w:lvl>
  </w:abstractNum>
  <w:abstractNum w:abstractNumId="25">
    <w:nsid w:val="1DF029D3"/>
    <w:multiLevelType w:val="hybridMultilevel"/>
    <w:lvl w:ilvl="0">
      <w:lvlJc w:val="left"/>
      <w:lvlText w:val="(%1)"/>
      <w:numFmt w:val="lowerLetter"/>
      <w:start w:val="1"/>
    </w:lvl>
  </w:abstractNum>
  <w:abstractNum w:abstractNumId="26">
    <w:nsid w:val="5675FF36"/>
    <w:multiLevelType w:val="hybridMultilevel"/>
    <w:lvl w:ilvl="0">
      <w:lvlJc w:val="left"/>
      <w:lvlText w:val="(%1)"/>
      <w:numFmt w:val="lowerRoman"/>
      <w:start w:val="3"/>
    </w:lvl>
  </w:abstractNum>
  <w:abstractNum w:abstractNumId="27">
    <w:nsid w:val="3DD15094"/>
    <w:multiLevelType w:val="hybridMultilevel"/>
    <w:lvl w:ilvl="0">
      <w:lvlJc w:val="left"/>
      <w:lvlText w:val="(*)"/>
      <w:numFmt w:val="bullet"/>
      <w:start w:val="1"/>
    </w:lvl>
  </w:abstractNum>
  <w:abstractNum w:abstractNumId="28">
    <w:nsid w:val="3DB012B3"/>
    <w:multiLevelType w:val="hybridMultilevel"/>
    <w:lvl w:ilvl="0">
      <w:lvlJc w:val="left"/>
      <w:lvlText w:val="(%1)"/>
      <w:numFmt w:val="lowerLetter"/>
      <w:start w:val="1"/>
    </w:lvl>
  </w:abstractNum>
  <w:abstractNum w:abstractNumId="29">
    <w:nsid w:val="2708C9AF"/>
    <w:multiLevelType w:val="hybridMultilevel"/>
    <w:lvl w:ilvl="0">
      <w:lvlJc w:val="left"/>
      <w:lvlText w:val="(%1)"/>
      <w:numFmt w:val="lowerRoman"/>
      <w:start w:val="2"/>
    </w:lvl>
  </w:abstractNum>
  <w:abstractNum w:abstractNumId="30">
    <w:nsid w:val="5B25ACE2"/>
    <w:multiLevelType w:val="hybridMultilevel"/>
    <w:lvl w:ilvl="0">
      <w:lvlJc w:val="left"/>
      <w:lvlText w:val="(%1)"/>
      <w:numFmt w:val="lowerLetter"/>
      <w:start w:val="1"/>
    </w:lvl>
  </w:abstractNum>
  <w:abstractNum w:abstractNumId="31">
    <w:nsid w:val="175DFCF0"/>
    <w:multiLevelType w:val="hybridMultilevel"/>
    <w:lvl w:ilvl="0">
      <w:lvlJc w:val="left"/>
      <w:lvlText w:val="(%1)"/>
      <w:numFmt w:val="lowerLetter"/>
      <w:start w:val="1"/>
    </w:lvl>
  </w:abstractNum>
  <w:abstractNum w:abstractNumId="32">
    <w:nsid w:val="4F97E3E4"/>
    <w:multiLevelType w:val="hybridMultilevel"/>
    <w:lvl w:ilvl="0">
      <w:lvlJc w:val="left"/>
      <w:lvlText w:val="(%1)"/>
      <w:numFmt w:val="lowerLetter"/>
      <w:start w:val="1"/>
    </w:lvl>
  </w:abstractNum>
  <w:abstractNum w:abstractNumId="33">
    <w:nsid w:val="53B0A9E"/>
    <w:multiLevelType w:val="hybridMultilevel"/>
    <w:lvl w:ilvl="0">
      <w:lvlJc w:val="left"/>
      <w:lvlText w:val="•"/>
      <w:numFmt w:val="bullet"/>
      <w:start w:val="1"/>
    </w:lvl>
  </w:abstractNum>
  <w:abstractNum w:abstractNumId="34">
    <w:nsid w:val="34FD6B4F"/>
    <w:multiLevelType w:val="hybridMultilevel"/>
    <w:lvl w:ilvl="0">
      <w:lvlJc w:val="left"/>
      <w:lvlText w:val="•"/>
      <w:numFmt w:val="bullet"/>
      <w:start w:val="1"/>
    </w:lvl>
  </w:abstractNum>
  <w:abstractNum w:abstractNumId="35">
    <w:nsid w:val="5915FF32"/>
    <w:multiLevelType w:val="hybridMultilevel"/>
    <w:lvl w:ilvl="0">
      <w:lvlJc w:val="left"/>
      <w:lvlText w:val="•"/>
      <w:numFmt w:val="bullet"/>
      <w:start w:val="1"/>
    </w:lvl>
  </w:abstractNum>
  <w:abstractNum w:abstractNumId="36">
    <w:nsid w:val="56438D15"/>
    <w:multiLevelType w:val="hybridMultilevel"/>
    <w:lvl w:ilvl="0">
      <w:lvlJc w:val="left"/>
      <w:lvlText w:val="•"/>
      <w:numFmt w:val="bullet"/>
      <w:start w:val="1"/>
    </w:lvl>
  </w:abstractNum>
  <w:abstractNum w:abstractNumId="37">
    <w:nsid w:val="519E3149"/>
    <w:multiLevelType w:val="hybridMultilevel"/>
    <w:lvl w:ilvl="0">
      <w:lvlJc w:val="left"/>
      <w:lvlText w:val="(%1)"/>
      <w:numFmt w:val="lowerLetter"/>
      <w:start w:val="1"/>
    </w:lvl>
  </w:abstractNum>
  <w:abstractNum w:abstractNumId="38">
    <w:nsid w:val="2C6E4AFD"/>
    <w:multiLevelType w:val="hybridMultilevel"/>
    <w:lvl w:ilvl="0">
      <w:lvlJc w:val="left"/>
      <w:lvlText w:val="%1."/>
      <w:numFmt w:val="decimal"/>
      <w:start w:val="1"/>
    </w:lvl>
    <w:lvl w:ilvl="1">
      <w:lvlJc w:val="left"/>
      <w:lvlText w:val="•"/>
      <w:numFmt w:val="bullet"/>
      <w:start w:val="1"/>
    </w:lvl>
  </w:abstractNum>
  <w:abstractNum w:abstractNumId="39">
    <w:nsid w:val="17A1B582"/>
    <w:multiLevelType w:val="hybridMultilevel"/>
    <w:lvl w:ilvl="0">
      <w:lvlJc w:val="left"/>
      <w:lvlText w:val="•"/>
      <w:numFmt w:val="bullet"/>
      <w:start w:val="1"/>
    </w:lvl>
  </w:abstractNum>
  <w:abstractNum w:abstractNumId="40">
    <w:nsid w:val="4DF72E4E"/>
    <w:multiLevelType w:val="hybridMultilevel"/>
    <w:lvl w:ilvl="0">
      <w:lvlJc w:val="left"/>
      <w:lvlText w:val="%1."/>
      <w:numFmt w:val="decimal"/>
      <w:start w:val="2"/>
    </w:lvl>
  </w:abstractNum>
  <w:abstractNum w:abstractNumId="41">
    <w:nsid w:val="5046B5A9"/>
    <w:multiLevelType w:val="hybridMultilevel"/>
    <w:lvl w:ilvl="0">
      <w:lvlJc w:val="left"/>
      <w:lvlText w:val="%1."/>
      <w:numFmt w:val="decimal"/>
      <w:start w:val="3"/>
    </w:lvl>
  </w:abstractNum>
  <w:abstractNum w:abstractNumId="42">
    <w:nsid w:val="5D888A08"/>
    <w:multiLevelType w:val="hybridMultilevel"/>
    <w:lvl w:ilvl="0">
      <w:lvlJc w:val="left"/>
      <w:lvlText w:val="%1."/>
      <w:numFmt w:val="decimal"/>
      <w:start w:val="4"/>
    </w:lvl>
  </w:abstractNum>
  <w:abstractNum w:abstractNumId="43">
    <w:nsid w:val="2A082C70"/>
    <w:multiLevelType w:val="hybridMultilevel"/>
    <w:lvl w:ilvl="0">
      <w:lvlJc w:val="left"/>
      <w:lvlText w:val="(%1)"/>
      <w:numFmt w:val="lowerLetter"/>
      <w:start w:val="1"/>
    </w:lvl>
  </w:abstractNum>
  <w:abstractNum w:abstractNumId="44">
    <w:nsid w:val="5EC6AFD4"/>
    <w:multiLevelType w:val="hybridMultilevel"/>
    <w:lvl w:ilvl="0">
      <w:lvlJc w:val="left"/>
      <w:lvlText w:val="%1."/>
      <w:numFmt w:val="decimal"/>
      <w:start w:val="5"/>
    </w:lvl>
  </w:abstractNum>
  <w:abstractNum w:abstractNumId="45">
    <w:nsid w:val="19E21BB2"/>
    <w:multiLevelType w:val="hybridMultilevel"/>
    <w:lvl w:ilvl="0">
      <w:lvlJc w:val="left"/>
      <w:lvlText w:val="(%1)"/>
      <w:numFmt w:val="lowerLetter"/>
      <w:start w:val="1"/>
    </w:lvl>
  </w:abstractNum>
  <w:abstractNum w:abstractNumId="46">
    <w:nsid w:val="75E0858A"/>
    <w:multiLevelType w:val="hybridMultilevel"/>
    <w:lvl w:ilvl="0">
      <w:lvlJc w:val="left"/>
      <w:lvlText w:val="%1."/>
      <w:numFmt w:val="decimal"/>
      <w:start w:val="6"/>
    </w:lvl>
  </w:abstractNum>
  <w:abstractNum w:abstractNumId="47">
    <w:nsid w:val="57A61A29"/>
    <w:multiLevelType w:val="hybridMultilevel"/>
    <w:lvl w:ilvl="0">
      <w:lvlJc w:val="left"/>
      <w:lvlText w:val="%1."/>
      <w:numFmt w:val="decimal"/>
      <w:start w:val="7"/>
    </w:lvl>
  </w:abstractNum>
  <w:abstractNum w:abstractNumId="48">
    <w:nsid w:val="5399C654"/>
    <w:multiLevelType w:val="hybridMultilevel"/>
    <w:lvl w:ilvl="0">
      <w:lvlJc w:val="left"/>
      <w:lvlText w:val="(%1)"/>
      <w:numFmt w:val="lowerLetter"/>
      <w:start w:val="1"/>
    </w:lvl>
  </w:abstractNum>
  <w:abstractNum w:abstractNumId="49">
    <w:nsid w:val="20EE1348"/>
    <w:multiLevelType w:val="hybridMultilevel"/>
    <w:lvl w:ilvl="0">
      <w:lvlJc w:val="left"/>
      <w:lvlText w:val="%1."/>
      <w:numFmt w:val="decimal"/>
      <w:start w:val="10"/>
    </w:lvl>
  </w:abstractNum>
  <w:abstractNum w:abstractNumId="50">
    <w:nsid w:val="4427069A"/>
    <w:multiLevelType w:val="hybridMultilevel"/>
    <w:lvl w:ilvl="0">
      <w:lvlJc w:val="left"/>
      <w:lvlText w:val="(%1)"/>
      <w:numFmt w:val="lowerLetter"/>
      <w:start w:val="1"/>
    </w:lvl>
  </w:abstractNum>
  <w:abstractNum w:abstractNumId="51">
    <w:nsid w:val="B37E80A"/>
    <w:multiLevelType w:val="hybridMultilevel"/>
    <w:lvl w:ilvl="0">
      <w:lvlJc w:val="left"/>
      <w:lvlText w:val="(%1)"/>
      <w:numFmt w:val="lowerLetter"/>
      <w:start w:val="1"/>
    </w:lvl>
  </w:abstractNum>
  <w:abstractNum w:abstractNumId="52">
    <w:nsid w:val="2157F6BC"/>
    <w:multiLevelType w:val="hybridMultilevel"/>
    <w:lvl w:ilvl="0">
      <w:lvlJc w:val="left"/>
      <w:lvlText w:val="%1."/>
      <w:numFmt w:val="decimal"/>
      <w:start w:val="11"/>
    </w:lvl>
  </w:abstractNum>
  <w:abstractNum w:abstractNumId="53">
    <w:nsid w:val="704E1DD5"/>
    <w:multiLevelType w:val="hybridMultilevel"/>
    <w:lvl w:ilvl="0">
      <w:lvlJc w:val="left"/>
      <w:lvlText w:val="%1"/>
      <w:numFmt w:val="decimal"/>
      <w:start w:val="1"/>
    </w:lvl>
    <w:lvl w:ilvl="1">
      <w:lvlJc w:val="left"/>
      <w:lvlText w:val="(%2)"/>
      <w:numFmt w:val="lowerLetter"/>
      <w:start w:val="1"/>
    </w:lvl>
  </w:abstractNum>
  <w:abstractNum w:abstractNumId="54">
    <w:nsid w:val="57D2F10E"/>
    <w:multiLevelType w:val="hybridMultilevel"/>
    <w:lvl w:ilvl="0">
      <w:lvlJc w:val="left"/>
      <w:lvlText w:val="%1."/>
      <w:numFmt w:val="decimal"/>
      <w:start w:val="12"/>
    </w:lvl>
    <w:lvl w:ilvl="1">
      <w:lvlJc w:val="left"/>
      <w:lvlText w:val="%2"/>
      <w:numFmt w:val="lowerLetter"/>
      <w:start w:val="1"/>
    </w:lvl>
  </w:abstractNum>
  <w:abstractNum w:abstractNumId="55">
    <w:nsid w:val="BFFAE18"/>
    <w:multiLevelType w:val="hybridMultilevel"/>
    <w:lvl w:ilvl="0">
      <w:lvlJc w:val="left"/>
      <w:lvlText w:val="%1."/>
      <w:numFmt w:val="decimal"/>
      <w:start w:val="13"/>
    </w:lvl>
  </w:abstractNum>
  <w:abstractNum w:abstractNumId="56">
    <w:nsid w:val="E3E47A8"/>
    <w:multiLevelType w:val="hybridMultilevel"/>
    <w:lvl w:ilvl="0">
      <w:lvlJc w:val="left"/>
      <w:lvlText w:val="%1"/>
      <w:numFmt w:val="decimal"/>
      <w:start w:val="1"/>
    </w:lvl>
    <w:lvl w:ilvl="1">
      <w:lvlJc w:val="left"/>
      <w:lvlText w:val="(%2)"/>
      <w:numFmt w:val="lowerLetter"/>
      <w:start w:val="1"/>
    </w:lvl>
  </w:abstractNum>
  <w:abstractNum w:abstractNumId="57">
    <w:nsid w:val="2E48F044"/>
    <w:multiLevelType w:val="hybridMultilevel"/>
    <w:lvl w:ilvl="0">
      <w:lvlJc w:val="left"/>
      <w:lvlText w:val="%1."/>
      <w:numFmt w:val="decimal"/>
      <w:start w:val="14"/>
    </w:lvl>
    <w:lvl w:ilvl="1">
      <w:lvlJc w:val="left"/>
      <w:lvlText w:val="%2"/>
      <w:numFmt w:val="lowerLetter"/>
      <w:start w:val="1"/>
    </w:lvl>
  </w:abstractNum>
  <w:abstractNum w:abstractNumId="58">
    <w:nsid w:val="49D0FEAC"/>
    <w:multiLevelType w:val="hybridMultilevel"/>
    <w:lvl w:ilvl="0">
      <w:lvlJc w:val="left"/>
      <w:lvlText w:val="%1"/>
      <w:numFmt w:val="decimal"/>
      <w:start w:val="1"/>
    </w:lvl>
    <w:lvl w:ilvl="1">
      <w:lvlJc w:val="left"/>
      <w:lvlText w:val="(%2)"/>
      <w:numFmt w:val="lowerLetter"/>
      <w:start w:val="1"/>
    </w:lvl>
  </w:abstractNum>
  <w:abstractNum w:abstractNumId="59">
    <w:nsid w:val="4BEE5A5B"/>
    <w:multiLevelType w:val="hybridMultilevel"/>
    <w:lvl w:ilvl="0">
      <w:lvlJc w:val="left"/>
      <w:lvlText w:val="%1."/>
      <w:numFmt w:val="decimal"/>
      <w:start w:val="16"/>
    </w:lvl>
    <w:lvl w:ilvl="1">
      <w:lvlJc w:val="left"/>
      <w:lvlText w:val="%2"/>
      <w:numFmt w:val="lowerLetter"/>
      <w:start w:val="1"/>
    </w:lvl>
  </w:abstractNum>
  <w:abstractNum w:abstractNumId="60">
    <w:nsid w:val="5551B9F3"/>
    <w:multiLevelType w:val="hybridMultilevel"/>
    <w:lvl w:ilvl="0">
      <w:lvlJc w:val="left"/>
      <w:lvlText w:val="%1."/>
      <w:numFmt w:val="decimal"/>
      <w:start w:val="17"/>
    </w:lvl>
  </w:abstractNum>
  <w:abstractNum w:abstractNumId="61">
    <w:nsid w:val="24F6AB8E"/>
    <w:multiLevelType w:val="hybridMultilevel"/>
    <w:lvl w:ilvl="0">
      <w:lvlJc w:val="left"/>
      <w:lvlText w:val="(%1)"/>
      <w:numFmt w:val="lowerLetter"/>
      <w:start w:val="1"/>
    </w:lvl>
  </w:abstractNum>
  <w:abstractNum w:abstractNumId="62">
    <w:nsid w:val="634C574C"/>
    <w:multiLevelType w:val="hybridMultilevel"/>
    <w:lvl w:ilvl="0">
      <w:lvlJc w:val="left"/>
      <w:lvlText w:val="7"/>
      <w:numFmt w:val="bullet"/>
      <w:start w:val="1"/>
    </w:lvl>
  </w:abstractNum>
  <w:abstractNum w:abstractNumId="63">
    <w:nsid w:val="24E99DD7"/>
    <w:multiLevelType w:val="hybridMultilevel"/>
    <w:lvl w:ilvl="0">
      <w:lvlJc w:val="left"/>
      <w:lvlText w:val="(%1)"/>
      <w:numFmt w:val="lowerLetter"/>
      <w:start w:val="1"/>
    </w:lvl>
  </w:abstractNum>
  <w:abstractNum w:abstractNumId="64">
    <w:nsid w:val="2A31B62D"/>
    <w:multiLevelType w:val="hybridMultilevel"/>
    <w:lvl w:ilvl="0">
      <w:lvlJc w:val="left"/>
      <w:lvlText w:val="%1."/>
      <w:numFmt w:val="decimal"/>
      <w:start w:val="18"/>
    </w:lvl>
  </w:abstractNum>
  <w:abstractNum w:abstractNumId="65">
    <w:nsid w:val="1849C29B"/>
    <w:multiLevelType w:val="hybridMultilevel"/>
    <w:lvl w:ilvl="0">
      <w:lvlJc w:val="left"/>
      <w:lvlText w:val="(%1)"/>
      <w:numFmt w:val="lowerLetter"/>
      <w:start w:val="1"/>
    </w:lvl>
  </w:abstractNum>
  <w:abstractNum w:abstractNumId="66">
    <w:nsid w:val="7DFF9D09"/>
    <w:multiLevelType w:val="hybridMultilevel"/>
    <w:lvl w:ilvl="0">
      <w:lvlJc w:val="left"/>
      <w:lvlText w:val="%1."/>
      <w:numFmt w:val="decimal"/>
      <w:start w:val="19"/>
    </w:lvl>
  </w:abstractNum>
  <w:abstractNum w:abstractNumId="67">
    <w:nsid w:val="754342"/>
    <w:multiLevelType w:val="hybridMultilevel"/>
    <w:lvl w:ilvl="0">
      <w:lvlJc w:val="left"/>
      <w:lvlText w:val="%1."/>
      <w:numFmt w:val="decimal"/>
      <w:start w:val="20"/>
    </w:lvl>
  </w:abstractNum>
  <w:abstractNum w:abstractNumId="68">
    <w:nsid w:val="69E7F3E5"/>
    <w:multiLevelType w:val="hybridMultilevel"/>
    <w:lvl w:ilvl="0">
      <w:lvlJc w:val="left"/>
      <w:lvlText w:val="%1."/>
      <w:numFmt w:val="decimal"/>
      <w:start w:val="21"/>
    </w:lvl>
  </w:abstractNum>
  <w:abstractNum w:abstractNumId="69">
    <w:nsid w:val="2A6DE806"/>
    <w:multiLevelType w:val="hybridMultilevel"/>
    <w:lvl w:ilvl="0">
      <w:lvlJc w:val="left"/>
      <w:lvlText w:val="(%1)"/>
      <w:numFmt w:val="lowerLetter"/>
      <w:start w:val="1"/>
    </w:lvl>
  </w:abstractNum>
  <w:abstractNum w:abstractNumId="70">
    <w:nsid w:val="1816F8C4"/>
    <w:multiLevelType w:val="hybridMultilevel"/>
    <w:lvl w:ilvl="0">
      <w:lvlJc w:val="left"/>
      <w:lvlText w:val="(%1)"/>
      <w:numFmt w:val="lowerLetter"/>
      <w:start w:val="1"/>
    </w:lvl>
  </w:abstractNum>
  <w:abstractNum w:abstractNumId="71">
    <w:nsid w:val="37DF2233"/>
    <w:multiLevelType w:val="hybridMultilevel"/>
    <w:lvl w:ilvl="0">
      <w:lvlJc w:val="left"/>
      <w:lvlText w:val="%1."/>
      <w:numFmt w:val="decimal"/>
      <w:start w:val="22"/>
    </w:lvl>
  </w:abstractNum>
  <w:abstractNum w:abstractNumId="72">
    <w:nsid w:val="7AB49DAF"/>
    <w:multiLevelType w:val="hybridMultilevel"/>
    <w:lvl w:ilvl="0">
      <w:lvlJc w:val="left"/>
      <w:lvlText w:val="%1."/>
      <w:numFmt w:val="decimal"/>
      <w:start w:val="23"/>
    </w:lvl>
  </w:abstractNum>
  <w:abstractNum w:abstractNumId="73">
    <w:nsid w:val="759F82CD"/>
    <w:multiLevelType w:val="hybridMultilevel"/>
    <w:lvl w:ilvl="0">
      <w:lvlJc w:val="left"/>
      <w:lvlText w:val="(%1)"/>
      <w:numFmt w:val="lowerLetter"/>
      <w:start w:val="1"/>
    </w:lvl>
  </w:abstractNum>
  <w:abstractNum w:abstractNumId="74">
    <w:nsid w:val="61E74EA3"/>
    <w:multiLevelType w:val="hybridMultilevel"/>
    <w:lvl w:ilvl="0">
      <w:lvlJc w:val="left"/>
      <w:lvlText w:val="%1."/>
      <w:numFmt w:val="decimal"/>
      <w:start w:val="24"/>
    </w:lvl>
  </w:abstractNum>
  <w:abstractNum w:abstractNumId="75">
    <w:nsid w:val="597B4D84"/>
    <w:multiLevelType w:val="hybridMultilevel"/>
    <w:lvl w:ilvl="0">
      <w:lvlJc w:val="left"/>
      <w:lvlText w:val="(%1)"/>
      <w:numFmt w:val="lowerLetter"/>
      <w:start w:val="1"/>
    </w:lvl>
  </w:abstractNum>
  <w:abstractNum w:abstractNumId="76">
    <w:nsid w:val="F819E7F"/>
    <w:multiLevelType w:val="hybridMultilevel"/>
    <w:lvl w:ilvl="0">
      <w:lvlJc w:val="left"/>
      <w:lvlText w:val="(%1)"/>
      <w:numFmt w:val="lowerLetter"/>
      <w:start w:val="1"/>
    </w:lvl>
  </w:abstractNum>
  <w:abstractNum w:abstractNumId="77">
    <w:nsid w:val="57C7D42D"/>
    <w:multiLevelType w:val="hybridMultilevel"/>
    <w:lvl w:ilvl="0">
      <w:lvlJc w:val="left"/>
      <w:lvlText w:val="%1."/>
      <w:numFmt w:val="decimal"/>
      <w:start w:val="25"/>
    </w:lvl>
  </w:abstractNum>
  <w:abstractNum w:abstractNumId="78">
    <w:nsid w:val="312167AD"/>
    <w:multiLevelType w:val="hybridMultilevel"/>
    <w:lvl w:ilvl="0">
      <w:lvlJc w:val="left"/>
      <w:lvlText w:val="%1."/>
      <w:numFmt w:val="decimal"/>
      <w:start w:val="26"/>
    </w:lvl>
  </w:abstractNum>
  <w:abstractNum w:abstractNumId="79">
    <w:nsid w:val="631B64D4"/>
    <w:multiLevelType w:val="hybridMultilevel"/>
    <w:lvl w:ilvl="0">
      <w:lvlJc w:val="left"/>
      <w:lvlText w:val="%1"/>
      <w:numFmt w:val="decimal"/>
      <w:start w:val="1"/>
    </w:lvl>
    <w:lvl w:ilvl="1">
      <w:lvlJc w:val="left"/>
      <w:lvlText w:val="(%2)"/>
      <w:numFmt w:val="lowerLetter"/>
      <w:start w:val="1"/>
    </w:lvl>
  </w:abstractNum>
  <w:abstractNum w:abstractNumId="80">
    <w:nsid w:val="78B5E776"/>
    <w:multiLevelType w:val="hybridMultilevel"/>
    <w:lvl w:ilvl="0">
      <w:lvlJc w:val="left"/>
      <w:lvlText w:val="%1."/>
      <w:numFmt w:val="decimal"/>
      <w:start w:val="27"/>
    </w:lvl>
    <w:lvl w:ilvl="1">
      <w:lvlJc w:val="left"/>
      <w:lvlText w:val="%2"/>
      <w:numFmt w:val="lowerLetter"/>
      <w:start w:val="1"/>
    </w:lvl>
  </w:abstractNum>
  <w:abstractNum w:abstractNumId="81">
    <w:nsid w:val="75486E47"/>
    <w:multiLevelType w:val="hybridMultilevel"/>
    <w:lvl w:ilvl="0">
      <w:lvlJc w:val="left"/>
      <w:lvlText w:val="*"/>
      <w:numFmt w:val="bullet"/>
      <w:start w:val="1"/>
    </w:lvl>
  </w:abstractNum>
  <w:abstractNum w:abstractNumId="82">
    <w:nsid w:val="6E534CDE"/>
    <w:multiLevelType w:val="hybridMultilevel"/>
    <w:lvl w:ilvl="0">
      <w:lvlJc w:val="left"/>
      <w:lvlText w:val="**"/>
      <w:numFmt w:val="bullet"/>
      <w:start w:val="1"/>
    </w:lvl>
  </w:abstractNum>
  <w:abstractNum w:abstractNumId="83">
    <w:nsid w:val="1A0DDE32"/>
    <w:multiLevelType w:val="hybridMultilevel"/>
    <w:lvl w:ilvl="0">
      <w:lvlJc w:val="left"/>
      <w:lvlText w:val="***"/>
      <w:numFmt w:val="bullet"/>
      <w:start w:val="1"/>
    </w:lvl>
  </w:abstractNum>
  <w:abstractNum w:abstractNumId="84">
    <w:nsid w:val="65968C1C"/>
    <w:multiLevelType w:val="hybridMultilevel"/>
    <w:lvl w:ilvl="0">
      <w:lvlJc w:val="left"/>
      <w:lvlText w:val="****"/>
      <w:numFmt w:val="bullet"/>
      <w:start w:val="1"/>
    </w:lvl>
  </w:abstractNum>
  <w:abstractNum w:abstractNumId="85">
    <w:nsid w:val="46263DEC"/>
    <w:multiLevelType w:val="hybridMultilevel"/>
    <w:lvl w:ilvl="0">
      <w:lvlJc w:val="left"/>
      <w:lvlText w:val="*****"/>
      <w:numFmt w:val="bullet"/>
      <w:start w:val="1"/>
    </w:lvl>
  </w:abstractNum>
  <w:abstractNum w:abstractNumId="86">
    <w:nsid w:val="260D8C4A"/>
    <w:multiLevelType w:val="hybridMultilevel"/>
    <w:lvl w:ilvl="0">
      <w:lvlJc w:val="left"/>
      <w:lvlText w:val="†"/>
      <w:numFmt w:val="bullet"/>
      <w:start w:val="1"/>
    </w:lvl>
  </w:abstractNum>
  <w:abstractNum w:abstractNumId="87">
    <w:nsid w:val="73D4D3C4"/>
    <w:multiLevelType w:val="hybridMultilevel"/>
    <w:lvl w:ilvl="0">
      <w:lvlJc w:val="left"/>
      <w:lvlText w:val="††"/>
      <w:numFmt w:val="bullet"/>
      <w:start w:val="1"/>
    </w:lvl>
  </w:abstractNum>
  <w:abstractNum w:abstractNumId="88">
    <w:nsid w:val="746F2E30"/>
    <w:multiLevelType w:val="hybridMultilevel"/>
    <w:lvl w:ilvl="0">
      <w:lvlJc w:val="left"/>
      <w:lvlText w:val="†††"/>
      <w:numFmt w:val="bullet"/>
      <w:start w:val="1"/>
    </w:lvl>
  </w:abstractNum>
  <w:abstractNum w:abstractNumId="89">
    <w:nsid w:val="6FDE8AF6"/>
    <w:multiLevelType w:val="hybridMultilevel"/>
    <w:lvl w:ilvl="0">
      <w:lvlJc w:val="left"/>
      <w:lvlText w:val="%1:"/>
      <w:numFmt w:val="lowerLetter"/>
      <w:start w:val="29"/>
    </w:lvl>
  </w:abstractNum>
  <w:abstractNum w:abstractNumId="90">
    <w:nsid w:val="3FC32E20"/>
    <w:multiLevelType w:val="hybridMultilevel"/>
    <w:lvl w:ilvl="0">
      <w:lvlJc w:val="left"/>
      <w:lvlText w:val="["/>
      <w:numFmt w:val="bullet"/>
      <w:start w:val="1"/>
    </w:lvl>
  </w:abstractNum>
  <w:abstractNum w:abstractNumId="91">
    <w:nsid w:val="49C0E823"/>
    <w:multiLevelType w:val="hybridMultilevel"/>
    <w:lvl w:ilvl="0">
      <w:lvlJc w:val="left"/>
      <w:lvlText w:val="["/>
      <w:numFmt w:val="bullet"/>
      <w:start w:val="1"/>
    </w:lvl>
  </w:abstractNum>
  <w:abstractNum w:abstractNumId="92">
    <w:nsid w:val="14D53685"/>
    <w:multiLevelType w:val="hybridMultilevel"/>
    <w:lvl w:ilvl="0">
      <w:lvlJc w:val="left"/>
      <w:lvlText w:val="["/>
      <w:numFmt w:val="bullet"/>
      <w:start w:val="1"/>
    </w:lvl>
  </w:abstractNum>
  <w:abstractNum w:abstractNumId="93">
    <w:nsid w:val="230F856C"/>
    <w:multiLevelType w:val="hybridMultilevel"/>
    <w:lvl w:ilvl="0">
      <w:lvlJc w:val="left"/>
      <w:lvlText w:val="["/>
      <w:numFmt w:val="bullet"/>
      <w:start w:val="1"/>
    </w:lvl>
  </w:abstractNum>
  <w:abstractNum w:abstractNumId="94">
    <w:nsid w:val="6EAA85FB"/>
    <w:multiLevelType w:val="hybridMultilevel"/>
    <w:lvl w:ilvl="0">
      <w:lvlJc w:val="left"/>
      <w:lvlText w:val="%1."/>
      <w:numFmt w:val="decimal"/>
      <w:start w:val="1"/>
    </w:lvl>
  </w:abstractNum>
  <w:abstractNum w:abstractNumId="95">
    <w:nsid w:val="3F06ECB2"/>
    <w:multiLevelType w:val="hybridMultilevel"/>
    <w:lvl w:ilvl="0">
      <w:lvlJc w:val="left"/>
      <w:lvlText w:val="%1."/>
      <w:numFmt w:val="decimal"/>
      <w:start w:val="1"/>
    </w:lvl>
  </w:abstractNum>
  <w:abstractNum w:abstractNumId="96">
    <w:nsid w:val="3B594807"/>
    <w:multiLevelType w:val="hybridMultilevel"/>
    <w:lvl w:ilvl="0">
      <w:lvlJc w:val="left"/>
      <w:lvlText w:val="%1."/>
      <w:numFmt w:val="decimal"/>
      <w:start w:val="2"/>
    </w:lvl>
  </w:abstractNum>
  <w:abstractNum w:abstractNumId="97">
    <w:nsid w:val="6CAA2304"/>
    <w:multiLevelType w:val="hybridMultilevel"/>
    <w:lvl w:ilvl="0">
      <w:lvlJc w:val="left"/>
      <w:lvlText w:val="(%1)"/>
      <w:numFmt w:val="lowerLetter"/>
      <w:start w:val="1"/>
    </w:lvl>
  </w:abstractNum>
  <w:abstractNum w:abstractNumId="98">
    <w:nsid w:val="3F7C2FF4"/>
    <w:multiLevelType w:val="hybridMultilevel"/>
    <w:lvl w:ilvl="0">
      <w:lvlJc w:val="left"/>
      <w:lvlText w:val="(%1)"/>
      <w:numFmt w:val="lowerRoman"/>
      <w:start w:val="2"/>
    </w:lvl>
  </w:abstractNum>
  <w:abstractNum w:abstractNumId="99">
    <w:nsid w:val="25413BEC"/>
    <w:multiLevelType w:val="hybridMultilevel"/>
    <w:lvl w:ilvl="0">
      <w:lvlJc w:val="left"/>
      <w:lvlText w:val="(%1)"/>
      <w:numFmt w:val="lowerLetter"/>
      <w:start w:val="1"/>
    </w:lvl>
  </w:abstractNum>
  <w:abstractNum w:abstractNumId="100">
    <w:nsid w:val="17180B0B"/>
    <w:multiLevelType w:val="hybridMultilevel"/>
    <w:lvl w:ilvl="0">
      <w:lvlJc w:val="left"/>
      <w:lvlText w:val="(%1)"/>
      <w:numFmt w:val="lowerLetter"/>
      <w:start w:val="1"/>
    </w:lvl>
  </w:abstractNum>
  <w:abstractNum w:abstractNumId="101">
    <w:nsid w:val="579328B9"/>
    <w:multiLevelType w:val="hybridMultilevel"/>
    <w:lvl w:ilvl="0">
      <w:lvlJc w:val="left"/>
      <w:lvlText w:val="(%1)"/>
      <w:numFmt w:val="lowerRoman"/>
      <w:start w:val="1"/>
    </w:lvl>
  </w:abstractNum>
  <w:abstractNum w:abstractNumId="102">
    <w:nsid w:val="5D205E20"/>
    <w:multiLevelType w:val="hybridMultilevel"/>
    <w:lvl w:ilvl="0">
      <w:lvlJc w:val="left"/>
      <w:lvlText w:val="(%1)"/>
      <w:numFmt w:val="lowerLetter"/>
      <w:start w:val="1"/>
    </w:lvl>
  </w:abstractNum>
  <w:abstractNum w:abstractNumId="103">
    <w:nsid w:val="11CCA8BA"/>
    <w:multiLevelType w:val="hybridMultilevel"/>
    <w:lvl w:ilvl="0">
      <w:lvlJc w:val="left"/>
      <w:lvlText w:val="(%1)"/>
      <w:numFmt w:val="lowerLetter"/>
      <w:start w:val="2"/>
    </w:lvl>
    <w:lvl w:ilvl="1">
      <w:lvlJc w:val="left"/>
      <w:lvlText w:val="(%2)"/>
      <w:numFmt w:val="lowerRoman"/>
      <w:start w:val="1"/>
    </w:lvl>
  </w:abstractNum>
  <w:abstractNum w:abstractNumId="104">
    <w:nsid w:val="4D32AB86"/>
    <w:multiLevelType w:val="hybridMultilevel"/>
    <w:lvl w:ilvl="0">
      <w:lvlJc w:val="left"/>
      <w:lvlText w:val="(%1)"/>
      <w:numFmt w:val="lowerLetter"/>
      <w:start w:val="25"/>
    </w:lvl>
  </w:abstractNum>
  <w:abstractNum w:abstractNumId="105">
    <w:nsid w:val="3F07ACC3"/>
    <w:multiLevelType w:val="hybridMultilevel"/>
    <w:lvl w:ilvl="0">
      <w:lvlJc w:val="left"/>
      <w:lvlText w:val="(%1)"/>
      <w:numFmt w:val="lowerLetter"/>
      <w:start w:val="25"/>
    </w:lvl>
  </w:abstractNum>
  <w:abstractNum w:abstractNumId="106">
    <w:nsid w:val="6B47F63E"/>
    <w:multiLevelType w:val="hybridMultilevel"/>
    <w:lvl w:ilvl="0">
      <w:lvlJc w:val="left"/>
      <w:lvlText w:val="%1"/>
      <w:numFmt w:val="upperLetter"/>
      <w:start w:val="1"/>
    </w:lvl>
    <w:lvl w:ilvl="1">
      <w:lvlJc w:val="left"/>
      <w:lvlText w:val="(%2)"/>
      <w:numFmt w:val="lowerRoman"/>
      <w:start w:val="1"/>
    </w:lvl>
  </w:abstractNum>
  <w:abstractNum w:abstractNumId="107">
    <w:nsid w:val="5CB44A05"/>
    <w:multiLevelType w:val="hybridMultilevel"/>
    <w:lvl w:ilvl="0">
      <w:lvlJc w:val="left"/>
      <w:lvlText w:val="(%1)"/>
      <w:numFmt w:val="upperLetter"/>
      <w:start w:val="1"/>
    </w:lvl>
    <w:lvl w:ilvl="1">
      <w:lvlJc w:val="left"/>
      <w:lvlText w:val="(%2)"/>
      <w:numFmt w:val="lowerRoman"/>
      <w:start w:val="2"/>
    </w:lvl>
  </w:abstractNum>
  <w:abstractNum w:abstractNumId="108">
    <w:nsid w:val="16CF80F1"/>
    <w:multiLevelType w:val="hybridMultilevel"/>
    <w:lvl w:ilvl="0">
      <w:lvlJc w:val="left"/>
      <w:lvlText w:val="(%1)"/>
      <w:numFmt w:val="lowerLetter"/>
      <w:start w:val="25"/>
    </w:lvl>
    <w:lvl w:ilvl="1">
      <w:lvlJc w:val="left"/>
      <w:lvlText w:val="(%2)"/>
      <w:numFmt w:val="lowerRoman"/>
      <w:start w:val="5"/>
    </w:lvl>
  </w:abstractNum>
  <w:abstractNum w:abstractNumId="109">
    <w:nsid w:val="1C695DEC"/>
    <w:multiLevelType w:val="hybridMultilevel"/>
    <w:lvl w:ilvl="0">
      <w:lvlJc w:val="left"/>
      <w:lvlText w:val="(%1)"/>
      <w:numFmt w:val="lowerLetter"/>
      <w:start w:val="1"/>
    </w:lvl>
  </w:abstractNum>
  <w:abstractNum w:abstractNumId="110">
    <w:nsid w:val="3FCFAED9"/>
    <w:multiLevelType w:val="hybridMultilevel"/>
    <w:lvl w:ilvl="0">
      <w:lvlJc w:val="left"/>
      <w:lvlText w:val="(%1)"/>
      <w:numFmt w:val="lowerLetter"/>
      <w:start w:val="2"/>
    </w:lvl>
  </w:abstractNum>
  <w:abstractNum w:abstractNumId="111">
    <w:nsid w:val="F856867"/>
    <w:multiLevelType w:val="hybridMultilevel"/>
    <w:lvl w:ilvl="0">
      <w:lvlJc w:val="left"/>
      <w:lvlText w:val="(%1)"/>
      <w:numFmt w:val="lowerRoman"/>
      <w:start w:val="1"/>
    </w:lvl>
  </w:abstractNum>
  <w:abstractNum w:abstractNumId="112">
    <w:nsid w:val="11B1CC33"/>
    <w:multiLevelType w:val="hybridMultilevel"/>
    <w:lvl w:ilvl="0">
      <w:lvlJc w:val="left"/>
      <w:lvlText w:val="(%1)"/>
      <w:numFmt w:val="lowerLetter"/>
      <w:start w:val="9"/>
    </w:lvl>
  </w:abstractNum>
  <w:abstractNum w:abstractNumId="113">
    <w:nsid w:val="2E22FBB7"/>
    <w:multiLevelType w:val="hybridMultilevel"/>
    <w:lvl w:ilvl="0">
      <w:lvlJc w:val="left"/>
      <w:lvlText w:val="(%1)"/>
      <w:numFmt w:val="lowerLetter"/>
      <w:start w:val="2"/>
    </w:lvl>
  </w:abstractNum>
  <w:abstractNum w:abstractNumId="114">
    <w:nsid w:val="29934699"/>
    <w:multiLevelType w:val="hybridMultilevel"/>
    <w:lvl w:ilvl="0">
      <w:lvlJc w:val="left"/>
      <w:lvlText w:val="(%1)"/>
      <w:numFmt w:val="lowerRoman"/>
      <w:start w:val="1"/>
    </w:lvl>
  </w:abstractNum>
  <w:abstractNum w:abstractNumId="115">
    <w:nsid w:val="77485850"/>
    <w:multiLevelType w:val="hybridMultilevel"/>
    <w:lvl w:ilvl="0">
      <w:lvlJc w:val="left"/>
      <w:lvlText w:val="(%1)"/>
      <w:numFmt w:val="lowerLetter"/>
      <w:start w:val="1"/>
    </w:lvl>
  </w:abstractNum>
  <w:abstractNum w:abstractNumId="116">
    <w:nsid w:val="744939A3"/>
    <w:multiLevelType w:val="hybridMultilevel"/>
    <w:lvl w:ilvl="0">
      <w:lvlJc w:val="left"/>
      <w:lvlText w:val="(%1)"/>
      <w:numFmt w:val="lowerLetter"/>
      <w:start w:val="1"/>
    </w:lvl>
  </w:abstractNum>
  <w:abstractNum w:abstractNumId="117">
    <w:nsid w:val="4FA0D2E3"/>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1"/>
    </w:lvl>
  </w:abstractNum>
  <w:abstractNum w:abstractNumId="118">
    <w:nsid w:val="6B1D2C14"/>
    <w:multiLevelType w:val="hybridMultilevel"/>
    <w:lvl w:ilvl="0">
      <w:lvlJc w:val="left"/>
      <w:lvlText w:val="%1"/>
      <w:numFmt w:val="upperLetter"/>
      <w:start w:val="1"/>
    </w:lvl>
    <w:lvl w:ilvl="1">
      <w:lvlJc w:val="left"/>
      <w:lvlText w:val="(%2)"/>
      <w:numFmt w:val="lowerLetter"/>
      <w:start w:val="9"/>
    </w:lvl>
    <w:lvl w:ilvl="2">
      <w:lvlJc w:val="left"/>
      <w:lvlText w:val="%3"/>
      <w:numFmt w:val="lowerLetter"/>
      <w:start w:val="1"/>
    </w:lvl>
  </w:abstractNum>
  <w:abstractNum w:abstractNumId="119">
    <w:nsid w:val="68B867D3"/>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1"/>
    </w:lvl>
  </w:abstractNum>
  <w:abstractNum w:abstractNumId="120">
    <w:nsid w:val="3F7F5DD9"/>
    <w:multiLevelType w:val="hybridMultilevel"/>
    <w:lvl w:ilvl="0">
      <w:lvlJc w:val="left"/>
      <w:lvlText w:val="(%1)"/>
      <w:numFmt w:val="lowerRoman"/>
      <w:start w:val="2"/>
    </w:lvl>
  </w:abstractNum>
  <w:abstractNum w:abstractNumId="121">
    <w:nsid w:val="2AE05A34"/>
    <w:multiLevelType w:val="hybridMultilevel"/>
    <w:lvl w:ilvl="0">
      <w:lvlJc w:val="left"/>
      <w:lvlText w:val="(%1)"/>
      <w:numFmt w:val="lowerLetter"/>
      <w:start w:val="4"/>
    </w:lvl>
  </w:abstractNum>
  <w:abstractNum w:abstractNumId="122">
    <w:nsid w:val="32794FF7"/>
    <w:multiLevelType w:val="hybridMultilevel"/>
    <w:lvl w:ilvl="0">
      <w:lvlJc w:val="left"/>
      <w:lvlText w:val="(%1)"/>
      <w:numFmt w:val="lowerLetter"/>
      <w:start w:val="1"/>
    </w:lvl>
  </w:abstractNum>
  <w:abstractNum w:abstractNumId="123">
    <w:nsid w:val="5454945E"/>
    <w:multiLevelType w:val="hybridMultilevel"/>
    <w:lvl w:ilvl="0">
      <w:lvlJc w:val="left"/>
      <w:lvlText w:val="(%1)"/>
      <w:numFmt w:val="lowerLetter"/>
      <w:start w:val="3"/>
    </w:lvl>
  </w:abstractNum>
  <w:abstractNum w:abstractNumId="124">
    <w:nsid w:val="4DEFDFA0"/>
    <w:multiLevelType w:val="hybridMultilevel"/>
    <w:lvl w:ilvl="0">
      <w:lvlJc w:val="left"/>
      <w:lvlText w:val="(%1)"/>
      <w:numFmt w:val="lowerLetter"/>
      <w:start w:val="1"/>
    </w:lvl>
  </w:abstractNum>
  <w:abstractNum w:abstractNumId="125">
    <w:nsid w:val="2123D5F2"/>
    <w:multiLevelType w:val="hybridMultilevel"/>
    <w:lvl w:ilvl="0">
      <w:lvlJc w:val="left"/>
      <w:lvlText w:val="(%1)"/>
      <w:numFmt w:val="lowerRoman"/>
      <w:start w:val="2"/>
    </w:lvl>
    <w:lvl w:ilvl="1">
      <w:lvlJc w:val="left"/>
      <w:lvlText w:val="(%2)"/>
      <w:numFmt w:val="lowerLetter"/>
      <w:start w:val="2"/>
    </w:lvl>
  </w:abstractNum>
  <w:abstractNum w:abstractNumId="126">
    <w:nsid w:val="135B8110"/>
    <w:multiLevelType w:val="hybridMultilevel"/>
    <w:lvl w:ilvl="0">
      <w:lvlJc w:val="left"/>
      <w:lvlText w:val="(%1)"/>
      <w:numFmt w:val="lowerLetter"/>
      <w:start w:val="3"/>
    </w:lvl>
  </w:abstractNum>
  <w:abstractNum w:abstractNumId="127">
    <w:nsid w:val="94927A8"/>
    <w:multiLevelType w:val="hybridMultilevel"/>
    <w:lvl w:ilvl="0">
      <w:lvlJc w:val="left"/>
      <w:lvlText w:val="(%1)"/>
      <w:numFmt w:val="lowerLetter"/>
      <w:start w:val="25"/>
    </w:lvl>
    <w:lvl w:ilvl="1">
      <w:lvlJc w:val="left"/>
      <w:lvlText w:val="(%2)"/>
      <w:numFmt w:val="lowerLetter"/>
      <w:start w:val="5"/>
    </w:lvl>
  </w:abstractNum>
  <w:abstractNum w:abstractNumId="128">
    <w:nsid w:val="DCDF8F6"/>
    <w:multiLevelType w:val="hybridMultilevel"/>
    <w:lvl w:ilvl="0">
      <w:lvlJc w:val="left"/>
      <w:lvlText w:val="%1"/>
      <w:numFmt w:val="lowerRoman"/>
      <w:start w:val="1"/>
    </w:lvl>
    <w:lvl w:ilvl="1">
      <w:lvlJc w:val="left"/>
      <w:lvlText w:val="(%2)"/>
      <w:numFmt w:val="lowerLetter"/>
      <w:start w:val="6"/>
    </w:lvl>
  </w:abstractNum>
  <w:abstractNum w:abstractNumId="129">
    <w:nsid w:val="52D7B105"/>
    <w:multiLevelType w:val="hybridMultilevel"/>
    <w:lvl w:ilvl="0">
      <w:lvlJc w:val="left"/>
      <w:lvlText w:val="(%1)"/>
      <w:numFmt w:val="lowerRoman"/>
      <w:start w:val="1"/>
    </w:lvl>
    <w:lvl w:ilvl="1">
      <w:lvlJc w:val="left"/>
      <w:lvlText w:val="%2"/>
      <w:numFmt w:val="lowerLetter"/>
      <w:start w:val="1"/>
    </w:lvl>
  </w:abstractNum>
  <w:abstractNum w:abstractNumId="130">
    <w:nsid w:val="2E8A6394"/>
    <w:multiLevelType w:val="hybridMultilevel"/>
    <w:lvl w:ilvl="0">
      <w:lvlJc w:val="left"/>
      <w:lvlText w:val="(%1)"/>
      <w:numFmt w:val="lowerRoman"/>
      <w:start w:val="4"/>
    </w:lvl>
  </w:abstractNum>
  <w:abstractNum w:abstractNumId="131">
    <w:nsid w:val="24E60401"/>
    <w:multiLevelType w:val="hybridMultilevel"/>
    <w:lvl w:ilvl="0">
      <w:lvlJc w:val="left"/>
      <w:lvlText w:val="(%1)"/>
      <w:numFmt w:val="lowerLetter"/>
      <w:start w:val="1"/>
    </w:lvl>
  </w:abstractNum>
  <w:abstractNum w:abstractNumId="132">
    <w:nsid w:val="2A6AD9BE"/>
    <w:multiLevelType w:val="hybridMultilevel"/>
    <w:lvl w:ilvl="0">
      <w:lvlJc w:val="left"/>
      <w:lvlText w:val="(%1)"/>
      <w:numFmt w:val="lowerLetter"/>
      <w:start w:val="4"/>
    </w:lvl>
  </w:abstractNum>
  <w:abstractNum w:abstractNumId="133">
    <w:nsid w:val="BAAC1B4"/>
    <w:multiLevelType w:val="hybridMultilevel"/>
    <w:lvl w:ilvl="0">
      <w:lvlJc w:val="left"/>
      <w:lvlText w:val="(%1)"/>
      <w:numFmt w:val="lowerRoman"/>
      <w:start w:val="1"/>
    </w:lvl>
  </w:abstractNum>
  <w:abstractNum w:abstractNumId="134">
    <w:nsid w:val="36B2ACBC"/>
    <w:multiLevelType w:val="hybridMultilevel"/>
    <w:lvl w:ilvl="0">
      <w:lvlJc w:val="left"/>
      <w:lvlText w:val="(%1)"/>
      <w:numFmt w:val="lowerLetter"/>
      <w:start w:val="1"/>
    </w:lvl>
  </w:abstractNum>
  <w:abstractNum w:abstractNumId="135">
    <w:nsid w:val="779D8544"/>
    <w:multiLevelType w:val="hybridMultilevel"/>
    <w:lvl w:ilvl="0">
      <w:lvlJc w:val="left"/>
      <w:lvlText w:val="(%1)"/>
      <w:numFmt w:val="lowerLetter"/>
      <w:start w:val="1"/>
    </w:lvl>
  </w:abstractNum>
  <w:abstractNum w:abstractNumId="136">
    <w:nsid w:val="4AB26E78"/>
    <w:multiLevelType w:val="hybridMultilevel"/>
    <w:lvl w:ilvl="0">
      <w:lvlJc w:val="left"/>
      <w:lvlText w:val="(%1)"/>
      <w:numFmt w:val="lowerLetter"/>
      <w:start w:val="1"/>
    </w:lvl>
    <w:lvl w:ilvl="1">
      <w:lvlJc w:val="left"/>
      <w:lvlText w:val="(%2)"/>
      <w:numFmt w:val="lowerRoman"/>
      <w:start w:val="1"/>
    </w:lvl>
  </w:abstractNum>
  <w:abstractNum w:abstractNumId="137">
    <w:nsid w:val="21FAA2FA"/>
    <w:multiLevelType w:val="hybridMultilevel"/>
    <w:lvl w:ilvl="0">
      <w:lvlJc w:val="left"/>
      <w:lvlText w:val="%1"/>
      <w:numFmt w:val="lowerLetter"/>
      <w:start w:val="1"/>
    </w:lvl>
    <w:lvl w:ilvl="1">
      <w:lvlJc w:val="left"/>
      <w:lvlText w:val="(%2)"/>
      <w:numFmt w:val="lowerRoman"/>
      <w:start w:val="1"/>
    </w:lvl>
  </w:abstractNum>
  <w:abstractNum w:abstractNumId="138">
    <w:nsid w:val="5451CF49"/>
    <w:multiLevelType w:val="hybridMultilevel"/>
    <w:lvl w:ilvl="0">
      <w:lvlJc w:val="left"/>
      <w:lvlText w:val="(%1)"/>
      <w:numFmt w:val="lowerLetter"/>
      <w:start w:val="3"/>
    </w:lvl>
    <w:lvl w:ilvl="1">
      <w:lvlJc w:val="left"/>
      <w:lvlText w:val="(%2)"/>
      <w:numFmt w:val="lowerRoman"/>
      <w:start w:val="1"/>
    </w:lvl>
  </w:abstractNum>
  <w:abstractNum w:abstractNumId="139">
    <w:nsid w:val="6181EF69"/>
    <w:multiLevelType w:val="hybridMultilevel"/>
    <w:lvl w:ilvl="0">
      <w:lvlJc w:val="left"/>
      <w:lvlText w:val="%1"/>
      <w:numFmt w:val="lowerLetter"/>
      <w:start w:val="1"/>
    </w:lvl>
    <w:lvl w:ilvl="1">
      <w:lvlJc w:val="left"/>
      <w:lvlText w:val="(%2)"/>
      <w:numFmt w:val="lowerLetter"/>
      <w:start w:val="4"/>
    </w:lvl>
  </w:abstractNum>
  <w:abstractNum w:abstractNumId="140">
    <w:nsid w:val="3E6400E6"/>
    <w:multiLevelType w:val="hybridMultilevel"/>
    <w:lvl w:ilvl="0">
      <w:lvlJc w:val="left"/>
      <w:lvlText w:val="(%1)"/>
      <w:numFmt w:val="lowerLetter"/>
      <w:start w:val="9"/>
    </w:lvl>
    <w:lvl w:ilvl="1">
      <w:lvlJc w:val="left"/>
      <w:lvlText w:val="(%2)"/>
      <w:numFmt w:val="lowerLetter"/>
      <w:start w:val="5"/>
    </w:lvl>
  </w:abstractNum>
  <w:abstractNum w:abstractNumId="141">
    <w:nsid w:val="14217E23"/>
    <w:multiLevelType w:val="hybridMultilevel"/>
    <w:lvl w:ilvl="0">
      <w:lvlJc w:val="left"/>
      <w:lvlText w:val="(%1)"/>
      <w:numFmt w:val="lowerLetter"/>
      <w:start w:val="61"/>
    </w:lvl>
    <w:lvl w:ilvl="1">
      <w:lvlJc w:val="left"/>
      <w:lvlText w:val="%2"/>
      <w:numFmt w:val="lowerLetter"/>
      <w:start w:val="1"/>
    </w:lvl>
  </w:abstractNum>
  <w:abstractNum w:abstractNumId="142">
    <w:nsid w:val="710757D0"/>
    <w:multiLevelType w:val="hybridMultilevel"/>
    <w:lvl w:ilvl="0">
      <w:lvlJc w:val="left"/>
      <w:lvlText w:val="(%1)"/>
      <w:numFmt w:val="lowerLetter"/>
      <w:start w:val="6"/>
    </w:lvl>
    <w:lvl w:ilvl="1">
      <w:lvlJc w:val="left"/>
      <w:lvlText w:val="(%2)"/>
      <w:numFmt w:val="lowerRoman"/>
      <w:start w:val="1"/>
    </w:lvl>
  </w:abstractNum>
  <w:abstractNum w:abstractNumId="143">
    <w:nsid w:val="5015CD1A"/>
    <w:multiLevelType w:val="hybridMultilevel"/>
    <w:lvl w:ilvl="0">
      <w:lvlJc w:val="left"/>
      <w:lvlText w:val="(%1)"/>
      <w:numFmt w:val="lowerRoman"/>
      <w:start w:val="2"/>
    </w:lvl>
    <w:lvl w:ilvl="1">
      <w:lvlJc w:val="left"/>
      <w:lvlText w:val="(%2)"/>
      <w:numFmt w:val="lowerRoman"/>
      <w:start w:val="5"/>
    </w:lvl>
  </w:abstractNum>
  <w:abstractNum w:abstractNumId="144">
    <w:nsid w:val="424479DA"/>
    <w:multiLevelType w:val="hybridMultilevel"/>
    <w:lvl w:ilvl="0">
      <w:lvlJc w:val="left"/>
      <w:lvlText w:val="(%1)"/>
      <w:numFmt w:val="lowerLetter"/>
      <w:start w:val="1"/>
    </w:lvl>
  </w:abstractNum>
  <w:abstractNum w:abstractNumId="145">
    <w:nsid w:val="1A9A9E69"/>
    <w:multiLevelType w:val="hybridMultilevel"/>
    <w:lvl w:ilvl="0">
      <w:lvlJc w:val="left"/>
      <w:lvlText w:val="(%1)"/>
      <w:numFmt w:val="lowerLetter"/>
      <w:start w:val="2"/>
    </w:lvl>
  </w:abstractNum>
  <w:abstractNum w:abstractNumId="146">
    <w:nsid w:val="475E256A"/>
    <w:multiLevelType w:val="hybridMultilevel"/>
    <w:lvl w:ilvl="0">
      <w:lvlJc w:val="left"/>
      <w:lvlText w:val="(%1)"/>
      <w:numFmt w:val="lowerLetter"/>
      <w:start w:val="5"/>
    </w:lvl>
    <w:lvl w:ilvl="1">
      <w:lvlJc w:val="left"/>
      <w:lvlText w:val="(%2)"/>
      <w:numFmt w:val="lowerRoman"/>
      <w:start w:val="1"/>
    </w:lvl>
  </w:abstractNum>
  <w:abstractNum w:abstractNumId="147">
    <w:nsid w:val="368DB37E"/>
    <w:multiLevelType w:val="hybridMultilevel"/>
    <w:lvl w:ilvl="0">
      <w:lvlJc w:val="left"/>
      <w:lvlText w:val="%1"/>
      <w:numFmt w:val="lowerRoman"/>
      <w:start w:val="1"/>
    </w:lvl>
    <w:lvl w:ilvl="1">
      <w:lvlJc w:val="left"/>
      <w:lvlText w:val="(%2)"/>
      <w:numFmt w:val="lowerLetter"/>
      <w:start w:val="1"/>
    </w:lvl>
  </w:abstractNum>
  <w:abstractNum w:abstractNumId="148">
    <w:nsid w:val="6A3B714C"/>
    <w:multiLevelType w:val="hybridMultilevel"/>
    <w:lvl w:ilvl="0">
      <w:lvlJc w:val="left"/>
      <w:lvlText w:val="(%1)"/>
      <w:numFmt w:val="lowerRoman"/>
      <w:start w:val="1"/>
    </w:lvl>
    <w:lvl w:ilvl="1">
      <w:lvlJc w:val="left"/>
      <w:lvlText w:val="%2"/>
      <w:numFmt w:val="lowerLetter"/>
      <w:start w:val="1"/>
    </w:lvl>
  </w:abstractNum>
  <w:abstractNum w:abstractNumId="149">
    <w:nsid w:val="327B517E"/>
    <w:multiLevelType w:val="hybridMultilevel"/>
    <w:lvl w:ilvl="0">
      <w:lvlJc w:val="left"/>
      <w:lvlText w:val="(%1)"/>
      <w:numFmt w:val="lowerRoman"/>
      <w:start w:val="3"/>
    </w:lvl>
  </w:abstractNum>
  <w:abstractNum w:abstractNumId="150">
    <w:nsid w:val="1F461B51"/>
    <w:multiLevelType w:val="hybridMultilevel"/>
    <w:lvl w:ilvl="0">
      <w:lvlJc w:val="left"/>
      <w:lvlText w:val="%1"/>
      <w:numFmt w:val="lowerRoman"/>
      <w:start w:val="1"/>
    </w:lvl>
    <w:lvl w:ilvl="1">
      <w:lvlJc w:val="left"/>
      <w:lvlText w:val="(%2)"/>
      <w:numFmt w:val="lowerLetter"/>
      <w:start w:val="4"/>
    </w:lvl>
  </w:abstractNum>
  <w:abstractNum w:abstractNumId="151">
    <w:nsid w:val="29BACF25"/>
    <w:multiLevelType w:val="hybridMultilevel"/>
    <w:lvl w:ilvl="0">
      <w:lvlJc w:val="left"/>
      <w:lvlText w:val="(%1)"/>
      <w:numFmt w:val="lowerRoman"/>
      <w:start w:val="1"/>
    </w:lvl>
    <w:lvl w:ilvl="1">
      <w:lvlJc w:val="left"/>
      <w:lvlText w:val="%2"/>
      <w:numFmt w:val="lowerLetter"/>
      <w:start w:val="1"/>
    </w:lvl>
  </w:abstractNum>
  <w:abstractNum w:abstractNumId="152">
    <w:nsid w:val="5D5BABB3"/>
    <w:multiLevelType w:val="hybridMultilevel"/>
    <w:lvl w:ilvl="0">
      <w:lvlJc w:val="left"/>
      <w:lvlText w:val="%1"/>
      <w:numFmt w:val="lowerLetter"/>
      <w:start w:val="1"/>
    </w:lvl>
    <w:lvl w:ilvl="1">
      <w:lvlJc w:val="left"/>
      <w:lvlText w:val="(%2)"/>
      <w:numFmt w:val="lowerLetter"/>
      <w:start w:val="61"/>
    </w:lvl>
  </w:abstractNum>
  <w:abstractNum w:abstractNumId="153">
    <w:nsid w:val="51BF6B48"/>
    <w:multiLevelType w:val="hybridMultilevel"/>
    <w:lvl w:ilvl="0">
      <w:lvlJc w:val="left"/>
      <w:lvlText w:val="(%1)"/>
      <w:numFmt w:val="lowerLetter"/>
      <w:start w:val="25"/>
    </w:lvl>
    <w:lvl w:ilvl="1">
      <w:lvlJc w:val="left"/>
      <w:lvlText w:val="%2"/>
      <w:numFmt w:val="lowerLetter"/>
      <w:start w:val="1"/>
    </w:lvl>
  </w:abstractNum>
  <w:abstractNum w:abstractNumId="154">
    <w:nsid w:val="7E0F6384"/>
    <w:multiLevelType w:val="hybridMultilevel"/>
    <w:lvl w:ilvl="0">
      <w:lvlJc w:val="left"/>
      <w:lvlText w:val="(%1)"/>
      <w:numFmt w:val="lowerLetter"/>
      <w:start w:val="5"/>
    </w:lvl>
  </w:abstractNum>
  <w:abstractNum w:abstractNumId="155">
    <w:nsid w:val="2B4B8B53"/>
    <w:multiLevelType w:val="hybridMultilevel"/>
    <w:lvl w:ilvl="0">
      <w:lvlJc w:val="left"/>
      <w:lvlText w:val="%1"/>
      <w:numFmt w:val="lowerLetter"/>
      <w:start w:val="1"/>
    </w:lvl>
    <w:lvl w:ilvl="1">
      <w:lvlJc w:val="left"/>
      <w:lvlText w:val="(%2)"/>
      <w:numFmt w:val="lowerLetter"/>
      <w:start w:val="1"/>
    </w:lvl>
  </w:abstractNum>
  <w:abstractNum w:abstractNumId="156">
    <w:nsid w:val="72E3413A"/>
    <w:multiLevelType w:val="hybridMultilevel"/>
    <w:lvl w:ilvl="0">
      <w:lvlJc w:val="left"/>
      <w:lvlText w:val="(%1)"/>
      <w:numFmt w:val="lowerLetter"/>
      <w:start w:val="9"/>
    </w:lvl>
    <w:lvl w:ilvl="1">
      <w:lvlJc w:val="left"/>
      <w:lvlText w:val="%2"/>
      <w:numFmt w:val="lowerLetter"/>
      <w:start w:val="1"/>
    </w:lvl>
  </w:abstractNum>
  <w:abstractNum w:abstractNumId="157">
    <w:nsid w:val="116AE494"/>
    <w:multiLevelType w:val="hybridMultilevel"/>
    <w:lvl w:ilvl="0">
      <w:lvlJc w:val="left"/>
      <w:lvlText w:val="(%1)"/>
      <w:numFmt w:val="lowerLetter"/>
      <w:start w:val="2"/>
    </w:lvl>
  </w:abstractNum>
  <w:abstractNum w:abstractNumId="158">
    <w:nsid w:val="3494B2FB"/>
    <w:multiLevelType w:val="hybridMultilevel"/>
    <w:lvl w:ilvl="0">
      <w:lvlJc w:val="left"/>
      <w:lvlText w:val="(%1)"/>
      <w:numFmt w:val="lowerLetter"/>
      <w:start w:val="5"/>
    </w:lvl>
  </w:abstractNum>
  <w:abstractNum w:abstractNumId="159">
    <w:nsid w:val="B13A31"/>
    <w:multiLevelType w:val="hybridMultilevel"/>
    <w:lvl w:ilvl="0">
      <w:lvlJc w:val="left"/>
      <w:lvlText w:val="(%1)"/>
      <w:numFmt w:val="lowerLetter"/>
      <w:start w:val="1"/>
    </w:lvl>
  </w:abstractNum>
  <w:abstractNum w:abstractNumId="160">
    <w:nsid w:val="64429599"/>
    <w:multiLevelType w:val="hybridMultilevel"/>
    <w:lvl w:ilvl="0">
      <w:lvlJc w:val="left"/>
      <w:lvlText w:val="(%1)"/>
      <w:numFmt w:val="lowerLetter"/>
      <w:start w:val="22"/>
    </w:lvl>
    <w:lvl w:ilvl="1">
      <w:lvlJc w:val="left"/>
      <w:lvlText w:val="(%2)"/>
      <w:numFmt w:val="lowerLetter"/>
      <w:start w:val="2"/>
    </w:lvl>
  </w:abstractNum>
  <w:abstractNum w:abstractNumId="161">
    <w:nsid w:val="631F1690"/>
    <w:multiLevelType w:val="hybridMultilevel"/>
    <w:lvl w:ilvl="0">
      <w:lvlJc w:val="left"/>
      <w:lvlText w:val="%1"/>
      <w:numFmt w:val="lowerLetter"/>
      <w:start w:val="1"/>
    </w:lvl>
    <w:lvl w:ilvl="1">
      <w:lvlJc w:val="left"/>
      <w:lvlText w:val="(%2)"/>
      <w:numFmt w:val="lowerLetter"/>
      <w:start w:val="3"/>
    </w:lvl>
  </w:abstractNum>
  <w:abstractNum w:abstractNumId="162">
    <w:nsid w:val="25973E32"/>
    <w:multiLevelType w:val="hybridMultilevel"/>
    <w:lvl w:ilvl="0">
      <w:lvlJc w:val="left"/>
      <w:lvlText w:val="(%1)"/>
      <w:numFmt w:val="lowerLetter"/>
      <w:start w:val="9"/>
    </w:lvl>
    <w:lvl w:ilvl="1">
      <w:lvlJc w:val="left"/>
      <w:lvlText w:val="(%2)"/>
      <w:numFmt w:val="lowerLetter"/>
      <w:start w:val="4"/>
    </w:lvl>
  </w:abstractNum>
  <w:abstractNum w:abstractNumId="163">
    <w:nsid w:val="EAD6F57"/>
    <w:multiLevelType w:val="hybridMultilevel"/>
    <w:lvl w:ilvl="0">
      <w:lvlJc w:val="left"/>
      <w:lvlText w:val="(%1)"/>
      <w:numFmt w:val="lowerLetter"/>
      <w:start w:val="5"/>
    </w:lvl>
  </w:abstractNum>
  <w:abstractNum w:abstractNumId="164">
    <w:nsid w:val="6EC9D844"/>
    <w:multiLevelType w:val="hybridMultilevel"/>
    <w:lvl w:ilvl="0">
      <w:lvlJc w:val="left"/>
      <w:lvlText w:val="(%1)"/>
      <w:numFmt w:val="lowerLetter"/>
      <w:start w:val="7"/>
    </w:lvl>
  </w:abstractNum>
  <w:abstractNum w:abstractNumId="165">
    <w:nsid w:val="5C49EAEE"/>
    <w:multiLevelType w:val="hybridMultilevel"/>
    <w:lvl w:ilvl="0">
      <w:lvlJc w:val="left"/>
      <w:lvlText w:val="(%1)"/>
      <w:numFmt w:val="lowerLetter"/>
      <w:start w:val="1"/>
    </w:lvl>
  </w:abstractNum>
  <w:abstractNum w:abstractNumId="166">
    <w:nsid w:val="64AF49B"/>
    <w:multiLevelType w:val="hybridMultilevel"/>
    <w:lvl w:ilvl="0">
      <w:lvlJc w:val="left"/>
      <w:lvlText w:val="%1"/>
      <w:numFmt w:val="lowerLetter"/>
      <w:start w:val="1"/>
    </w:lvl>
    <w:lvl w:ilvl="1">
      <w:lvlJc w:val="left"/>
      <w:lvlText w:val="(%2)"/>
      <w:numFmt w:val="lowerLetter"/>
      <w:start w:val="4"/>
    </w:lvl>
  </w:abstractNum>
  <w:abstractNum w:abstractNumId="167">
    <w:nsid w:val="397C46BC"/>
    <w:multiLevelType w:val="hybridMultilevel"/>
    <w:lvl w:ilvl="0">
      <w:lvlJc w:val="left"/>
      <w:lvlText w:val="(%1)"/>
      <w:numFmt w:val="lowerLetter"/>
      <w:start w:val="9"/>
    </w:lvl>
    <w:lvl w:ilvl="1">
      <w:lvlJc w:val="left"/>
      <w:lvlText w:val="%2"/>
      <w:numFmt w:val="lowerLetter"/>
      <w:start w:val="1"/>
    </w:lvl>
  </w:abstractNum>
  <w:abstractNum w:abstractNumId="168">
    <w:nsid w:val="7E448DE9"/>
    <w:multiLevelType w:val="hybridMultilevel"/>
    <w:lvl w:ilvl="0">
      <w:lvlJc w:val="left"/>
      <w:lvlText w:val="(%1)"/>
      <w:numFmt w:val="lowerLetter"/>
      <w:start w:val="2"/>
    </w:lvl>
  </w:abstractNum>
  <w:abstractNum w:abstractNumId="169">
    <w:nsid w:val="5A9CC3E5"/>
    <w:multiLevelType w:val="hybridMultilevel"/>
    <w:lvl w:ilvl="0">
      <w:lvlJc w:val="left"/>
      <w:lvlText w:val="(%1)"/>
      <w:numFmt w:val="lowerLetter"/>
      <w:start w:val="1"/>
    </w:lvl>
  </w:abstractNum>
  <w:abstractNum w:abstractNumId="170">
    <w:nsid w:val="1AFE3625"/>
    <w:multiLevelType w:val="hybridMultilevel"/>
    <w:lvl w:ilvl="0">
      <w:lvlJc w:val="left"/>
      <w:lvlText w:val="(%1)"/>
      <w:numFmt w:val="lowerLetter"/>
      <w:start w:val="9"/>
    </w:lvl>
  </w:abstractNum>
  <w:abstractNum w:abstractNumId="171">
    <w:nsid w:val="3CA88ECF"/>
    <w:multiLevelType w:val="hybridMultilevel"/>
    <w:lvl w:ilvl="0">
      <w:lvlJc w:val="left"/>
      <w:lvlText w:val="(%1)"/>
      <w:numFmt w:val="lowerRoman"/>
      <w:start w:val="2"/>
    </w:lvl>
  </w:abstractNum>
  <w:abstractNum w:abstractNumId="172">
    <w:nsid w:val="6EBE4208"/>
    <w:multiLevelType w:val="hybridMultilevel"/>
    <w:lvl w:ilvl="0">
      <w:lvlJc w:val="left"/>
      <w:lvlText w:val="(%1)"/>
      <w:numFmt w:val="lowerRoman"/>
      <w:start w:val="1"/>
    </w:lvl>
  </w:abstractNum>
  <w:abstractNum w:abstractNumId="173">
    <w:nsid w:val="C058DF5"/>
    <w:multiLevelType w:val="hybridMultilevel"/>
    <w:lvl w:ilvl="0">
      <w:lvlJc w:val="left"/>
      <w:lvlText w:val="(%1)"/>
      <w:numFmt w:val="lowerLetter"/>
      <w:start w:val="1"/>
    </w:lvl>
  </w:abstractNum>
  <w:abstractNum w:abstractNumId="174">
    <w:nsid w:val="CBE5BE9"/>
    <w:multiLevelType w:val="hybridMultilevel"/>
    <w:lvl w:ilvl="0">
      <w:lvlJc w:val="left"/>
      <w:lvlText w:val="(%1)"/>
      <w:numFmt w:val="lowerLetter"/>
      <w:start w:val="1"/>
    </w:lvl>
  </w:abstractNum>
  <w:abstractNum w:abstractNumId="175">
    <w:nsid w:val="3102BBE2"/>
    <w:multiLevelType w:val="hybridMultilevel"/>
    <w:lvl w:ilvl="0">
      <w:lvlJc w:val="left"/>
      <w:lvlText w:val="(%1)"/>
      <w:numFmt w:val="lowerLetter"/>
      <w:start w:val="2"/>
    </w:lvl>
    <w:lvl w:ilvl="1">
      <w:lvlJc w:val="left"/>
      <w:lvlText w:val="(%2)"/>
      <w:numFmt w:val="upperLetter"/>
      <w:start w:val="1"/>
    </w:lvl>
    <w:lvl w:ilvl="2">
      <w:lvlJc w:val="left"/>
      <w:lvlText w:val="(%3)"/>
      <w:numFmt w:val="lowerRoman"/>
      <w:start w:val="1"/>
    </w:lvl>
  </w:abstractNum>
  <w:abstractNum w:abstractNumId="176">
    <w:nsid w:val="26A02C5E"/>
    <w:multiLevelType w:val="hybridMultilevel"/>
    <w:lvl w:ilvl="0">
      <w:lvlJc w:val="left"/>
      <w:lvlText w:val="%1"/>
      <w:numFmt w:val="lowerLetter"/>
      <w:start w:val="1"/>
    </w:lvl>
    <w:lvl w:ilvl="1">
      <w:lvlJc w:val="left"/>
      <w:lvlText w:val="%2"/>
      <w:numFmt w:val="upperLetter"/>
      <w:start w:val="1"/>
    </w:lvl>
    <w:lvl w:ilvl="2">
      <w:lvlJc w:val="left"/>
      <w:lvlText w:val="(%3)"/>
      <w:numFmt w:val="lowerRoman"/>
      <w:start w:val="3"/>
    </w:lvl>
  </w:abstractNum>
  <w:abstractNum w:abstractNumId="177">
    <w:nsid w:val="541C8153"/>
    <w:multiLevelType w:val="hybridMultilevel"/>
    <w:lvl w:ilvl="0">
      <w:lvlJc w:val="left"/>
      <w:lvlText w:val="(%1)"/>
      <w:numFmt w:val="lowerLetter"/>
      <w:start w:val="3"/>
    </w:lvl>
    <w:lvl w:ilvl="1">
      <w:lvlJc w:val="left"/>
      <w:lvlText w:val="%2"/>
      <w:numFmt w:val="upperLetter"/>
      <w:start w:val="1"/>
    </w:lvl>
    <w:lvl w:ilvl="2">
      <w:lvlJc w:val="left"/>
      <w:lvlText w:val="%3"/>
      <w:numFmt w:val="lowerRoman"/>
      <w:start w:val="1"/>
    </w:lvl>
  </w:abstractNum>
  <w:abstractNum w:abstractNumId="178">
    <w:nsid w:val="67906F60"/>
    <w:multiLevelType w:val="hybridMultilevel"/>
    <w:lvl w:ilvl="0">
      <w:lvlJc w:val="left"/>
      <w:lvlText w:val="(%1)"/>
      <w:numFmt w:val="lowerLetter"/>
      <w:start w:val="4"/>
    </w:lvl>
  </w:abstractNum>
  <w:abstractNum w:abstractNumId="179">
    <w:nsid w:val="10DB9DAA"/>
    <w:multiLevelType w:val="hybridMultilevel"/>
    <w:lvl w:ilvl="0">
      <w:lvlJc w:val="left"/>
      <w:lvlText w:val="(%1)"/>
      <w:numFmt w:val="lowerLetter"/>
      <w:start w:val="11"/>
    </w:lvl>
  </w:abstractNum>
  <w:abstractNum w:abstractNumId="180">
    <w:nsid w:val="697D2D2"/>
    <w:multiLevelType w:val="hybridMultilevel"/>
    <w:lvl w:ilvl="0">
      <w:lvlJc w:val="left"/>
      <w:lvlText w:val="(%1)"/>
      <w:numFmt w:val="lowerRoman"/>
      <w:start w:val="1"/>
    </w:lvl>
  </w:abstractNum>
  <w:abstractNum w:abstractNumId="181">
    <w:nsid w:val="6D68AB2"/>
    <w:multiLevelType w:val="hybridMultilevel"/>
    <w:lvl w:ilvl="0">
      <w:lvlJc w:val="left"/>
      <w:lvlText w:val="%1"/>
      <w:numFmt w:val="lowerLetter"/>
      <w:start w:val="1"/>
    </w:lvl>
    <w:lvl w:ilvl="1">
      <w:lvlJc w:val="left"/>
      <w:lvlText w:val="(%2)"/>
      <w:numFmt w:val="lowerLetter"/>
      <w:start w:val="2"/>
    </w:lvl>
  </w:abstractNum>
  <w:abstractNum w:abstractNumId="182">
    <w:nsid w:val="3A966CD0"/>
    <w:multiLevelType w:val="hybridMultilevel"/>
    <w:lvl w:ilvl="0">
      <w:lvlJc w:val="left"/>
      <w:lvlText w:val="(%1)"/>
      <w:numFmt w:val="lowerLetter"/>
      <w:start w:val="1"/>
    </w:lvl>
    <w:lvl w:ilvl="1">
      <w:lvlJc w:val="left"/>
      <w:lvlText w:val="(%2)"/>
      <w:numFmt w:val="lowerLetter"/>
      <w:start w:val="4"/>
    </w:lvl>
  </w:abstractNum>
  <w:abstractNum w:abstractNumId="183">
    <w:nsid w:val="63F37E85"/>
    <w:multiLevelType w:val="hybridMultilevel"/>
    <w:lvl w:ilvl="0">
      <w:lvlJc w:val="left"/>
      <w:lvlText w:val="(%1)"/>
      <w:numFmt w:val="lowerLetter"/>
      <w:start w:val="2"/>
    </w:lvl>
  </w:abstractNum>
  <w:abstractNum w:abstractNumId="184">
    <w:nsid w:val="5895F5FA"/>
    <w:multiLevelType w:val="hybridMultilevel"/>
    <w:lvl w:ilvl="0">
      <w:lvlJc w:val="left"/>
      <w:lvlText w:val="(%1)"/>
      <w:numFmt w:val="lowerLetter"/>
      <w:start w:val="3"/>
    </w:lvl>
  </w:abstractNum>
  <w:abstractNum w:abstractNumId="185">
    <w:nsid w:val="38A5D054"/>
    <w:multiLevelType w:val="hybridMultilevel"/>
    <w:lvl w:ilvl="0">
      <w:lvlJc w:val="left"/>
      <w:lvlText w:val="%1"/>
      <w:numFmt w:val="lowerRoman"/>
      <w:start w:val="1"/>
    </w:lvl>
    <w:lvl w:ilvl="1">
      <w:lvlJc w:val="left"/>
      <w:lvlText w:val="(%2)"/>
      <w:numFmt w:val="lowerLetter"/>
      <w:start w:val="7"/>
    </w:lvl>
  </w:abstractNum>
  <w:abstractNum w:abstractNumId="186">
    <w:nsid w:val="F3F09D8"/>
    <w:multiLevelType w:val="hybridMultilevel"/>
    <w:lvl w:ilvl="0">
      <w:lvlJc w:val="left"/>
      <w:lvlText w:val="(%1)"/>
      <w:numFmt w:val="lowerRoman"/>
      <w:start w:val="1"/>
    </w:lvl>
    <w:lvl w:ilvl="1">
      <w:lvlJc w:val="left"/>
      <w:lvlText w:val="%2"/>
      <w:numFmt w:val="lowerLetter"/>
      <w:start w:val="1"/>
    </w:lvl>
  </w:abstractNum>
  <w:abstractNum w:abstractNumId="187">
    <w:nsid w:val="4B793735"/>
    <w:multiLevelType w:val="hybridMultilevel"/>
    <w:lvl w:ilvl="0">
      <w:lvlJc w:val="left"/>
      <w:lvlText w:val="(%1)"/>
      <w:numFmt w:val="lowerLetter"/>
      <w:start w:val="8"/>
    </w:lvl>
  </w:abstractNum>
  <w:abstractNum w:abstractNumId="188">
    <w:nsid w:val="4A10B4E8"/>
    <w:multiLevelType w:val="hybridMultilevel"/>
    <w:lvl w:ilvl="0">
      <w:lvlJc w:val="left"/>
      <w:lvlText w:val="(%1)"/>
      <w:numFmt w:val="lowerLetter"/>
      <w:start w:val="1"/>
    </w:lvl>
  </w:abstractNum>
  <w:abstractNum w:abstractNumId="189">
    <w:nsid w:val="43D3BCD4"/>
    <w:multiLevelType w:val="hybridMultilevel"/>
    <w:lvl w:ilvl="0">
      <w:lvlJc w:val="left"/>
      <w:lvlText w:val="(%1)"/>
      <w:numFmt w:val="lowerRoman"/>
      <w:start w:val="1"/>
    </w:lvl>
  </w:abstractNum>
  <w:abstractNum w:abstractNumId="190">
    <w:nsid w:val="4C2A7166"/>
    <w:multiLevelType w:val="hybridMultilevel"/>
    <w:lvl w:ilvl="0">
      <w:lvlJc w:val="left"/>
      <w:lvlText w:val="(%1)"/>
      <w:numFmt w:val="lowerLetter"/>
      <w:start w:val="35"/>
    </w:lvl>
    <w:lvl w:ilvl="1">
      <w:lvlJc w:val="left"/>
      <w:lvlText w:val="%2"/>
      <w:numFmt w:val="lowerLetter"/>
      <w:start w:val="1"/>
    </w:lvl>
  </w:abstractNum>
  <w:abstractNum w:abstractNumId="191">
    <w:nsid w:val="2E534A82"/>
    <w:multiLevelType w:val="hybridMultilevel"/>
    <w:lvl w:ilvl="0">
      <w:lvlJc w:val="left"/>
      <w:lvlText w:val="(%1)"/>
      <w:numFmt w:val="lowerLetter"/>
      <w:start w:val="2"/>
    </w:lvl>
    <w:lvl w:ilvl="1">
      <w:lvlJc w:val="left"/>
      <w:lvlText w:val="%2"/>
      <w:numFmt w:val="lowerLetter"/>
      <w:start w:val="1"/>
    </w:lvl>
  </w:abstractNum>
  <w:abstractNum w:abstractNumId="192">
    <w:nsid w:val="26F2D364"/>
    <w:multiLevelType w:val="hybridMultilevel"/>
    <w:lvl w:ilvl="0">
      <w:lvlJc w:val="left"/>
      <w:lvlText w:val="(%1)"/>
      <w:numFmt w:val="lowerLetter"/>
      <w:start w:val="1"/>
    </w:lvl>
  </w:abstractNum>
  <w:abstractNum w:abstractNumId="193">
    <w:nsid w:val="71C1AF98"/>
    <w:multiLevelType w:val="hybridMultilevel"/>
    <w:lvl w:ilvl="0">
      <w:lvlJc w:val="left"/>
      <w:lvlText w:val="(%1)"/>
      <w:numFmt w:val="lowerLetter"/>
      <w:start w:val="5"/>
    </w:lvl>
  </w:abstractNum>
  <w:abstractNum w:abstractNumId="194">
    <w:nsid w:val="3D00B9D9"/>
    <w:multiLevelType w:val="hybridMultilevel"/>
    <w:lvl w:ilvl="0">
      <w:lvlJc w:val="left"/>
      <w:lvlText w:val="%1"/>
      <w:numFmt w:val="upperLetter"/>
      <w:start w:val="1"/>
    </w:lvl>
    <w:lvl w:ilvl="1">
      <w:lvlJc w:val="left"/>
      <w:lvlText w:val="(%2)"/>
      <w:numFmt w:val="lowerLetter"/>
      <w:start w:val="2"/>
    </w:lvl>
  </w:abstractNum>
  <w:abstractNum w:abstractNumId="195">
    <w:nsid w:val="15BCABA8"/>
    <w:multiLevelType w:val="hybridMultilevel"/>
    <w:lvl w:ilvl="0">
      <w:lvlJc w:val="left"/>
      <w:lvlText w:val="(%1)"/>
      <w:numFmt w:val="upperLetter"/>
      <w:start w:val="6"/>
    </w:lvl>
    <w:lvl w:ilvl="1">
      <w:lvlJc w:val="left"/>
      <w:lvlText w:val="(%2)"/>
      <w:numFmt w:val="lowerLetter"/>
      <w:start w:val="3"/>
    </w:lvl>
  </w:abstractNum>
  <w:abstractNum w:abstractNumId="196">
    <w:nsid w:val="4E0B9A87"/>
    <w:multiLevelType w:val="hybridMultilevel"/>
    <w:lvl w:ilvl="0">
      <w:lvlJc w:val="left"/>
      <w:lvlText w:val="(%1)"/>
      <w:numFmt w:val="lowerLetter"/>
      <w:start w:val="4"/>
    </w:lvl>
  </w:abstractNum>
  <w:abstractNum w:abstractNumId="197">
    <w:nsid w:val="434BAE75"/>
    <w:multiLevelType w:val="hybridMultilevel"/>
    <w:lvl w:ilvl="0">
      <w:lvlJc w:val="left"/>
      <w:lvlText w:val="(%1)"/>
      <w:numFmt w:val="lowerLetter"/>
      <w:start w:val="2"/>
    </w:lvl>
  </w:abstractNum>
  <w:abstractNum w:abstractNumId="198">
    <w:nsid w:val="4F38F265"/>
    <w:multiLevelType w:val="hybridMultilevel"/>
    <w:lvl w:ilvl="0">
      <w:lvlJc w:val="left"/>
      <w:lvlText w:val="(%1)"/>
      <w:numFmt w:val="lowerLetter"/>
      <w:start w:val="2"/>
    </w:lvl>
  </w:abstractNum>
  <w:abstractNum w:abstractNumId="199">
    <w:nsid w:val="4C502870"/>
    <w:multiLevelType w:val="hybridMultilevel"/>
    <w:lvl w:ilvl="0">
      <w:lvlJc w:val="left"/>
      <w:lvlText w:val="(%1)"/>
      <w:numFmt w:val="lowerLetter"/>
      <w:start w:val="2"/>
    </w:lvl>
  </w:abstractNum>
  <w:abstractNum w:abstractNumId="200">
    <w:nsid w:val="1DE8725A"/>
    <w:multiLevelType w:val="hybridMultilevel"/>
    <w:lvl w:ilvl="0">
      <w:lvlJc w:val="left"/>
      <w:lvlText w:val="(%1)"/>
      <w:numFmt w:val="lowerLetter"/>
      <w:start w:val="1"/>
    </w:lvl>
  </w:abstractNum>
  <w:abstractNum w:abstractNumId="201">
    <w:nsid w:val="6A37288A"/>
    <w:multiLevelType w:val="hybridMultilevel"/>
    <w:lvl w:ilvl="0">
      <w:lvlJc w:val="left"/>
      <w:lvlText w:val="(%1)"/>
      <w:numFmt w:val="lowerLetter"/>
      <w:start w:val="8"/>
    </w:lvl>
  </w:abstractNum>
  <w:abstractNum w:abstractNumId="202">
    <w:nsid w:val="8F8B73F"/>
    <w:multiLevelType w:val="hybridMultilevel"/>
    <w:lvl w:ilvl="0">
      <w:lvlJc w:val="left"/>
      <w:lvlText w:val="(%1)"/>
      <w:numFmt w:val="lowerRoman"/>
      <w:start w:val="6"/>
    </w:lvl>
    <w:lvl w:ilvl="1">
      <w:lvlJc w:val="left"/>
      <w:lvlText w:val="(%2)"/>
      <w:numFmt w:val="lowerLetter"/>
      <w:start w:val="2"/>
    </w:lvl>
  </w:abstractNum>
  <w:abstractNum w:abstractNumId="203">
    <w:nsid w:val="CA6B462"/>
    <w:multiLevelType w:val="hybridMultilevel"/>
    <w:lvl w:ilvl="0">
      <w:lvlJc w:val="left"/>
      <w:lvlText w:val="(%1)"/>
      <w:numFmt w:val="lowerLetter"/>
      <w:start w:val="1"/>
    </w:lvl>
  </w:abstractNum>
  <w:abstractNum w:abstractNumId="204">
    <w:nsid w:val="763CB680"/>
    <w:multiLevelType w:val="hybridMultilevel"/>
    <w:lvl w:ilvl="0">
      <w:lvlJc w:val="left"/>
      <w:lvlText w:val="%1."/>
      <w:numFmt w:val="decimal"/>
      <w:start w:val="2"/>
    </w:lvl>
  </w:abstractNum>
  <w:abstractNum w:abstractNumId="205">
    <w:nsid w:val="15B71329"/>
    <w:multiLevelType w:val="hybridMultilevel"/>
    <w:lvl w:ilvl="0">
      <w:lvlJc w:val="left"/>
      <w:lvlText w:val="1"/>
      <w:numFmt w:val="bullet"/>
      <w:start w:val="1"/>
    </w:lvl>
    <w:lvl w:ilvl="1">
      <w:lvlJc w:val="left"/>
      <w:lvlText w:val="(%2)"/>
      <w:numFmt w:val="lowerLetter"/>
      <w:start w:val="1"/>
    </w:lvl>
  </w:abstractNum>
  <w:abstractNum w:abstractNumId="206">
    <w:nsid w:val="3DA97044"/>
    <w:multiLevelType w:val="hybridMultilevel"/>
    <w:lvl w:ilvl="0">
      <w:lvlJc w:val="left"/>
      <w:lvlText w:val="2"/>
      <w:numFmt w:val="bullet"/>
      <w:start w:val="1"/>
    </w:lvl>
  </w:abstractNum>
  <w:abstractNum w:abstractNumId="207">
    <w:nsid w:val="1CDCE2DE"/>
    <w:multiLevelType w:val="hybridMultilevel"/>
    <w:lvl w:ilvl="0">
      <w:lvlJc w:val="left"/>
      <w:lvlText w:val="3"/>
      <w:numFmt w:val="bullet"/>
      <w:start w:val="1"/>
    </w:lvl>
  </w:abstractNum>
  <w:abstractNum w:abstractNumId="208">
    <w:nsid w:val="69D3947C"/>
    <w:multiLevelType w:val="hybridMultilevel"/>
    <w:lvl w:ilvl="0">
      <w:lvlJc w:val="left"/>
      <w:lvlText w:val="4"/>
      <w:numFmt w:val="bullet"/>
      <w:start w:val="1"/>
    </w:lvl>
    <w:lvl w:ilvl="1">
      <w:lvlJc w:val="left"/>
      <w:lvlText w:val="(%2)"/>
      <w:numFmt w:val="lowerLetter"/>
      <w:start w:val="1"/>
    </w:lvl>
  </w:abstractNum>
  <w:abstractNum w:abstractNumId="209">
    <w:nsid w:val="2539DFA5"/>
    <w:multiLevelType w:val="hybridMultilevel"/>
    <w:lvl w:ilvl="0">
      <w:lvlJc w:val="left"/>
      <w:lvlText w:val="(%1)"/>
      <w:numFmt w:val="lowerLetter"/>
      <w:start w:val="1"/>
    </w:lvl>
  </w:abstractNum>
  <w:abstractNum w:abstractNumId="210">
    <w:nsid w:val="2DB88089"/>
    <w:multiLevelType w:val="hybridMultilevel"/>
    <w:lvl w:ilvl="0">
      <w:lvlJc w:val="left"/>
      <w:lvlText w:val="(%1)"/>
      <w:numFmt w:val="lowerLetter"/>
      <w:start w:val="2"/>
    </w:lvl>
    <w:lvl w:ilvl="1">
      <w:lvlJc w:val="left"/>
      <w:lvlText w:val="*"/>
      <w:numFmt w:val="bullet"/>
      <w:start w:val="1"/>
    </w:lvl>
  </w:abstractNum>
  <w:abstractNum w:abstractNumId="211">
    <w:nsid w:val="706B674E"/>
    <w:multiLevelType w:val="hybridMultilevel"/>
    <w:lvl w:ilvl="0">
      <w:lvlJc w:val="left"/>
      <w:lvlText w:val="%1."/>
      <w:numFmt w:val="decimal"/>
      <w:start w:val="1"/>
    </w:lvl>
    <w:lvl w:ilvl="1">
      <w:lvlJc w:val="left"/>
      <w:lvlText w:val="%2)"/>
      <w:numFmt w:val="lowerLetter"/>
      <w:start w:val="1"/>
    </w:lvl>
  </w:abstractNum>
  <w:abstractNum w:abstractNumId="212">
    <w:nsid w:val="2C106A57"/>
    <w:multiLevelType w:val="hybridMultilevel"/>
    <w:lvl w:ilvl="0">
      <w:lvlJc w:val="left"/>
      <w:lvlText w:val="%1."/>
      <w:numFmt w:val="decimal"/>
      <w:start w:val="1"/>
    </w:lvl>
    <w:lvl w:ilvl="1">
      <w:lvlJc w:val="left"/>
      <w:lvlText w:val="%2)"/>
      <w:numFmt w:val="lowerLetter"/>
      <w:start w:val="1"/>
    </w:lvl>
  </w:abstractNum>
  <w:abstractNum w:abstractNumId="213">
    <w:nsid w:val="684EED5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jpeg"/><Relationship Id="rId193" Type="http://schemas.openxmlformats.org/officeDocument/2006/relationships/image" Target="media/image186.jpe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jpeg"/><Relationship Id="rId200" Type="http://schemas.openxmlformats.org/officeDocument/2006/relationships/image" Target="media/image193.jpe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jpe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2019-12-13T13:23:29Z</dcterms:created>
  <dcterms:modified xsi:type="dcterms:W3CDTF">2019-12-13T13:23:29Z</dcterms:modified>
</cp:coreProperties>
</file>