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14A</w:t>
      </w:r>
    </w:p>
    <w:p>
      <w:pPr>
        <w:spacing w:after="0" w:line="271" w:lineRule="exact"/>
        <w:rPr>
          <w:sz w:val="24"/>
          <w:szCs w:val="24"/>
          <w:color w:val="auto"/>
        </w:rPr>
      </w:pPr>
    </w:p>
    <w:p>
      <w:pPr>
        <w:jc w:val="center"/>
        <w:ind w:right="40"/>
        <w:spacing w:after="0"/>
        <w:rPr>
          <w:sz w:val="20"/>
          <w:szCs w:val="20"/>
          <w:color w:val="auto"/>
        </w:rPr>
      </w:pPr>
      <w:r>
        <w:rPr>
          <w:rFonts w:ascii="Arial" w:cs="Arial" w:eastAsia="Arial" w:hAnsi="Arial"/>
          <w:sz w:val="15"/>
          <w:szCs w:val="15"/>
          <w:color w:val="auto"/>
        </w:rPr>
        <w:t>Proxy Statement Pursuant to Section 14(a) of the Securities</w:t>
      </w:r>
    </w:p>
    <w:p>
      <w:pPr>
        <w:spacing w:after="0" w:line="50" w:lineRule="exact"/>
        <w:rPr>
          <w:sz w:val="24"/>
          <w:szCs w:val="24"/>
          <w:color w:val="auto"/>
        </w:rPr>
      </w:pPr>
    </w:p>
    <w:p>
      <w:pPr>
        <w:ind w:left="3920"/>
        <w:spacing w:after="0"/>
        <w:tabs>
          <w:tab w:leader="none" w:pos="7260" w:val="left"/>
        </w:tabs>
        <w:rPr>
          <w:sz w:val="20"/>
          <w:szCs w:val="20"/>
          <w:color w:val="auto"/>
        </w:rPr>
      </w:pPr>
      <w:r>
        <w:rPr>
          <w:rFonts w:ascii="Arial" w:cs="Arial" w:eastAsia="Arial" w:hAnsi="Arial"/>
          <w:sz w:val="18"/>
          <w:szCs w:val="18"/>
          <w:color w:val="auto"/>
        </w:rPr>
        <w:t>Exchange Act of 1934 (Amendment No.</w:t>
      </w:r>
      <w:r>
        <w:rPr>
          <w:sz w:val="20"/>
          <w:szCs w:val="20"/>
          <w:color w:val="auto"/>
        </w:rPr>
        <w:tab/>
      </w:r>
      <w:r>
        <w:rPr>
          <w:rFonts w:ascii="Arial" w:cs="Arial" w:eastAsia="Arial" w:hAnsi="Arial"/>
          <w:sz w:val="18"/>
          <w:szCs w:val="18"/>
          <w:color w:val="auto"/>
        </w:rPr>
        <w:t>)</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tabs>
          <w:tab w:leader="none" w:pos="312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Preliminary Proxy Statement</w:t>
      </w:r>
    </w:p>
    <w:p>
      <w:pPr>
        <w:spacing w:after="0" w:line="1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56"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ectPr>
          <w:pgSz w:w="11900" w:h="16838" w:orient="portrait"/>
          <w:cols w:equalWidth="0" w:num="1">
            <w:col w:w="11240"/>
          </w:cols>
          <w:pgMar w:left="320" w:top="229" w:right="339" w:bottom="1440" w:gutter="0" w:footer="0" w:header="0"/>
        </w:sectPr>
      </w:pPr>
    </w:p>
    <w:p>
      <w:pPr>
        <w:spacing w:after="0" w:line="36"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36"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22" w:lineRule="exact"/>
        <w:rPr>
          <w:sz w:val="24"/>
          <w:szCs w:val="24"/>
          <w:color w:val="auto"/>
        </w:rPr>
      </w:pPr>
    </w:p>
    <w:p>
      <w:pPr>
        <w:sectPr>
          <w:pgSz w:w="11900" w:h="16838" w:orient="portrait"/>
          <w:cols w:equalWidth="0" w:num="2">
            <w:col w:w="260" w:space="280"/>
            <w:col w:w="10700"/>
          </w:cols>
          <w:pgMar w:left="320" w:top="229" w:right="3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7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-1248410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ind w:left="20"/>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paid previously with preliminary materials.</w:t>
      </w:r>
    </w:p>
    <w:p>
      <w:pPr>
        <w:spacing w:after="0" w:line="266" w:lineRule="exact"/>
        <w:rPr>
          <w:sz w:val="24"/>
          <w:szCs w:val="24"/>
          <w:color w:val="auto"/>
        </w:rPr>
      </w:pPr>
    </w:p>
    <w:p>
      <w:pPr>
        <w:ind w:left="540" w:hanging="524"/>
        <w:spacing w:after="0" w:line="268" w:lineRule="auto"/>
        <w:tabs>
          <w:tab w:leader="none" w:pos="212"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6"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1532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92075</wp:posOffset>
            </wp:positionV>
            <wp:extent cx="288036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03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are cordially invited to attend the Annual Meeting of Shareholders of Avis Budget Group, Inc., which will be held at the Hilton Parsippany, 1 Hilton Court, Parsippany, New Jersey, 07054 on May 7, 2020, at 9:00 a.m. Eastern Time. We look forward to greeting as many of our shareholders as possible.</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booklet includes the Notice of Annual Meeting and the Proxy Statement. The Proxy Statement that follows this letter describes the business to be conducted at the Annual Meeting and provides other information concerning our Company of which you should be aware when you vote your shares.</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rules adopted by the Securities and Exchange Commission, we have elected to provide proxy materials to shareholders for the Annual Meeting this year using full set delivery option. This means that all shareholders will receive by mail the Proxy Statement, proxy card and 2019 Annual Report on Form 10-K.</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look forward to greeting personally those shareholders who are able to be present at the Annual Meeting. However, regardless of whether you plan to be with us at the Annual Meeting, it is important that your shares be represented and voted at the meeting. Your vote is important to us.</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shareholder and express our appreciation for your ongoing support of our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Bernardo Hees</w:t>
      </w:r>
    </w:p>
    <w:p>
      <w:pPr>
        <w:spacing w:after="0"/>
        <w:rPr>
          <w:sz w:val="20"/>
          <w:szCs w:val="20"/>
          <w:color w:val="auto"/>
        </w:rPr>
      </w:pPr>
      <w:r>
        <w:rPr>
          <w:rFonts w:ascii="Arial" w:cs="Arial" w:eastAsia="Arial" w:hAnsi="Arial"/>
          <w:sz w:val="18"/>
          <w:szCs w:val="18"/>
          <w:color w:val="auto"/>
        </w:rPr>
        <w:t>Chairman of the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Joseph A. Ferraro</w:t>
      </w:r>
    </w:p>
    <w:p>
      <w:pPr>
        <w:spacing w:after="0"/>
        <w:rPr>
          <w:sz w:val="20"/>
          <w:szCs w:val="20"/>
          <w:color w:val="auto"/>
        </w:rPr>
      </w:pPr>
      <w:r>
        <w:rPr>
          <w:rFonts w:ascii="Arial" w:cs="Arial" w:eastAsia="Arial" w:hAnsi="Arial"/>
          <w:sz w:val="18"/>
          <w:szCs w:val="18"/>
          <w:color w:val="auto"/>
        </w:rPr>
        <w:t>Interim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6909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463" w:right="5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45"/>
          <w:szCs w:val="45"/>
          <w:color w:val="auto"/>
        </w:rPr>
        <w:t>Notice of 2020 Annual Meeting of Shareholders</w:t>
      </w:r>
    </w:p>
    <w:p>
      <w:pPr>
        <w:spacing w:after="0" w:line="200" w:lineRule="exact"/>
        <w:rPr>
          <w:sz w:val="20"/>
          <w:szCs w:val="20"/>
          <w:color w:val="auto"/>
        </w:rPr>
      </w:pPr>
    </w:p>
    <w:p>
      <w:pPr>
        <w:spacing w:after="0" w:line="2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NOTICE IS HEREBY GIVEN that the Annual Meeting of Shareholders of Avis Budget Group, Inc. (the “Company”) will be held on Thursday, May 7, 2020, at 9:00 a.m. Eastern Time, at the Hilton Parsippany, 1 Hilton Court, Parsippany, New Jersey, 07054 (the “Meeting”), to consider and vote upon the following matters:</w:t>
      </w:r>
    </w:p>
    <w:p>
      <w:pPr>
        <w:spacing w:after="0" w:line="135" w:lineRule="exact"/>
        <w:rPr>
          <w:sz w:val="20"/>
          <w:szCs w:val="20"/>
          <w:color w:val="auto"/>
        </w:rPr>
      </w:pPr>
    </w:p>
    <w:p>
      <w:pPr>
        <w:ind w:left="340" w:hanging="332"/>
        <w:spacing w:after="0" w:line="246" w:lineRule="auto"/>
        <w:tabs>
          <w:tab w:leader="none" w:pos="30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seven nominees named in the accompanying proxy statement for a one-year term expiring in 2021 and until his or her successor is duly elected and qualified or until his or her earlier resignation or removal.</w:t>
      </w:r>
    </w:p>
    <w:p>
      <w:pPr>
        <w:spacing w:after="0" w:line="115"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for fiscal year 2020.</w:t>
      </w:r>
    </w:p>
    <w:p>
      <w:pPr>
        <w:spacing w:after="0" w:line="144"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advisory approval of the compensation of our named executive officers.</w:t>
      </w:r>
    </w:p>
    <w:p>
      <w:pPr>
        <w:spacing w:after="0" w:line="144"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fixed the close of business on March 25, 2020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at the Meeting and for ten days prior to the Meeting during ordinary business hours at 6 Sylvan Way, Parsippany, New Jersey 07054, the Company’s principal place of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-125095</wp:posOffset>
            </wp:positionV>
            <wp:extent cx="5074920"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74920" cy="814705"/>
                    </a:xfrm>
                    <a:prstGeom prst="rect">
                      <a:avLst/>
                    </a:prstGeom>
                    <a:noFill/>
                  </pic:spPr>
                </pic:pic>
              </a:graphicData>
            </a:graphic>
          </wp:anchor>
        </w:drawing>
      </w:r>
    </w:p>
    <w:p>
      <w:pPr>
        <w:ind w:left="3020"/>
        <w:spacing w:after="0"/>
        <w:rPr>
          <w:sz w:val="20"/>
          <w:szCs w:val="20"/>
          <w:color w:val="auto"/>
        </w:rPr>
      </w:pPr>
      <w:r>
        <w:rPr>
          <w:rFonts w:ascii="Arial" w:cs="Arial" w:eastAsia="Arial" w:hAnsi="Arial"/>
          <w:sz w:val="18"/>
          <w:szCs w:val="18"/>
          <w:b w:val="1"/>
          <w:bCs w:val="1"/>
          <w:color w:val="auto"/>
        </w:rPr>
        <w:t>for the Shareholder Meeting to Be Held on May 7, 2020:</w:t>
      </w:r>
    </w:p>
    <w:p>
      <w:pPr>
        <w:ind w:left="3220"/>
        <w:spacing w:after="0" w:line="234" w:lineRule="auto"/>
        <w:rPr>
          <w:sz w:val="20"/>
          <w:szCs w:val="20"/>
          <w:color w:val="auto"/>
        </w:rPr>
      </w:pPr>
      <w:r>
        <w:rPr>
          <w:rFonts w:ascii="Arial" w:cs="Arial" w:eastAsia="Arial" w:hAnsi="Arial"/>
          <w:sz w:val="18"/>
          <w:szCs w:val="18"/>
          <w:b w:val="1"/>
          <w:bCs w:val="1"/>
          <w:color w:val="auto"/>
        </w:rPr>
        <w:t>The Company’s Proxy Statement on Schedule 14A,</w:t>
      </w:r>
    </w:p>
    <w:p>
      <w:pPr>
        <w:jc w:val="center"/>
        <w:spacing w:after="0" w:line="235" w:lineRule="auto"/>
        <w:rPr>
          <w:sz w:val="20"/>
          <w:szCs w:val="20"/>
          <w:color w:val="auto"/>
        </w:rPr>
      </w:pPr>
      <w:r>
        <w:rPr>
          <w:rFonts w:ascii="Arial" w:cs="Arial" w:eastAsia="Arial" w:hAnsi="Arial"/>
          <w:sz w:val="18"/>
          <w:szCs w:val="18"/>
          <w:b w:val="1"/>
          <w:bCs w:val="1"/>
          <w:color w:val="auto"/>
        </w:rPr>
        <w:t>form of proxy card and 2019 Annual Report on Form 10-K</w:t>
      </w:r>
    </w:p>
    <w:p>
      <w:pPr>
        <w:ind w:left="4720"/>
        <w:spacing w:after="0" w:line="235" w:lineRule="auto"/>
        <w:rPr>
          <w:sz w:val="20"/>
          <w:szCs w:val="20"/>
          <w:color w:val="auto"/>
        </w:rPr>
      </w:pPr>
      <w:r>
        <w:rPr>
          <w:rFonts w:ascii="Arial" w:cs="Arial" w:eastAsia="Arial" w:hAnsi="Arial"/>
          <w:sz w:val="18"/>
          <w:szCs w:val="18"/>
          <w:b w:val="1"/>
          <w:bCs w:val="1"/>
          <w:color w:val="auto"/>
        </w:rPr>
        <w:t>are available at</w:t>
      </w:r>
    </w:p>
    <w:p>
      <w:pPr>
        <w:ind w:left="4080"/>
        <w:spacing w:after="0"/>
        <w:rPr>
          <w:sz w:val="20"/>
          <w:szCs w:val="20"/>
          <w:color w:val="auto"/>
        </w:rPr>
      </w:pPr>
      <w:r>
        <w:rPr>
          <w:rFonts w:ascii="Arial" w:cs="Arial" w:eastAsia="Arial" w:hAnsi="Arial"/>
          <w:sz w:val="18"/>
          <w:szCs w:val="18"/>
          <w:b w:val="1"/>
          <w:bCs w:val="1"/>
          <w:u w:val="single" w:color="auto"/>
          <w:color w:val="auto"/>
        </w:rPr>
        <w:t>www.edocumentview.com/CAR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are making the Proxy Statement and the form of proxy card first available on or about March 26, 2020.</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intend to hold the Meeting in person. However, we are actively monitoring the coronavirus (COVID-19) situation and are sensitive to the public health and travel concerns our shareholders may have and the protocols that federal, state and local governments may impose. In the event it is not possible or advisable to hold the Meeting in person, we will announce alternative arrangements for the meeting as promptly as practicable, which may include holding the meeting solely by means of remote communication. If we take this step, we will announce the decision to do so in advance by issuing a press release and filing such press release as definitive additional soliciting material with the Securities and Exchange Commission.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36271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27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rPr>
          <w:sz w:val="20"/>
          <w:szCs w:val="20"/>
          <w:color w:val="auto"/>
        </w:rPr>
      </w:pPr>
      <w:r>
        <w:rPr>
          <w:rFonts w:ascii="Arial" w:cs="Arial" w:eastAsia="Arial" w:hAnsi="Arial"/>
          <w:sz w:val="18"/>
          <w:szCs w:val="18"/>
          <w:color w:val="auto"/>
        </w:rPr>
        <w:t>Senior Vice President &amp; Corporate Secretary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6909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476"/>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1"/>
          </w:tcPr>
          <w:p>
            <w:pPr>
              <w:ind w:left="120"/>
              <w:spacing w:after="0"/>
              <w:rPr>
                <w:sz w:val="20"/>
                <w:szCs w:val="20"/>
                <w:color w:val="auto"/>
              </w:rPr>
            </w:pPr>
            <w:r>
              <w:rPr>
                <w:rFonts w:ascii="Arial" w:cs="Arial" w:eastAsia="Arial" w:hAnsi="Arial"/>
                <w:sz w:val="40"/>
                <w:szCs w:val="40"/>
                <w:color w:val="auto"/>
              </w:rPr>
              <w:t>Proxy Statement</w:t>
            </w:r>
          </w:p>
        </w:tc>
        <w:tc>
          <w:tcPr>
            <w:tcW w:w="2080" w:type="dxa"/>
            <w:vAlign w:val="bottom"/>
          </w:tcPr>
          <w:p>
            <w:pPr>
              <w:spacing w:after="0"/>
              <w:rPr>
                <w:sz w:val="24"/>
                <w:szCs w:val="24"/>
                <w:color w:val="auto"/>
              </w:rPr>
            </w:pPr>
          </w:p>
        </w:tc>
      </w:tr>
      <w:tr>
        <w:trPr>
          <w:trHeight w:val="624"/>
        </w:trPr>
        <w:tc>
          <w:tcPr>
            <w:tcW w:w="340" w:type="dxa"/>
            <w:vAlign w:val="bottom"/>
          </w:tcPr>
          <w:p>
            <w:pPr>
              <w:spacing w:after="0"/>
              <w:rPr>
                <w:sz w:val="24"/>
                <w:szCs w:val="24"/>
                <w:color w:val="auto"/>
              </w:rPr>
            </w:pPr>
          </w:p>
        </w:tc>
        <w:tc>
          <w:tcPr>
            <w:tcW w:w="8460" w:type="dxa"/>
            <w:vAlign w:val="bottom"/>
            <w:gridSpan w:val="39"/>
          </w:tcPr>
          <w:p>
            <w:pPr>
              <w:ind w:left="100"/>
              <w:spacing w:after="0"/>
              <w:rPr>
                <w:sz w:val="20"/>
                <w:szCs w:val="20"/>
                <w:color w:val="auto"/>
              </w:rPr>
            </w:pPr>
            <w:r>
              <w:rPr>
                <w:rFonts w:ascii="Arial" w:cs="Arial" w:eastAsia="Arial" w:hAnsi="Arial"/>
                <w:sz w:val="36"/>
                <w:szCs w:val="36"/>
                <w:color w:val="auto"/>
              </w:rPr>
              <w:t>Table of Contents</w:t>
            </w:r>
          </w:p>
        </w:tc>
        <w:tc>
          <w:tcPr>
            <w:tcW w:w="2080" w:type="dxa"/>
            <w:vAlign w:val="bottom"/>
          </w:tcPr>
          <w:p>
            <w:pPr>
              <w:spacing w:after="0"/>
              <w:rPr>
                <w:sz w:val="24"/>
                <w:szCs w:val="24"/>
                <w:color w:val="auto"/>
              </w:rPr>
            </w:pPr>
          </w:p>
        </w:tc>
      </w:tr>
      <w:tr>
        <w:trPr>
          <w:trHeight w:val="378"/>
        </w:trPr>
        <w:tc>
          <w:tcPr>
            <w:tcW w:w="8800" w:type="dxa"/>
            <w:vAlign w:val="bottom"/>
            <w:gridSpan w:val="4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2020 Proxy Statement Summary</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224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About the Annual Meeting</w:t>
              </w:r>
            </w:hyperlink>
          </w:p>
        </w:tc>
        <w:tc>
          <w:tcPr>
            <w:tcW w:w="500" w:type="dxa"/>
            <w:vAlign w:val="bottom"/>
            <w:tcBorders>
              <w:top w:val="single" w:sz="8" w:color="0000EE"/>
            </w:tcBorders>
            <w:gridSpan w:val="8"/>
          </w:tcPr>
          <w:p>
            <w:pPr>
              <w:spacing w:after="0"/>
              <w:rPr>
                <w:sz w:val="22"/>
                <w:szCs w:val="22"/>
                <w:color w:val="auto"/>
              </w:rPr>
            </w:pPr>
          </w:p>
        </w:tc>
        <w:tc>
          <w:tcPr>
            <w:tcW w:w="6060" w:type="dxa"/>
            <w:vAlign w:val="bottom"/>
            <w:gridSpan w:val="21"/>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8800" w:type="dxa"/>
            <w:vAlign w:val="bottom"/>
            <w:gridSpan w:val="40"/>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Proposals to Be Voted on at Meeting</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080" w:type="dxa"/>
            <w:vAlign w:val="bottom"/>
            <w:tcBorders>
              <w:top w:val="single" w:sz="8" w:color="0000EE"/>
              <w:bottom w:val="single" w:sz="8" w:color="0000EE"/>
            </w:tcBorders>
            <w:gridSpan w:val="21"/>
          </w:tcPr>
          <w:p>
            <w:pPr>
              <w:spacing w:after="0"/>
              <w:rPr>
                <w:rFonts w:ascii="Arial" w:cs="Arial" w:eastAsia="Arial" w:hAnsi="Arial"/>
                <w:sz w:val="18"/>
                <w:szCs w:val="18"/>
                <w:b w:val="1"/>
                <w:bCs w:val="1"/>
                <w:color w:val="0000EE"/>
                <w:w w:val="99"/>
              </w:rPr>
            </w:pPr>
            <w:hyperlink w:anchor="page11">
              <w:r>
                <w:rPr>
                  <w:rFonts w:ascii="Arial" w:cs="Arial" w:eastAsia="Arial" w:hAnsi="Arial"/>
                  <w:sz w:val="18"/>
                  <w:szCs w:val="18"/>
                  <w:b w:val="1"/>
                  <w:bCs w:val="1"/>
                  <w:color w:val="0000EE"/>
                  <w:w w:val="99"/>
                </w:rPr>
                <w:t>Proposal No. 1 Election of Directors</w:t>
              </w:r>
            </w:hyperlink>
          </w:p>
        </w:tc>
        <w:tc>
          <w:tcPr>
            <w:tcW w:w="40" w:type="dxa"/>
            <w:vAlign w:val="bottom"/>
            <w:tcBorders>
              <w:top w:val="single" w:sz="8" w:color="0000EE"/>
            </w:tcBorders>
          </w:tcPr>
          <w:p>
            <w:pPr>
              <w:spacing w:after="0"/>
              <w:rPr>
                <w:sz w:val="22"/>
                <w:szCs w:val="22"/>
                <w:color w:val="auto"/>
              </w:rPr>
            </w:pPr>
          </w:p>
        </w:tc>
        <w:tc>
          <w:tcPr>
            <w:tcW w:w="5680" w:type="dxa"/>
            <w:vAlign w:val="bottom"/>
            <w:gridSpan w:val="18"/>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340" w:type="dxa"/>
            <w:vAlign w:val="bottom"/>
          </w:tcPr>
          <w:p>
            <w:pPr>
              <w:spacing w:after="0"/>
              <w:rPr>
                <w:sz w:val="22"/>
                <w:szCs w:val="22"/>
                <w:color w:val="auto"/>
              </w:rPr>
            </w:pPr>
          </w:p>
        </w:tc>
        <w:tc>
          <w:tcPr>
            <w:tcW w:w="306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Biographical Information for Nominees</w:t>
              </w:r>
            </w:hyperlink>
          </w:p>
        </w:tc>
        <w:tc>
          <w:tcPr>
            <w:tcW w:w="5400" w:type="dxa"/>
            <w:vAlign w:val="bottom"/>
            <w:gridSpan w:val="15"/>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Director Nomination Process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196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Corporate Governance</w:t>
              </w:r>
            </w:hyperlink>
          </w:p>
        </w:tc>
        <w:tc>
          <w:tcPr>
            <w:tcW w:w="6840" w:type="dxa"/>
            <w:vAlign w:val="bottom"/>
            <w:gridSpan w:val="34"/>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Functions and Meetings of the Board of Directors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34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620" w:type="dxa"/>
            <w:vAlign w:val="bottom"/>
            <w:tcBorders>
              <w:top w:val="single" w:sz="8" w:color="0000EE"/>
            </w:tcBorders>
            <w:gridSpan w:val="3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4560" w:type="dxa"/>
            <w:vAlign w:val="bottom"/>
            <w:gridSpan w:val="6"/>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gridSpan w:val="3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Board Leadership Structure</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40" w:type="dxa"/>
            <w:vAlign w:val="bottom"/>
            <w:tcBorders>
              <w:bottom w:val="single" w:sz="8" w:color="0000EE"/>
            </w:tcBorders>
            <w:gridSpan w:val="27"/>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Risk Management and Risk Assessment</w:t>
              </w:r>
            </w:hyperlink>
          </w:p>
        </w:tc>
        <w:tc>
          <w:tcPr>
            <w:tcW w:w="4940" w:type="dxa"/>
            <w:vAlign w:val="bottom"/>
            <w:gridSpan w:val="11"/>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Communicating with the Board of Directors</w:t>
              </w:r>
            </w:hyperlink>
          </w:p>
        </w:tc>
        <w:tc>
          <w:tcPr>
            <w:tcW w:w="4760" w:type="dxa"/>
            <w:vAlign w:val="bottom"/>
            <w:gridSpan w:val="10"/>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gridSpan w:val="3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Codes of Conduct</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of Directors Meetings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296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Committees of the Board of Directors</w:t>
              </w:r>
            </w:hyperlink>
          </w:p>
        </w:tc>
        <w:tc>
          <w:tcPr>
            <w:tcW w:w="5500" w:type="dxa"/>
            <w:vAlign w:val="bottom"/>
            <w:gridSpan w:val="17"/>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gridSpan w:val="3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Audit Committee</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8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Compensation Committee</w:t>
              </w:r>
            </w:hyperlink>
          </w:p>
        </w:tc>
        <w:tc>
          <w:tcPr>
            <w:tcW w:w="6100" w:type="dxa"/>
            <w:vAlign w:val="bottom"/>
            <w:gridSpan w:val="23"/>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gridSpan w:val="3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Corporate Governance Committee</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Executive Committee</w:t>
              </w:r>
            </w:hyperlink>
          </w:p>
        </w:tc>
        <w:tc>
          <w:tcPr>
            <w:tcW w:w="1040" w:type="dxa"/>
            <w:vAlign w:val="bottom"/>
            <w:tcBorders>
              <w:top w:val="single" w:sz="8" w:color="0000EE"/>
            </w:tcBorders>
            <w:gridSpan w:val="11"/>
          </w:tcPr>
          <w:p>
            <w:pPr>
              <w:spacing w:after="0"/>
              <w:rPr>
                <w:sz w:val="22"/>
                <w:szCs w:val="22"/>
                <w:color w:val="auto"/>
              </w:rPr>
            </w:pPr>
          </w:p>
        </w:tc>
        <w:tc>
          <w:tcPr>
            <w:tcW w:w="5440" w:type="dxa"/>
            <w:vAlign w:val="bottom"/>
            <w:gridSpan w:val="16"/>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340" w:type="dxa"/>
            <w:vAlign w:val="bottom"/>
          </w:tcPr>
          <w:p>
            <w:pPr>
              <w:spacing w:after="0"/>
              <w:rPr>
                <w:sz w:val="22"/>
                <w:szCs w:val="22"/>
                <w:color w:val="auto"/>
              </w:rPr>
            </w:pPr>
          </w:p>
        </w:tc>
        <w:tc>
          <w:tcPr>
            <w:tcW w:w="1720" w:type="dxa"/>
            <w:vAlign w:val="bottom"/>
            <w:tcBorders>
              <w:bottom w:val="single" w:sz="8" w:color="0000EE"/>
            </w:tcBorders>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Succession Planning</w:t>
              </w:r>
            </w:hyperlink>
          </w:p>
        </w:tc>
        <w:tc>
          <w:tcPr>
            <w:tcW w:w="6740" w:type="dxa"/>
            <w:vAlign w:val="bottom"/>
            <w:gridSpan w:val="32"/>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Related Person Transactions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340" w:type="dxa"/>
            <w:vAlign w:val="bottom"/>
          </w:tcPr>
          <w:p>
            <w:pPr>
              <w:spacing w:after="0"/>
              <w:rPr>
                <w:sz w:val="22"/>
                <w:szCs w:val="22"/>
                <w:color w:val="auto"/>
              </w:rPr>
            </w:pPr>
          </w:p>
        </w:tc>
        <w:tc>
          <w:tcPr>
            <w:tcW w:w="2300" w:type="dxa"/>
            <w:vAlign w:val="bottom"/>
            <w:tcBorders>
              <w:top w:val="single" w:sz="8" w:color="0000EE"/>
            </w:tcBorders>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Shareholder Engagement</w:t>
              </w:r>
            </w:hyperlink>
          </w:p>
        </w:tc>
        <w:tc>
          <w:tcPr>
            <w:tcW w:w="6160" w:type="dxa"/>
            <w:vAlign w:val="bottom"/>
            <w:gridSpan w:val="24"/>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3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4200" w:type="dxa"/>
            <w:vAlign w:val="bottom"/>
            <w:tcBorders>
              <w:bottom w:val="single" w:sz="8" w:color="0000EE"/>
            </w:tcBorders>
            <w:gridSpan w:val="33"/>
          </w:tcPr>
          <w:p>
            <w:pPr>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Security Ownership of Certain Beneficial Owners</w:t>
              </w:r>
            </w:hyperlink>
          </w:p>
        </w:tc>
        <w:tc>
          <w:tcPr>
            <w:tcW w:w="4600" w:type="dxa"/>
            <w:vAlign w:val="bottom"/>
            <w:gridSpan w:val="7"/>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158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Executive Officers</w:t>
              </w:r>
            </w:hyperlink>
          </w:p>
        </w:tc>
        <w:tc>
          <w:tcPr>
            <w:tcW w:w="7220" w:type="dxa"/>
            <w:vAlign w:val="bottom"/>
            <w:gridSpan w:val="37"/>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8800" w:type="dxa"/>
            <w:vAlign w:val="bottom"/>
            <w:gridSpan w:val="40"/>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Compensation</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340" w:type="dxa"/>
            <w:vAlign w:val="bottom"/>
          </w:tcPr>
          <w:p>
            <w:pPr>
              <w:spacing w:after="0"/>
              <w:rPr>
                <w:sz w:val="22"/>
                <w:szCs w:val="22"/>
                <w:color w:val="auto"/>
              </w:rPr>
            </w:pPr>
          </w:p>
        </w:tc>
        <w:tc>
          <w:tcPr>
            <w:tcW w:w="24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Summary Compensation Table</w:t>
              </w:r>
            </w:hyperlink>
          </w:p>
        </w:tc>
        <w:tc>
          <w:tcPr>
            <w:tcW w:w="660" w:type="dxa"/>
            <w:vAlign w:val="bottom"/>
            <w:tcBorders>
              <w:top w:val="single" w:sz="8" w:color="0000EE"/>
            </w:tcBorders>
            <w:gridSpan w:val="6"/>
          </w:tcPr>
          <w:p>
            <w:pPr>
              <w:spacing w:after="0"/>
              <w:rPr>
                <w:sz w:val="22"/>
                <w:szCs w:val="22"/>
                <w:color w:val="auto"/>
              </w:rPr>
            </w:pPr>
          </w:p>
        </w:tc>
        <w:tc>
          <w:tcPr>
            <w:tcW w:w="5320" w:type="dxa"/>
            <w:vAlign w:val="bottom"/>
            <w:gridSpan w:val="14"/>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All Other Compensation Table</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40" w:type="dxa"/>
            <w:vAlign w:val="bottom"/>
          </w:tcPr>
          <w:p>
            <w:pPr>
              <w:spacing w:after="0"/>
              <w:rPr>
                <w:sz w:val="22"/>
                <w:szCs w:val="22"/>
                <w:color w:val="auto"/>
              </w:rPr>
            </w:pPr>
          </w:p>
        </w:tc>
        <w:tc>
          <w:tcPr>
            <w:tcW w:w="2380" w:type="dxa"/>
            <w:vAlign w:val="bottom"/>
            <w:tcBorders>
              <w:top w:val="single" w:sz="8" w:color="0000EE"/>
            </w:tcBorders>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Perquisites Table</w:t>
              </w:r>
            </w:hyperlink>
          </w:p>
        </w:tc>
        <w:tc>
          <w:tcPr>
            <w:tcW w:w="6080" w:type="dxa"/>
            <w:vAlign w:val="bottom"/>
            <w:gridSpan w:val="22"/>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2019 Grants of Plan-Based Awards Table</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40" w:type="dxa"/>
            <w:vAlign w:val="bottom"/>
          </w:tcPr>
          <w:p>
            <w:pPr>
              <w:spacing w:after="0" w:line="20" w:lineRule="exact"/>
              <w:rPr>
                <w:sz w:val="1"/>
                <w:szCs w:val="1"/>
                <w:color w:val="auto"/>
              </w:rPr>
            </w:pPr>
          </w:p>
        </w:tc>
        <w:tc>
          <w:tcPr>
            <w:tcW w:w="16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4160" w:type="dxa"/>
            <w:vAlign w:val="bottom"/>
            <w:tcBorders>
              <w:bottom w:val="single" w:sz="8" w:color="0000EE"/>
            </w:tcBorders>
            <w:gridSpan w:val="35"/>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Outstanding Equity Awards at Fiscal Year-End Table</w:t>
              </w:r>
            </w:hyperlink>
          </w:p>
        </w:tc>
        <w:tc>
          <w:tcPr>
            <w:tcW w:w="4300" w:type="dxa"/>
            <w:vAlign w:val="bottom"/>
            <w:gridSpan w:val="4"/>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4"/>
        </w:trPr>
        <w:tc>
          <w:tcPr>
            <w:tcW w:w="340" w:type="dxa"/>
            <w:vAlign w:val="bottom"/>
          </w:tcPr>
          <w:p>
            <w:pPr>
              <w:spacing w:after="0"/>
              <w:rPr>
                <w:sz w:val="22"/>
                <w:szCs w:val="22"/>
                <w:color w:val="auto"/>
              </w:rPr>
            </w:pPr>
          </w:p>
        </w:tc>
        <w:tc>
          <w:tcPr>
            <w:tcW w:w="3740" w:type="dxa"/>
            <w:vAlign w:val="bottom"/>
            <w:tcBorders>
              <w:bottom w:val="single" w:sz="8" w:color="0000EE"/>
            </w:tcBorders>
            <w:gridSpan w:val="30"/>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2019 Option Exercises and Stock Vested Table</w:t>
              </w:r>
            </w:hyperlink>
          </w:p>
        </w:tc>
        <w:tc>
          <w:tcPr>
            <w:tcW w:w="4720" w:type="dxa"/>
            <w:vAlign w:val="bottom"/>
            <w:gridSpan w:val="9"/>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Pension Benefits Table</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40" w:type="dxa"/>
            <w:vAlign w:val="bottom"/>
          </w:tcPr>
          <w:p>
            <w:pPr>
              <w:spacing w:after="0" w:line="20" w:lineRule="exact"/>
              <w:rPr>
                <w:sz w:val="1"/>
                <w:szCs w:val="1"/>
                <w:color w:val="auto"/>
              </w:rPr>
            </w:pPr>
          </w:p>
        </w:tc>
        <w:tc>
          <w:tcPr>
            <w:tcW w:w="16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40" w:type="dxa"/>
            <w:vAlign w:val="bottom"/>
            <w:gridSpan w:val="1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3500" w:type="dxa"/>
            <w:vAlign w:val="bottom"/>
            <w:tcBorders>
              <w:bottom w:val="single" w:sz="8" w:color="0000EE"/>
            </w:tcBorders>
            <w:gridSpan w:val="27"/>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Non-qualified Deferred Compensation Table</w:t>
              </w:r>
            </w:hyperlink>
          </w:p>
        </w:tc>
        <w:tc>
          <w:tcPr>
            <w:tcW w:w="4960" w:type="dxa"/>
            <w:vAlign w:val="bottom"/>
            <w:gridSpan w:val="12"/>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Employment Agreements and Other Arrangements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40" w:type="dxa"/>
            <w:vAlign w:val="bottom"/>
          </w:tcPr>
          <w:p>
            <w:pPr>
              <w:spacing w:after="0" w:line="20" w:lineRule="exact"/>
              <w:rPr>
                <w:sz w:val="1"/>
                <w:szCs w:val="1"/>
                <w:color w:val="auto"/>
              </w:rPr>
            </w:pPr>
          </w:p>
        </w:tc>
        <w:tc>
          <w:tcPr>
            <w:tcW w:w="16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800" w:type="dxa"/>
            <w:vAlign w:val="bottom"/>
            <w:gridSpan w:val="20"/>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8460" w:type="dxa"/>
            <w:vAlign w:val="bottom"/>
            <w:gridSpan w:val="3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Termination, Severance and Change of Control Arrangements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40" w:type="dxa"/>
            <w:vAlign w:val="bottom"/>
          </w:tcPr>
          <w:p>
            <w:pPr>
              <w:spacing w:after="0" w:line="20" w:lineRule="exact"/>
              <w:rPr>
                <w:sz w:val="1"/>
                <w:szCs w:val="1"/>
                <w:color w:val="auto"/>
              </w:rPr>
            </w:pPr>
          </w:p>
        </w:tc>
        <w:tc>
          <w:tcPr>
            <w:tcW w:w="16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800" w:type="dxa"/>
            <w:vAlign w:val="bottom"/>
            <w:gridSpan w:val="20"/>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7">
              <w:r>
                <w:rPr>
                  <w:rFonts w:ascii="Arial" w:cs="Arial" w:eastAsia="Arial" w:hAnsi="Arial"/>
                  <w:sz w:val="18"/>
                  <w:szCs w:val="18"/>
                  <w:b w:val="1"/>
                  <w:bCs w:val="1"/>
                  <w:color w:val="0000EE"/>
                  <w:w w:val="99"/>
                </w:rPr>
                <w:t>Director Compensation</w:t>
              </w:r>
            </w:hyperlink>
          </w:p>
        </w:tc>
        <w:tc>
          <w:tcPr>
            <w:tcW w:w="6800" w:type="dxa"/>
            <w:vAlign w:val="bottom"/>
            <w:gridSpan w:val="33"/>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2300" w:type="dxa"/>
            <w:vAlign w:val="bottom"/>
            <w:tcBorders>
              <w:bottom w:val="single" w:sz="8" w:color="0000EE"/>
            </w:tcBorders>
            <w:gridSpan w:val="12"/>
          </w:tcPr>
          <w:p>
            <w:pPr>
              <w:spacing w:after="0"/>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Report of Audit Committee</w:t>
              </w:r>
            </w:hyperlink>
          </w:p>
        </w:tc>
        <w:tc>
          <w:tcPr>
            <w:tcW w:w="6500" w:type="dxa"/>
            <w:vAlign w:val="bottom"/>
            <w:gridSpan w:val="28"/>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8800" w:type="dxa"/>
            <w:vAlign w:val="bottom"/>
            <w:gridSpan w:val="40"/>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Proposal No. 2 Ratification of Appointment of Auditors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940" w:type="dxa"/>
            <w:vAlign w:val="bottom"/>
            <w:tcBorders>
              <w:right w:val="single" w:sz="8" w:color="0000EE"/>
            </w:tcBorders>
            <w:gridSpan w:val="5"/>
            <w:shd w:val="clear" w:color="auto" w:fill="0000EE"/>
          </w:tcPr>
          <w:p>
            <w:pPr>
              <w:spacing w:after="0" w:line="20" w:lineRule="exact"/>
              <w:rPr>
                <w:sz w:val="1"/>
                <w:szCs w:val="1"/>
                <w:color w:val="auto"/>
              </w:rPr>
            </w:pPr>
          </w:p>
        </w:tc>
        <w:tc>
          <w:tcPr>
            <w:tcW w:w="2160" w:type="dxa"/>
            <w:vAlign w:val="bottom"/>
            <w:gridSpan w:val="27"/>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8800" w:type="dxa"/>
            <w:vAlign w:val="bottom"/>
            <w:gridSpan w:val="4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Proposal No. 3 Advisory Approval of Executive Compensation</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3"/>
        </w:trPr>
        <w:tc>
          <w:tcPr>
            <w:tcW w:w="5320" w:type="dxa"/>
            <w:vAlign w:val="bottom"/>
            <w:tcBorders>
              <w:top w:val="single" w:sz="8" w:color="0000EE"/>
            </w:tcBorders>
            <w:gridSpan w:val="39"/>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Shareholder Proposals for 2021 Annual Meeting</w:t>
              </w:r>
            </w:hyperlink>
          </w:p>
        </w:tc>
        <w:tc>
          <w:tcPr>
            <w:tcW w:w="348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63"/>
        </w:trPr>
        <w:tc>
          <w:tcPr>
            <w:tcW w:w="4100" w:type="dxa"/>
            <w:vAlign w:val="bottom"/>
            <w:tcBorders>
              <w:top w:val="single" w:sz="8" w:color="0000EE"/>
            </w:tcBorders>
            <w:gridSpan w:val="32"/>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Additional Information</w:t>
              </w:r>
            </w:hyperlink>
          </w:p>
        </w:tc>
        <w:tc>
          <w:tcPr>
            <w:tcW w:w="4700" w:type="dxa"/>
            <w:vAlign w:val="bottom"/>
            <w:gridSpan w:val="8"/>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9"/>
        </w:trPr>
        <w:tc>
          <w:tcPr>
            <w:tcW w:w="3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362" w:right="5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2020 Proxy Statement Summary</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which includes a definition and reconciliation of Adjusted EBITDA. This summary does not contain all of the information that you should consider and you should read the entire Proxy Statement carefully before voting.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of Shareholders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0" w:type="dxa"/>
            <w:vAlign w:val="bottom"/>
          </w:tcPr>
          <w:p>
            <w:pPr>
              <w:spacing w:after="0"/>
              <w:rPr>
                <w:sz w:val="20"/>
                <w:szCs w:val="20"/>
                <w:color w:val="auto"/>
              </w:rPr>
            </w:pPr>
            <w:r>
              <w:rPr>
                <w:rFonts w:ascii="Arial" w:cs="Arial" w:eastAsia="Arial" w:hAnsi="Arial"/>
                <w:sz w:val="22"/>
                <w:szCs w:val="22"/>
                <w:color w:val="auto"/>
              </w:rPr>
              <w:t>•</w:t>
            </w:r>
          </w:p>
        </w:tc>
        <w:tc>
          <w:tcPr>
            <w:tcW w:w="1440" w:type="dxa"/>
            <w:vAlign w:val="bottom"/>
          </w:tcPr>
          <w:p>
            <w:pPr>
              <w:ind w:left="140"/>
              <w:spacing w:after="0"/>
              <w:rPr>
                <w:sz w:val="20"/>
                <w:szCs w:val="20"/>
                <w:color w:val="auto"/>
              </w:rPr>
            </w:pPr>
            <w:r>
              <w:rPr>
                <w:rFonts w:ascii="Arial" w:cs="Arial" w:eastAsia="Arial" w:hAnsi="Arial"/>
                <w:sz w:val="18"/>
                <w:szCs w:val="18"/>
                <w:color w:val="auto"/>
              </w:rPr>
              <w:t>Date and Time</w:t>
            </w:r>
          </w:p>
        </w:tc>
        <w:tc>
          <w:tcPr>
            <w:tcW w:w="3240" w:type="dxa"/>
            <w:vAlign w:val="bottom"/>
          </w:tcPr>
          <w:p>
            <w:pPr>
              <w:ind w:left="140"/>
              <w:spacing w:after="0"/>
              <w:rPr>
                <w:sz w:val="20"/>
                <w:szCs w:val="20"/>
                <w:color w:val="auto"/>
              </w:rPr>
            </w:pPr>
            <w:r>
              <w:rPr>
                <w:rFonts w:ascii="Arial" w:cs="Arial" w:eastAsia="Arial" w:hAnsi="Arial"/>
                <w:sz w:val="18"/>
                <w:szCs w:val="18"/>
                <w:color w:val="auto"/>
                <w:w w:val="98"/>
              </w:rPr>
              <w:t>May 7, 2020 at 9:00 a.m. Eastern Time</w:t>
            </w:r>
          </w:p>
        </w:tc>
      </w:tr>
      <w:tr>
        <w:trPr>
          <w:trHeight w:val="283"/>
        </w:trPr>
        <w:tc>
          <w:tcPr>
            <w:tcW w:w="220" w:type="dxa"/>
            <w:vAlign w:val="bottom"/>
          </w:tcPr>
          <w:p>
            <w:pPr>
              <w:spacing w:after="0"/>
              <w:rPr>
                <w:sz w:val="20"/>
                <w:szCs w:val="20"/>
                <w:color w:val="auto"/>
              </w:rPr>
            </w:pPr>
            <w:r>
              <w:rPr>
                <w:rFonts w:ascii="Arial" w:cs="Arial" w:eastAsia="Arial" w:hAnsi="Arial"/>
                <w:sz w:val="22"/>
                <w:szCs w:val="22"/>
                <w:color w:val="auto"/>
              </w:rPr>
              <w:t>•</w:t>
            </w:r>
          </w:p>
        </w:tc>
        <w:tc>
          <w:tcPr>
            <w:tcW w:w="1440" w:type="dxa"/>
            <w:vAlign w:val="bottom"/>
          </w:tcPr>
          <w:p>
            <w:pPr>
              <w:ind w:left="140"/>
              <w:spacing w:after="0"/>
              <w:rPr>
                <w:sz w:val="20"/>
                <w:szCs w:val="20"/>
                <w:color w:val="auto"/>
              </w:rPr>
            </w:pPr>
            <w:r>
              <w:rPr>
                <w:rFonts w:ascii="Arial" w:cs="Arial" w:eastAsia="Arial" w:hAnsi="Arial"/>
                <w:sz w:val="18"/>
                <w:szCs w:val="18"/>
                <w:color w:val="auto"/>
              </w:rPr>
              <w:t>Place</w:t>
            </w:r>
          </w:p>
        </w:tc>
        <w:tc>
          <w:tcPr>
            <w:tcW w:w="3240" w:type="dxa"/>
            <w:vAlign w:val="bottom"/>
          </w:tcPr>
          <w:p>
            <w:pPr>
              <w:ind w:left="140"/>
              <w:spacing w:after="0"/>
              <w:rPr>
                <w:sz w:val="20"/>
                <w:szCs w:val="20"/>
                <w:color w:val="auto"/>
              </w:rPr>
            </w:pPr>
            <w:r>
              <w:rPr>
                <w:rFonts w:ascii="Arial" w:cs="Arial" w:eastAsia="Arial" w:hAnsi="Arial"/>
                <w:sz w:val="18"/>
                <w:szCs w:val="18"/>
                <w:color w:val="auto"/>
              </w:rPr>
              <w:t>The Hilton Parsippany</w:t>
            </w:r>
          </w:p>
        </w:tc>
      </w:tr>
      <w:tr>
        <w:trPr>
          <w:trHeight w:val="283"/>
        </w:trPr>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1 Hilton Court</w:t>
            </w:r>
          </w:p>
        </w:tc>
      </w:tr>
      <w:tr>
        <w:trPr>
          <w:trHeight w:val="284"/>
        </w:trPr>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Parsippany, New Jersey 07054</w:t>
            </w:r>
          </w:p>
        </w:tc>
      </w:tr>
      <w:tr>
        <w:trPr>
          <w:trHeight w:val="283"/>
        </w:trPr>
        <w:tc>
          <w:tcPr>
            <w:tcW w:w="220" w:type="dxa"/>
            <w:vAlign w:val="bottom"/>
          </w:tcPr>
          <w:p>
            <w:pPr>
              <w:spacing w:after="0"/>
              <w:rPr>
                <w:sz w:val="20"/>
                <w:szCs w:val="20"/>
                <w:color w:val="auto"/>
              </w:rPr>
            </w:pPr>
            <w:r>
              <w:rPr>
                <w:rFonts w:ascii="Arial" w:cs="Arial" w:eastAsia="Arial" w:hAnsi="Arial"/>
                <w:sz w:val="22"/>
                <w:szCs w:val="22"/>
                <w:color w:val="auto"/>
              </w:rPr>
              <w:t>•</w:t>
            </w:r>
          </w:p>
        </w:tc>
        <w:tc>
          <w:tcPr>
            <w:tcW w:w="1440" w:type="dxa"/>
            <w:vAlign w:val="bottom"/>
          </w:tcPr>
          <w:p>
            <w:pPr>
              <w:ind w:left="140"/>
              <w:spacing w:after="0"/>
              <w:rPr>
                <w:sz w:val="20"/>
                <w:szCs w:val="20"/>
                <w:color w:val="auto"/>
              </w:rPr>
            </w:pPr>
            <w:r>
              <w:rPr>
                <w:rFonts w:ascii="Arial" w:cs="Arial" w:eastAsia="Arial" w:hAnsi="Arial"/>
                <w:sz w:val="18"/>
                <w:szCs w:val="18"/>
                <w:color w:val="auto"/>
              </w:rPr>
              <w:t>Record Date</w:t>
            </w:r>
          </w:p>
        </w:tc>
        <w:tc>
          <w:tcPr>
            <w:tcW w:w="3240" w:type="dxa"/>
            <w:vAlign w:val="bottom"/>
          </w:tcPr>
          <w:p>
            <w:pPr>
              <w:ind w:left="140"/>
              <w:spacing w:after="0"/>
              <w:rPr>
                <w:sz w:val="20"/>
                <w:szCs w:val="20"/>
                <w:color w:val="auto"/>
              </w:rPr>
            </w:pPr>
            <w:r>
              <w:rPr>
                <w:rFonts w:ascii="Arial" w:cs="Arial" w:eastAsia="Arial" w:hAnsi="Arial"/>
                <w:sz w:val="18"/>
                <w:szCs w:val="18"/>
                <w:color w:val="auto"/>
              </w:rPr>
              <w:t>March 25, 2020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1500" w:type="dxa"/>
            <w:vAlign w:val="bottom"/>
          </w:tcPr>
          <w:p>
            <w:pPr>
              <w:jc w:val="center"/>
              <w:ind w:left="234"/>
              <w:spacing w:after="0"/>
              <w:rPr>
                <w:sz w:val="20"/>
                <w:szCs w:val="20"/>
                <w:color w:val="auto"/>
              </w:rPr>
            </w:pPr>
            <w:r>
              <w:rPr>
                <w:rFonts w:ascii="Arial" w:cs="Arial" w:eastAsia="Arial" w:hAnsi="Arial"/>
                <w:sz w:val="16"/>
                <w:szCs w:val="16"/>
                <w:b w:val="1"/>
                <w:bCs w:val="1"/>
                <w:color w:val="auto"/>
              </w:rPr>
              <w:t>Proposal</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9"/>
              </w:rPr>
              <w:t>Our Board’s Voting</w:t>
            </w:r>
          </w:p>
        </w:tc>
      </w:tr>
      <w:tr>
        <w:trPr>
          <w:trHeight w:val="215"/>
        </w:trPr>
        <w:tc>
          <w:tcPr>
            <w:tcW w:w="7180" w:type="dxa"/>
            <w:vAlign w:val="bottom"/>
          </w:tcPr>
          <w:p>
            <w:pPr>
              <w:spacing w:after="0"/>
              <w:rPr>
                <w:sz w:val="20"/>
                <w:szCs w:val="20"/>
                <w:color w:val="auto"/>
              </w:rPr>
            </w:pPr>
            <w:r>
              <w:rPr>
                <w:rFonts w:ascii="Arial" w:cs="Arial" w:eastAsia="Arial" w:hAnsi="Arial"/>
                <w:sz w:val="16"/>
                <w:szCs w:val="16"/>
                <w:b w:val="1"/>
                <w:bCs w:val="1"/>
                <w:color w:val="auto"/>
              </w:rPr>
              <w:t>Voting Matters</w:t>
            </w:r>
          </w:p>
        </w:tc>
        <w:tc>
          <w:tcPr>
            <w:tcW w:w="1500" w:type="dxa"/>
            <w:vAlign w:val="bottom"/>
          </w:tcPr>
          <w:p>
            <w:pPr>
              <w:jc w:val="center"/>
              <w:ind w:left="274"/>
              <w:spacing w:after="0"/>
              <w:rPr>
                <w:sz w:val="20"/>
                <w:szCs w:val="20"/>
                <w:color w:val="auto"/>
              </w:rPr>
            </w:pPr>
            <w:r>
              <w:rPr>
                <w:rFonts w:ascii="Arial" w:cs="Arial" w:eastAsia="Arial" w:hAnsi="Arial"/>
                <w:sz w:val="16"/>
                <w:szCs w:val="16"/>
                <w:b w:val="1"/>
                <w:bCs w:val="1"/>
                <w:color w:val="auto"/>
              </w:rPr>
              <w:t>No.</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Recommendation</w:t>
            </w:r>
          </w:p>
        </w:tc>
      </w:tr>
      <w:tr>
        <w:trPr>
          <w:trHeight w:val="40"/>
        </w:trPr>
        <w:tc>
          <w:tcPr>
            <w:tcW w:w="7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75"/>
        </w:trPr>
        <w:tc>
          <w:tcPr>
            <w:tcW w:w="71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Election of Directors (page 7)</w:t>
            </w:r>
          </w:p>
        </w:tc>
        <w:tc>
          <w:tcPr>
            <w:tcW w:w="1500" w:type="dxa"/>
            <w:vAlign w:val="bottom"/>
            <w:tcBorders>
              <w:bottom w:val="single" w:sz="8" w:color="CCCCCC"/>
            </w:tcBorders>
            <w:shd w:val="clear" w:color="auto" w:fill="CCCCCC"/>
          </w:tcPr>
          <w:p>
            <w:pPr>
              <w:jc w:val="center"/>
              <w:ind w:left="274"/>
              <w:spacing w:after="0"/>
              <w:rPr>
                <w:sz w:val="20"/>
                <w:szCs w:val="20"/>
                <w:color w:val="auto"/>
              </w:rPr>
            </w:pPr>
            <w:r>
              <w:rPr>
                <w:rFonts w:ascii="Arial" w:cs="Arial" w:eastAsia="Arial" w:hAnsi="Arial"/>
                <w:sz w:val="18"/>
                <w:szCs w:val="18"/>
                <w:color w:val="auto"/>
                <w:w w:val="99"/>
              </w:rPr>
              <w:t>1</w:t>
            </w:r>
          </w:p>
        </w:tc>
        <w:tc>
          <w:tcPr>
            <w:tcW w:w="22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FOR ALL NOMINEES</w:t>
            </w:r>
          </w:p>
        </w:tc>
      </w:tr>
      <w:tr>
        <w:trPr>
          <w:trHeight w:val="210"/>
        </w:trPr>
        <w:tc>
          <w:tcPr>
            <w:tcW w:w="7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Ratification of Appointment of Auditors (pages 47 – 48)</w:t>
            </w:r>
          </w:p>
        </w:tc>
        <w:tc>
          <w:tcPr>
            <w:tcW w:w="1500" w:type="dxa"/>
            <w:vAlign w:val="bottom"/>
            <w:tcBorders>
              <w:top w:val="single" w:sz="8" w:color="auto"/>
            </w:tcBorders>
          </w:tcPr>
          <w:p>
            <w:pPr>
              <w:jc w:val="center"/>
              <w:ind w:left="274"/>
              <w:spacing w:after="0"/>
              <w:rPr>
                <w:sz w:val="20"/>
                <w:szCs w:val="20"/>
                <w:color w:val="auto"/>
              </w:rPr>
            </w:pPr>
            <w:r>
              <w:rPr>
                <w:rFonts w:ascii="Arial" w:cs="Arial" w:eastAsia="Arial" w:hAnsi="Arial"/>
                <w:sz w:val="18"/>
                <w:szCs w:val="18"/>
                <w:color w:val="auto"/>
                <w:w w:val="99"/>
              </w:rPr>
              <w:t>2</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FOR</w:t>
            </w:r>
          </w:p>
        </w:tc>
      </w:tr>
      <w:tr>
        <w:trPr>
          <w:trHeight w:val="53"/>
        </w:trPr>
        <w:tc>
          <w:tcPr>
            <w:tcW w:w="7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r>
        <w:trPr>
          <w:trHeight w:val="243"/>
        </w:trPr>
        <w:tc>
          <w:tcPr>
            <w:tcW w:w="71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Advisory Approval of the Compensation of our Named Executive Officers (page 49)</w:t>
            </w:r>
          </w:p>
        </w:tc>
        <w:tc>
          <w:tcPr>
            <w:tcW w:w="1500" w:type="dxa"/>
            <w:vAlign w:val="bottom"/>
            <w:tcBorders>
              <w:bottom w:val="single" w:sz="8" w:color="CCCCCC"/>
            </w:tcBorders>
            <w:shd w:val="clear" w:color="auto" w:fill="CCCCCC"/>
          </w:tcPr>
          <w:p>
            <w:pPr>
              <w:jc w:val="center"/>
              <w:ind w:left="274"/>
              <w:spacing w:after="0"/>
              <w:rPr>
                <w:sz w:val="20"/>
                <w:szCs w:val="20"/>
                <w:color w:val="auto"/>
              </w:rPr>
            </w:pPr>
            <w:r>
              <w:rPr>
                <w:rFonts w:ascii="Arial" w:cs="Arial" w:eastAsia="Arial" w:hAnsi="Arial"/>
                <w:sz w:val="18"/>
                <w:szCs w:val="18"/>
                <w:color w:val="auto"/>
                <w:w w:val="99"/>
              </w:rPr>
              <w:t>3</w:t>
            </w:r>
          </w:p>
        </w:tc>
        <w:tc>
          <w:tcPr>
            <w:tcW w:w="22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FOR</w:t>
            </w:r>
          </w:p>
        </w:tc>
      </w:tr>
      <w:tr>
        <w:trPr>
          <w:trHeight w:val="27"/>
        </w:trPr>
        <w:tc>
          <w:tcPr>
            <w:tcW w:w="71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Highlights</w:t>
      </w:r>
    </w:p>
    <w:p>
      <w:pPr>
        <w:spacing w:after="0" w:line="152" w:lineRule="exact"/>
        <w:rPr>
          <w:sz w:val="20"/>
          <w:szCs w:val="20"/>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More than 85% of director nominees are independent</w:t>
      </w:r>
    </w:p>
    <w:p>
      <w:pPr>
        <w:spacing w:after="0" w:line="125" w:lineRule="exact"/>
        <w:rPr>
          <w:rFonts w:ascii="Arial" w:cs="Arial" w:eastAsia="Arial" w:hAnsi="Arial"/>
          <w:sz w:val="22"/>
          <w:szCs w:val="22"/>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Independent Chairman of the Board</w:t>
      </w:r>
    </w:p>
    <w:p>
      <w:pPr>
        <w:spacing w:after="0" w:line="138" w:lineRule="exact"/>
        <w:rPr>
          <w:rFonts w:ascii="Arial" w:cs="Arial" w:eastAsia="Arial" w:hAnsi="Arial"/>
          <w:sz w:val="22"/>
          <w:szCs w:val="22"/>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All members of Compensation, Corporate Governance and Audit Committees are independent</w:t>
      </w:r>
    </w:p>
    <w:p>
      <w:pPr>
        <w:spacing w:after="0" w:line="138" w:lineRule="exact"/>
        <w:rPr>
          <w:rFonts w:ascii="Arial" w:cs="Arial" w:eastAsia="Arial" w:hAnsi="Arial"/>
          <w:sz w:val="22"/>
          <w:szCs w:val="22"/>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Annual election of all directors</w:t>
      </w:r>
    </w:p>
    <w:p>
      <w:pPr>
        <w:spacing w:after="0" w:line="125" w:lineRule="exact"/>
        <w:rPr>
          <w:rFonts w:ascii="Arial" w:cs="Arial" w:eastAsia="Arial" w:hAnsi="Arial"/>
          <w:sz w:val="22"/>
          <w:szCs w:val="22"/>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Majority voting (of votes cast) with a director resignation policy for directors in uncontested elections</w:t>
      </w:r>
    </w:p>
    <w:p>
      <w:pPr>
        <w:spacing w:after="0" w:line="138" w:lineRule="exact"/>
        <w:rPr>
          <w:rFonts w:ascii="Arial" w:cs="Arial" w:eastAsia="Arial" w:hAnsi="Arial"/>
          <w:sz w:val="22"/>
          <w:szCs w:val="22"/>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Robust executive and director stock ownership guidelines</w:t>
      </w:r>
    </w:p>
    <w:p>
      <w:pPr>
        <w:spacing w:after="0" w:line="138" w:lineRule="exact"/>
        <w:rPr>
          <w:rFonts w:ascii="Arial" w:cs="Arial" w:eastAsia="Arial" w:hAnsi="Arial"/>
          <w:sz w:val="22"/>
          <w:szCs w:val="22"/>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Each incumbent director nominee attended at least 75% of Board and Committee meetings held in 2019</w:t>
      </w:r>
    </w:p>
    <w:p>
      <w:pPr>
        <w:spacing w:after="0" w:line="125" w:lineRule="exact"/>
        <w:rPr>
          <w:rFonts w:ascii="Arial" w:cs="Arial" w:eastAsia="Arial" w:hAnsi="Arial"/>
          <w:sz w:val="22"/>
          <w:szCs w:val="22"/>
          <w:color w:val="auto"/>
        </w:rPr>
      </w:pPr>
    </w:p>
    <w:p>
      <w:pPr>
        <w:ind w:left="360" w:hanging="334"/>
        <w:spacing w:after="0"/>
        <w:tabs>
          <w:tab w:leader="none" w:pos="360" w:val="left"/>
        </w:tabs>
        <w:numPr>
          <w:ilvl w:val="0"/>
          <w:numId w:val="7"/>
        </w:numPr>
        <w:rPr>
          <w:rFonts w:ascii="Arial" w:cs="Arial" w:eastAsia="Arial" w:hAnsi="Arial"/>
          <w:sz w:val="22"/>
          <w:szCs w:val="22"/>
          <w:color w:val="auto"/>
        </w:rPr>
      </w:pPr>
      <w:r>
        <w:rPr>
          <w:rFonts w:ascii="Arial" w:cs="Arial" w:eastAsia="Arial" w:hAnsi="Arial"/>
          <w:sz w:val="18"/>
          <w:szCs w:val="18"/>
          <w:color w:val="auto"/>
        </w:rPr>
        <w:t>Policy requiring annual performance evaluation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Performance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had a successful 2019, achieving revenue of $9.2 billion, an increase of 1% compared to 2018. Our net income was $302 million, and our Adjusted EBITDA was $788 million, also an increase of 1% compared to 2018. Our financial results reflect Adjusted EBITDA growth for the Americas region of 17%, and an Adjusted EBITDA decline of 29% for the International region, in each case as compared to 2018. In 2019, we again returned capital to our shareholders through the repurchase of 2.25 million shares, and our closing stock price on December 31, 2019 of $32.24 reflected an increase of 43% compared to our closing stock price on December 31, 2018.</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result of travel and other restrictions that have been implemented throughout most of the world due to the coronavirus, our business is being significantly impacted. For a business update and actions we are taking in response to impacts from the coronavirus, please see the Company’s Current Report on Form 8-K filed with the Securities and Exchange Commission (“SEC”) on March 23, 2020.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Management Changes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experienced a number of executive management changes in 2019:</w:t>
      </w:r>
    </w:p>
    <w:p>
      <w:pPr>
        <w:spacing w:after="0" w:line="171" w:lineRule="exact"/>
        <w:rPr>
          <w:sz w:val="20"/>
          <w:szCs w:val="20"/>
          <w:color w:val="auto"/>
        </w:rPr>
      </w:pPr>
    </w:p>
    <w:p>
      <w:pPr>
        <w:ind w:left="340" w:hanging="314"/>
        <w:spacing w:after="0" w:line="225" w:lineRule="auto"/>
        <w:tabs>
          <w:tab w:leader="none" w:pos="392" w:val="left"/>
        </w:tabs>
        <w:numPr>
          <w:ilvl w:val="0"/>
          <w:numId w:val="8"/>
        </w:numPr>
        <w:rPr>
          <w:rFonts w:ascii="Arial" w:cs="Arial" w:eastAsia="Arial" w:hAnsi="Arial"/>
          <w:sz w:val="22"/>
          <w:szCs w:val="22"/>
          <w:color w:val="auto"/>
        </w:rPr>
      </w:pPr>
      <w:r>
        <w:rPr>
          <w:rFonts w:ascii="Arial" w:cs="Arial" w:eastAsia="Arial" w:hAnsi="Arial"/>
          <w:sz w:val="18"/>
          <w:szCs w:val="18"/>
          <w:color w:val="auto"/>
        </w:rPr>
        <w:t>In March, the Company appointed John North as its Chief Financial Officer. In addition to deep financial expertise, Mr. North also has experience in retail vehicle sales, which is a strategic initiative for the Company.</w:t>
      </w:r>
    </w:p>
    <w:p>
      <w:pPr>
        <w:spacing w:after="0" w:line="162" w:lineRule="exact"/>
        <w:rPr>
          <w:rFonts w:ascii="Arial" w:cs="Arial" w:eastAsia="Arial" w:hAnsi="Arial"/>
          <w:sz w:val="22"/>
          <w:szCs w:val="22"/>
          <w:color w:val="auto"/>
        </w:rPr>
      </w:pPr>
    </w:p>
    <w:p>
      <w:pPr>
        <w:jc w:val="both"/>
        <w:ind w:left="340" w:hanging="314"/>
        <w:spacing w:after="0" w:line="228" w:lineRule="auto"/>
        <w:tabs>
          <w:tab w:leader="none" w:pos="432" w:val="left"/>
        </w:tabs>
        <w:numPr>
          <w:ilvl w:val="0"/>
          <w:numId w:val="8"/>
        </w:numPr>
        <w:rPr>
          <w:rFonts w:ascii="Arial" w:cs="Arial" w:eastAsia="Arial" w:hAnsi="Arial"/>
          <w:sz w:val="22"/>
          <w:szCs w:val="22"/>
          <w:color w:val="auto"/>
        </w:rPr>
      </w:pPr>
      <w:r>
        <w:rPr>
          <w:rFonts w:ascii="Arial" w:cs="Arial" w:eastAsia="Arial" w:hAnsi="Arial"/>
          <w:sz w:val="18"/>
          <w:szCs w:val="18"/>
          <w:color w:val="auto"/>
        </w:rPr>
        <w:t>In June, the Company appointed Keith Rankin as its new President, International. Mr. Rankin has deep expertise in the vehicle rental industry, having had a long career with our licensee partner, Barloworld, in South Africa, where he was the Chief Executive Officer of Barloworld’s automotive division.</w:t>
      </w:r>
    </w:p>
    <w:p>
      <w:pPr>
        <w:spacing w:after="0" w:line="149" w:lineRule="exact"/>
        <w:rPr>
          <w:rFonts w:ascii="Arial" w:cs="Arial" w:eastAsia="Arial" w:hAnsi="Arial"/>
          <w:sz w:val="22"/>
          <w:szCs w:val="22"/>
          <w:color w:val="auto"/>
        </w:rPr>
      </w:pPr>
    </w:p>
    <w:p>
      <w:pPr>
        <w:ind w:left="340" w:right="20" w:hanging="314"/>
        <w:spacing w:after="0" w:line="225" w:lineRule="auto"/>
        <w:tabs>
          <w:tab w:leader="none" w:pos="392" w:val="left"/>
        </w:tabs>
        <w:numPr>
          <w:ilvl w:val="0"/>
          <w:numId w:val="8"/>
        </w:numPr>
        <w:rPr>
          <w:rFonts w:ascii="Arial" w:cs="Arial" w:eastAsia="Arial" w:hAnsi="Arial"/>
          <w:sz w:val="22"/>
          <w:szCs w:val="22"/>
          <w:color w:val="auto"/>
        </w:rPr>
      </w:pPr>
      <w:r>
        <w:rPr>
          <w:rFonts w:ascii="Arial" w:cs="Arial" w:eastAsia="Arial" w:hAnsi="Arial"/>
          <w:sz w:val="18"/>
          <w:szCs w:val="18"/>
          <w:color w:val="auto"/>
        </w:rPr>
        <w:t>Larry De Shon, the Company’s former Chief Executive Officer, resigned from the Company and the Board effective December 31, 2019. Joe Ferraro, our President, Americas for 2019, assumed the role of Interim Chief Executive Officer on January 1, 2020.</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for our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 2019 Regular Compensation and Performance Metrics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2019, the Compensation Committee considered 2018 financial performance, market conditions and other factors, and approved base salaries and annual and long-term incentive target opportunities for the Company’s Named Executive Officers (“NEOs”) who were employed for full year 2019, reflecting increases generally aligned with past practice. Consistent with prior years, more than 50% of CEO pay opportunity, at target, was performance-based, excluding amounts contained in the Summary Compensation Table under “All Other Compensation.” In 2019, the Compensation Committee approved performance metrics for the annual and long-term incentive programs, consistent with the 2018 programs, given that changes had been made to both programs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Alignment of Incentive Compensation with Performance</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history of pay-for-performance alignment was evident in the compensation paid to our NEOs for 2019. Based on 2019 financial and individual performance, the annual incentive program indicated payouts ranging from 40% of target for our President, International and 141% of target for our President, Americas. Our President, International elected to forfeit his payment under the program and therefore actual annual incentive payments ranged from 0% to 141%. As a result of our three-year cumulative financial results, performance-based restricted stock unit awards (“PSUs”) granted in 2016 did not vest in 2019 and were forfeited without payout. The PSUs granted in 2017 to our then-NEOs also did not vest in 2020 and were also forfeited without payout.</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discussion of pay decisions related to the 2019 management changes described above can be found in the “Compensation Discussion and Analysis.”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Amended and Restated Cooperation Agreement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23, 2020, the Company entered into a Third Amended and Restated Cooperation Agreement (the “Third A&amp;R Cooperation Agreement”) with SRS Investment Management, LLC and certain of its affiliates (collectively, “SRS”), the Company’s largest shareholder, regarding the membership and composition of the Board and related matters. Additional information regarding the Third A&amp;R Cooperation Agreement can be found under “Proposals to Be Voted on at Meeting; Proposal No. 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About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am I receiving these proxy materials?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(the “Board”) of Avis Budget Group, Inc. (the “Company” or “Avis Budget”) is soliciting your vote at the 2020 Annual Meeting of Shareholders, and any adjournment or postponement thereof (the “Meeting”), to be held on May 7, 2020 at 9:00 a.m. Eastern Time, at the Hilton Parsippany, 1 Hilton Court, Parsippany, New Jersey, 07054, for the purposes set forth in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and where will the Meeting be held?</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Meeting is scheduled to be held at 9:00 a.m. Eastern Time, on May 7, 2020, at the Hilton Parsippany, 1 Hilton Court, Parsippany, New Jersey, 07054.</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items will I be voting on and what are the Board’s voting recommendations?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2720" w:type="dxa"/>
            <w:vAlign w:val="bottom"/>
          </w:tcPr>
          <w:p>
            <w:pPr>
              <w:jc w:val="center"/>
              <w:ind w:left="294"/>
              <w:spacing w:after="0"/>
              <w:rPr>
                <w:sz w:val="20"/>
                <w:szCs w:val="20"/>
                <w:color w:val="auto"/>
              </w:rPr>
            </w:pPr>
            <w:r>
              <w:rPr>
                <w:rFonts w:ascii="Arial" w:cs="Arial" w:eastAsia="Arial" w:hAnsi="Arial"/>
                <w:sz w:val="16"/>
                <w:szCs w:val="16"/>
                <w:b w:val="1"/>
                <w:bCs w:val="1"/>
                <w:color w:val="auto"/>
              </w:rPr>
              <w:t>Board’s Voting</w:t>
            </w:r>
          </w:p>
        </w:tc>
      </w:tr>
      <w:tr>
        <w:trPr>
          <w:trHeight w:val="215"/>
        </w:trPr>
        <w:tc>
          <w:tcPr>
            <w:tcW w:w="8160" w:type="dxa"/>
            <w:vAlign w:val="bottom"/>
          </w:tcPr>
          <w:p>
            <w:pPr>
              <w:spacing w:after="0"/>
              <w:rPr>
                <w:sz w:val="20"/>
                <w:szCs w:val="20"/>
                <w:color w:val="auto"/>
              </w:rPr>
            </w:pPr>
            <w:r>
              <w:rPr>
                <w:rFonts w:ascii="Arial" w:cs="Arial" w:eastAsia="Arial" w:hAnsi="Arial"/>
                <w:sz w:val="16"/>
                <w:szCs w:val="16"/>
                <w:b w:val="1"/>
                <w:bCs w:val="1"/>
                <w:color w:val="auto"/>
              </w:rPr>
              <w:t>Proposal</w:t>
            </w:r>
          </w:p>
        </w:tc>
        <w:tc>
          <w:tcPr>
            <w:tcW w:w="2720" w:type="dxa"/>
            <w:vAlign w:val="bottom"/>
          </w:tcPr>
          <w:p>
            <w:pPr>
              <w:jc w:val="center"/>
              <w:ind w:left="274"/>
              <w:spacing w:after="0"/>
              <w:rPr>
                <w:sz w:val="20"/>
                <w:szCs w:val="20"/>
                <w:color w:val="auto"/>
              </w:rPr>
            </w:pPr>
            <w:r>
              <w:rPr>
                <w:rFonts w:ascii="Arial" w:cs="Arial" w:eastAsia="Arial" w:hAnsi="Arial"/>
                <w:sz w:val="16"/>
                <w:szCs w:val="16"/>
                <w:b w:val="1"/>
                <w:bCs w:val="1"/>
                <w:color w:val="auto"/>
              </w:rPr>
              <w:t>Recommendation</w:t>
            </w:r>
          </w:p>
        </w:tc>
      </w:tr>
      <w:tr>
        <w:trPr>
          <w:trHeight w:val="40"/>
        </w:trPr>
        <w:tc>
          <w:tcPr>
            <w:tcW w:w="816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275"/>
        </w:trPr>
        <w:tc>
          <w:tcPr>
            <w:tcW w:w="81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No. 1: Election of Directors (see page 7)</w:t>
            </w:r>
          </w:p>
        </w:tc>
        <w:tc>
          <w:tcPr>
            <w:tcW w:w="2720" w:type="dxa"/>
            <w:vAlign w:val="bottom"/>
            <w:tcBorders>
              <w:bottom w:val="single" w:sz="8" w:color="CCCCCC"/>
            </w:tcBorders>
            <w:shd w:val="clear" w:color="auto" w:fill="CCCCCC"/>
          </w:tcPr>
          <w:p>
            <w:pPr>
              <w:jc w:val="center"/>
              <w:ind w:left="294"/>
              <w:spacing w:after="0"/>
              <w:rPr>
                <w:sz w:val="20"/>
                <w:szCs w:val="20"/>
                <w:color w:val="auto"/>
              </w:rPr>
            </w:pPr>
            <w:r>
              <w:rPr>
                <w:rFonts w:ascii="Arial" w:cs="Arial" w:eastAsia="Arial" w:hAnsi="Arial"/>
                <w:sz w:val="18"/>
                <w:szCs w:val="18"/>
                <w:color w:val="auto"/>
                <w:w w:val="98"/>
              </w:rPr>
              <w:t>FOR ALL NOMINEES</w:t>
            </w:r>
          </w:p>
        </w:tc>
      </w:tr>
      <w:tr>
        <w:trPr>
          <w:trHeight w:val="237"/>
        </w:trPr>
        <w:tc>
          <w:tcPr>
            <w:tcW w:w="8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 2: Ratification of Appointment of Auditors (see pages 47 – 48)</w:t>
            </w:r>
          </w:p>
        </w:tc>
        <w:tc>
          <w:tcPr>
            <w:tcW w:w="2720" w:type="dxa"/>
            <w:vAlign w:val="bottom"/>
            <w:tcBorders>
              <w:top w:val="single" w:sz="8" w:color="auto"/>
            </w:tcBorders>
          </w:tcPr>
          <w:p>
            <w:pPr>
              <w:jc w:val="center"/>
              <w:ind w:left="294"/>
              <w:spacing w:after="0"/>
              <w:rPr>
                <w:sz w:val="20"/>
                <w:szCs w:val="20"/>
                <w:color w:val="auto"/>
              </w:rPr>
            </w:pPr>
            <w:r>
              <w:rPr>
                <w:rFonts w:ascii="Arial" w:cs="Arial" w:eastAsia="Arial" w:hAnsi="Arial"/>
                <w:sz w:val="18"/>
                <w:szCs w:val="18"/>
                <w:color w:val="auto"/>
                <w:w w:val="99"/>
              </w:rPr>
              <w:t>FOR</w:t>
            </w:r>
          </w:p>
        </w:tc>
      </w:tr>
      <w:tr>
        <w:trPr>
          <w:trHeight w:val="27"/>
        </w:trPr>
        <w:tc>
          <w:tcPr>
            <w:tcW w:w="81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No. 3: Advisory Approval of the Compensation of our Named Executive Officers (see page 49)</w:t>
            </w:r>
          </w:p>
        </w:tc>
        <w:tc>
          <w:tcPr>
            <w:tcW w:w="2720" w:type="dxa"/>
            <w:vAlign w:val="bottom"/>
            <w:tcBorders>
              <w:bottom w:val="single" w:sz="8" w:color="CCCCCC"/>
            </w:tcBorders>
            <w:shd w:val="clear" w:color="auto" w:fill="CCCCCC"/>
          </w:tcPr>
          <w:p>
            <w:pPr>
              <w:jc w:val="center"/>
              <w:ind w:left="294"/>
              <w:spacing w:after="0"/>
              <w:rPr>
                <w:sz w:val="20"/>
                <w:szCs w:val="20"/>
                <w:color w:val="auto"/>
              </w:rPr>
            </w:pPr>
            <w:r>
              <w:rPr>
                <w:rFonts w:ascii="Arial" w:cs="Arial" w:eastAsia="Arial" w:hAnsi="Arial"/>
                <w:sz w:val="18"/>
                <w:szCs w:val="18"/>
                <w:color w:val="auto"/>
                <w:w w:val="99"/>
              </w:rPr>
              <w:t>FOR</w:t>
            </w:r>
          </w:p>
        </w:tc>
      </w:tr>
      <w:tr>
        <w:trPr>
          <w:trHeight w:val="27"/>
        </w:trPr>
        <w:tc>
          <w:tcPr>
            <w:tcW w:w="8160" w:type="dxa"/>
            <w:vAlign w:val="bottom"/>
            <w:shd w:val="clear" w:color="auto" w:fill="000000"/>
          </w:tcPr>
          <w:p>
            <w:pPr>
              <w:spacing w:after="0"/>
              <w:rPr>
                <w:sz w:val="2"/>
                <w:szCs w:val="2"/>
                <w:color w:val="auto"/>
              </w:rPr>
            </w:pPr>
          </w:p>
        </w:tc>
        <w:tc>
          <w:tcPr>
            <w:tcW w:w="2720" w:type="dxa"/>
            <w:vAlign w:val="bottom"/>
            <w:shd w:val="clear" w:color="auto" w:fill="000000"/>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Could other matters be decided at the Meeting?</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do I have?</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March 25, 2020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can be cast by all shareholders?</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69,542,574 votes, consisting of one vote for each share of Common Stock outstanding on the Record Date. There is no cumulative voting, and the holders of the Common Stock vote together as a single class.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must be present to hold the Meeting?</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One-third of the outstanding shares of Common Stock entitled to vote at the Meeting, or 23,180,858 votes, must be present, in person or by proxy, to constitute a quorum at the Meeting. Abstentions and broker non-votes, if any, will be counted for the purpose of determining whether a quorum is present.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are required to elect directors and adopt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005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20"/>
                <w:szCs w:val="20"/>
                <w:color w:val="auto"/>
              </w:rPr>
            </w:pPr>
            <w:r>
              <w:rPr>
                <w:rFonts w:ascii="Arial" w:cs="Arial" w:eastAsia="Arial" w:hAnsi="Arial"/>
                <w:sz w:val="16"/>
                <w:szCs w:val="16"/>
                <w:b w:val="1"/>
                <w:bCs w:val="1"/>
                <w:color w:val="auto"/>
              </w:rPr>
              <w:t>Proposal</w:t>
            </w:r>
          </w:p>
        </w:tc>
        <w:tc>
          <w:tcPr>
            <w:tcW w:w="3420" w:type="dxa"/>
            <w:vAlign w:val="bottom"/>
            <w:gridSpan w:val="2"/>
          </w:tcPr>
          <w:p>
            <w:pPr>
              <w:ind w:left="140"/>
              <w:spacing w:after="0"/>
              <w:rPr>
                <w:sz w:val="20"/>
                <w:szCs w:val="20"/>
                <w:color w:val="auto"/>
              </w:rPr>
            </w:pPr>
            <w:r>
              <w:rPr>
                <w:rFonts w:ascii="Arial" w:cs="Arial" w:eastAsia="Arial" w:hAnsi="Arial"/>
                <w:sz w:val="16"/>
                <w:szCs w:val="16"/>
                <w:b w:val="1"/>
                <w:bCs w:val="1"/>
                <w:color w:val="auto"/>
              </w:rPr>
              <w:t>Vote Requirement</w:t>
            </w:r>
          </w:p>
        </w:tc>
        <w:tc>
          <w:tcPr>
            <w:tcW w:w="3620" w:type="dxa"/>
            <w:vAlign w:val="bottom"/>
          </w:tcPr>
          <w:p>
            <w:pPr>
              <w:ind w:left="60"/>
              <w:spacing w:after="0"/>
              <w:rPr>
                <w:sz w:val="20"/>
                <w:szCs w:val="20"/>
                <w:color w:val="auto"/>
              </w:rPr>
            </w:pPr>
            <w:r>
              <w:rPr>
                <w:rFonts w:ascii="Arial" w:cs="Arial" w:eastAsia="Arial" w:hAnsi="Arial"/>
                <w:sz w:val="16"/>
                <w:szCs w:val="16"/>
                <w:b w:val="1"/>
                <w:bCs w:val="1"/>
                <w:color w:val="auto"/>
              </w:rPr>
              <w:t>Impact of Abstentions</w:t>
            </w:r>
          </w:p>
        </w:tc>
        <w:tc>
          <w:tcPr>
            <w:tcW w:w="0" w:type="dxa"/>
            <w:vAlign w:val="bottom"/>
          </w:tcPr>
          <w:p>
            <w:pPr>
              <w:spacing w:after="0"/>
              <w:rPr>
                <w:sz w:val="1"/>
                <w:szCs w:val="1"/>
                <w:color w:val="auto"/>
              </w:rPr>
            </w:pPr>
          </w:p>
        </w:tc>
      </w:tr>
      <w:tr>
        <w:trPr>
          <w:trHeight w:val="40"/>
        </w:trPr>
        <w:tc>
          <w:tcPr>
            <w:tcW w:w="38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840" w:type="dxa"/>
            <w:vAlign w:val="bottom"/>
            <w:vMerge w:val="restart"/>
            <w:shd w:val="clear" w:color="auto" w:fill="CCCCCC"/>
          </w:tcPr>
          <w:p>
            <w:pPr>
              <w:spacing w:after="0"/>
              <w:rPr>
                <w:sz w:val="20"/>
                <w:szCs w:val="20"/>
                <w:color w:val="auto"/>
              </w:rPr>
            </w:pPr>
            <w:r>
              <w:rPr>
                <w:rFonts w:ascii="Arial" w:cs="Arial" w:eastAsia="Arial" w:hAnsi="Arial"/>
                <w:sz w:val="18"/>
                <w:szCs w:val="18"/>
                <w:color w:val="auto"/>
              </w:rPr>
              <w:t>No. 1: Election of Directors</w:t>
            </w:r>
          </w:p>
        </w:tc>
        <w:tc>
          <w:tcPr>
            <w:tcW w:w="3420" w:type="dxa"/>
            <w:vAlign w:val="bottom"/>
            <w:gridSpan w:val="2"/>
            <w:shd w:val="clear" w:color="auto" w:fill="CCCCCC"/>
          </w:tcPr>
          <w:p>
            <w:pPr>
              <w:ind w:left="160"/>
              <w:spacing w:after="0" w:line="24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Uncontested Election (applies to the</w:t>
            </w:r>
          </w:p>
        </w:tc>
        <w:tc>
          <w:tcPr>
            <w:tcW w:w="3620" w:type="dxa"/>
            <w:vAlign w:val="bottom"/>
            <w:shd w:val="clear" w:color="auto" w:fill="CCCCCC"/>
          </w:tcPr>
          <w:p>
            <w:pPr>
              <w:ind w:left="60"/>
              <w:spacing w:after="0"/>
              <w:rPr>
                <w:sz w:val="20"/>
                <w:szCs w:val="20"/>
                <w:color w:val="auto"/>
              </w:rPr>
            </w:pPr>
            <w:r>
              <w:rPr>
                <w:rFonts w:ascii="Arial" w:cs="Arial" w:eastAsia="Arial" w:hAnsi="Arial"/>
                <w:sz w:val="18"/>
                <w:szCs w:val="18"/>
                <w:color w:val="auto"/>
              </w:rPr>
              <w:t>Will have no effect on the outcome</w:t>
            </w:r>
          </w:p>
        </w:tc>
        <w:tc>
          <w:tcPr>
            <w:tcW w:w="0" w:type="dxa"/>
            <w:vAlign w:val="bottom"/>
          </w:tcPr>
          <w:p>
            <w:pPr>
              <w:spacing w:after="0"/>
              <w:rPr>
                <w:sz w:val="1"/>
                <w:szCs w:val="1"/>
                <w:color w:val="auto"/>
              </w:rPr>
            </w:pPr>
          </w:p>
        </w:tc>
      </w:tr>
      <w:tr>
        <w:trPr>
          <w:trHeight w:val="68"/>
        </w:trPr>
        <w:tc>
          <w:tcPr>
            <w:tcW w:w="3840" w:type="dxa"/>
            <w:vAlign w:val="bottom"/>
            <w:vMerge w:val="continue"/>
            <w:shd w:val="clear" w:color="auto" w:fill="CCCCCC"/>
          </w:tcPr>
          <w:p>
            <w:pPr>
              <w:spacing w:after="0"/>
              <w:rPr>
                <w:sz w:val="5"/>
                <w:szCs w:val="5"/>
                <w:color w:val="auto"/>
              </w:rPr>
            </w:pPr>
          </w:p>
        </w:tc>
        <w:tc>
          <w:tcPr>
            <w:tcW w:w="360" w:type="dxa"/>
            <w:vAlign w:val="bottom"/>
            <w:shd w:val="clear" w:color="auto" w:fill="CCCCCC"/>
          </w:tcPr>
          <w:p>
            <w:pPr>
              <w:spacing w:after="0"/>
              <w:rPr>
                <w:sz w:val="5"/>
                <w:szCs w:val="5"/>
                <w:color w:val="auto"/>
              </w:rPr>
            </w:pPr>
          </w:p>
        </w:tc>
        <w:tc>
          <w:tcPr>
            <w:tcW w:w="3060" w:type="dxa"/>
            <w:vAlign w:val="bottom"/>
            <w:vMerge w:val="restart"/>
            <w:shd w:val="clear" w:color="auto" w:fill="CCCCCC"/>
          </w:tcPr>
          <w:p>
            <w:pPr>
              <w:ind w:left="120"/>
              <w:spacing w:after="0" w:line="202" w:lineRule="exact"/>
              <w:rPr>
                <w:sz w:val="20"/>
                <w:szCs w:val="20"/>
                <w:color w:val="auto"/>
              </w:rPr>
            </w:pPr>
            <w:r>
              <w:rPr>
                <w:rFonts w:ascii="Arial" w:cs="Arial" w:eastAsia="Arial" w:hAnsi="Arial"/>
                <w:sz w:val="18"/>
                <w:szCs w:val="18"/>
                <w:color w:val="auto"/>
              </w:rPr>
              <w:t>Meeting): Directors are elected by a</w:t>
            </w:r>
          </w:p>
        </w:tc>
        <w:tc>
          <w:tcPr>
            <w:tcW w:w="3620" w:type="dxa"/>
            <w:vAlign w:val="bottom"/>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3840" w:type="dxa"/>
            <w:vAlign w:val="bottom"/>
            <w:shd w:val="clear" w:color="auto" w:fill="CCCCCC"/>
          </w:tcPr>
          <w:p>
            <w:pPr>
              <w:spacing w:after="0"/>
              <w:rPr>
                <w:sz w:val="11"/>
                <w:szCs w:val="11"/>
                <w:color w:val="auto"/>
              </w:rPr>
            </w:pPr>
          </w:p>
        </w:tc>
        <w:tc>
          <w:tcPr>
            <w:tcW w:w="360" w:type="dxa"/>
            <w:vAlign w:val="bottom"/>
            <w:shd w:val="clear" w:color="auto" w:fill="CCCCCC"/>
          </w:tcPr>
          <w:p>
            <w:pPr>
              <w:spacing w:after="0"/>
              <w:rPr>
                <w:sz w:val="11"/>
                <w:szCs w:val="11"/>
                <w:color w:val="auto"/>
              </w:rPr>
            </w:pPr>
          </w:p>
        </w:tc>
        <w:tc>
          <w:tcPr>
            <w:tcW w:w="3060" w:type="dxa"/>
            <w:vAlign w:val="bottom"/>
            <w:vMerge w:val="continue"/>
            <w:shd w:val="clear" w:color="auto" w:fill="CCCCCC"/>
          </w:tcPr>
          <w:p>
            <w:pPr>
              <w:spacing w:after="0"/>
              <w:rPr>
                <w:sz w:val="11"/>
                <w:szCs w:val="11"/>
                <w:color w:val="auto"/>
              </w:rPr>
            </w:pPr>
          </w:p>
        </w:tc>
        <w:tc>
          <w:tcPr>
            <w:tcW w:w="362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306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majority of votes cast (number of</w:t>
            </w:r>
          </w:p>
        </w:tc>
        <w:tc>
          <w:tcPr>
            <w:tcW w:w="362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306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votes cast “for” each nominee must</w:t>
            </w:r>
          </w:p>
        </w:tc>
        <w:tc>
          <w:tcPr>
            <w:tcW w:w="362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306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exceed the number of votes cast</w:t>
            </w:r>
          </w:p>
        </w:tc>
        <w:tc>
          <w:tcPr>
            <w:tcW w:w="362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CCCC"/>
          </w:tcPr>
          <w:p>
            <w:pPr>
              <w:spacing w:after="0"/>
              <w:rPr>
                <w:sz w:val="18"/>
                <w:szCs w:val="18"/>
                <w:color w:val="auto"/>
              </w:rPr>
            </w:pPr>
          </w:p>
        </w:tc>
        <w:tc>
          <w:tcPr>
            <w:tcW w:w="360" w:type="dxa"/>
            <w:vAlign w:val="bottom"/>
            <w:shd w:val="clear" w:color="auto" w:fill="CCCCCC"/>
          </w:tcPr>
          <w:p>
            <w:pPr>
              <w:spacing w:after="0"/>
              <w:rPr>
                <w:sz w:val="18"/>
                <w:szCs w:val="18"/>
                <w:color w:val="auto"/>
              </w:rPr>
            </w:pPr>
          </w:p>
        </w:tc>
        <w:tc>
          <w:tcPr>
            <w:tcW w:w="3060" w:type="dxa"/>
            <w:vAlign w:val="bottom"/>
            <w:shd w:val="clear" w:color="auto" w:fill="CCCCCC"/>
          </w:tcPr>
          <w:p>
            <w:pPr>
              <w:ind w:left="120"/>
              <w:spacing w:after="0"/>
              <w:rPr>
                <w:sz w:val="20"/>
                <w:szCs w:val="20"/>
                <w:color w:val="auto"/>
              </w:rPr>
            </w:pPr>
            <w:r>
              <w:rPr>
                <w:rFonts w:ascii="Arial" w:cs="Arial" w:eastAsia="Arial" w:hAnsi="Arial"/>
                <w:sz w:val="18"/>
                <w:szCs w:val="18"/>
                <w:color w:val="auto"/>
              </w:rPr>
              <w:t>“against” that nominee)</w:t>
            </w:r>
          </w:p>
        </w:tc>
        <w:tc>
          <w:tcPr>
            <w:tcW w:w="36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840" w:type="dxa"/>
            <w:vAlign w:val="bottom"/>
            <w:shd w:val="clear" w:color="auto" w:fill="CCCCCC"/>
          </w:tcPr>
          <w:p>
            <w:pPr>
              <w:spacing w:after="0"/>
              <w:rPr>
                <w:sz w:val="24"/>
                <w:szCs w:val="24"/>
                <w:color w:val="auto"/>
              </w:rPr>
            </w:pPr>
          </w:p>
        </w:tc>
        <w:tc>
          <w:tcPr>
            <w:tcW w:w="360" w:type="dxa"/>
            <w:vAlign w:val="bottom"/>
            <w:shd w:val="clear" w:color="auto" w:fill="CCCCCC"/>
          </w:tcPr>
          <w:p>
            <w:pPr>
              <w:ind w:left="160"/>
              <w:spacing w:after="0"/>
              <w:rPr>
                <w:sz w:val="20"/>
                <w:szCs w:val="20"/>
                <w:color w:val="auto"/>
              </w:rPr>
            </w:pPr>
            <w:r>
              <w:rPr>
                <w:rFonts w:ascii="Arial" w:cs="Arial" w:eastAsia="Arial" w:hAnsi="Arial"/>
                <w:sz w:val="22"/>
                <w:szCs w:val="22"/>
                <w:color w:val="auto"/>
              </w:rPr>
              <w:t>•</w:t>
            </w:r>
          </w:p>
        </w:tc>
        <w:tc>
          <w:tcPr>
            <w:tcW w:w="3060" w:type="dxa"/>
            <w:vAlign w:val="bottom"/>
            <w:shd w:val="clear" w:color="auto" w:fill="CCCCCC"/>
          </w:tcPr>
          <w:p>
            <w:pPr>
              <w:ind w:left="240"/>
              <w:spacing w:after="0"/>
              <w:rPr>
                <w:sz w:val="20"/>
                <w:szCs w:val="20"/>
                <w:color w:val="auto"/>
              </w:rPr>
            </w:pPr>
            <w:r>
              <w:rPr>
                <w:rFonts w:ascii="Arial" w:cs="Arial" w:eastAsia="Arial" w:hAnsi="Arial"/>
                <w:sz w:val="18"/>
                <w:szCs w:val="18"/>
                <w:color w:val="auto"/>
              </w:rPr>
              <w:t>Contested Election: Directors are</w:t>
            </w:r>
          </w:p>
        </w:tc>
        <w:tc>
          <w:tcPr>
            <w:tcW w:w="362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306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elected  by  a  plurality  of  shares</w:t>
            </w:r>
          </w:p>
        </w:tc>
        <w:tc>
          <w:tcPr>
            <w:tcW w:w="362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3060" w:type="dxa"/>
            <w:vAlign w:val="bottom"/>
            <w:shd w:val="clear" w:color="auto" w:fill="CCCCCC"/>
          </w:tcPr>
          <w:p>
            <w:pPr>
              <w:ind w:left="120"/>
              <w:spacing w:after="0" w:line="202" w:lineRule="exact"/>
              <w:rPr>
                <w:sz w:val="20"/>
                <w:szCs w:val="20"/>
                <w:color w:val="auto"/>
              </w:rPr>
            </w:pPr>
            <w:r>
              <w:rPr>
                <w:rFonts w:ascii="Arial" w:cs="Arial" w:eastAsia="Arial" w:hAnsi="Arial"/>
                <w:sz w:val="18"/>
                <w:szCs w:val="18"/>
                <w:color w:val="auto"/>
              </w:rPr>
              <w:t>present, in person or by proxy, and</w:t>
            </w:r>
          </w:p>
        </w:tc>
        <w:tc>
          <w:tcPr>
            <w:tcW w:w="362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CCCC"/>
            </w:tcBorders>
            <w:shd w:val="clear" w:color="auto" w:fill="CCCCCC"/>
          </w:tcPr>
          <w:p>
            <w:pPr>
              <w:spacing w:after="0"/>
              <w:rPr>
                <w:sz w:val="21"/>
                <w:szCs w:val="21"/>
                <w:color w:val="auto"/>
              </w:rPr>
            </w:pPr>
          </w:p>
        </w:tc>
        <w:tc>
          <w:tcPr>
            <w:tcW w:w="360" w:type="dxa"/>
            <w:vAlign w:val="bottom"/>
            <w:tcBorders>
              <w:bottom w:val="single" w:sz="8" w:color="CCCCCC"/>
            </w:tcBorders>
            <w:shd w:val="clear" w:color="auto" w:fill="CCCCCC"/>
          </w:tcPr>
          <w:p>
            <w:pPr>
              <w:spacing w:after="0"/>
              <w:rPr>
                <w:sz w:val="21"/>
                <w:szCs w:val="21"/>
                <w:color w:val="auto"/>
              </w:rPr>
            </w:pPr>
          </w:p>
        </w:tc>
        <w:tc>
          <w:tcPr>
            <w:tcW w:w="3060" w:type="dxa"/>
            <w:vAlign w:val="bottom"/>
            <w:tcBorders>
              <w:bottom w:val="single" w:sz="8" w:color="CCCCCC"/>
            </w:tcBorders>
            <w:shd w:val="clear" w:color="auto" w:fill="CCCCCC"/>
          </w:tcPr>
          <w:p>
            <w:pPr>
              <w:ind w:left="120"/>
              <w:spacing w:after="0"/>
              <w:rPr>
                <w:sz w:val="20"/>
                <w:szCs w:val="20"/>
                <w:color w:val="auto"/>
              </w:rPr>
            </w:pPr>
            <w:r>
              <w:rPr>
                <w:rFonts w:ascii="Arial" w:cs="Arial" w:eastAsia="Arial" w:hAnsi="Arial"/>
                <w:sz w:val="18"/>
                <w:szCs w:val="18"/>
                <w:color w:val="auto"/>
              </w:rPr>
              <w:t>entitled to vote</w:t>
            </w:r>
          </w:p>
        </w:tc>
        <w:tc>
          <w:tcPr>
            <w:tcW w:w="3620" w:type="dxa"/>
            <w:vAlign w:val="bottom"/>
            <w:tcBorders>
              <w:bottom w:val="single" w:sz="8" w:color="CCCCCC"/>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 2: Ratification of Appointment of Auditors</w:t>
            </w:r>
          </w:p>
        </w:tc>
        <w:tc>
          <w:tcPr>
            <w:tcW w:w="3420" w:type="dxa"/>
            <w:vAlign w:val="bottom"/>
            <w:tcBorders>
              <w:top w:val="single" w:sz="8" w:color="auto"/>
            </w:tcBorders>
            <w:gridSpan w:val="2"/>
          </w:tcPr>
          <w:p>
            <w:pPr>
              <w:ind w:left="140"/>
              <w:spacing w:after="0" w:line="195" w:lineRule="exact"/>
              <w:rPr>
                <w:sz w:val="20"/>
                <w:szCs w:val="20"/>
                <w:color w:val="auto"/>
              </w:rPr>
            </w:pPr>
            <w:r>
              <w:rPr>
                <w:rFonts w:ascii="Arial" w:cs="Arial" w:eastAsia="Arial" w:hAnsi="Arial"/>
                <w:sz w:val="18"/>
                <w:szCs w:val="18"/>
                <w:color w:val="auto"/>
              </w:rPr>
              <w:t>Majority of shares present, in person or</w:t>
            </w:r>
          </w:p>
        </w:tc>
        <w:tc>
          <w:tcPr>
            <w:tcW w:w="36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Counted and will have the same effect as a</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3420" w:type="dxa"/>
            <w:vAlign w:val="bottom"/>
            <w:gridSpan w:val="2"/>
          </w:tcPr>
          <w:p>
            <w:pPr>
              <w:ind w:left="140"/>
              <w:spacing w:after="0"/>
              <w:rPr>
                <w:sz w:val="20"/>
                <w:szCs w:val="20"/>
                <w:color w:val="auto"/>
              </w:rPr>
            </w:pPr>
            <w:r>
              <w:rPr>
                <w:rFonts w:ascii="Arial" w:cs="Arial" w:eastAsia="Arial" w:hAnsi="Arial"/>
                <w:sz w:val="18"/>
                <w:szCs w:val="18"/>
                <w:color w:val="auto"/>
              </w:rPr>
              <w:t>by proxy, and entitled to vote</w:t>
            </w:r>
          </w:p>
        </w:tc>
        <w:tc>
          <w:tcPr>
            <w:tcW w:w="3620" w:type="dxa"/>
            <w:vAlign w:val="bottom"/>
          </w:tcPr>
          <w:p>
            <w:pPr>
              <w:ind w:left="60"/>
              <w:spacing w:after="0"/>
              <w:rPr>
                <w:sz w:val="20"/>
                <w:szCs w:val="20"/>
                <w:color w:val="auto"/>
              </w:rPr>
            </w:pPr>
            <w:r>
              <w:rPr>
                <w:rFonts w:ascii="Arial" w:cs="Arial" w:eastAsia="Arial" w:hAnsi="Arial"/>
                <w:sz w:val="18"/>
                <w:szCs w:val="18"/>
                <w:color w:val="auto"/>
              </w:rPr>
              <w:t>vote against such proposal</w:t>
            </w:r>
          </w:p>
        </w:tc>
        <w:tc>
          <w:tcPr>
            <w:tcW w:w="0" w:type="dxa"/>
            <w:vAlign w:val="bottom"/>
          </w:tcPr>
          <w:p>
            <w:pPr>
              <w:spacing w:after="0"/>
              <w:rPr>
                <w:sz w:val="1"/>
                <w:szCs w:val="1"/>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840" w:type="dxa"/>
            <w:vAlign w:val="bottom"/>
            <w:shd w:val="clear" w:color="auto" w:fill="CCCCCC"/>
          </w:tcPr>
          <w:p>
            <w:pPr>
              <w:spacing w:after="0" w:line="195" w:lineRule="exact"/>
              <w:rPr>
                <w:sz w:val="20"/>
                <w:szCs w:val="20"/>
                <w:color w:val="auto"/>
              </w:rPr>
            </w:pPr>
            <w:r>
              <w:rPr>
                <w:rFonts w:ascii="Arial" w:cs="Arial" w:eastAsia="Arial" w:hAnsi="Arial"/>
                <w:sz w:val="18"/>
                <w:szCs w:val="18"/>
                <w:color w:val="auto"/>
              </w:rPr>
              <w:t>No. 3: Advisory Approval of the Compensation</w:t>
            </w:r>
          </w:p>
        </w:tc>
        <w:tc>
          <w:tcPr>
            <w:tcW w:w="3420" w:type="dxa"/>
            <w:vAlign w:val="bottom"/>
            <w:gridSpan w:val="2"/>
            <w:shd w:val="clear" w:color="auto" w:fill="CCCCCC"/>
          </w:tcPr>
          <w:p>
            <w:pPr>
              <w:ind w:left="140"/>
              <w:spacing w:after="0" w:line="195" w:lineRule="exact"/>
              <w:rPr>
                <w:sz w:val="20"/>
                <w:szCs w:val="20"/>
                <w:color w:val="auto"/>
              </w:rPr>
            </w:pPr>
            <w:r>
              <w:rPr>
                <w:rFonts w:ascii="Arial" w:cs="Arial" w:eastAsia="Arial" w:hAnsi="Arial"/>
                <w:sz w:val="18"/>
                <w:szCs w:val="18"/>
                <w:color w:val="auto"/>
              </w:rPr>
              <w:t>Majority of shares present, in person or</w:t>
            </w:r>
          </w:p>
        </w:tc>
        <w:tc>
          <w:tcPr>
            <w:tcW w:w="362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Counted and will have the same effect as a</w:t>
            </w:r>
          </w:p>
        </w:tc>
        <w:tc>
          <w:tcPr>
            <w:tcW w:w="0" w:type="dxa"/>
            <w:vAlign w:val="bottom"/>
          </w:tcPr>
          <w:p>
            <w:pPr>
              <w:spacing w:after="0"/>
              <w:rPr>
                <w:sz w:val="1"/>
                <w:szCs w:val="1"/>
                <w:color w:val="auto"/>
              </w:rPr>
            </w:pPr>
          </w:p>
        </w:tc>
      </w:tr>
      <w:tr>
        <w:trPr>
          <w:trHeight w:val="224"/>
        </w:trPr>
        <w:tc>
          <w:tcPr>
            <w:tcW w:w="38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of our Named Executive Officers</w:t>
            </w:r>
          </w:p>
        </w:tc>
        <w:tc>
          <w:tcPr>
            <w:tcW w:w="3420" w:type="dxa"/>
            <w:vAlign w:val="bottom"/>
            <w:tcBorders>
              <w:bottom w:val="single" w:sz="8" w:color="CCCCCC"/>
            </w:tcBorders>
            <w:gridSpan w:val="2"/>
            <w:shd w:val="clear" w:color="auto" w:fill="CCCCCC"/>
          </w:tcPr>
          <w:p>
            <w:pPr>
              <w:ind w:left="140"/>
              <w:spacing w:after="0"/>
              <w:rPr>
                <w:sz w:val="20"/>
                <w:szCs w:val="20"/>
                <w:color w:val="auto"/>
              </w:rPr>
            </w:pPr>
            <w:r>
              <w:rPr>
                <w:rFonts w:ascii="Arial" w:cs="Arial" w:eastAsia="Arial" w:hAnsi="Arial"/>
                <w:sz w:val="18"/>
                <w:szCs w:val="18"/>
                <w:color w:val="auto"/>
              </w:rPr>
              <w:t>by proxy, and entitled to vote</w:t>
            </w:r>
          </w:p>
        </w:tc>
        <w:tc>
          <w:tcPr>
            <w:tcW w:w="36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vote against such proposal</w:t>
            </w:r>
          </w:p>
        </w:tc>
        <w:tc>
          <w:tcPr>
            <w:tcW w:w="0" w:type="dxa"/>
            <w:vAlign w:val="bottom"/>
          </w:tcPr>
          <w:p>
            <w:pPr>
              <w:spacing w:after="0"/>
              <w:rPr>
                <w:sz w:val="1"/>
                <w:szCs w:val="1"/>
                <w:color w:val="auto"/>
              </w:rPr>
            </w:pPr>
          </w:p>
        </w:tc>
      </w:tr>
      <w:tr>
        <w:trPr>
          <w:trHeight w:val="27"/>
        </w:trPr>
        <w:tc>
          <w:tcPr>
            <w:tcW w:w="38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3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Company’s Amended and Restated By-laws (the “By-laws”),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an amended proxy statement, that, as applicable, identifies the substitute nominees, discloses that such nominees have consented to being named in the revised proxy statement and to serve if elected, and includes certain biographical and other information about such nominee as required by the rules of the SEC. Alternatively, the Board may reduce the number of directors in accordance with the Company’s Amended and Restated Certificate of Incorporation and the By-laws, subject to the terms of the Third A&amp;R Cooperation Agreement.</w:t>
      </w:r>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the By-laws, written notice by shareholders of qualifying nominations for election to the Board must have been received by our Secretary by February 22, 2020.</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broker non-vote?</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or 3, but the broker will have the discretion to vote your shares of Common Stock on Proposal No. 2. As a result, broker non-votes will have no effect on the outcome of Proposal Nos. 1 or 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should submit your proxy card or voting instruction form as soon as possible. The proxy materials include a proxy card for registered stockholders (that is, if you hold your stock directly in your name through our transfer agent), or a vote instruction form for beneficial owners (if your shares are held in “street name,” such as in a stock brokerage account or through a bank or other nominee). Whether you are a registered stockholder or hold any of your shares in “street name,” you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69005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208" w:lineRule="exact"/>
        <w:rPr>
          <w:sz w:val="20"/>
          <w:szCs w:val="20"/>
          <w:color w:val="auto"/>
        </w:rPr>
      </w:pPr>
    </w:p>
    <w:p>
      <w:pPr>
        <w:spacing w:after="0"/>
        <w:tabs>
          <w:tab w:leader="none" w:pos="5420" w:val="left"/>
        </w:tabs>
        <w:rPr>
          <w:sz w:val="20"/>
          <w:szCs w:val="20"/>
          <w:color w:val="auto"/>
        </w:rPr>
      </w:pPr>
      <w:r>
        <w:rPr>
          <w:rFonts w:ascii="Arial" w:cs="Arial" w:eastAsia="Arial" w:hAnsi="Arial"/>
          <w:sz w:val="16"/>
          <w:szCs w:val="16"/>
          <w:b w:val="1"/>
          <w:bCs w:val="1"/>
          <w:color w:val="auto"/>
        </w:rPr>
        <w:t>By Phone</w:t>
      </w:r>
      <w:r>
        <w:rPr>
          <w:sz w:val="20"/>
          <w:szCs w:val="20"/>
          <w:color w:val="auto"/>
        </w:rPr>
        <w:tab/>
      </w:r>
      <w:r>
        <w:rPr>
          <w:rFonts w:ascii="Arial" w:cs="Arial" w:eastAsia="Arial" w:hAnsi="Arial"/>
          <w:sz w:val="16"/>
          <w:szCs w:val="16"/>
          <w:b w:val="1"/>
          <w:bCs w:val="1"/>
          <w:color w:val="auto"/>
        </w:rPr>
        <w:t>By Internet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4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8"/>
                <w:szCs w:val="18"/>
                <w:color w:val="auto"/>
              </w:rPr>
              <w:t>Vote by dialing the number on the proxy card/voting instruction</w:t>
            </w:r>
          </w:p>
        </w:tc>
        <w:tc>
          <w:tcPr>
            <w:tcW w:w="554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Follow the instructions included on the proxy card/voting instruction</w:t>
            </w:r>
          </w:p>
        </w:tc>
      </w:tr>
      <w:tr>
        <w:trPr>
          <w:trHeight w:val="249"/>
        </w:trPr>
        <w:tc>
          <w:tcPr>
            <w:tcW w:w="53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form and following the easy voice prompts</w:t>
            </w:r>
          </w:p>
        </w:tc>
        <w:tc>
          <w:tcPr>
            <w:tcW w:w="55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form</w:t>
            </w:r>
          </w:p>
        </w:tc>
      </w:tr>
      <w:tr>
        <w:trPr>
          <w:trHeight w:val="208"/>
        </w:trPr>
        <w:tc>
          <w:tcPr>
            <w:tcW w:w="5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By Mail</w:t>
            </w:r>
          </w:p>
        </w:tc>
        <w:tc>
          <w:tcPr>
            <w:tcW w:w="55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In Person</w:t>
            </w:r>
          </w:p>
        </w:tc>
      </w:tr>
      <w:tr>
        <w:trPr>
          <w:trHeight w:val="55"/>
        </w:trPr>
        <w:tc>
          <w:tcPr>
            <w:tcW w:w="534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r>
        <w:trPr>
          <w:trHeight w:val="195"/>
        </w:trPr>
        <w:tc>
          <w:tcPr>
            <w:tcW w:w="5340" w:type="dxa"/>
            <w:vAlign w:val="bottom"/>
            <w:shd w:val="clear" w:color="auto" w:fill="CCCCCC"/>
          </w:tcPr>
          <w:p>
            <w:pPr>
              <w:spacing w:after="0" w:line="195" w:lineRule="exact"/>
              <w:rPr>
                <w:sz w:val="20"/>
                <w:szCs w:val="20"/>
                <w:color w:val="auto"/>
              </w:rPr>
            </w:pPr>
            <w:r>
              <w:rPr>
                <w:rFonts w:ascii="Arial" w:cs="Arial" w:eastAsia="Arial" w:hAnsi="Arial"/>
                <w:sz w:val="18"/>
                <w:szCs w:val="18"/>
                <w:color w:val="auto"/>
              </w:rPr>
              <w:t>Vote by marking, signing and dating the proxy card/voting</w:t>
            </w:r>
          </w:p>
        </w:tc>
        <w:tc>
          <w:tcPr>
            <w:tcW w:w="5540" w:type="dxa"/>
            <w:vAlign w:val="bottom"/>
            <w:shd w:val="clear" w:color="auto" w:fill="CCCCCC"/>
          </w:tcPr>
          <w:p>
            <w:pPr>
              <w:ind w:left="100"/>
              <w:spacing w:after="0" w:line="195" w:lineRule="exact"/>
              <w:rPr>
                <w:sz w:val="20"/>
                <w:szCs w:val="20"/>
                <w:color w:val="auto"/>
              </w:rPr>
            </w:pPr>
            <w:r>
              <w:rPr>
                <w:rFonts w:ascii="Arial" w:cs="Arial" w:eastAsia="Arial" w:hAnsi="Arial"/>
                <w:sz w:val="18"/>
                <w:szCs w:val="18"/>
                <w:color w:val="auto"/>
              </w:rPr>
              <w:t>Attend the Meeting and vote in person. If you hold any shares in</w:t>
            </w:r>
          </w:p>
        </w:tc>
      </w:tr>
      <w:tr>
        <w:trPr>
          <w:trHeight w:val="203"/>
        </w:trPr>
        <w:tc>
          <w:tcPr>
            <w:tcW w:w="5340" w:type="dxa"/>
            <w:vAlign w:val="bottom"/>
            <w:shd w:val="clear" w:color="auto" w:fill="CCCCCC"/>
          </w:tcPr>
          <w:p>
            <w:pPr>
              <w:spacing w:after="0" w:line="202" w:lineRule="exact"/>
              <w:rPr>
                <w:sz w:val="20"/>
                <w:szCs w:val="20"/>
                <w:color w:val="auto"/>
              </w:rPr>
            </w:pPr>
            <w:r>
              <w:rPr>
                <w:rFonts w:ascii="Arial" w:cs="Arial" w:eastAsia="Arial" w:hAnsi="Arial"/>
                <w:sz w:val="18"/>
                <w:szCs w:val="18"/>
                <w:color w:val="auto"/>
              </w:rPr>
              <w:t>instruction form and returning it promptly in the envelope provided</w:t>
            </w:r>
          </w:p>
        </w:tc>
        <w:tc>
          <w:tcPr>
            <w:tcW w:w="55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“street name,” you may not vote in person unless you bring with you</w:t>
            </w:r>
          </w:p>
        </w:tc>
      </w:tr>
      <w:tr>
        <w:trPr>
          <w:trHeight w:val="224"/>
        </w:trPr>
        <w:tc>
          <w:tcPr>
            <w:tcW w:w="5340" w:type="dxa"/>
            <w:vAlign w:val="bottom"/>
            <w:tcBorders>
              <w:bottom w:val="single" w:sz="8" w:color="CCCCCC"/>
            </w:tcBorders>
            <w:shd w:val="clear" w:color="auto" w:fill="CCCCCC"/>
          </w:tcPr>
          <w:p>
            <w:pPr>
              <w:spacing w:after="0"/>
              <w:rPr>
                <w:sz w:val="19"/>
                <w:szCs w:val="19"/>
                <w:color w:val="auto"/>
              </w:rPr>
            </w:pPr>
          </w:p>
        </w:tc>
        <w:tc>
          <w:tcPr>
            <w:tcW w:w="55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rPr>
              <w:t>a legal proxy from the organization that holds your shares</w:t>
            </w:r>
          </w:p>
        </w:tc>
      </w:tr>
      <w:tr>
        <w:trPr>
          <w:trHeight w:val="27"/>
        </w:trPr>
        <w:tc>
          <w:tcPr>
            <w:tcW w:w="5340" w:type="dxa"/>
            <w:vAlign w:val="bottom"/>
            <w:shd w:val="clear" w:color="auto" w:fill="000000"/>
          </w:tcPr>
          <w:p>
            <w:pPr>
              <w:spacing w:after="0"/>
              <w:rPr>
                <w:sz w:val="2"/>
                <w:szCs w:val="2"/>
                <w:color w:val="auto"/>
              </w:rPr>
            </w:pPr>
          </w:p>
        </w:tc>
        <w:tc>
          <w:tcPr>
            <w:tcW w:w="5540" w:type="dxa"/>
            <w:vAlign w:val="bottom"/>
            <w:shd w:val="clear" w:color="auto" w:fill="000000"/>
          </w:tcPr>
          <w:p>
            <w:pPr>
              <w:spacing w:after="0"/>
              <w:rPr>
                <w:sz w:val="2"/>
                <w:szCs w:val="2"/>
                <w:color w:val="auto"/>
              </w:rPr>
            </w:pPr>
          </w:p>
        </w:tc>
      </w:tr>
    </w:tbl>
    <w:p>
      <w:pPr>
        <w:spacing w:after="0" w:line="17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deadline for voting by telephone or by Internet will vary depending upon how you vote your shares—please follow the instructions shown on your proxy card/voting instruction form. If you are not the shareholder of record, please refer to the voting instructions provided by your bank, broker or other nominee to direct it how to vote your shares. Your vote is important.</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of our shareholders hold their shares in more than one account and may receive separate proxy cards/voting instruction forms for each of those accounts. To ensure that all of your shares are represented at the Meeting, we recommend that you follow the instructions included on each proxy card/voting instruction form you receive.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Yes. You may revoke your proxy at any time prior to the voting at the Meeting if, in accordance with the voting procedures described above, you:</w:t>
      </w:r>
    </w:p>
    <w:p>
      <w:pPr>
        <w:spacing w:after="0" w:line="93" w:lineRule="exact"/>
        <w:rPr>
          <w:sz w:val="20"/>
          <w:szCs w:val="20"/>
          <w:color w:val="auto"/>
        </w:rPr>
      </w:pPr>
    </w:p>
    <w:p>
      <w:pPr>
        <w:ind w:left="360" w:hanging="334"/>
        <w:spacing w:after="0"/>
        <w:tabs>
          <w:tab w:leader="none" w:pos="360" w:val="left"/>
        </w:tabs>
        <w:numPr>
          <w:ilvl w:val="0"/>
          <w:numId w:val="9"/>
        </w:numPr>
        <w:rPr>
          <w:rFonts w:ascii="Arial" w:cs="Arial" w:eastAsia="Arial" w:hAnsi="Arial"/>
          <w:sz w:val="22"/>
          <w:szCs w:val="22"/>
          <w:color w:val="auto"/>
        </w:rPr>
      </w:pPr>
      <w:r>
        <w:rPr>
          <w:rFonts w:ascii="Arial" w:cs="Arial" w:eastAsia="Arial" w:hAnsi="Arial"/>
          <w:sz w:val="18"/>
          <w:szCs w:val="18"/>
          <w:color w:val="auto"/>
        </w:rPr>
        <w:t>vote again (including by phone or Internet by the applicable deadline); or</w:t>
      </w:r>
    </w:p>
    <w:p>
      <w:pPr>
        <w:spacing w:after="0" w:line="111" w:lineRule="exact"/>
        <w:rPr>
          <w:rFonts w:ascii="Arial" w:cs="Arial" w:eastAsia="Arial" w:hAnsi="Arial"/>
          <w:sz w:val="22"/>
          <w:szCs w:val="22"/>
          <w:color w:val="auto"/>
        </w:rPr>
      </w:pPr>
    </w:p>
    <w:p>
      <w:pPr>
        <w:ind w:left="360" w:hanging="334"/>
        <w:spacing w:after="0"/>
        <w:tabs>
          <w:tab w:leader="none" w:pos="3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complete, sign, date and return a new proxy card or voting instruction form with a later date; or</w:t>
      </w:r>
    </w:p>
    <w:p>
      <w:pPr>
        <w:spacing w:after="0" w:line="125" w:lineRule="exact"/>
        <w:rPr>
          <w:rFonts w:ascii="Arial" w:cs="Arial" w:eastAsia="Arial" w:hAnsi="Arial"/>
          <w:sz w:val="22"/>
          <w:szCs w:val="22"/>
          <w:color w:val="auto"/>
        </w:rPr>
      </w:pPr>
    </w:p>
    <w:p>
      <w:pPr>
        <w:ind w:left="360" w:hanging="334"/>
        <w:spacing w:after="0"/>
        <w:tabs>
          <w:tab w:leader="none" w:pos="360" w:val="left"/>
        </w:tabs>
        <w:numPr>
          <w:ilvl w:val="0"/>
          <w:numId w:val="9"/>
        </w:numPr>
        <w:rPr>
          <w:rFonts w:ascii="Arial" w:cs="Arial" w:eastAsia="Arial" w:hAnsi="Arial"/>
          <w:sz w:val="22"/>
          <w:szCs w:val="22"/>
          <w:color w:val="auto"/>
        </w:rPr>
      </w:pPr>
      <w:r>
        <w:rPr>
          <w:rFonts w:ascii="Arial" w:cs="Arial" w:eastAsia="Arial" w:hAnsi="Arial"/>
          <w:sz w:val="18"/>
          <w:szCs w:val="18"/>
          <w:color w:val="auto"/>
        </w:rPr>
        <w:t>give timely written notice of such revocation to our Corporate Secretary at 6 Sylvan Way, Parsippany, N.J. 07054; or</w:t>
      </w:r>
    </w:p>
    <w:p>
      <w:pPr>
        <w:spacing w:after="0" w:line="111" w:lineRule="exact"/>
        <w:rPr>
          <w:rFonts w:ascii="Arial" w:cs="Arial" w:eastAsia="Arial" w:hAnsi="Arial"/>
          <w:sz w:val="22"/>
          <w:szCs w:val="22"/>
          <w:color w:val="auto"/>
        </w:rPr>
      </w:pPr>
    </w:p>
    <w:p>
      <w:pPr>
        <w:ind w:left="360" w:hanging="334"/>
        <w:spacing w:after="0"/>
        <w:tabs>
          <w:tab w:leader="none" w:pos="3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attend the Meeting and vote in person.</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your shares are held in “street name” (i.e., the shares are held of record by a broker, bank or other nominee) and you wish to revoke a proxy, you should contact your bank, broker or nominee and follow its procedures for changing your voting instructions. You also may vote in person at the Meeting if you obtain a legal proxy from your bank, broker or other nominee.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Only the latest validly executed proxy that you submit will be counted.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do not vote with respect to some of the proposals?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w:t>
      </w:r>
    </w:p>
    <w:p>
      <w:pPr>
        <w:spacing w:after="0" w:line="99"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“FOR ALL” of the nominees recommended by the Board (Proposal No. 1);</w:t>
      </w:r>
    </w:p>
    <w:p>
      <w:pPr>
        <w:spacing w:after="0" w:line="125" w:lineRule="exact"/>
        <w:rPr>
          <w:rFonts w:ascii="Arial" w:cs="Arial" w:eastAsia="Arial" w:hAnsi="Arial"/>
          <w:sz w:val="22"/>
          <w:szCs w:val="22"/>
          <w:color w:val="auto"/>
        </w:rPr>
      </w:pPr>
    </w:p>
    <w:p>
      <w:pPr>
        <w:ind w:left="360" w:hanging="334"/>
        <w:spacing w:after="0"/>
        <w:tabs>
          <w:tab w:leader="none" w:pos="3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“FOR” the ratification of the appointment of auditors (Proposal No. 2); and</w:t>
      </w:r>
    </w:p>
    <w:p>
      <w:pPr>
        <w:spacing w:after="0" w:line="111" w:lineRule="exact"/>
        <w:rPr>
          <w:rFonts w:ascii="Arial" w:cs="Arial" w:eastAsia="Arial" w:hAnsi="Arial"/>
          <w:sz w:val="22"/>
          <w:szCs w:val="22"/>
          <w:color w:val="auto"/>
        </w:rPr>
      </w:pPr>
    </w:p>
    <w:p>
      <w:pPr>
        <w:ind w:left="360" w:hanging="334"/>
        <w:spacing w:after="0"/>
        <w:tabs>
          <w:tab w:leader="none" w:pos="3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“FOR” the proposal regarding advisory approval of the compensation of our named executive officers (Proposal No. 3).</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participants in savings plans vote?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are not received prior to noon Eastern Time on April 30, 2020,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noon Eastern Time on April 30, 2020. Participants in the Savings Plans are not entitled to vote in person at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participants in the Avis Budget Group, Inc. Employee Stock Purchase Plan (“ESPP”) vote?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hold shares of Common Stock in the ESPP, you will receive a proxy card that covers shares of Common Stock held for you in the ESPP. In accordance with the provisions of the ESPP, the plan administrator will vote your shares of Common Stock as you have directed. To the extent such instructions are not received prior to noon Eastern Time on April 30, 2020, the plan administrator will not vote your shares.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 I need a ticket to attend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Yes. Admission will be by ticket only. Admission to the Meeting will be expedited if tickets are obtained in advance.</w:t>
      </w:r>
    </w:p>
    <w:p>
      <w:pPr>
        <w:spacing w:after="0" w:line="140" w:lineRule="exact"/>
        <w:rPr>
          <w:sz w:val="20"/>
          <w:szCs w:val="20"/>
          <w:color w:val="auto"/>
        </w:rPr>
      </w:pPr>
    </w:p>
    <w:p>
      <w:pPr>
        <w:ind w:left="340" w:hanging="314"/>
        <w:spacing w:after="0" w:line="235" w:lineRule="auto"/>
        <w:tabs>
          <w:tab w:leader="none" w:pos="432"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Bring the bottom portion of the proxy card enclosed with this Proxy Statement as your Meeting ticket.</w:t>
      </w:r>
      <w:r>
        <w:rPr>
          <w:rFonts w:ascii="Arial" w:cs="Arial" w:eastAsia="Arial" w:hAnsi="Arial"/>
          <w:sz w:val="18"/>
          <w:szCs w:val="18"/>
          <w:i w:val="1"/>
          <w:iCs w:val="1"/>
          <w:color w:val="auto"/>
        </w:rPr>
        <w:t xml:space="preserve"> </w:t>
      </w:r>
      <w:r>
        <w:rPr>
          <w:rFonts w:ascii="Arial" w:cs="Arial" w:eastAsia="Arial" w:hAnsi="Arial"/>
          <w:sz w:val="18"/>
          <w:szCs w:val="18"/>
          <w:color w:val="auto"/>
        </w:rPr>
        <w:t>Notices will not be accepted as a Meeting ticket.</w:t>
      </w:r>
    </w:p>
    <w:p>
      <w:pPr>
        <w:spacing w:after="0" w:line="143" w:lineRule="exact"/>
        <w:rPr>
          <w:rFonts w:ascii="Arial" w:cs="Arial" w:eastAsia="Arial" w:hAnsi="Arial"/>
          <w:sz w:val="22"/>
          <w:szCs w:val="22"/>
          <w:color w:val="auto"/>
        </w:rPr>
      </w:pPr>
    </w:p>
    <w:p>
      <w:pPr>
        <w:jc w:val="both"/>
        <w:ind w:left="340" w:hanging="314"/>
        <w:spacing w:after="0" w:line="235" w:lineRule="auto"/>
        <w:tabs>
          <w:tab w:leader="none" w:pos="365"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own shares of Common Stock through an intermediary, such as a bank or broker, request tickets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Corporate Secretary at Avis Budget Group, Inc., 6 Sylvan Way, Parsippany, N.J. 07054. Please include proof of ownership, such as a bank or brokerage firm account statement or letter from the broker, trustee, bank or nominee holding your stock, confirming beneficial ownership as of the Record Date.</w:t>
      </w:r>
    </w:p>
    <w:p>
      <w:pPr>
        <w:spacing w:after="0" w:line="143" w:lineRule="exact"/>
        <w:rPr>
          <w:rFonts w:ascii="Arial" w:cs="Arial" w:eastAsia="Arial" w:hAnsi="Arial"/>
          <w:sz w:val="22"/>
          <w:szCs w:val="22"/>
          <w:color w:val="auto"/>
        </w:rPr>
      </w:pPr>
    </w:p>
    <w:p>
      <w:pPr>
        <w:ind w:left="340" w:hanging="314"/>
        <w:spacing w:after="0" w:line="235" w:lineRule="auto"/>
        <w:tabs>
          <w:tab w:leader="none" w:pos="365"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Shareholders without advance tickets: </w:t>
      </w:r>
      <w:r>
        <w:rPr>
          <w:rFonts w:ascii="Arial" w:cs="Arial" w:eastAsia="Arial" w:hAnsi="Arial"/>
          <w:sz w:val="18"/>
          <w:szCs w:val="18"/>
          <w:color w:val="auto"/>
        </w:rPr>
        <w:t>Shareholders who do not obtain tickets in advance may obtain tickets on the Meeting date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desk upon verifying their stock ownership as of the Record Date.</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Attendance at the Meeting will be limited to shareholders as of the Record Date, their authorized representatives and guests of the Company. Tickets may be issued to others at the discretion of the Company. In accordance with the Company’s security procedures, all persons attending the Meeting must present picture identification along with their admission ticket or proof of beneficial ownership in order to gain admission. Cameras and recording devices will not be permitted at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find the voting results of the Annual Meeting?</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Voting results will be tallied by the inspector of election. The Company will report the results in a Current Report on Form 8-K, to be filed with the SEC within four business days following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access the Company’s proxy materials and annual report electronically?</w:t>
      </w:r>
    </w:p>
    <w:p>
      <w:pPr>
        <w:spacing w:after="0" w:line="1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This Proxy Statement and the Company’s 2019 Annual Report may be viewed online at </w:t>
      </w:r>
      <w:r>
        <w:rPr>
          <w:rFonts w:ascii="Arial" w:cs="Arial" w:eastAsia="Arial" w:hAnsi="Arial"/>
          <w:sz w:val="18"/>
          <w:szCs w:val="18"/>
          <w:i w:val="1"/>
          <w:iCs w:val="1"/>
          <w:color w:val="auto"/>
        </w:rPr>
        <w:t>edocumentview.com/CAR.</w:t>
      </w:r>
      <w:r>
        <w:rPr>
          <w:rFonts w:ascii="Arial" w:cs="Arial" w:eastAsia="Arial" w:hAnsi="Arial"/>
          <w:sz w:val="18"/>
          <w:szCs w:val="18"/>
          <w:color w:val="auto"/>
        </w:rPr>
        <w:t xml:space="preserve"> If you are a shareholder of record, you can elect to receive future annual reports and proxy statements electronically by enrolling at </w:t>
      </w:r>
      <w:r>
        <w:rPr>
          <w:rFonts w:ascii="Arial" w:cs="Arial" w:eastAsia="Arial" w:hAnsi="Arial"/>
          <w:sz w:val="18"/>
          <w:szCs w:val="18"/>
          <w:i w:val="1"/>
          <w:iCs w:val="1"/>
          <w:color w:val="auto"/>
        </w:rPr>
        <w:t xml:space="preserve">envisionreports.com/CAR. </w:t>
      </w:r>
      <w:r>
        <w:rPr>
          <w:rFonts w:ascii="Arial" w:cs="Arial" w:eastAsia="Arial" w:hAnsi="Arial"/>
          <w:sz w:val="18"/>
          <w:szCs w:val="18"/>
          <w:color w:val="auto"/>
        </w:rPr>
        <w:t>If you choose this option, you will receive a proxy form in April 2021 listing the website locations where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a shareholder nominate someone to be a director?</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2021 annual meeting, the Company must receive this notice on or before February 6, 2021. Such notice and nomination should be submitted in writing to the Corporate Secretary of the Company and should include the information required for shareholder nominations set forth in the By-laws.</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 copy of the full text of the provision of the By-laws describing the procedure for shareholder nominations may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Nothing contained in any section of the Company’s website is incorporated by reference into this Proxy Statement.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right="5040"/>
        <w:spacing w:after="0" w:line="254" w:lineRule="auto"/>
        <w:rPr>
          <w:sz w:val="20"/>
          <w:szCs w:val="20"/>
          <w:color w:val="auto"/>
        </w:rPr>
      </w:pPr>
      <w:r>
        <w:rPr>
          <w:rFonts w:ascii="Arial" w:cs="Arial" w:eastAsia="Arial" w:hAnsi="Arial"/>
          <w:sz w:val="36"/>
          <w:szCs w:val="36"/>
          <w:color w:val="auto"/>
        </w:rPr>
        <w:t>Proposals to Be Voted on at Meeting Proposal No. 1</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Election of Directors</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(the “Board”) has nominated Brian Choi, Bernardo Hees, Lynn Krominga, Glenn Lurie, Jagdeep Pahwa, Karthik Sarma and Carl Sparks to be elected at the 2020 Annual Meeting of Shareholders (the “Meeting”) to serve as directors for a one-year term ending at the 2021 annual meeting of shareholders and until his or her successor is duly elected and qualified or until his or her earlier resignation or removal. In approving such nomination, a majority of the Board voted in favor of such nomination while Leonard S. Coleman, Mary C. Choksi, F. Robert Salerno, Francis J. Shammo, and Jeffrey H. Fox voted against such nomination with Mr. Fox stating he believed the slate of nominees did not include an adequate number of independent nominees. For certain information regarding each nominee, see “Board of Directors—Biographical Information for Nominees” below.</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Third Amended and Restated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February 23, 2020, the Company entered into a Third Amended and Restated Cooperation Agreement (the “Third A&amp;R Cooperation Agreement”) with SRS Investment Management, LLC and certain of its affiliates (collectively, “SRS”), the Company’s largest shareholder, regarding the membership and composition of the Board and related matters. Pursuant to the Third A&amp;R Cooperation Agreement, SRS is entitled to designate three persons to serve as members of the Board, and the Company agreed to nominate (i) Messrs. Choi, Pahwa and Sarma (collectively, the “Applicable Directors”), and (ii) Messrs. Hees, Lurie and Sparks, and Ms. Krominga for election to the Board at the Meeting.</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Third A&amp;R Cooperation Agreement further provides that (i) the Board will appoint an additional independent director who is not a former or current employee of, or advisor or consultant to, SRS or an affiliate of SRS, no later than 90 days after the Meeting and</w:t>
      </w:r>
    </w:p>
    <w:p>
      <w:pPr>
        <w:spacing w:after="0" w:line="1" w:lineRule="exact"/>
        <w:rPr>
          <w:sz w:val="20"/>
          <w:szCs w:val="20"/>
          <w:color w:val="auto"/>
        </w:rPr>
      </w:pPr>
    </w:p>
    <w:p>
      <w:pPr>
        <w:jc w:val="both"/>
        <w:ind w:firstLine="8"/>
        <w:spacing w:after="0" w:line="238" w:lineRule="auto"/>
        <w:tabs>
          <w:tab w:leader="none" w:pos="2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selection by the Board of a Chief Executive Officer on a non-interim basis, the Chief Executive Officer will also be appointed to the Board; provided, that if the Chief Executive Officer is already a director of the Company, the Board will appoint another independent director who is not a former or current employee of, or advisor or consultant to, SRS or an affiliate of SRS, no later than 90 days after the selection of the Chief Executive Officer.</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Third A&amp;R Cooperation Agreement, the size of each of the Corporate Governance Committee and the Compensation Committee will be set at three members, all of whom must qualify as independent pursuant to the applicable stock exchange listing requirements (unless otherwise permitted by such stock exchange requirements). The Third A&amp;R Cooperation Agreement also provides that (i) SRS will be entitled to appoint one Applicable Director to each of the Corporate Governance Committee and the Compensation Committee, (ii) the Applicable Director appointed by SRS to the Compensation Committee will serve as the Chair of such committee, and (iii) SRS will be entitled to designate an Applicable Director to serve as the Vice Chairman of the Board. The parties have further agreed that (x) Mr. Choi will serve as the Chair of the Compensation Committee and as a member of the Corporate Governance Committee and (y) Mr. Pahwa will serve as the Vice Chairman of the Board.</w:t>
      </w:r>
    </w:p>
    <w:p>
      <w:pPr>
        <w:spacing w:after="0" w:line="12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 further description of the terms of the Third A&amp;R Cooperation Agreement, including a copy of the Third A&amp;R Cooperation Agreement, please see our Current Report on From 8-K filed by the Company with the SEC on February 24, 2020.</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Biographical Information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094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Board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Standing Board Committees: Executive (Chair)</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Mr. Hees, </w:t>
      </w:r>
      <w:r>
        <w:rPr>
          <w:rFonts w:ascii="Arial" w:cs="Arial" w:eastAsia="Arial" w:hAnsi="Arial"/>
          <w:sz w:val="18"/>
          <w:szCs w:val="18"/>
          <w:color w:val="auto"/>
        </w:rPr>
        <w:t>age 50, has been a director since February 2020. Previously, Mr. Hees served as Chief Executive Officer of The Kraft Heinz</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2015 to June 2019. He served as Chief Executive Officer of H.J. Heinz Holding Corporation since 2013. From 2010 to 2013 Mr. Hees served as Chief Executive Officer of Burger King Worldwide Holdings, Inc., a global fast food restaurant chain. From 2005 to 2010 he was Chief Executive Officer of América Latina Logística, a Brazilian logistics company. Mr. Hees was also a partner at 3G Capital from 2010 to 2019. Mr. Hees is also a director of Bunge Limited, which files reports pursuant to the Exchange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3" w:lineRule="exact"/>
        <w:rPr>
          <w:sz w:val="20"/>
          <w:szCs w:val="20"/>
          <w:color w:val="auto"/>
        </w:rPr>
      </w:pPr>
    </w:p>
    <w:p>
      <w:pPr>
        <w:ind w:left="340" w:hanging="314"/>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Chief Executive Officer experience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18"/>
          <w:szCs w:val="18"/>
          <w:color w:val="auto"/>
        </w:rPr>
        <w:t>Public company board experience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International experience</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18"/>
          <w:szCs w:val="18"/>
          <w:color w:val="auto"/>
        </w:rPr>
        <w:t>Diverse personal background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094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Standing Board Committees: Compensation (Chair), Corporate Governance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Mr. Choi, </w:t>
      </w:r>
      <w:r>
        <w:rPr>
          <w:rFonts w:ascii="Arial" w:cs="Arial" w:eastAsia="Arial" w:hAnsi="Arial"/>
          <w:sz w:val="18"/>
          <w:szCs w:val="18"/>
          <w:color w:val="auto"/>
        </w:rPr>
        <w:t>age 37, has been a director since January 2016. Mr. Choi is a partner at SRS Investment Management, LLC and certain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has served in various roles at SRS since October 2008. Previously, Mr. Choi worked at Metalmark Capital from 2007 to 2008 and he also served as an analyst in the Leveraged Finance Group at Lehman Brothers from 2005 to 2007. Mr. Choi was initially appointed to the Board pursuant to the terms of a cooperation agreement between the Company and SRS Investment Management, LLC and certain of its affiliates.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3" w:lineRule="exact"/>
        <w:rPr>
          <w:sz w:val="20"/>
          <w:szCs w:val="20"/>
          <w:color w:val="auto"/>
        </w:rPr>
      </w:pPr>
    </w:p>
    <w:p>
      <w:pPr>
        <w:ind w:left="340" w:hanging="314"/>
        <w:spacing w:after="0"/>
        <w:tabs>
          <w:tab w:leader="none" w:pos="3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Financial expertise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Industry expertise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Diverse personal background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094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Standing Board Committees: Audit (Interim Chair), Corporate Governance (Chair)</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Ms. Krominga</w:t>
      </w:r>
      <w:r>
        <w:rPr>
          <w:rFonts w:ascii="Arial" w:cs="Arial" w:eastAsia="Arial" w:hAnsi="Arial"/>
          <w:sz w:val="18"/>
          <w:szCs w:val="18"/>
          <w:color w:val="auto"/>
        </w:rPr>
        <w:t>, age 69, has been a director since October 2006. Ms. Krominga is an attorney, management consultant and former</w:t>
      </w:r>
      <w:r>
        <w:rPr>
          <w:rFonts w:ascii="Arial" w:cs="Arial" w:eastAsia="Arial" w:hAnsi="Arial"/>
          <w:sz w:val="18"/>
          <w:szCs w:val="18"/>
          <w:b w:val="1"/>
          <w:bCs w:val="1"/>
          <w:color w:val="auto"/>
        </w:rPr>
        <w:t xml:space="preserve"> </w:t>
      </w:r>
      <w:r>
        <w:rPr>
          <w:rFonts w:ascii="Arial" w:cs="Arial" w:eastAsia="Arial" w:hAnsi="Arial"/>
          <w:sz w:val="18"/>
          <w:szCs w:val="18"/>
          <w:color w:val="auto"/>
        </w:rPr>
        <w:t>senior 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57" w:lineRule="exact"/>
        <w:rPr>
          <w:sz w:val="20"/>
          <w:szCs w:val="20"/>
          <w:color w:val="auto"/>
        </w:rPr>
      </w:pPr>
    </w:p>
    <w:p>
      <w:pPr>
        <w:ind w:left="340" w:hanging="314"/>
        <w:spacing w:after="0"/>
        <w:tabs>
          <w:tab w:leader="none" w:pos="3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Significant legal, governance, licensing, technology and regulatory expertise</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International experience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Executive management experience and financial expertise</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Diverse personal background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09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Standing Board Committees: Audit</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Mr. Lurie</w:t>
      </w:r>
      <w:r>
        <w:rPr>
          <w:rFonts w:ascii="Arial" w:cs="Arial" w:eastAsia="Arial" w:hAnsi="Arial"/>
          <w:sz w:val="18"/>
          <w:szCs w:val="18"/>
          <w:color w:val="auto"/>
        </w:rPr>
        <w:t>, age 54, has been a director since May 2018. Mr. Lurie has been President and Chief Executive Officer of Synchronoss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Inc. since November 2017.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is also a director of Synchronoss, which files reports pursuant to the Exchange Act. Mr. Lurie also serves as a director of Pivotal Commware, Inc., which develops communications platforms, systems and applications.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57" w:lineRule="exact"/>
        <w:rPr>
          <w:sz w:val="20"/>
          <w:szCs w:val="20"/>
          <w:color w:val="auto"/>
        </w:rPr>
      </w:pPr>
    </w:p>
    <w:p>
      <w:pPr>
        <w:ind w:left="340" w:hanging="314"/>
        <w:spacing w:after="0"/>
        <w:tabs>
          <w:tab w:leader="none" w:pos="34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Chief Executive Officer experience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Technology, operations, strategy, and business development experience</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Public company board experience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094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of the Board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Standing Board Committees: Executive</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Mr. Pahwa</w:t>
      </w:r>
      <w:r>
        <w:rPr>
          <w:rFonts w:ascii="Arial" w:cs="Arial" w:eastAsia="Arial" w:hAnsi="Arial"/>
          <w:sz w:val="18"/>
          <w:szCs w:val="18"/>
          <w:color w:val="auto"/>
        </w:rPr>
        <w:t>, age 46, has been a director since April 2018. Mr. Pahwa has been the President of SRS Investment Management, LLC</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2017 and has led SRS’s private equity business since 2006. Previously, Mr. Pahwa worked at McKinsey &amp; Company in the U.S. and India, where he led client engagements in the telecom, technology and real estate sectors. Prior thereto, Mr. Pahwa worked in the Mergers &amp; Acquisitions group of Lehman Brothers in New York. Mr. Pahwa was initially appointed to the Board pursuant to the terms of a cooperation agreement between the Company and SRS Investment Management, LLC and certain of its affiliates.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3" w:lineRule="exact"/>
        <w:rPr>
          <w:sz w:val="20"/>
          <w:szCs w:val="20"/>
          <w:color w:val="auto"/>
        </w:rPr>
      </w:pPr>
    </w:p>
    <w:p>
      <w:pPr>
        <w:ind w:left="340" w:hanging="314"/>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Financial and investment expertise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Advisory experience in business strategy and growth</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Broad international experience and understanding of the technology sector</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Diverse personal background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094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Mr. Sarma</w:t>
      </w:r>
      <w:r>
        <w:rPr>
          <w:rFonts w:ascii="Arial" w:cs="Arial" w:eastAsia="Arial" w:hAnsi="Arial"/>
          <w:sz w:val="18"/>
          <w:szCs w:val="18"/>
          <w:color w:val="auto"/>
        </w:rPr>
        <w:t>, age 45, is the Portfolio Manager at SRS Investment Management, LLC, which he founded in 2006. Prior to founding SRS,</w:t>
      </w:r>
      <w:r>
        <w:rPr>
          <w:rFonts w:ascii="Arial" w:cs="Arial" w:eastAsia="Arial" w:hAnsi="Arial"/>
          <w:sz w:val="18"/>
          <w:szCs w:val="18"/>
          <w:b w:val="1"/>
          <w:bCs w:val="1"/>
          <w:color w:val="auto"/>
        </w:rPr>
        <w:t xml:space="preserve"> </w:t>
      </w:r>
      <w:r>
        <w:rPr>
          <w:rFonts w:ascii="Arial" w:cs="Arial" w:eastAsia="Arial" w:hAnsi="Arial"/>
          <w:sz w:val="18"/>
          <w:szCs w:val="18"/>
          <w:color w:val="auto"/>
        </w:rPr>
        <w:t>Mr. Sarma was a Managing Director at Tiger Global Management, LLC, which he joined within a few months of its launch in 2001. Prior to joining Tiger Global, Mr. Sarma worked as a consultant at McKinsey &amp; Company in its New York office. Mr. Sarma is being nominated to the Board pursuant to the terms of a cooperation agreement between the Company and SRS Investment Management, LLC and certain of its affiliates.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43" w:lineRule="exact"/>
        <w:rPr>
          <w:sz w:val="20"/>
          <w:szCs w:val="20"/>
          <w:color w:val="auto"/>
        </w:rPr>
      </w:pPr>
    </w:p>
    <w:p>
      <w:pPr>
        <w:ind w:left="340" w:hanging="314"/>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Experience in the technology sector</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Financial and investment expertise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Experience providing strategic and operational advice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094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Standing Board Committees: Audit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Mr. Sparks</w:t>
      </w:r>
      <w:r>
        <w:rPr>
          <w:rFonts w:ascii="Arial" w:cs="Arial" w:eastAsia="Arial" w:hAnsi="Arial"/>
          <w:sz w:val="18"/>
          <w:szCs w:val="18"/>
          <w:color w:val="auto"/>
        </w:rPr>
        <w:t>, age 52, has been a director since April 2018. Mr. Sparks was the Chief Executive Officer and a director of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an online service provider for higher education, from 2016 to 2017. From 2011 to 2014, Mr. Sparks was the Chief Executive Officer of Travelocity Global. Mr. Sparks was also employed by Gilt Groupe, serving as its Chief Marketing Officer in 2009 and its President from 2010 to 2011. Prior to joining Gilt Groupe, Mr. Sparks served in a variety of leadership roles at Expedia Inc. from 2004 to 2009, including as Senior Vice President, Marketing and Retail Operations at Hotels. com from 2004 to 2006, Chief Marketing Officer at Expedia.com from 2006 to 2007, and General Manager at Hotels.com USA, Latin America &amp; Canada from 2008 to 2009. Earlier, Mr. Sparks served as Vice President of Direct Business and Brand at Capital One Financial Corp., and also served in senior marketing and strategy roles at Guinness &amp; Co., PepsiCo Inc., and The Boston Consulting Group. Mr. Sparks is a director of Dunkin’ Brands Group, Inc., which files reports pursuant to the Exchange Act. Mr. Sparks previously served on the board of Vonage Holdings Corp., which files reports pursuant to the Exchange Act. Mr. Sparks is also currently serving as a director of ActionIQ, Inc., an enterprise software company; Blue Nile, an online jewelry retailer; and Lucid, LLC, a market research company. Mr. Sparks was initially appointed to the Board pursuant to the terms of a cooperation agreement between the Company and SRS Investment Management, LLC and certain of its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157" w:lineRule="exact"/>
        <w:rPr>
          <w:sz w:val="20"/>
          <w:szCs w:val="20"/>
          <w:color w:val="auto"/>
        </w:rPr>
      </w:pPr>
    </w:p>
    <w:p>
      <w:pPr>
        <w:ind w:left="340" w:hanging="314"/>
        <w:spacing w:after="0"/>
        <w:tabs>
          <w:tab w:leader="none" w:pos="3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Chief Executive Officer and Chief Marketing Officer experience</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Technology, operations, strategy, marketing and business development experience</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Public company board experience</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additional information regarding the director nomination process, please see the section titled “Director Nomination Procedures” on page 14 of this Proxy Statement.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ALL” OF THE NOMINEES.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Corporate Governance</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 Six of the seven nominee directors are independent in accordance with NASDAQ corporate governance listing standards and our own director independence criteria.</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Independent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nominees is independent under applicable director independence standards.</w:t>
      </w:r>
    </w:p>
    <w:p>
      <w:pPr>
        <w:spacing w:after="0" w:line="212" w:lineRule="exact"/>
        <w:rPr>
          <w:sz w:val="20"/>
          <w:szCs w:val="20"/>
          <w:color w:val="auto"/>
        </w:rPr>
      </w:pPr>
    </w:p>
    <w:tbl>
      <w:tblPr>
        <w:tblLayout w:type="fixed"/>
        <w:tblInd w:w="2060" w:type="dxa"/>
        <w:tblCellMar>
          <w:top w:w="0" w:type="dxa"/>
          <w:left w:w="0" w:type="dxa"/>
          <w:bottom w:w="0" w:type="dxa"/>
          <w:right w:w="0" w:type="dxa"/>
        </w:tblCellMar>
      </w:tblPr>
      <w:tr>
        <w:trPr>
          <w:trHeight w:val="217"/>
        </w:trPr>
        <w:tc>
          <w:tcPr>
            <w:tcW w:w="3380" w:type="dxa"/>
            <w:vAlign w:val="bottom"/>
          </w:tcPr>
          <w:p>
            <w:pPr>
              <w:jc w:val="center"/>
              <w:ind w:right="2090"/>
              <w:spacing w:after="0"/>
              <w:rPr>
                <w:sz w:val="20"/>
                <w:szCs w:val="20"/>
                <w:color w:val="auto"/>
              </w:rPr>
            </w:pPr>
            <w:r>
              <w:rPr>
                <w:rFonts w:ascii="Arial" w:cs="Arial" w:eastAsia="Arial" w:hAnsi="Arial"/>
                <w:sz w:val="18"/>
                <w:szCs w:val="18"/>
                <w:color w:val="auto"/>
                <w:w w:val="99"/>
              </w:rPr>
              <w:t>Brian Choi</w:t>
            </w:r>
          </w:p>
        </w:tc>
        <w:tc>
          <w:tcPr>
            <w:tcW w:w="3300" w:type="dxa"/>
            <w:vAlign w:val="bottom"/>
          </w:tcPr>
          <w:p>
            <w:pPr>
              <w:jc w:val="center"/>
              <w:ind w:left="2050"/>
              <w:spacing w:after="0"/>
              <w:rPr>
                <w:sz w:val="20"/>
                <w:szCs w:val="20"/>
                <w:color w:val="auto"/>
              </w:rPr>
            </w:pPr>
            <w:r>
              <w:rPr>
                <w:rFonts w:ascii="Arial" w:cs="Arial" w:eastAsia="Arial" w:hAnsi="Arial"/>
                <w:sz w:val="18"/>
                <w:szCs w:val="18"/>
                <w:color w:val="auto"/>
                <w:w w:val="98"/>
              </w:rPr>
              <w:t>Glenn Lurie</w:t>
            </w:r>
          </w:p>
        </w:tc>
      </w:tr>
      <w:tr>
        <w:trPr>
          <w:trHeight w:val="283"/>
        </w:trPr>
        <w:tc>
          <w:tcPr>
            <w:tcW w:w="3380" w:type="dxa"/>
            <w:vAlign w:val="bottom"/>
          </w:tcPr>
          <w:p>
            <w:pPr>
              <w:jc w:val="center"/>
              <w:ind w:right="2070"/>
              <w:spacing w:after="0"/>
              <w:rPr>
                <w:sz w:val="20"/>
                <w:szCs w:val="20"/>
                <w:color w:val="auto"/>
              </w:rPr>
            </w:pPr>
            <w:r>
              <w:rPr>
                <w:rFonts w:ascii="Arial" w:cs="Arial" w:eastAsia="Arial" w:hAnsi="Arial"/>
                <w:sz w:val="18"/>
                <w:szCs w:val="18"/>
                <w:color w:val="auto"/>
              </w:rPr>
              <w:t>Bernardo Hees</w:t>
            </w:r>
          </w:p>
        </w:tc>
        <w:tc>
          <w:tcPr>
            <w:tcW w:w="3300" w:type="dxa"/>
            <w:vAlign w:val="bottom"/>
          </w:tcPr>
          <w:p>
            <w:pPr>
              <w:jc w:val="center"/>
              <w:ind w:left="2070"/>
              <w:spacing w:after="0"/>
              <w:rPr>
                <w:sz w:val="20"/>
                <w:szCs w:val="20"/>
                <w:color w:val="auto"/>
              </w:rPr>
            </w:pPr>
            <w:r>
              <w:rPr>
                <w:rFonts w:ascii="Arial" w:cs="Arial" w:eastAsia="Arial" w:hAnsi="Arial"/>
                <w:sz w:val="18"/>
                <w:szCs w:val="18"/>
                <w:color w:val="auto"/>
                <w:w w:val="99"/>
              </w:rPr>
              <w:t>Karthik Sarma</w:t>
            </w:r>
          </w:p>
        </w:tc>
      </w:tr>
      <w:tr>
        <w:trPr>
          <w:trHeight w:val="283"/>
        </w:trPr>
        <w:tc>
          <w:tcPr>
            <w:tcW w:w="3380" w:type="dxa"/>
            <w:vAlign w:val="bottom"/>
          </w:tcPr>
          <w:p>
            <w:pPr>
              <w:jc w:val="center"/>
              <w:ind w:right="2090"/>
              <w:spacing w:after="0"/>
              <w:rPr>
                <w:sz w:val="20"/>
                <w:szCs w:val="20"/>
                <w:color w:val="auto"/>
              </w:rPr>
            </w:pPr>
            <w:r>
              <w:rPr>
                <w:rFonts w:ascii="Arial" w:cs="Arial" w:eastAsia="Arial" w:hAnsi="Arial"/>
                <w:sz w:val="18"/>
                <w:szCs w:val="18"/>
                <w:color w:val="auto"/>
                <w:w w:val="99"/>
              </w:rPr>
              <w:t>Lynn Krominga</w:t>
            </w:r>
          </w:p>
        </w:tc>
        <w:tc>
          <w:tcPr>
            <w:tcW w:w="3300" w:type="dxa"/>
            <w:vAlign w:val="bottom"/>
          </w:tcPr>
          <w:p>
            <w:pPr>
              <w:jc w:val="center"/>
              <w:ind w:left="2070"/>
              <w:spacing w:after="0"/>
              <w:rPr>
                <w:sz w:val="20"/>
                <w:szCs w:val="20"/>
                <w:color w:val="auto"/>
              </w:rPr>
            </w:pPr>
            <w:r>
              <w:rPr>
                <w:rFonts w:ascii="Arial" w:cs="Arial" w:eastAsia="Arial" w:hAnsi="Arial"/>
                <w:sz w:val="18"/>
                <w:szCs w:val="18"/>
                <w:color w:val="auto"/>
                <w:w w:val="99"/>
              </w:rPr>
              <w:t>Carl Sparks</w:t>
            </w:r>
          </w:p>
        </w:tc>
      </w:tr>
    </w:tbl>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all of the directors currently serving on our Corporate Governance Committee, Compensation Committee, and Audit Committee are independent based upon NASDAQ corporate governance listing standards and our own director independence criteria.</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current Board leadership structure consists of:</w:t>
      </w:r>
    </w:p>
    <w:p>
      <w:pPr>
        <w:spacing w:after="0" w:line="135" w:lineRule="exact"/>
        <w:rPr>
          <w:sz w:val="20"/>
          <w:szCs w:val="20"/>
          <w:color w:val="auto"/>
        </w:rPr>
      </w:pPr>
    </w:p>
    <w:p>
      <w:pPr>
        <w:ind w:left="340" w:hanging="314"/>
        <w:spacing w:after="0"/>
        <w:tabs>
          <w:tab w:leader="none" w:pos="3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Independent Chairman of the Board: Bernardo Hees; and</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Fully independent Compensation, Corporate Governance and Audit Committees.</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Board of Directors, which is comprised of individuals who have extensive experience with board processes, has determined that the current leadership structure, as described above, best serves the Company and its shareholders.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roles of Chief Executive Officer and Chairman were separated in 2015, and an independent Chairman has been appointed since May 2018. However, the Board does not currently have a requirement that the roles of Chief Executive Officer and Chairman of the Board be separated, or if separated that the Chairman be independent. The Board believes it is in the best interest of our Company to make the determination based on the position and direction of our Company and the constitution of the Board and management team from time to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Management and Risk Assessment</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280" w:type="dxa"/>
            <w:vAlign w:val="bottom"/>
          </w:tcPr>
          <w:p>
            <w:pPr>
              <w:spacing w:after="0"/>
              <w:rPr>
                <w:sz w:val="20"/>
                <w:szCs w:val="20"/>
                <w:color w:val="auto"/>
              </w:rPr>
            </w:pPr>
            <w:r>
              <w:rPr>
                <w:rFonts w:ascii="Arial" w:cs="Arial" w:eastAsia="Arial" w:hAnsi="Arial"/>
                <w:sz w:val="18"/>
                <w:szCs w:val="18"/>
                <w:b w:val="1"/>
                <w:bCs w:val="1"/>
                <w:color w:val="auto"/>
              </w:rPr>
              <w:t>Board/Committee</w:t>
            </w:r>
          </w:p>
        </w:tc>
        <w:tc>
          <w:tcPr>
            <w:tcW w:w="7600" w:type="dxa"/>
            <w:vAlign w:val="bottom"/>
          </w:tcPr>
          <w:p>
            <w:pPr>
              <w:ind w:left="540"/>
              <w:spacing w:after="0"/>
              <w:rPr>
                <w:sz w:val="20"/>
                <w:szCs w:val="20"/>
                <w:color w:val="auto"/>
              </w:rPr>
            </w:pPr>
            <w:r>
              <w:rPr>
                <w:rFonts w:ascii="Arial" w:cs="Arial" w:eastAsia="Arial" w:hAnsi="Arial"/>
                <w:sz w:val="18"/>
                <w:szCs w:val="18"/>
                <w:b w:val="1"/>
                <w:bCs w:val="1"/>
                <w:color w:val="auto"/>
              </w:rPr>
              <w:t>Responsibility/Role</w:t>
            </w:r>
          </w:p>
        </w:tc>
      </w:tr>
      <w:tr>
        <w:trPr>
          <w:trHeight w:val="34"/>
        </w:trPr>
        <w:tc>
          <w:tcPr>
            <w:tcW w:w="328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42"/>
        </w:trPr>
        <w:tc>
          <w:tcPr>
            <w:tcW w:w="3280" w:type="dxa"/>
            <w:vAlign w:val="bottom"/>
            <w:shd w:val="clear" w:color="auto" w:fill="CCCCCC"/>
          </w:tcPr>
          <w:p>
            <w:pPr>
              <w:spacing w:after="0"/>
              <w:rPr>
                <w:sz w:val="20"/>
                <w:szCs w:val="20"/>
                <w:color w:val="auto"/>
              </w:rPr>
            </w:pPr>
            <w:r>
              <w:rPr>
                <w:rFonts w:ascii="Arial" w:cs="Arial" w:eastAsia="Arial" w:hAnsi="Arial"/>
                <w:sz w:val="18"/>
                <w:szCs w:val="18"/>
                <w:color w:val="auto"/>
              </w:rPr>
              <w:t>Audit Committee</w:t>
            </w:r>
          </w:p>
        </w:tc>
        <w:tc>
          <w:tcPr>
            <w:tcW w:w="7600" w:type="dxa"/>
            <w:vAlign w:val="bottom"/>
            <w:shd w:val="clear" w:color="auto" w:fill="CCCCCC"/>
          </w:tcPr>
          <w:p>
            <w:pPr>
              <w:ind w:left="540"/>
              <w:spacing w:after="0" w:line="24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Assists in the Board’s oversight of the Company’s:</w:t>
            </w:r>
          </w:p>
        </w:tc>
      </w:tr>
      <w:tr>
        <w:trPr>
          <w:trHeight w:val="203"/>
        </w:trPr>
        <w:tc>
          <w:tcPr>
            <w:tcW w:w="3280" w:type="dxa"/>
            <w:vAlign w:val="bottom"/>
            <w:shd w:val="clear" w:color="auto" w:fill="CCCCCC"/>
          </w:tcPr>
          <w:p>
            <w:pPr>
              <w:spacing w:after="0"/>
              <w:rPr>
                <w:sz w:val="17"/>
                <w:szCs w:val="17"/>
                <w:color w:val="auto"/>
              </w:rPr>
            </w:pPr>
          </w:p>
        </w:tc>
        <w:tc>
          <w:tcPr>
            <w:tcW w:w="7600" w:type="dxa"/>
            <w:vAlign w:val="bottom"/>
            <w:shd w:val="clear" w:color="auto" w:fill="CCCCCC"/>
          </w:tcPr>
          <w:p>
            <w:pPr>
              <w:ind w:left="1020"/>
              <w:spacing w:after="0" w:line="202" w:lineRule="exact"/>
              <w:rPr>
                <w:sz w:val="20"/>
                <w:szCs w:val="20"/>
                <w:color w:val="auto"/>
              </w:rPr>
            </w:pPr>
            <w:r>
              <w:rPr>
                <w:rFonts w:ascii="Arial" w:cs="Arial" w:eastAsia="Arial" w:hAnsi="Arial"/>
                <w:sz w:val="18"/>
                <w:szCs w:val="18"/>
                <w:color w:val="auto"/>
              </w:rPr>
              <w:t>► major financial risk exposures and the steps management has undertaken to</w:t>
            </w:r>
          </w:p>
        </w:tc>
      </w:tr>
      <w:tr>
        <w:trPr>
          <w:trHeight w:val="217"/>
        </w:trPr>
        <w:tc>
          <w:tcPr>
            <w:tcW w:w="3280" w:type="dxa"/>
            <w:vAlign w:val="bottom"/>
            <w:shd w:val="clear" w:color="auto" w:fill="CCCCCC"/>
          </w:tcPr>
          <w:p>
            <w:pPr>
              <w:spacing w:after="0"/>
              <w:rPr>
                <w:sz w:val="18"/>
                <w:szCs w:val="18"/>
                <w:color w:val="auto"/>
              </w:rPr>
            </w:pPr>
          </w:p>
        </w:tc>
        <w:tc>
          <w:tcPr>
            <w:tcW w:w="7600" w:type="dxa"/>
            <w:vAlign w:val="bottom"/>
            <w:shd w:val="clear" w:color="auto" w:fill="CCCCCC"/>
          </w:tcPr>
          <w:p>
            <w:pPr>
              <w:ind w:left="1260"/>
              <w:spacing w:after="0"/>
              <w:rPr>
                <w:sz w:val="20"/>
                <w:szCs w:val="20"/>
                <w:color w:val="auto"/>
              </w:rPr>
            </w:pPr>
            <w:r>
              <w:rPr>
                <w:rFonts w:ascii="Arial" w:cs="Arial" w:eastAsia="Arial" w:hAnsi="Arial"/>
                <w:sz w:val="18"/>
                <w:szCs w:val="18"/>
                <w:color w:val="auto"/>
              </w:rPr>
              <w:t>control such risks;</w:t>
            </w:r>
          </w:p>
        </w:tc>
      </w:tr>
      <w:tr>
        <w:trPr>
          <w:trHeight w:val="256"/>
        </w:trPr>
        <w:tc>
          <w:tcPr>
            <w:tcW w:w="3280" w:type="dxa"/>
            <w:vAlign w:val="bottom"/>
            <w:shd w:val="clear" w:color="auto" w:fill="CCCCCC"/>
          </w:tcPr>
          <w:p>
            <w:pPr>
              <w:spacing w:after="0"/>
              <w:rPr>
                <w:sz w:val="22"/>
                <w:szCs w:val="22"/>
                <w:color w:val="auto"/>
              </w:rPr>
            </w:pPr>
          </w:p>
        </w:tc>
        <w:tc>
          <w:tcPr>
            <w:tcW w:w="7600" w:type="dxa"/>
            <w:vAlign w:val="bottom"/>
            <w:shd w:val="clear" w:color="auto" w:fill="CCCCCC"/>
          </w:tcPr>
          <w:p>
            <w:pPr>
              <w:ind w:left="1020"/>
              <w:spacing w:after="0"/>
              <w:rPr>
                <w:sz w:val="20"/>
                <w:szCs w:val="20"/>
                <w:color w:val="auto"/>
              </w:rPr>
            </w:pPr>
            <w:r>
              <w:rPr>
                <w:rFonts w:ascii="Arial" w:cs="Arial" w:eastAsia="Arial" w:hAnsi="Arial"/>
                <w:sz w:val="18"/>
                <w:szCs w:val="18"/>
                <w:color w:val="auto"/>
              </w:rPr>
              <w:t>► risks associated with information technology and cybersecurity; and</w:t>
            </w:r>
          </w:p>
        </w:tc>
      </w:tr>
      <w:tr>
        <w:trPr>
          <w:trHeight w:val="288"/>
        </w:trPr>
        <w:tc>
          <w:tcPr>
            <w:tcW w:w="3280" w:type="dxa"/>
            <w:vAlign w:val="bottom"/>
            <w:tcBorders>
              <w:bottom w:val="single" w:sz="8" w:color="CCCCCC"/>
            </w:tcBorders>
            <w:shd w:val="clear" w:color="auto" w:fill="CCCCCC"/>
          </w:tcPr>
          <w:p>
            <w:pPr>
              <w:spacing w:after="0"/>
              <w:rPr>
                <w:sz w:val="24"/>
                <w:szCs w:val="24"/>
                <w:color w:val="auto"/>
              </w:rPr>
            </w:pPr>
          </w:p>
        </w:tc>
        <w:tc>
          <w:tcPr>
            <w:tcW w:w="7600" w:type="dxa"/>
            <w:vAlign w:val="bottom"/>
            <w:tcBorders>
              <w:bottom w:val="single" w:sz="8" w:color="CCCCCC"/>
            </w:tcBorders>
            <w:shd w:val="clear" w:color="auto" w:fill="CCCCCC"/>
          </w:tcPr>
          <w:p>
            <w:pPr>
              <w:ind w:left="1020"/>
              <w:spacing w:after="0"/>
              <w:rPr>
                <w:sz w:val="20"/>
                <w:szCs w:val="20"/>
                <w:color w:val="auto"/>
              </w:rPr>
            </w:pPr>
            <w:r>
              <w:rPr>
                <w:rFonts w:ascii="Arial" w:cs="Arial" w:eastAsia="Arial" w:hAnsi="Arial"/>
                <w:sz w:val="18"/>
                <w:szCs w:val="18"/>
                <w:color w:val="auto"/>
              </w:rPr>
              <w:t>► compliance with legal and regulatory requirements.</w:t>
            </w:r>
          </w:p>
        </w:tc>
      </w:tr>
      <w:tr>
        <w:trPr>
          <w:trHeight w:val="371"/>
        </w:trPr>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Committee</w:t>
            </w:r>
          </w:p>
        </w:tc>
        <w:tc>
          <w:tcPr>
            <w:tcW w:w="7600" w:type="dxa"/>
            <w:vAlign w:val="bottom"/>
            <w:tcBorders>
              <w:top w:val="single" w:sz="8" w:color="auto"/>
            </w:tcBorders>
          </w:tcPr>
          <w:p>
            <w:pPr>
              <w:ind w:left="5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Oversees risks associated with our compensation policies and practices with</w:t>
            </w:r>
          </w:p>
        </w:tc>
      </w:tr>
      <w:tr>
        <w:trPr>
          <w:trHeight w:val="217"/>
        </w:trPr>
        <w:tc>
          <w:tcPr>
            <w:tcW w:w="3280" w:type="dxa"/>
            <w:vAlign w:val="bottom"/>
          </w:tcPr>
          <w:p>
            <w:pPr>
              <w:spacing w:after="0"/>
              <w:rPr>
                <w:sz w:val="18"/>
                <w:szCs w:val="18"/>
                <w:color w:val="auto"/>
              </w:rPr>
            </w:pPr>
          </w:p>
        </w:tc>
        <w:tc>
          <w:tcPr>
            <w:tcW w:w="7600" w:type="dxa"/>
            <w:vAlign w:val="bottom"/>
          </w:tcPr>
          <w:p>
            <w:pPr>
              <w:ind w:left="880"/>
              <w:spacing w:after="0"/>
              <w:rPr>
                <w:sz w:val="20"/>
                <w:szCs w:val="20"/>
                <w:color w:val="auto"/>
              </w:rPr>
            </w:pPr>
            <w:r>
              <w:rPr>
                <w:rFonts w:ascii="Arial" w:cs="Arial" w:eastAsia="Arial" w:hAnsi="Arial"/>
                <w:sz w:val="18"/>
                <w:szCs w:val="18"/>
                <w:color w:val="auto"/>
              </w:rPr>
              <w:t>respect to executive compensation.</w:t>
            </w:r>
          </w:p>
        </w:tc>
      </w:tr>
      <w:tr>
        <w:trPr>
          <w:trHeight w:val="41"/>
        </w:trPr>
        <w:tc>
          <w:tcPr>
            <w:tcW w:w="328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r>
      <w:tr>
        <w:trPr>
          <w:trHeight w:val="430"/>
        </w:trPr>
        <w:tc>
          <w:tcPr>
            <w:tcW w:w="32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Corporate Governance Committee</w:t>
            </w:r>
          </w:p>
        </w:tc>
        <w:tc>
          <w:tcPr>
            <w:tcW w:w="7600" w:type="dxa"/>
            <w:vAlign w:val="bottom"/>
            <w:tcBorders>
              <w:bottom w:val="single" w:sz="8" w:color="CCCCCC"/>
            </w:tcBorders>
            <w:shd w:val="clear" w:color="auto" w:fill="CCCCCC"/>
          </w:tcPr>
          <w:p>
            <w:pPr>
              <w:ind w:left="5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Oversees risks associated with corporate governance.</w:t>
            </w:r>
          </w:p>
        </w:tc>
      </w:tr>
      <w:tr>
        <w:trPr>
          <w:trHeight w:val="355"/>
        </w:trPr>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Board</w:t>
            </w:r>
          </w:p>
        </w:tc>
        <w:tc>
          <w:tcPr>
            <w:tcW w:w="7600" w:type="dxa"/>
            <w:vAlign w:val="bottom"/>
            <w:tcBorders>
              <w:top w:val="single" w:sz="8" w:color="auto"/>
            </w:tcBorders>
          </w:tcPr>
          <w:p>
            <w:pPr>
              <w:ind w:left="5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Receives reports from the Committees at every regular Board meeting.</w:t>
            </w:r>
          </w:p>
        </w:tc>
      </w:tr>
      <w:tr>
        <w:trPr>
          <w:trHeight w:val="351"/>
        </w:trPr>
        <w:tc>
          <w:tcPr>
            <w:tcW w:w="3280" w:type="dxa"/>
            <w:vAlign w:val="bottom"/>
          </w:tcPr>
          <w:p>
            <w:pPr>
              <w:spacing w:after="0"/>
              <w:rPr>
                <w:sz w:val="24"/>
                <w:szCs w:val="24"/>
                <w:color w:val="auto"/>
              </w:rPr>
            </w:pPr>
          </w:p>
        </w:tc>
        <w:tc>
          <w:tcPr>
            <w:tcW w:w="7600" w:type="dxa"/>
            <w:vAlign w:val="bottom"/>
          </w:tcPr>
          <w:p>
            <w:pPr>
              <w:ind w:left="5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Considers specific risk topics.</w:t>
            </w:r>
          </w:p>
        </w:tc>
      </w:tr>
      <w:tr>
        <w:trPr>
          <w:trHeight w:val="340"/>
        </w:trPr>
        <w:tc>
          <w:tcPr>
            <w:tcW w:w="3280" w:type="dxa"/>
            <w:vAlign w:val="bottom"/>
          </w:tcPr>
          <w:p>
            <w:pPr>
              <w:spacing w:after="0"/>
              <w:rPr>
                <w:sz w:val="24"/>
                <w:szCs w:val="24"/>
                <w:color w:val="auto"/>
              </w:rPr>
            </w:pPr>
          </w:p>
        </w:tc>
        <w:tc>
          <w:tcPr>
            <w:tcW w:w="7600" w:type="dxa"/>
            <w:vAlign w:val="bottom"/>
          </w:tcPr>
          <w:p>
            <w:pPr>
              <w:ind w:left="5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Receives regular reports from members of senior management that include</w:t>
            </w:r>
          </w:p>
        </w:tc>
      </w:tr>
      <w:tr>
        <w:trPr>
          <w:trHeight w:val="203"/>
        </w:trPr>
        <w:tc>
          <w:tcPr>
            <w:tcW w:w="3280" w:type="dxa"/>
            <w:vAlign w:val="bottom"/>
          </w:tcPr>
          <w:p>
            <w:pPr>
              <w:spacing w:after="0"/>
              <w:rPr>
                <w:sz w:val="17"/>
                <w:szCs w:val="17"/>
                <w:color w:val="auto"/>
              </w:rPr>
            </w:pPr>
          </w:p>
        </w:tc>
        <w:tc>
          <w:tcPr>
            <w:tcW w:w="7600" w:type="dxa"/>
            <w:vAlign w:val="bottom"/>
          </w:tcPr>
          <w:p>
            <w:pPr>
              <w:ind w:left="880"/>
              <w:spacing w:after="0" w:line="202" w:lineRule="exact"/>
              <w:rPr>
                <w:sz w:val="20"/>
                <w:szCs w:val="20"/>
                <w:color w:val="auto"/>
              </w:rPr>
            </w:pPr>
            <w:r>
              <w:rPr>
                <w:rFonts w:ascii="Arial" w:cs="Arial" w:eastAsia="Arial" w:hAnsi="Arial"/>
                <w:sz w:val="18"/>
                <w:szCs w:val="18"/>
                <w:color w:val="auto"/>
              </w:rPr>
              <w:t>discussion of the risks and exposures involved in their respective areas of</w:t>
            </w:r>
          </w:p>
        </w:tc>
      </w:tr>
      <w:tr>
        <w:trPr>
          <w:trHeight w:val="203"/>
        </w:trPr>
        <w:tc>
          <w:tcPr>
            <w:tcW w:w="3280" w:type="dxa"/>
            <w:vAlign w:val="bottom"/>
          </w:tcPr>
          <w:p>
            <w:pPr>
              <w:spacing w:after="0"/>
              <w:rPr>
                <w:sz w:val="17"/>
                <w:szCs w:val="17"/>
                <w:color w:val="auto"/>
              </w:rPr>
            </w:pPr>
          </w:p>
        </w:tc>
        <w:tc>
          <w:tcPr>
            <w:tcW w:w="7600" w:type="dxa"/>
            <w:vAlign w:val="bottom"/>
          </w:tcPr>
          <w:p>
            <w:pPr>
              <w:ind w:left="880"/>
              <w:spacing w:after="0" w:line="202" w:lineRule="exact"/>
              <w:rPr>
                <w:sz w:val="20"/>
                <w:szCs w:val="20"/>
                <w:color w:val="auto"/>
              </w:rPr>
            </w:pPr>
            <w:r>
              <w:rPr>
                <w:rFonts w:ascii="Arial" w:cs="Arial" w:eastAsia="Arial" w:hAnsi="Arial"/>
                <w:sz w:val="18"/>
                <w:szCs w:val="18"/>
                <w:color w:val="auto"/>
              </w:rPr>
              <w:t>responsibility. Such reports are provided in connection with and discussed at Board</w:t>
            </w:r>
          </w:p>
        </w:tc>
      </w:tr>
      <w:tr>
        <w:trPr>
          <w:trHeight w:val="217"/>
        </w:trPr>
        <w:tc>
          <w:tcPr>
            <w:tcW w:w="3280" w:type="dxa"/>
            <w:vAlign w:val="bottom"/>
          </w:tcPr>
          <w:p>
            <w:pPr>
              <w:spacing w:after="0"/>
              <w:rPr>
                <w:sz w:val="18"/>
                <w:szCs w:val="18"/>
                <w:color w:val="auto"/>
              </w:rPr>
            </w:pPr>
          </w:p>
        </w:tc>
        <w:tc>
          <w:tcPr>
            <w:tcW w:w="7600" w:type="dxa"/>
            <w:vAlign w:val="bottom"/>
          </w:tcPr>
          <w:p>
            <w:pPr>
              <w:ind w:left="880"/>
              <w:spacing w:after="0"/>
              <w:rPr>
                <w:sz w:val="20"/>
                <w:szCs w:val="20"/>
                <w:color w:val="auto"/>
              </w:rPr>
            </w:pPr>
            <w:r>
              <w:rPr>
                <w:rFonts w:ascii="Arial" w:cs="Arial" w:eastAsia="Arial" w:hAnsi="Arial"/>
                <w:sz w:val="18"/>
                <w:szCs w:val="18"/>
                <w:color w:val="auto"/>
              </w:rPr>
              <w:t>meetings.</w:t>
            </w:r>
          </w:p>
        </w:tc>
      </w:tr>
      <w:tr>
        <w:trPr>
          <w:trHeight w:val="34"/>
        </w:trPr>
        <w:tc>
          <w:tcPr>
            <w:tcW w:w="328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Management annually reviews the Company’s compensation policies and practices for employees generally as they relate to risk management. As part of this process, management reviews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are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have been no recommended changes to the Company’s incentive compensation programs.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Communicating with the Board of Directors</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Shareholders and other interested parties may send communications directly to the Board of Directors by writing to the Board of Directors, c/o the Corporate Secretary, Avis Budget Group, Inc., 6 Sylvan Way, Parsippany, N.J. 07054. In addition, all parties interested in communicating directly with the Chairman of the Board or with any other independent director may do so by writing to Avis Budget Group, Inc. at the same address, Attention: Chairman of the Board, c/o the Corporate Secretary or via e-mail at </w:t>
      </w:r>
      <w:r>
        <w:rPr>
          <w:rFonts w:ascii="Arial" w:cs="Arial" w:eastAsia="Arial" w:hAnsi="Arial"/>
          <w:sz w:val="18"/>
          <w:szCs w:val="18"/>
          <w:i w:val="1"/>
          <w:iCs w:val="1"/>
          <w:color w:val="auto"/>
        </w:rPr>
        <w:t>chairman@avisbudgetgroup.com</w:t>
      </w:r>
      <w:r>
        <w:rPr>
          <w:rFonts w:ascii="Arial" w:cs="Arial" w:eastAsia="Arial" w:hAnsi="Arial"/>
          <w:sz w:val="18"/>
          <w:szCs w:val="18"/>
          <w:color w:val="auto"/>
        </w:rPr>
        <w:t>. The Chairman is responsible for reviewing and distributing all interested parties’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to the intended recipients and/or to the full Board of Directors, as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Codes of Conduct</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held six meetings during 2019. In 2019, all director nominees who served on the Board in 2019 attended at least 75% of the meetings of the Board of Directors and committees of the Board of Directors on which they served. We expect all directors to attend each regularly scheduled Board of Directors meeting. All directors are welcome to attend the Company’s annual meeting of shareholders, and our goal is for a representative of each of the Audit Committee, Compensation Committee and Corporate Governance Committee to be present at each annual meeting. The 2019 annual meeting of shareholders was attended by eight directors, including a representative of each of the Audit, Compensation and Corporate Governance Committees.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standing committees of the Board include: the Audit Committee, the Compensation Committee, the Corporate Governance Committee and the Executive Committee.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440" w:type="dxa"/>
            <w:vAlign w:val="bottom"/>
          </w:tcPr>
          <w:p>
            <w:pPr>
              <w:spacing w:after="0"/>
              <w:rPr>
                <w:sz w:val="17"/>
                <w:szCs w:val="17"/>
                <w:color w:val="auto"/>
              </w:rPr>
            </w:pPr>
          </w:p>
        </w:tc>
      </w:tr>
      <w:tr>
        <w:trPr>
          <w:trHeight w:val="239"/>
        </w:trPr>
        <w:tc>
          <w:tcPr>
            <w:tcW w:w="37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2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Audit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rPr>
              <w:t>Compensation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Executive</w:t>
            </w:r>
          </w:p>
        </w:tc>
      </w:tr>
      <w:tr>
        <w:trPr>
          <w:trHeight w:val="34"/>
        </w:trPr>
        <w:tc>
          <w:tcPr>
            <w:tcW w:w="37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0"/>
        </w:trPr>
        <w:tc>
          <w:tcPr>
            <w:tcW w:w="378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Brian J. Choi</w:t>
            </w:r>
          </w:p>
        </w:tc>
        <w:tc>
          <w:tcPr>
            <w:tcW w:w="2220" w:type="dxa"/>
            <w:vAlign w:val="bottom"/>
            <w:tcBorders>
              <w:bottom w:val="single" w:sz="8" w:color="auto"/>
            </w:tcBorders>
            <w:shd w:val="clear" w:color="auto" w:fill="CCCCCC"/>
          </w:tcPr>
          <w:p>
            <w:pPr>
              <w:spacing w:after="0"/>
              <w:rPr>
                <w:sz w:val="23"/>
                <w:szCs w:val="23"/>
                <w:color w:val="auto"/>
              </w:rPr>
            </w:pPr>
          </w:p>
        </w:tc>
        <w:tc>
          <w:tcPr>
            <w:tcW w:w="18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7"/>
              </w:rPr>
              <w:t>Chair</w:t>
            </w:r>
          </w:p>
        </w:tc>
        <w:tc>
          <w:tcPr>
            <w:tcW w:w="1620" w:type="dxa"/>
            <w:vAlign w:val="bottom"/>
            <w:tcBorders>
              <w:bottom w:val="single" w:sz="8" w:color="auto"/>
            </w:tcBorders>
            <w:shd w:val="clear" w:color="auto" w:fill="CCCCCC"/>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bottom w:val="single" w:sz="8" w:color="auto"/>
            </w:tcBorders>
            <w:shd w:val="clear" w:color="auto" w:fill="CCCCCC"/>
          </w:tcPr>
          <w:p>
            <w:pPr>
              <w:spacing w:after="0"/>
              <w:rPr>
                <w:sz w:val="23"/>
                <w:szCs w:val="23"/>
                <w:color w:val="auto"/>
              </w:rPr>
            </w:pPr>
          </w:p>
        </w:tc>
      </w:tr>
      <w:tr>
        <w:trPr>
          <w:trHeight w:val="263"/>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C. Choksi</w:t>
            </w:r>
          </w:p>
        </w:tc>
        <w:tc>
          <w:tcPr>
            <w:tcW w:w="22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6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264"/>
        </w:trPr>
        <w:tc>
          <w:tcPr>
            <w:tcW w:w="378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Leonard S. Coleman</w:t>
            </w:r>
          </w:p>
        </w:tc>
        <w:tc>
          <w:tcPr>
            <w:tcW w:w="2220" w:type="dxa"/>
            <w:vAlign w:val="bottom"/>
            <w:tcBorders>
              <w:bottom w:val="single" w:sz="8" w:color="auto"/>
            </w:tcBorders>
            <w:shd w:val="clear" w:color="auto" w:fill="CCCCCC"/>
          </w:tcPr>
          <w:p>
            <w:pPr>
              <w:spacing w:after="0"/>
              <w:rPr>
                <w:sz w:val="22"/>
                <w:szCs w:val="22"/>
                <w:color w:val="auto"/>
              </w:rPr>
            </w:pPr>
          </w:p>
        </w:tc>
        <w:tc>
          <w:tcPr>
            <w:tcW w:w="1820" w:type="dxa"/>
            <w:vAlign w:val="bottom"/>
            <w:tcBorders>
              <w:bottom w:val="single" w:sz="8" w:color="auto"/>
            </w:tcBorders>
            <w:shd w:val="clear" w:color="auto" w:fill="CCCCCC"/>
          </w:tcPr>
          <w:p>
            <w:pPr>
              <w:spacing w:after="0"/>
              <w:rPr>
                <w:sz w:val="22"/>
                <w:szCs w:val="22"/>
                <w:color w:val="auto"/>
              </w:rPr>
            </w:pPr>
          </w:p>
        </w:tc>
        <w:tc>
          <w:tcPr>
            <w:tcW w:w="1620" w:type="dxa"/>
            <w:vAlign w:val="bottom"/>
            <w:tcBorders>
              <w:bottom w:val="single" w:sz="8" w:color="auto"/>
            </w:tcBorders>
            <w:shd w:val="clear" w:color="auto" w:fill="CCCCCC"/>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Borders>
              <w:bottom w:val="single" w:sz="8" w:color="auto"/>
            </w:tcBorders>
            <w:shd w:val="clear" w:color="auto" w:fill="CCCCCC"/>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Jeffrey H. Fox</w:t>
            </w:r>
          </w:p>
        </w:tc>
        <w:tc>
          <w:tcPr>
            <w:tcW w:w="22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6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268"/>
        </w:trPr>
        <w:tc>
          <w:tcPr>
            <w:tcW w:w="37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Lynn Krominga</w:t>
            </w:r>
          </w:p>
        </w:tc>
        <w:tc>
          <w:tcPr>
            <w:tcW w:w="2220" w:type="dxa"/>
            <w:vAlign w:val="bottom"/>
            <w:tcBorders>
              <w:bottom w:val="single" w:sz="8" w:color="CCCCCC"/>
            </w:tcBorders>
            <w:shd w:val="clear" w:color="auto" w:fill="CCCCCC"/>
          </w:tcPr>
          <w:p>
            <w:pPr>
              <w:jc w:val="center"/>
              <w:ind w:left="510"/>
              <w:spacing w:after="0"/>
              <w:rPr>
                <w:sz w:val="20"/>
                <w:szCs w:val="20"/>
                <w:color w:val="auto"/>
              </w:rPr>
            </w:pPr>
            <w:r>
              <w:rPr>
                <w:rFonts w:ascii="Arial" w:cs="Arial" w:eastAsia="Arial" w:hAnsi="Arial"/>
                <w:sz w:val="18"/>
                <w:szCs w:val="18"/>
                <w:color w:val="auto"/>
                <w:w w:val="98"/>
              </w:rPr>
              <w:t>Interim Chair</w:t>
            </w:r>
          </w:p>
        </w:tc>
        <w:tc>
          <w:tcPr>
            <w:tcW w:w="1820" w:type="dxa"/>
            <w:vAlign w:val="bottom"/>
            <w:tcBorders>
              <w:bottom w:val="single" w:sz="8" w:color="CCCCCC"/>
            </w:tcBorders>
            <w:shd w:val="clear" w:color="auto" w:fill="CCCCCC"/>
          </w:tcPr>
          <w:p>
            <w:pPr>
              <w:spacing w:after="0"/>
              <w:rPr>
                <w:sz w:val="22"/>
                <w:szCs w:val="22"/>
                <w:color w:val="auto"/>
              </w:rPr>
            </w:pPr>
          </w:p>
        </w:tc>
        <w:tc>
          <w:tcPr>
            <w:tcW w:w="16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rPr>
              <w:t>Chair</w:t>
            </w:r>
          </w:p>
        </w:tc>
        <w:tc>
          <w:tcPr>
            <w:tcW w:w="1440" w:type="dxa"/>
            <w:vAlign w:val="bottom"/>
            <w:tcBorders>
              <w:bottom w:val="single" w:sz="8" w:color="CCCCCC"/>
            </w:tcBorders>
            <w:shd w:val="clear" w:color="auto" w:fill="CCCCCC"/>
          </w:tcPr>
          <w:p>
            <w:pPr>
              <w:spacing w:after="0"/>
              <w:rPr>
                <w:sz w:val="22"/>
                <w:szCs w:val="22"/>
                <w:color w:val="auto"/>
              </w:rPr>
            </w:pPr>
          </w:p>
        </w:tc>
      </w:tr>
      <w:tr>
        <w:trPr>
          <w:trHeight w:val="263"/>
        </w:trPr>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Glenn Lurie</w:t>
            </w:r>
          </w:p>
        </w:tc>
        <w:tc>
          <w:tcPr>
            <w:tcW w:w="2220" w:type="dxa"/>
            <w:vAlign w:val="bottom"/>
            <w:tcBorders>
              <w:top w:val="single" w:sz="8" w:color="auto"/>
              <w:bottom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77"/>
              </w:rPr>
              <w:t>✓</w:t>
            </w:r>
          </w:p>
        </w:tc>
        <w:tc>
          <w:tcPr>
            <w:tcW w:w="18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spacing w:after="0"/>
              <w:rPr>
                <w:sz w:val="22"/>
                <w:szCs w:val="22"/>
                <w:color w:val="auto"/>
              </w:rPr>
            </w:pPr>
          </w:p>
        </w:tc>
      </w:tr>
      <w:tr>
        <w:trPr>
          <w:trHeight w:val="268"/>
        </w:trPr>
        <w:tc>
          <w:tcPr>
            <w:tcW w:w="37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Bernardo Hees</w:t>
            </w:r>
          </w:p>
        </w:tc>
        <w:tc>
          <w:tcPr>
            <w:tcW w:w="2220" w:type="dxa"/>
            <w:vAlign w:val="bottom"/>
            <w:tcBorders>
              <w:bottom w:val="single" w:sz="8" w:color="CCCCCC"/>
            </w:tcBorders>
            <w:shd w:val="clear" w:color="auto" w:fill="CCCCCC"/>
          </w:tcPr>
          <w:p>
            <w:pPr>
              <w:spacing w:after="0"/>
              <w:rPr>
                <w:sz w:val="22"/>
                <w:szCs w:val="22"/>
                <w:color w:val="auto"/>
              </w:rPr>
            </w:pPr>
          </w:p>
        </w:tc>
        <w:tc>
          <w:tcPr>
            <w:tcW w:w="1820" w:type="dxa"/>
            <w:vAlign w:val="bottom"/>
            <w:tcBorders>
              <w:bottom w:val="single" w:sz="8" w:color="CCCCCC"/>
            </w:tcBorders>
            <w:shd w:val="clear" w:color="auto" w:fill="CCCCCC"/>
          </w:tcPr>
          <w:p>
            <w:pPr>
              <w:spacing w:after="0"/>
              <w:rPr>
                <w:sz w:val="22"/>
                <w:szCs w:val="22"/>
                <w:color w:val="auto"/>
              </w:rPr>
            </w:pPr>
          </w:p>
        </w:tc>
        <w:tc>
          <w:tcPr>
            <w:tcW w:w="1620" w:type="dxa"/>
            <w:vAlign w:val="bottom"/>
            <w:tcBorders>
              <w:bottom w:val="single" w:sz="8" w:color="CCCCCC"/>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7"/>
              </w:rPr>
              <w:t>Chair</w:t>
            </w:r>
          </w:p>
        </w:tc>
      </w:tr>
      <w:tr>
        <w:trPr>
          <w:trHeight w:val="263"/>
        </w:trPr>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Jagdeep Pahwa</w:t>
            </w:r>
          </w:p>
        </w:tc>
        <w:tc>
          <w:tcPr>
            <w:tcW w:w="222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4"/>
        </w:trPr>
        <w:tc>
          <w:tcPr>
            <w:tcW w:w="378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F. Robert Salerno</w:t>
            </w:r>
          </w:p>
        </w:tc>
        <w:tc>
          <w:tcPr>
            <w:tcW w:w="2220" w:type="dxa"/>
            <w:vAlign w:val="bottom"/>
            <w:tcBorders>
              <w:bottom w:val="single" w:sz="8" w:color="auto"/>
            </w:tcBorders>
            <w:shd w:val="clear" w:color="auto" w:fill="CCCCCC"/>
          </w:tcPr>
          <w:p>
            <w:pPr>
              <w:jc w:val="center"/>
              <w:ind w:left="510"/>
              <w:spacing w:after="0" w:line="181" w:lineRule="exact"/>
              <w:rPr>
                <w:sz w:val="20"/>
                <w:szCs w:val="20"/>
                <w:color w:val="auto"/>
              </w:rPr>
            </w:pPr>
            <w:r>
              <w:rPr>
                <w:rFonts w:ascii="MS PGothic" w:cs="MS PGothic" w:eastAsia="MS PGothic" w:hAnsi="MS PGothic"/>
                <w:sz w:val="18"/>
                <w:szCs w:val="18"/>
                <w:color w:val="auto"/>
                <w:w w:val="77"/>
              </w:rPr>
              <w:t>✓</w:t>
            </w:r>
          </w:p>
        </w:tc>
        <w:tc>
          <w:tcPr>
            <w:tcW w:w="1820" w:type="dxa"/>
            <w:vAlign w:val="bottom"/>
            <w:tcBorders>
              <w:bottom w:val="single" w:sz="8" w:color="auto"/>
            </w:tcBorders>
            <w:shd w:val="clear" w:color="auto" w:fill="CCCCCC"/>
          </w:tcPr>
          <w:p>
            <w:pPr>
              <w:spacing w:after="0"/>
              <w:rPr>
                <w:sz w:val="22"/>
                <w:szCs w:val="22"/>
                <w:color w:val="auto"/>
              </w:rPr>
            </w:pPr>
          </w:p>
        </w:tc>
        <w:tc>
          <w:tcPr>
            <w:tcW w:w="1620" w:type="dxa"/>
            <w:vAlign w:val="bottom"/>
            <w:tcBorders>
              <w:bottom w:val="single" w:sz="8" w:color="auto"/>
            </w:tcBorders>
            <w:shd w:val="clear" w:color="auto" w:fill="CCCCCC"/>
          </w:tcPr>
          <w:p>
            <w:pPr>
              <w:spacing w:after="0"/>
              <w:rPr>
                <w:sz w:val="22"/>
                <w:szCs w:val="22"/>
                <w:color w:val="auto"/>
              </w:rPr>
            </w:pPr>
          </w:p>
        </w:tc>
        <w:tc>
          <w:tcPr>
            <w:tcW w:w="1440" w:type="dxa"/>
            <w:vAlign w:val="bottom"/>
            <w:tcBorders>
              <w:bottom w:val="single" w:sz="8" w:color="auto"/>
            </w:tcBorders>
            <w:shd w:val="clear" w:color="auto" w:fill="CCCCCC"/>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Francis J. Shammo</w:t>
            </w:r>
          </w:p>
        </w:tc>
        <w:tc>
          <w:tcPr>
            <w:tcW w:w="2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53"/>
        </w:trPr>
        <w:tc>
          <w:tcPr>
            <w:tcW w:w="378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64"/>
        </w:trPr>
        <w:tc>
          <w:tcPr>
            <w:tcW w:w="378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Carl Sparks</w:t>
            </w:r>
          </w:p>
        </w:tc>
        <w:tc>
          <w:tcPr>
            <w:tcW w:w="2220" w:type="dxa"/>
            <w:vAlign w:val="bottom"/>
            <w:tcBorders>
              <w:bottom w:val="single" w:sz="8" w:color="auto"/>
            </w:tcBorders>
            <w:shd w:val="clear" w:color="auto" w:fill="CCCCCC"/>
          </w:tcPr>
          <w:p>
            <w:pPr>
              <w:jc w:val="center"/>
              <w:ind w:left="510"/>
              <w:spacing w:after="0" w:line="181" w:lineRule="exact"/>
              <w:rPr>
                <w:sz w:val="20"/>
                <w:szCs w:val="20"/>
                <w:color w:val="auto"/>
              </w:rPr>
            </w:pPr>
            <w:r>
              <w:rPr>
                <w:rFonts w:ascii="MS PGothic" w:cs="MS PGothic" w:eastAsia="MS PGothic" w:hAnsi="MS PGothic"/>
                <w:sz w:val="18"/>
                <w:szCs w:val="18"/>
                <w:color w:val="auto"/>
                <w:w w:val="77"/>
              </w:rPr>
              <w:t>✓</w:t>
            </w:r>
          </w:p>
        </w:tc>
        <w:tc>
          <w:tcPr>
            <w:tcW w:w="1820" w:type="dxa"/>
            <w:vAlign w:val="bottom"/>
            <w:tcBorders>
              <w:bottom w:val="single" w:sz="8" w:color="auto"/>
            </w:tcBorders>
            <w:shd w:val="clear" w:color="auto" w:fill="CCCCCC"/>
          </w:tcPr>
          <w:p>
            <w:pPr>
              <w:spacing w:after="0"/>
              <w:rPr>
                <w:sz w:val="22"/>
                <w:szCs w:val="22"/>
                <w:color w:val="auto"/>
              </w:rPr>
            </w:pPr>
          </w:p>
        </w:tc>
        <w:tc>
          <w:tcPr>
            <w:tcW w:w="1620" w:type="dxa"/>
            <w:vAlign w:val="bottom"/>
            <w:tcBorders>
              <w:bottom w:val="single" w:sz="8" w:color="auto"/>
            </w:tcBorders>
            <w:shd w:val="clear" w:color="auto" w:fill="CCCCCC"/>
          </w:tcPr>
          <w:p>
            <w:pPr>
              <w:spacing w:after="0"/>
              <w:rPr>
                <w:sz w:val="22"/>
                <w:szCs w:val="22"/>
                <w:color w:val="auto"/>
              </w:rPr>
            </w:pPr>
          </w:p>
        </w:tc>
        <w:tc>
          <w:tcPr>
            <w:tcW w:w="1440" w:type="dxa"/>
            <w:vAlign w:val="bottom"/>
            <w:tcBorders>
              <w:bottom w:val="single" w:sz="8" w:color="auto"/>
            </w:tcBorders>
            <w:shd w:val="clear" w:color="auto" w:fill="CCCCCC"/>
          </w:tcPr>
          <w:p>
            <w:pPr>
              <w:spacing w:after="0"/>
              <w:rPr>
                <w:sz w:val="22"/>
                <w:szCs w:val="22"/>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Sanoke Viswanathan</w:t>
            </w:r>
          </w:p>
        </w:tc>
        <w:tc>
          <w:tcPr>
            <w:tcW w:w="2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53"/>
        </w:trPr>
        <w:tc>
          <w:tcPr>
            <w:tcW w:w="378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70"/>
        </w:trPr>
        <w:tc>
          <w:tcPr>
            <w:tcW w:w="378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b w:val="1"/>
                <w:bCs w:val="1"/>
                <w:color w:val="auto"/>
              </w:rPr>
              <w:t>Committee Meetings Held in 2019</w:t>
            </w:r>
          </w:p>
        </w:tc>
        <w:tc>
          <w:tcPr>
            <w:tcW w:w="2220" w:type="dxa"/>
            <w:vAlign w:val="bottom"/>
            <w:tcBorders>
              <w:bottom w:val="single" w:sz="8" w:color="auto"/>
            </w:tcBorders>
            <w:shd w:val="clear" w:color="auto" w:fill="CCCCCC"/>
          </w:tcPr>
          <w:p>
            <w:pPr>
              <w:jc w:val="center"/>
              <w:ind w:left="510"/>
              <w:spacing w:after="0"/>
              <w:rPr>
                <w:sz w:val="20"/>
                <w:szCs w:val="20"/>
                <w:color w:val="auto"/>
              </w:rPr>
            </w:pPr>
            <w:r>
              <w:rPr>
                <w:rFonts w:ascii="Arial" w:cs="Arial" w:eastAsia="Arial" w:hAnsi="Arial"/>
                <w:sz w:val="18"/>
                <w:szCs w:val="18"/>
                <w:color w:val="auto"/>
                <w:w w:val="99"/>
              </w:rPr>
              <w:t>8</w:t>
            </w:r>
          </w:p>
        </w:tc>
        <w:tc>
          <w:tcPr>
            <w:tcW w:w="18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7</w:t>
            </w:r>
          </w:p>
        </w:tc>
        <w:tc>
          <w:tcPr>
            <w:tcW w:w="16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4</w:t>
            </w:r>
          </w:p>
        </w:tc>
        <w:tc>
          <w:tcPr>
            <w:tcW w:w="14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1"/>
              </w:rPr>
              <w:t>0</w:t>
            </w:r>
            <w:r>
              <w:rPr>
                <w:rFonts w:ascii="Arial" w:cs="Arial" w:eastAsia="Arial" w:hAnsi="Arial"/>
                <w:sz w:val="20"/>
                <w:szCs w:val="20"/>
                <w:color w:val="auto"/>
                <w:w w:val="91"/>
                <w:vertAlign w:val="superscript"/>
              </w:rPr>
              <w:t>*</w:t>
            </w:r>
          </w:p>
        </w:tc>
      </w:tr>
    </w:tbl>
    <w:p>
      <w:pPr>
        <w:spacing w:after="0" w:line="15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Executive Committee acted by unanimous consent in 2019.</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The charters of each of the Audit, Compensation and Corporate Governance Committees, respectively, can be found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assists in the Board’s oversight of:</w:t>
      </w:r>
    </w:p>
    <w:p>
      <w:pPr>
        <w:spacing w:after="0" w:line="135" w:lineRule="exact"/>
        <w:rPr>
          <w:sz w:val="20"/>
          <w:szCs w:val="20"/>
          <w:color w:val="auto"/>
        </w:rPr>
      </w:pPr>
    </w:p>
    <w:p>
      <w:pPr>
        <w:ind w:left="340" w:hanging="314"/>
        <w:spacing w:after="0"/>
        <w:tabs>
          <w:tab w:leader="none" w:pos="3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integrity of the Company’s consolidated financial statements;</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Company’s independent auditors’ qualifications and independence;</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performance of the Company’s independent auditors and the Company’s internal audit function;</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Company’s compliance with legal and regulatory requirements;</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Company’s systems of disclosure controls and procedures, and internal controls over financial reporting; and</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Company’s major financial risk exposures and the steps management has undertaken to control such risks.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each member of the Audit Committee qualifies as an “audit committee financial expert” as defined by the rules of the SEC, thereby satisfying NASDAQ’s “financial sophistication” requirement.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Committee include to:</w:t>
      </w:r>
    </w:p>
    <w:p>
      <w:pPr>
        <w:spacing w:after="0" w:line="171" w:lineRule="exact"/>
        <w:rPr>
          <w:sz w:val="20"/>
          <w:szCs w:val="20"/>
          <w:color w:val="auto"/>
        </w:rPr>
      </w:pPr>
    </w:p>
    <w:p>
      <w:pPr>
        <w:ind w:left="340" w:right="180" w:hanging="314"/>
        <w:spacing w:after="0" w:line="225" w:lineRule="auto"/>
        <w:tabs>
          <w:tab w:leader="none" w:pos="332" w:val="left"/>
        </w:tabs>
        <w:numPr>
          <w:ilvl w:val="0"/>
          <w:numId w:val="23"/>
        </w:numPr>
        <w:rPr>
          <w:rFonts w:ascii="Arial" w:cs="Arial" w:eastAsia="Arial" w:hAnsi="Arial"/>
          <w:sz w:val="22"/>
          <w:szCs w:val="22"/>
          <w:color w:val="auto"/>
        </w:rPr>
      </w:pPr>
      <w:r>
        <w:rPr>
          <w:rFonts w:ascii="Arial" w:cs="Arial" w:eastAsia="Arial" w:hAnsi="Arial"/>
          <w:sz w:val="18"/>
          <w:szCs w:val="18"/>
          <w:color w:val="auto"/>
        </w:rPr>
        <w:t>review and approve corporate goals and objectives relevant to the compensation of the Chief Executive Officer and determine and approve the Chief Executive Officer’s compensation;</w:t>
      </w:r>
    </w:p>
    <w:p>
      <w:pPr>
        <w:spacing w:after="0" w:line="126" w:lineRule="exact"/>
        <w:rPr>
          <w:rFonts w:ascii="Arial" w:cs="Arial" w:eastAsia="Arial" w:hAnsi="Arial"/>
          <w:sz w:val="22"/>
          <w:szCs w:val="22"/>
          <w:color w:val="auto"/>
        </w:rPr>
      </w:pPr>
    </w:p>
    <w:p>
      <w:pPr>
        <w:ind w:left="340" w:hanging="314"/>
        <w:spacing w:after="0"/>
        <w:tabs>
          <w:tab w:leader="none" w:pos="340" w:val="left"/>
        </w:tabs>
        <w:numPr>
          <w:ilvl w:val="0"/>
          <w:numId w:val="23"/>
        </w:numPr>
        <w:rPr>
          <w:rFonts w:ascii="Arial" w:cs="Arial" w:eastAsia="Arial" w:hAnsi="Arial"/>
          <w:sz w:val="22"/>
          <w:szCs w:val="22"/>
          <w:color w:val="auto"/>
        </w:rPr>
      </w:pPr>
      <w:r>
        <w:rPr>
          <w:rFonts w:ascii="Arial" w:cs="Arial" w:eastAsia="Arial" w:hAnsi="Arial"/>
          <w:sz w:val="18"/>
          <w:szCs w:val="18"/>
          <w:color w:val="auto"/>
        </w:rPr>
        <w:t>review and approve individual elements of total compensation for our other executive officers;</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23"/>
        </w:numPr>
        <w:rPr>
          <w:rFonts w:ascii="Arial" w:cs="Arial" w:eastAsia="Arial" w:hAnsi="Arial"/>
          <w:sz w:val="22"/>
          <w:szCs w:val="22"/>
          <w:color w:val="auto"/>
        </w:rPr>
      </w:pPr>
      <w:r>
        <w:rPr>
          <w:rFonts w:ascii="Arial" w:cs="Arial" w:eastAsia="Arial" w:hAnsi="Arial"/>
          <w:sz w:val="18"/>
          <w:szCs w:val="18"/>
          <w:color w:val="auto"/>
        </w:rPr>
        <w:t>review and approve our annual and long-term incentive compensation programs and plans;</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23"/>
        </w:numPr>
        <w:rPr>
          <w:rFonts w:ascii="Arial" w:cs="Arial" w:eastAsia="Arial" w:hAnsi="Arial"/>
          <w:sz w:val="22"/>
          <w:szCs w:val="22"/>
          <w:color w:val="auto"/>
        </w:rPr>
      </w:pPr>
      <w:r>
        <w:rPr>
          <w:rFonts w:ascii="Arial" w:cs="Arial" w:eastAsia="Arial" w:hAnsi="Arial"/>
          <w:sz w:val="18"/>
          <w:szCs w:val="18"/>
          <w:color w:val="auto"/>
        </w:rPr>
        <w:t>review and approve all stock option and other equity awards;</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assess the results of the Company’s most recent advisory vote on executive compensation; and</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23"/>
        </w:numPr>
        <w:rPr>
          <w:rFonts w:ascii="Arial" w:cs="Arial" w:eastAsia="Arial" w:hAnsi="Arial"/>
          <w:sz w:val="22"/>
          <w:szCs w:val="22"/>
          <w:color w:val="auto"/>
        </w:rPr>
      </w:pPr>
      <w:r>
        <w:rPr>
          <w:rFonts w:ascii="Arial" w:cs="Arial" w:eastAsia="Arial" w:hAnsi="Arial"/>
          <w:sz w:val="18"/>
          <w:szCs w:val="18"/>
          <w:color w:val="auto"/>
        </w:rPr>
        <w:t>evaluate whether compensation arrangements for executive officers incentivize unnecessary risk-taking.</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listing standards and the Company’s Director Independence Criteria and a non-employee director for purposes of Section 16 of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Committee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 Procedures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2021 Annual Meeting” below.</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These candidates are evaluated by the Corporate Governance Committee by reviewing such candidates’ biographical information and qualifications and checking the candidates’ references. Certain qualified candidates are interviewed by at least one member of the Corporate Governance Committee. Using the input from this interview and other information, the Corporate Governance Committee evaluates whether the candidate is qualified to serve as a director and whether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candidates to be nominees for director positions recommended by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Diversity</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included in its process of identifying and evaluating candidates to be nominees to the Board. In 2019, the Board amended the Company’s corporate governance guidelines to affirm the Committee’s commitment to diversity to include, and shall have any search firm it engages include, women and minority candidates in the pool from which the Corporate Governance Committee selects director candidates. The Company believes that its nominees further its commitment to enhancing diversity at the Board level.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Committee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shareholders of the Company, (c) appoint any member of the Executive Committee, or (d) take any other action which legally may be taken only by the full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the Chief Executive Officer and for overseeing the development, implementation and periodic review of a succession plan for senior executives.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views succession planning as a continual process. In order to ensure that qualified candidates are available for senior executive positions, the Board of Directors oversees the development of internal candidates, maintains talent development plans to strengthen the skills and qualifications of such candidates and is responsible, if necessary, for the identification of suitable external successor candidates.</w:t>
      </w:r>
    </w:p>
    <w:p>
      <w:pPr>
        <w:spacing w:after="0" w:line="13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May 2019, we announced the planned departure of our former Chief Executive Officer, which became effective on December 31, 2019. Joseph Ferraro, our President, Americas for 2019, assumed the role of Interim Chief Executive Officer on January 1, 2020.</w:t>
      </w:r>
    </w:p>
    <w:p>
      <w:pPr>
        <w:spacing w:after="0" w:line="1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Board of Directors also maintains an “emergency” succession plan in the event of an unexpected disability or inability of our senior executives to perform his or her duties.</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related person transactions that require reporting under SEC rules. The Company has adopted written procedures for the review, approval or ratification of transactions with related persons that apply to any transaction, arrangement or relationship in which:</w:t>
      </w:r>
    </w:p>
    <w:p>
      <w:pPr>
        <w:spacing w:after="0" w:line="147" w:lineRule="exact"/>
        <w:rPr>
          <w:sz w:val="20"/>
          <w:szCs w:val="20"/>
          <w:color w:val="auto"/>
        </w:rPr>
      </w:pPr>
    </w:p>
    <w:p>
      <w:pPr>
        <w:ind w:left="340" w:hanging="314"/>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 (including any of its subsidiaries) was, is or will be a participant; and</w:t>
      </w:r>
    </w:p>
    <w:p>
      <w:pPr>
        <w:spacing w:after="0" w:line="174" w:lineRule="exact"/>
        <w:rPr>
          <w:rFonts w:ascii="Arial" w:cs="Arial" w:eastAsia="Arial" w:hAnsi="Arial"/>
          <w:sz w:val="22"/>
          <w:szCs w:val="22"/>
          <w:color w:val="auto"/>
        </w:rPr>
      </w:pPr>
    </w:p>
    <w:p>
      <w:pPr>
        <w:ind w:left="340" w:right="280" w:hanging="314"/>
        <w:spacing w:after="0" w:line="228" w:lineRule="auto"/>
        <w:tabs>
          <w:tab w:leader="none" w:pos="332" w:val="left"/>
        </w:tabs>
        <w:numPr>
          <w:ilvl w:val="0"/>
          <w:numId w:val="24"/>
        </w:numPr>
        <w:rPr>
          <w:rFonts w:ascii="Arial" w:cs="Arial" w:eastAsia="Arial" w:hAnsi="Arial"/>
          <w:sz w:val="22"/>
          <w:szCs w:val="22"/>
          <w:color w:val="auto"/>
        </w:rPr>
      </w:pPr>
      <w:r>
        <w:rPr>
          <w:rFonts w:ascii="Arial" w:cs="Arial" w:eastAsia="Arial" w:hAnsi="Arial"/>
          <w:sz w:val="18"/>
          <w:szCs w:val="18"/>
          <w:color w:val="auto"/>
        </w:rPr>
        <w:t>any related person (i.e.,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and Chief Compliance Officer and the Corporate Secretary of the Company, or in certain circumstances, as soon as possible thereafter. If it is determined by such officers that the transaction is a related person transaction and the amount involved exceeds $120,000:</w:t>
      </w:r>
    </w:p>
    <w:p>
      <w:pPr>
        <w:spacing w:after="0" w:line="162" w:lineRule="exact"/>
        <w:rPr>
          <w:sz w:val="20"/>
          <w:szCs w:val="20"/>
          <w:color w:val="auto"/>
        </w:rPr>
      </w:pPr>
    </w:p>
    <w:p>
      <w:pPr>
        <w:ind w:left="340" w:right="260" w:hanging="314"/>
        <w:spacing w:after="0" w:line="225" w:lineRule="auto"/>
        <w:tabs>
          <w:tab w:leader="none" w:pos="332"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transaction will be submitted for review to the Audit Committee, or, under certain circumstances, to the Chairman of the Audit Committee.</w:t>
      </w:r>
    </w:p>
    <w:p>
      <w:pPr>
        <w:spacing w:after="0" w:line="126" w:lineRule="exact"/>
        <w:rPr>
          <w:rFonts w:ascii="Arial" w:cs="Arial" w:eastAsia="Arial" w:hAnsi="Arial"/>
          <w:sz w:val="22"/>
          <w:szCs w:val="22"/>
          <w:color w:val="auto"/>
        </w:rPr>
      </w:pPr>
    </w:p>
    <w:p>
      <w:pPr>
        <w:ind w:left="340" w:hanging="314"/>
        <w:spacing w:after="0"/>
        <w:tabs>
          <w:tab w:leader="none" w:pos="3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Audit Committee or its Chairman will then consider all relevant facts and circumstances available.</w:t>
      </w:r>
    </w:p>
    <w:p>
      <w:pPr>
        <w:spacing w:after="0" w:line="161" w:lineRule="exact"/>
        <w:rPr>
          <w:rFonts w:ascii="Arial" w:cs="Arial" w:eastAsia="Arial" w:hAnsi="Arial"/>
          <w:sz w:val="22"/>
          <w:szCs w:val="22"/>
          <w:color w:val="auto"/>
        </w:rPr>
      </w:pPr>
    </w:p>
    <w:p>
      <w:pPr>
        <w:ind w:left="340" w:right="40" w:hanging="314"/>
        <w:spacing w:after="0" w:line="225" w:lineRule="auto"/>
        <w:tabs>
          <w:tab w:leader="none" w:pos="332"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Audit Committee or its Chairman will approve only those transactions, determined in good faith to be in, or not inconsistent with, the best interests of the Company and its shareholders.</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69094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conduct engagement and outreach efforts in order to communicate with existing and prospective shareholders, lenders, research analysts, rating agencies, governance firms and others. In 2019, our key engagement activities included numerous group and one-on-one investor meetings, conference calls accessible to all shareholders following each of our quarterly earnings releases, presentations at various investor conferences, and our 2019 Annual Meeting of Shareholders. Members of management, in addition to our Chief Executive Officer and Chief Financial Officer, participated in these activities, each of which contained opportunities for shareholders and other constituents to provide feedback to management.</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certain of our independent Board members attend investor meetings, in addition to attending the Annual Meeting of Shareholders.</w:t>
      </w:r>
    </w:p>
    <w:p>
      <w:pPr>
        <w:spacing w:after="0" w:line="12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Our investor relations department is the key point of contact for shareholder interaction with the Company. Shareholders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Security Ownership of Certain Beneficial Owners</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sets forth information regarding beneficial ownership of shares of Common Stock as of March 4, 2020, by (i) each person who is known by us to beneficially own more than 5% of the outstanding shares of Common Stock, (ii) each of the Company’s directors and each of its named executive officers, and (iii) all of the Company’s directors, nominees and current executive officers,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Of the Total Number of Shares</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Beneficially Owned, Shares</w:t>
            </w: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210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 Amount of 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which May be Acquired within</w:t>
            </w:r>
          </w:p>
        </w:tc>
        <w:tc>
          <w:tcPr>
            <w:tcW w:w="0" w:type="dxa"/>
            <w:vAlign w:val="bottom"/>
          </w:tcPr>
          <w:p>
            <w:pPr>
              <w:spacing w:after="0"/>
              <w:rPr>
                <w:sz w:val="1"/>
                <w:szCs w:val="1"/>
                <w:color w:val="auto"/>
              </w:rPr>
            </w:pPr>
          </w:p>
        </w:tc>
      </w:tr>
      <w:tr>
        <w:trPr>
          <w:trHeight w:val="25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21"/>
                <w:szCs w:val="21"/>
                <w:b w:val="1"/>
                <w:bCs w:val="1"/>
                <w:color w:val="auto"/>
                <w:vertAlign w:val="superscript"/>
              </w:rPr>
              <w:t>(1)</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w:t>
            </w:r>
            <w:r>
              <w:rPr>
                <w:rFonts w:ascii="Arial" w:cs="Arial" w:eastAsia="Arial" w:hAnsi="Arial"/>
                <w:sz w:val="21"/>
                <w:szCs w:val="21"/>
                <w:b w:val="1"/>
                <w:bCs w:val="1"/>
                <w:color w:val="auto"/>
                <w:w w:val="93"/>
                <w:vertAlign w:val="superscript"/>
              </w:rPr>
              <w:t>(2)</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60 Days</w:t>
            </w:r>
            <w:r>
              <w:rPr>
                <w:rFonts w:ascii="Arial" w:cs="Arial" w:eastAsia="Arial" w:hAnsi="Arial"/>
                <w:sz w:val="21"/>
                <w:szCs w:val="21"/>
                <w:b w:val="1"/>
                <w:bCs w:val="1"/>
                <w:color w:val="auto"/>
                <w:w w:val="97"/>
                <w:vertAlign w:val="superscript"/>
              </w:rPr>
              <w:t>(3)</w:t>
            </w:r>
          </w:p>
        </w:tc>
        <w:tc>
          <w:tcPr>
            <w:tcW w:w="0" w:type="dxa"/>
            <w:vAlign w:val="bottom"/>
          </w:tcPr>
          <w:p>
            <w:pPr>
              <w:spacing w:after="0"/>
              <w:rPr>
                <w:sz w:val="1"/>
                <w:szCs w:val="1"/>
                <w:color w:val="auto"/>
              </w:rPr>
            </w:pPr>
          </w:p>
        </w:tc>
      </w:tr>
      <w:tr>
        <w:trPr>
          <w:trHeight w:val="204"/>
        </w:trPr>
        <w:tc>
          <w:tcPr>
            <w:tcW w:w="454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Principal Shareholders:**</w:t>
            </w:r>
          </w:p>
        </w:tc>
        <w:tc>
          <w:tcPr>
            <w:tcW w:w="2100" w:type="dxa"/>
            <w:vAlign w:val="bottom"/>
            <w:shd w:val="clear" w:color="auto" w:fill="CCCCCC"/>
          </w:tcPr>
          <w:p>
            <w:pPr>
              <w:spacing w:after="0"/>
              <w:rPr>
                <w:sz w:val="17"/>
                <w:szCs w:val="17"/>
                <w:color w:val="auto"/>
              </w:rPr>
            </w:pPr>
          </w:p>
        </w:tc>
        <w:tc>
          <w:tcPr>
            <w:tcW w:w="1540" w:type="dxa"/>
            <w:vAlign w:val="bottom"/>
            <w:shd w:val="clear" w:color="auto" w:fill="CCCCCC"/>
          </w:tcPr>
          <w:p>
            <w:pPr>
              <w:spacing w:after="0"/>
              <w:rPr>
                <w:sz w:val="17"/>
                <w:szCs w:val="17"/>
                <w:color w:val="auto"/>
              </w:rPr>
            </w:pPr>
          </w:p>
        </w:tc>
        <w:tc>
          <w:tcPr>
            <w:tcW w:w="270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540" w:type="dxa"/>
            <w:vAlign w:val="bottom"/>
            <w:tcBorders>
              <w:bottom w:val="single" w:sz="8" w:color="auto"/>
            </w:tcBorders>
            <w:shd w:val="clear" w:color="auto" w:fill="CCCCCC"/>
          </w:tcPr>
          <w:p>
            <w:pPr>
              <w:spacing w:after="0"/>
              <w:rPr>
                <w:sz w:val="5"/>
                <w:szCs w:val="5"/>
                <w:color w:val="auto"/>
              </w:rPr>
            </w:pPr>
          </w:p>
        </w:tc>
        <w:tc>
          <w:tcPr>
            <w:tcW w:w="2100" w:type="dxa"/>
            <w:vAlign w:val="bottom"/>
            <w:tcBorders>
              <w:bottom w:val="single" w:sz="8" w:color="auto"/>
            </w:tcBorders>
            <w:shd w:val="clear" w:color="auto" w:fill="CCCCCC"/>
          </w:tcPr>
          <w:p>
            <w:pPr>
              <w:spacing w:after="0"/>
              <w:rPr>
                <w:sz w:val="5"/>
                <w:szCs w:val="5"/>
                <w:color w:val="auto"/>
              </w:rPr>
            </w:pPr>
          </w:p>
        </w:tc>
        <w:tc>
          <w:tcPr>
            <w:tcW w:w="1540" w:type="dxa"/>
            <w:vAlign w:val="bottom"/>
            <w:tcBorders>
              <w:bottom w:val="single" w:sz="8" w:color="auto"/>
            </w:tcBorders>
            <w:shd w:val="clear" w:color="auto" w:fill="CCCCCC"/>
          </w:tcPr>
          <w:p>
            <w:pPr>
              <w:spacing w:after="0"/>
              <w:rPr>
                <w:sz w:val="5"/>
                <w:szCs w:val="5"/>
                <w:color w:val="auto"/>
              </w:rPr>
            </w:pPr>
          </w:p>
        </w:tc>
        <w:tc>
          <w:tcPr>
            <w:tcW w:w="2700" w:type="dxa"/>
            <w:vAlign w:val="bottom"/>
            <w:tcBorders>
              <w:bottom w:val="single" w:sz="8" w:color="auto"/>
            </w:tcBorders>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540" w:type="dxa"/>
            <w:vAlign w:val="bottom"/>
          </w:tcPr>
          <w:p>
            <w:pPr>
              <w:spacing w:after="0" w:line="180" w:lineRule="exact"/>
              <w:rPr>
                <w:sz w:val="20"/>
                <w:szCs w:val="20"/>
                <w:color w:val="auto"/>
              </w:rPr>
            </w:pPr>
            <w:r>
              <w:rPr>
                <w:rFonts w:ascii="Arial" w:cs="Arial" w:eastAsia="Arial" w:hAnsi="Arial"/>
                <w:sz w:val="14"/>
                <w:szCs w:val="14"/>
                <w:color w:val="auto"/>
              </w:rPr>
              <w:t>SRS Investment Management, LLC</w:t>
            </w:r>
            <w:r>
              <w:rPr>
                <w:rFonts w:ascii="Arial" w:cs="Arial" w:eastAsia="Arial" w:hAnsi="Arial"/>
                <w:sz w:val="20"/>
                <w:szCs w:val="20"/>
                <w:color w:val="auto"/>
                <w:vertAlign w:val="superscript"/>
              </w:rPr>
              <w:t>(4)</w:t>
            </w:r>
          </w:p>
        </w:tc>
        <w:tc>
          <w:tcPr>
            <w:tcW w:w="2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4"/>
                <w:szCs w:val="14"/>
                <w:color w:val="auto"/>
              </w:rPr>
              <w:t>1 Bryant Park, 39</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w:t>
            </w:r>
          </w:p>
        </w:tc>
        <w:tc>
          <w:tcPr>
            <w:tcW w:w="2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New York, NY 10036</w:t>
            </w:r>
          </w:p>
        </w:tc>
        <w:tc>
          <w:tcPr>
            <w:tcW w:w="2100" w:type="dxa"/>
            <w:vAlign w:val="bottom"/>
          </w:tcPr>
          <w:p>
            <w:pPr>
              <w:jc w:val="right"/>
              <w:ind w:right="548"/>
              <w:spacing w:after="0"/>
              <w:rPr>
                <w:sz w:val="20"/>
                <w:szCs w:val="20"/>
                <w:color w:val="auto"/>
              </w:rPr>
            </w:pPr>
            <w:r>
              <w:rPr>
                <w:rFonts w:ascii="Arial" w:cs="Arial" w:eastAsia="Arial" w:hAnsi="Arial"/>
                <w:sz w:val="14"/>
                <w:szCs w:val="14"/>
                <w:color w:val="auto"/>
              </w:rPr>
              <w:t>16,189,300</w:t>
            </w:r>
          </w:p>
        </w:tc>
        <w:tc>
          <w:tcPr>
            <w:tcW w:w="1540" w:type="dxa"/>
            <w:vAlign w:val="bottom"/>
          </w:tcPr>
          <w:p>
            <w:pPr>
              <w:jc w:val="center"/>
              <w:spacing w:after="0"/>
              <w:rPr>
                <w:sz w:val="20"/>
                <w:szCs w:val="20"/>
                <w:color w:val="auto"/>
              </w:rPr>
            </w:pPr>
            <w:r>
              <w:rPr>
                <w:rFonts w:ascii="Arial" w:cs="Arial" w:eastAsia="Arial" w:hAnsi="Arial"/>
                <w:sz w:val="14"/>
                <w:szCs w:val="14"/>
                <w:color w:val="auto"/>
              </w:rPr>
              <w:t>21.8%</w:t>
            </w:r>
          </w:p>
        </w:tc>
        <w:tc>
          <w:tcPr>
            <w:tcW w:w="270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540" w:type="dxa"/>
            <w:vAlign w:val="bottom"/>
            <w:shd w:val="clear" w:color="auto" w:fill="CCCCCC"/>
          </w:tcPr>
          <w:p>
            <w:pPr>
              <w:spacing w:after="0" w:line="180" w:lineRule="exact"/>
              <w:rPr>
                <w:sz w:val="20"/>
                <w:szCs w:val="20"/>
                <w:color w:val="auto"/>
              </w:rPr>
            </w:pPr>
            <w:r>
              <w:rPr>
                <w:rFonts w:ascii="Arial" w:cs="Arial" w:eastAsia="Arial" w:hAnsi="Arial"/>
                <w:sz w:val="14"/>
                <w:szCs w:val="14"/>
                <w:color w:val="auto"/>
              </w:rPr>
              <w:t>Glenview Capital Management, LLC</w:t>
            </w:r>
            <w:r>
              <w:rPr>
                <w:rFonts w:ascii="Arial" w:cs="Arial" w:eastAsia="Arial" w:hAnsi="Arial"/>
                <w:sz w:val="20"/>
                <w:szCs w:val="20"/>
                <w:color w:val="auto"/>
                <w:vertAlign w:val="superscript"/>
              </w:rPr>
              <w:t>(5)</w:t>
            </w:r>
          </w:p>
        </w:tc>
        <w:tc>
          <w:tcPr>
            <w:tcW w:w="2100" w:type="dxa"/>
            <w:vAlign w:val="bottom"/>
            <w:shd w:val="clear" w:color="auto" w:fill="CCCCCC"/>
          </w:tcPr>
          <w:p>
            <w:pPr>
              <w:spacing w:after="0"/>
              <w:rPr>
                <w:sz w:val="15"/>
                <w:szCs w:val="15"/>
                <w:color w:val="auto"/>
              </w:rPr>
            </w:pPr>
          </w:p>
        </w:tc>
        <w:tc>
          <w:tcPr>
            <w:tcW w:w="1540" w:type="dxa"/>
            <w:vAlign w:val="bottom"/>
            <w:shd w:val="clear" w:color="auto" w:fill="CCCCCC"/>
          </w:tcPr>
          <w:p>
            <w:pPr>
              <w:spacing w:after="0"/>
              <w:rPr>
                <w:sz w:val="15"/>
                <w:szCs w:val="15"/>
                <w:color w:val="auto"/>
              </w:rPr>
            </w:pPr>
          </w:p>
        </w:tc>
        <w:tc>
          <w:tcPr>
            <w:tcW w:w="27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CCCCCC"/>
          </w:tcPr>
          <w:p>
            <w:pPr>
              <w:spacing w:after="0" w:line="197" w:lineRule="exact"/>
              <w:rPr>
                <w:sz w:val="20"/>
                <w:szCs w:val="20"/>
                <w:color w:val="auto"/>
              </w:rPr>
            </w:pPr>
            <w:r>
              <w:rPr>
                <w:rFonts w:ascii="Arial" w:cs="Arial" w:eastAsia="Arial" w:hAnsi="Arial"/>
                <w:sz w:val="14"/>
                <w:szCs w:val="14"/>
                <w:color w:val="auto"/>
              </w:rPr>
              <w:t>767 Fifth Avenue, 44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w:t>
            </w:r>
          </w:p>
        </w:tc>
        <w:tc>
          <w:tcPr>
            <w:tcW w:w="2100" w:type="dxa"/>
            <w:vAlign w:val="bottom"/>
            <w:shd w:val="clear" w:color="auto" w:fill="CCCCCC"/>
          </w:tcPr>
          <w:p>
            <w:pPr>
              <w:spacing w:after="0"/>
              <w:rPr>
                <w:sz w:val="17"/>
                <w:szCs w:val="17"/>
                <w:color w:val="auto"/>
              </w:rPr>
            </w:pPr>
          </w:p>
        </w:tc>
        <w:tc>
          <w:tcPr>
            <w:tcW w:w="1540" w:type="dxa"/>
            <w:vAlign w:val="bottom"/>
            <w:shd w:val="clear" w:color="auto" w:fill="CCCCCC"/>
          </w:tcPr>
          <w:p>
            <w:pPr>
              <w:spacing w:after="0"/>
              <w:rPr>
                <w:sz w:val="17"/>
                <w:szCs w:val="17"/>
                <w:color w:val="auto"/>
              </w:rPr>
            </w:pPr>
          </w:p>
        </w:tc>
        <w:tc>
          <w:tcPr>
            <w:tcW w:w="270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color w:val="auto"/>
              </w:rPr>
              <w:t>New York, NY 10153</w:t>
            </w:r>
          </w:p>
        </w:tc>
        <w:tc>
          <w:tcPr>
            <w:tcW w:w="2100" w:type="dxa"/>
            <w:vAlign w:val="bottom"/>
            <w:tcBorders>
              <w:bottom w:val="single" w:sz="8" w:color="CCCCCC"/>
            </w:tcBorders>
            <w:shd w:val="clear" w:color="auto" w:fill="CCCCCC"/>
          </w:tcPr>
          <w:p>
            <w:pPr>
              <w:jc w:val="right"/>
              <w:ind w:right="568"/>
              <w:spacing w:after="0"/>
              <w:rPr>
                <w:sz w:val="20"/>
                <w:szCs w:val="20"/>
                <w:color w:val="auto"/>
              </w:rPr>
            </w:pPr>
            <w:r>
              <w:rPr>
                <w:rFonts w:ascii="Arial" w:cs="Arial" w:eastAsia="Arial" w:hAnsi="Arial"/>
                <w:sz w:val="14"/>
                <w:szCs w:val="14"/>
                <w:color w:val="auto"/>
              </w:rPr>
              <w:t>7,199,319</w:t>
            </w:r>
          </w:p>
        </w:tc>
        <w:tc>
          <w:tcPr>
            <w:tcW w:w="15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9.7%</w:t>
            </w:r>
          </w:p>
        </w:tc>
        <w:tc>
          <w:tcPr>
            <w:tcW w:w="2700" w:type="dxa"/>
            <w:vAlign w:val="bottom"/>
            <w:tcBorders>
              <w:bottom w:val="single" w:sz="8" w:color="CCCCCC"/>
            </w:tcBorders>
            <w:shd w:val="clear" w:color="auto" w:fill="CCCCCC"/>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40" w:type="dxa"/>
            <w:vAlign w:val="bottom"/>
            <w:tcBorders>
              <w:top w:val="single" w:sz="8" w:color="auto"/>
            </w:tcBorders>
          </w:tcPr>
          <w:p>
            <w:pPr>
              <w:spacing w:after="0" w:line="180" w:lineRule="exact"/>
              <w:rPr>
                <w:sz w:val="20"/>
                <w:szCs w:val="20"/>
                <w:color w:val="auto"/>
              </w:rPr>
            </w:pPr>
            <w:r>
              <w:rPr>
                <w:rFonts w:ascii="Arial" w:cs="Arial" w:eastAsia="Arial" w:hAnsi="Arial"/>
                <w:sz w:val="14"/>
                <w:szCs w:val="14"/>
                <w:color w:val="auto"/>
              </w:rPr>
              <w:t>BlackRock, Inc.</w:t>
            </w:r>
            <w:r>
              <w:rPr>
                <w:rFonts w:ascii="Arial" w:cs="Arial" w:eastAsia="Arial" w:hAnsi="Arial"/>
                <w:sz w:val="20"/>
                <w:szCs w:val="20"/>
                <w:color w:val="auto"/>
                <w:vertAlign w:val="superscript"/>
              </w:rPr>
              <w:t>(6)</w:t>
            </w:r>
          </w:p>
        </w:tc>
        <w:tc>
          <w:tcPr>
            <w:tcW w:w="2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4"/>
                <w:szCs w:val="14"/>
                <w:color w:val="auto"/>
              </w:rPr>
              <w:t>55 East 52</w:t>
            </w:r>
            <w:r>
              <w:rPr>
                <w:rFonts w:ascii="Arial" w:cs="Arial" w:eastAsia="Arial" w:hAnsi="Arial"/>
                <w:sz w:val="21"/>
                <w:szCs w:val="21"/>
                <w:color w:val="auto"/>
                <w:vertAlign w:val="superscript"/>
              </w:rPr>
              <w:t>nd</w:t>
            </w:r>
            <w:r>
              <w:rPr>
                <w:rFonts w:ascii="Arial" w:cs="Arial" w:eastAsia="Arial" w:hAnsi="Arial"/>
                <w:sz w:val="14"/>
                <w:szCs w:val="14"/>
                <w:color w:val="auto"/>
              </w:rPr>
              <w:t xml:space="preserve"> Street</w:t>
            </w:r>
          </w:p>
        </w:tc>
        <w:tc>
          <w:tcPr>
            <w:tcW w:w="2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New York, NY 10055</w:t>
            </w:r>
          </w:p>
        </w:tc>
        <w:tc>
          <w:tcPr>
            <w:tcW w:w="2100" w:type="dxa"/>
            <w:vAlign w:val="bottom"/>
          </w:tcPr>
          <w:p>
            <w:pPr>
              <w:jc w:val="right"/>
              <w:ind w:right="568"/>
              <w:spacing w:after="0"/>
              <w:rPr>
                <w:sz w:val="20"/>
                <w:szCs w:val="20"/>
                <w:color w:val="auto"/>
              </w:rPr>
            </w:pPr>
            <w:r>
              <w:rPr>
                <w:rFonts w:ascii="Arial" w:cs="Arial" w:eastAsia="Arial" w:hAnsi="Arial"/>
                <w:sz w:val="14"/>
                <w:szCs w:val="14"/>
                <w:color w:val="auto"/>
              </w:rPr>
              <w:t>7,173,351</w:t>
            </w:r>
          </w:p>
        </w:tc>
        <w:tc>
          <w:tcPr>
            <w:tcW w:w="1540" w:type="dxa"/>
            <w:vAlign w:val="bottom"/>
          </w:tcPr>
          <w:p>
            <w:pPr>
              <w:jc w:val="center"/>
              <w:spacing w:after="0"/>
              <w:rPr>
                <w:sz w:val="20"/>
                <w:szCs w:val="20"/>
                <w:color w:val="auto"/>
              </w:rPr>
            </w:pPr>
            <w:r>
              <w:rPr>
                <w:rFonts w:ascii="Arial" w:cs="Arial" w:eastAsia="Arial" w:hAnsi="Arial"/>
                <w:sz w:val="14"/>
                <w:szCs w:val="14"/>
                <w:color w:val="auto"/>
              </w:rPr>
              <w:t>9.7%</w:t>
            </w:r>
          </w:p>
        </w:tc>
        <w:tc>
          <w:tcPr>
            <w:tcW w:w="270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40" w:type="dxa"/>
            <w:vAlign w:val="bottom"/>
            <w:shd w:val="clear" w:color="auto" w:fill="CCCCCC"/>
          </w:tcPr>
          <w:p>
            <w:pPr>
              <w:spacing w:after="0" w:line="188" w:lineRule="exact"/>
              <w:rPr>
                <w:sz w:val="20"/>
                <w:szCs w:val="20"/>
                <w:color w:val="auto"/>
              </w:rPr>
            </w:pPr>
            <w:r>
              <w:rPr>
                <w:rFonts w:ascii="Arial" w:cs="Arial" w:eastAsia="Arial" w:hAnsi="Arial"/>
                <w:sz w:val="14"/>
                <w:szCs w:val="14"/>
                <w:color w:val="auto"/>
              </w:rPr>
              <w:t>Vanguard Group, Inc.</w:t>
            </w:r>
            <w:r>
              <w:rPr>
                <w:rFonts w:ascii="Arial" w:cs="Arial" w:eastAsia="Arial" w:hAnsi="Arial"/>
                <w:sz w:val="21"/>
                <w:szCs w:val="21"/>
                <w:color w:val="auto"/>
                <w:vertAlign w:val="superscript"/>
              </w:rPr>
              <w:t>(7)</w:t>
            </w:r>
          </w:p>
        </w:tc>
        <w:tc>
          <w:tcPr>
            <w:tcW w:w="2100" w:type="dxa"/>
            <w:vAlign w:val="bottom"/>
            <w:shd w:val="clear" w:color="auto" w:fill="CCCCCC"/>
          </w:tcPr>
          <w:p>
            <w:pPr>
              <w:spacing w:after="0"/>
              <w:rPr>
                <w:sz w:val="16"/>
                <w:szCs w:val="16"/>
                <w:color w:val="auto"/>
              </w:rPr>
            </w:pPr>
          </w:p>
        </w:tc>
        <w:tc>
          <w:tcPr>
            <w:tcW w:w="1540" w:type="dxa"/>
            <w:vAlign w:val="bottom"/>
            <w:shd w:val="clear" w:color="auto" w:fill="CCCCCC"/>
          </w:tcPr>
          <w:p>
            <w:pPr>
              <w:spacing w:after="0"/>
              <w:rPr>
                <w:sz w:val="16"/>
                <w:szCs w:val="16"/>
                <w:color w:val="auto"/>
              </w:rPr>
            </w:pPr>
          </w:p>
        </w:tc>
        <w:tc>
          <w:tcPr>
            <w:tcW w:w="2700" w:type="dxa"/>
            <w:vAlign w:val="bottom"/>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100 Vanguard Blvd.</w:t>
            </w:r>
          </w:p>
        </w:tc>
        <w:tc>
          <w:tcPr>
            <w:tcW w:w="2100" w:type="dxa"/>
            <w:vAlign w:val="bottom"/>
            <w:shd w:val="clear" w:color="auto" w:fill="CCCCCC"/>
          </w:tcPr>
          <w:p>
            <w:pPr>
              <w:spacing w:after="0"/>
              <w:rPr>
                <w:sz w:val="14"/>
                <w:szCs w:val="14"/>
                <w:color w:val="auto"/>
              </w:rPr>
            </w:pPr>
          </w:p>
        </w:tc>
        <w:tc>
          <w:tcPr>
            <w:tcW w:w="1540" w:type="dxa"/>
            <w:vAlign w:val="bottom"/>
            <w:shd w:val="clear" w:color="auto" w:fill="CCCCCC"/>
          </w:tcPr>
          <w:p>
            <w:pPr>
              <w:spacing w:after="0"/>
              <w:rPr>
                <w:sz w:val="14"/>
                <w:szCs w:val="14"/>
                <w:color w:val="auto"/>
              </w:rPr>
            </w:pPr>
          </w:p>
        </w:tc>
        <w:tc>
          <w:tcPr>
            <w:tcW w:w="27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color w:val="auto"/>
              </w:rPr>
              <w:t>Malvern, PA 19355</w:t>
            </w:r>
          </w:p>
        </w:tc>
        <w:tc>
          <w:tcPr>
            <w:tcW w:w="2100" w:type="dxa"/>
            <w:vAlign w:val="bottom"/>
            <w:tcBorders>
              <w:bottom w:val="single" w:sz="8" w:color="CCCCCC"/>
            </w:tcBorders>
            <w:shd w:val="clear" w:color="auto" w:fill="CCCCCC"/>
          </w:tcPr>
          <w:p>
            <w:pPr>
              <w:jc w:val="right"/>
              <w:ind w:right="568"/>
              <w:spacing w:after="0"/>
              <w:rPr>
                <w:sz w:val="20"/>
                <w:szCs w:val="20"/>
                <w:color w:val="auto"/>
              </w:rPr>
            </w:pPr>
            <w:r>
              <w:rPr>
                <w:rFonts w:ascii="Arial" w:cs="Arial" w:eastAsia="Arial" w:hAnsi="Arial"/>
                <w:sz w:val="14"/>
                <w:szCs w:val="14"/>
                <w:color w:val="auto"/>
              </w:rPr>
              <w:t>5,845,083</w:t>
            </w:r>
          </w:p>
        </w:tc>
        <w:tc>
          <w:tcPr>
            <w:tcW w:w="15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7.9%</w:t>
            </w:r>
          </w:p>
        </w:tc>
        <w:tc>
          <w:tcPr>
            <w:tcW w:w="2700" w:type="dxa"/>
            <w:vAlign w:val="bottom"/>
            <w:tcBorders>
              <w:bottom w:val="single" w:sz="8" w:color="CCCCCC"/>
            </w:tcBorders>
            <w:shd w:val="clear" w:color="auto" w:fill="CCCCCC"/>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40" w:type="dxa"/>
            <w:vAlign w:val="bottom"/>
            <w:tcBorders>
              <w:top w:val="single" w:sz="8" w:color="auto"/>
            </w:tcBorders>
          </w:tcPr>
          <w:p>
            <w:pPr>
              <w:spacing w:after="0" w:line="180" w:lineRule="exact"/>
              <w:rPr>
                <w:sz w:val="20"/>
                <w:szCs w:val="20"/>
                <w:color w:val="auto"/>
              </w:rPr>
            </w:pPr>
            <w:r>
              <w:rPr>
                <w:rFonts w:ascii="Arial" w:cs="Arial" w:eastAsia="Arial" w:hAnsi="Arial"/>
                <w:sz w:val="14"/>
                <w:szCs w:val="14"/>
                <w:color w:val="auto"/>
              </w:rPr>
              <w:t>Pzena Investment Management, LLC</w:t>
            </w:r>
            <w:r>
              <w:rPr>
                <w:rFonts w:ascii="Arial" w:cs="Arial" w:eastAsia="Arial" w:hAnsi="Arial"/>
                <w:sz w:val="20"/>
                <w:szCs w:val="20"/>
                <w:color w:val="auto"/>
                <w:vertAlign w:val="superscript"/>
              </w:rPr>
              <w:t>(8)</w:t>
            </w:r>
          </w:p>
        </w:tc>
        <w:tc>
          <w:tcPr>
            <w:tcW w:w="2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line="197" w:lineRule="exact"/>
              <w:rPr>
                <w:sz w:val="20"/>
                <w:szCs w:val="20"/>
                <w:color w:val="auto"/>
              </w:rPr>
            </w:pPr>
            <w:r>
              <w:rPr>
                <w:rFonts w:ascii="Arial" w:cs="Arial" w:eastAsia="Arial" w:hAnsi="Arial"/>
                <w:sz w:val="14"/>
                <w:szCs w:val="14"/>
                <w:color w:val="auto"/>
              </w:rPr>
              <w:t>320 Park Avenue, 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w:t>
            </w:r>
          </w:p>
        </w:tc>
        <w:tc>
          <w:tcPr>
            <w:tcW w:w="2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New York, NY 10022</w:t>
            </w:r>
          </w:p>
        </w:tc>
        <w:tc>
          <w:tcPr>
            <w:tcW w:w="2100" w:type="dxa"/>
            <w:vAlign w:val="bottom"/>
          </w:tcPr>
          <w:p>
            <w:pPr>
              <w:jc w:val="right"/>
              <w:ind w:right="568"/>
              <w:spacing w:after="0"/>
              <w:rPr>
                <w:sz w:val="20"/>
                <w:szCs w:val="20"/>
                <w:color w:val="auto"/>
              </w:rPr>
            </w:pPr>
            <w:r>
              <w:rPr>
                <w:rFonts w:ascii="Arial" w:cs="Arial" w:eastAsia="Arial" w:hAnsi="Arial"/>
                <w:sz w:val="14"/>
                <w:szCs w:val="14"/>
                <w:color w:val="auto"/>
              </w:rPr>
              <w:t>4,428,321</w:t>
            </w:r>
          </w:p>
        </w:tc>
        <w:tc>
          <w:tcPr>
            <w:tcW w:w="1540" w:type="dxa"/>
            <w:vAlign w:val="bottom"/>
          </w:tcPr>
          <w:p>
            <w:pPr>
              <w:jc w:val="center"/>
              <w:spacing w:after="0"/>
              <w:rPr>
                <w:sz w:val="20"/>
                <w:szCs w:val="20"/>
                <w:color w:val="auto"/>
              </w:rPr>
            </w:pPr>
            <w:r>
              <w:rPr>
                <w:rFonts w:ascii="Arial" w:cs="Arial" w:eastAsia="Arial" w:hAnsi="Arial"/>
                <w:sz w:val="14"/>
                <w:szCs w:val="14"/>
                <w:color w:val="auto"/>
              </w:rPr>
              <w:t>6.0%</w:t>
            </w:r>
          </w:p>
        </w:tc>
        <w:tc>
          <w:tcPr>
            <w:tcW w:w="270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4"/>
                <w:szCs w:val="14"/>
                <w:b w:val="1"/>
                <w:bCs w:val="1"/>
                <w:color w:val="auto"/>
              </w:rPr>
              <w:t>Directors, Nominees and Named Executive Officers:</w:t>
            </w:r>
            <w:r>
              <w:rPr>
                <w:rFonts w:ascii="Arial" w:cs="Arial" w:eastAsia="Arial" w:hAnsi="Arial"/>
                <w:sz w:val="21"/>
                <w:szCs w:val="21"/>
                <w:color w:val="auto"/>
                <w:vertAlign w:val="superscript"/>
              </w:rPr>
              <w:t>(9)</w:t>
            </w:r>
          </w:p>
        </w:tc>
        <w:tc>
          <w:tcPr>
            <w:tcW w:w="2100" w:type="dxa"/>
            <w:vAlign w:val="bottom"/>
            <w:tcBorders>
              <w:bottom w:val="single" w:sz="8" w:color="auto"/>
            </w:tcBorders>
            <w:shd w:val="clear" w:color="auto" w:fill="CCCCCC"/>
          </w:tcPr>
          <w:p>
            <w:pPr>
              <w:spacing w:after="0"/>
              <w:rPr>
                <w:sz w:val="22"/>
                <w:szCs w:val="22"/>
                <w:color w:val="auto"/>
              </w:rPr>
            </w:pPr>
          </w:p>
        </w:tc>
        <w:tc>
          <w:tcPr>
            <w:tcW w:w="1540" w:type="dxa"/>
            <w:vAlign w:val="bottom"/>
            <w:tcBorders>
              <w:bottom w:val="single" w:sz="8" w:color="auto"/>
            </w:tcBorders>
            <w:shd w:val="clear" w:color="auto" w:fill="CCCCCC"/>
          </w:tcPr>
          <w:p>
            <w:pPr>
              <w:spacing w:after="0"/>
              <w:rPr>
                <w:sz w:val="22"/>
                <w:szCs w:val="22"/>
                <w:color w:val="auto"/>
              </w:rPr>
            </w:pPr>
          </w:p>
        </w:tc>
        <w:tc>
          <w:tcPr>
            <w:tcW w:w="2700" w:type="dxa"/>
            <w:vAlign w:val="bottom"/>
            <w:tcBorders>
              <w:bottom w:val="single" w:sz="8" w:color="auto"/>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Brian J. Choi</w:t>
            </w:r>
          </w:p>
        </w:tc>
        <w:tc>
          <w:tcPr>
            <w:tcW w:w="210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Mary C. Choksi</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46,203</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68"/>
              <w:spacing w:after="0"/>
              <w:rPr>
                <w:sz w:val="20"/>
                <w:szCs w:val="20"/>
                <w:color w:val="auto"/>
              </w:rPr>
            </w:pPr>
            <w:r>
              <w:rPr>
                <w:rFonts w:ascii="Arial" w:cs="Arial" w:eastAsia="Arial" w:hAnsi="Arial"/>
                <w:sz w:val="14"/>
                <w:szCs w:val="14"/>
                <w:color w:val="auto"/>
              </w:rPr>
              <w:t>37,103</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Leonard S. Coleman</w:t>
            </w:r>
          </w:p>
        </w:tc>
        <w:tc>
          <w:tcPr>
            <w:tcW w:w="210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color w:val="auto"/>
              </w:rPr>
              <w:t>35,966</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68"/>
              <w:spacing w:after="0"/>
              <w:rPr>
                <w:sz w:val="20"/>
                <w:szCs w:val="20"/>
                <w:color w:val="auto"/>
              </w:rPr>
            </w:pPr>
            <w:r>
              <w:rPr>
                <w:rFonts w:ascii="Arial" w:cs="Arial" w:eastAsia="Arial" w:hAnsi="Arial"/>
                <w:sz w:val="14"/>
                <w:szCs w:val="14"/>
                <w:color w:val="auto"/>
              </w:rPr>
              <w:t>23,986</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Jeffrey H. Fox</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28,232</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68"/>
              <w:spacing w:after="0"/>
              <w:rPr>
                <w:sz w:val="20"/>
                <w:szCs w:val="20"/>
                <w:color w:val="auto"/>
              </w:rPr>
            </w:pPr>
            <w:r>
              <w:rPr>
                <w:rFonts w:ascii="Arial" w:cs="Arial" w:eastAsia="Arial" w:hAnsi="Arial"/>
                <w:sz w:val="14"/>
                <w:szCs w:val="14"/>
                <w:color w:val="auto"/>
              </w:rPr>
              <w:t>18,232</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Bernardo Hees</w:t>
            </w:r>
          </w:p>
        </w:tc>
        <w:tc>
          <w:tcPr>
            <w:tcW w:w="210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color w:val="auto"/>
              </w:rPr>
              <w:t>430,169</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Lynn Krominga</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24,508</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68"/>
              <w:spacing w:after="0"/>
              <w:rPr>
                <w:sz w:val="20"/>
                <w:szCs w:val="20"/>
                <w:color w:val="auto"/>
              </w:rPr>
            </w:pPr>
            <w:r>
              <w:rPr>
                <w:rFonts w:ascii="Arial" w:cs="Arial" w:eastAsia="Arial" w:hAnsi="Arial"/>
                <w:sz w:val="14"/>
                <w:szCs w:val="14"/>
                <w:color w:val="auto"/>
              </w:rPr>
              <w:t>15,967</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Glenn Lurie</w:t>
            </w:r>
          </w:p>
        </w:tc>
        <w:tc>
          <w:tcPr>
            <w:tcW w:w="21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color w:val="auto"/>
              </w:rPr>
              <w:t>5,531</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68"/>
              <w:spacing w:after="0"/>
              <w:rPr>
                <w:sz w:val="20"/>
                <w:szCs w:val="20"/>
                <w:color w:val="auto"/>
              </w:rPr>
            </w:pPr>
            <w:r>
              <w:rPr>
                <w:rFonts w:ascii="Arial" w:cs="Arial" w:eastAsia="Arial" w:hAnsi="Arial"/>
                <w:sz w:val="14"/>
                <w:szCs w:val="14"/>
                <w:color w:val="auto"/>
              </w:rPr>
              <w:t>5,531</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Jagdeep Pahwa</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F. Robert Salerno</w:t>
            </w:r>
          </w:p>
        </w:tc>
        <w:tc>
          <w:tcPr>
            <w:tcW w:w="210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color w:val="auto"/>
              </w:rPr>
              <w:t>45,949</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68"/>
              <w:spacing w:after="0"/>
              <w:rPr>
                <w:sz w:val="20"/>
                <w:szCs w:val="20"/>
                <w:color w:val="auto"/>
              </w:rPr>
            </w:pPr>
            <w:r>
              <w:rPr>
                <w:rFonts w:ascii="Arial" w:cs="Arial" w:eastAsia="Arial" w:hAnsi="Arial"/>
                <w:sz w:val="14"/>
                <w:szCs w:val="14"/>
                <w:color w:val="auto"/>
              </w:rPr>
              <w:t>26,232</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4"/>
                <w:szCs w:val="14"/>
                <w:color w:val="auto"/>
              </w:rPr>
              <w:t>Karthik Sarma</w:t>
            </w:r>
            <w:r>
              <w:rPr>
                <w:rFonts w:ascii="Arial" w:cs="Arial" w:eastAsia="Arial" w:hAnsi="Arial"/>
                <w:sz w:val="21"/>
                <w:szCs w:val="21"/>
                <w:color w:val="auto"/>
                <w:vertAlign w:val="superscript"/>
              </w:rPr>
              <w:t>(10)</w:t>
            </w:r>
          </w:p>
        </w:tc>
        <w:tc>
          <w:tcPr>
            <w:tcW w:w="2100" w:type="dxa"/>
            <w:vAlign w:val="bottom"/>
            <w:tcBorders>
              <w:bottom w:val="single" w:sz="8" w:color="auto"/>
            </w:tcBorders>
            <w:shd w:val="clear" w:color="auto" w:fill="CCCCCC"/>
          </w:tcPr>
          <w:p>
            <w:pPr>
              <w:jc w:val="right"/>
              <w:ind w:right="548"/>
              <w:spacing w:after="0"/>
              <w:rPr>
                <w:sz w:val="20"/>
                <w:szCs w:val="20"/>
                <w:color w:val="auto"/>
              </w:rPr>
            </w:pPr>
            <w:r>
              <w:rPr>
                <w:rFonts w:ascii="Arial" w:cs="Arial" w:eastAsia="Arial" w:hAnsi="Arial"/>
                <w:sz w:val="14"/>
                <w:szCs w:val="14"/>
                <w:color w:val="auto"/>
              </w:rPr>
              <w:t>16,189,300</w:t>
            </w:r>
          </w:p>
        </w:tc>
        <w:tc>
          <w:tcPr>
            <w:tcW w:w="15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21.8%</w:t>
            </w:r>
          </w:p>
        </w:tc>
        <w:tc>
          <w:tcPr>
            <w:tcW w:w="2700" w:type="dxa"/>
            <w:vAlign w:val="bottom"/>
            <w:tcBorders>
              <w:bottom w:val="single" w:sz="8" w:color="auto"/>
            </w:tcBorders>
            <w:shd w:val="clear" w:color="auto" w:fill="CCCCCC"/>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540" w:type="dxa"/>
            <w:vAlign w:val="bottom"/>
          </w:tcPr>
          <w:p>
            <w:pPr>
              <w:spacing w:after="0"/>
              <w:rPr>
                <w:sz w:val="20"/>
                <w:szCs w:val="20"/>
                <w:color w:val="auto"/>
              </w:rPr>
            </w:pPr>
            <w:r>
              <w:rPr>
                <w:rFonts w:ascii="Arial" w:cs="Arial" w:eastAsia="Arial" w:hAnsi="Arial"/>
                <w:sz w:val="14"/>
                <w:szCs w:val="14"/>
                <w:color w:val="auto"/>
              </w:rPr>
              <w:t>Francis J. Shammo</w:t>
            </w:r>
          </w:p>
        </w:tc>
        <w:tc>
          <w:tcPr>
            <w:tcW w:w="2100" w:type="dxa"/>
            <w:vAlign w:val="bottom"/>
            <w:vMerge w:val="restart"/>
          </w:tcPr>
          <w:p>
            <w:pPr>
              <w:jc w:val="right"/>
              <w:ind w:right="568"/>
              <w:spacing w:after="0"/>
              <w:rPr>
                <w:sz w:val="20"/>
                <w:szCs w:val="20"/>
                <w:color w:val="auto"/>
              </w:rPr>
            </w:pPr>
            <w:r>
              <w:rPr>
                <w:rFonts w:ascii="Arial" w:cs="Arial" w:eastAsia="Arial" w:hAnsi="Arial"/>
                <w:sz w:val="14"/>
                <w:szCs w:val="14"/>
                <w:color w:val="auto"/>
              </w:rPr>
              <w:t>6,139</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tcPr>
          <w:p>
            <w:pPr>
              <w:jc w:val="right"/>
              <w:ind w:right="1068"/>
              <w:spacing w:after="0"/>
              <w:rPr>
                <w:sz w:val="20"/>
                <w:szCs w:val="20"/>
                <w:color w:val="auto"/>
              </w:rPr>
            </w:pPr>
            <w:r>
              <w:rPr>
                <w:rFonts w:ascii="Arial" w:cs="Arial" w:eastAsia="Arial" w:hAnsi="Arial"/>
                <w:sz w:val="14"/>
                <w:szCs w:val="14"/>
                <w:color w:val="auto"/>
              </w:rPr>
              <w:t>6,139</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Carl Sparks</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5,801</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68"/>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Sanoke Viswanathan</w:t>
            </w:r>
          </w:p>
        </w:tc>
        <w:tc>
          <w:tcPr>
            <w:tcW w:w="21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color w:val="auto"/>
              </w:rPr>
              <w:t>11,521</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68"/>
              <w:spacing w:after="0"/>
              <w:rPr>
                <w:sz w:val="20"/>
                <w:szCs w:val="20"/>
                <w:color w:val="auto"/>
              </w:rPr>
            </w:pPr>
            <w:r>
              <w:rPr>
                <w:rFonts w:ascii="Arial" w:cs="Arial" w:eastAsia="Arial" w:hAnsi="Arial"/>
                <w:sz w:val="14"/>
                <w:szCs w:val="14"/>
                <w:color w:val="auto"/>
              </w:rPr>
              <w:t>11,521</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Joseph A. Ferraro</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109,296</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68"/>
              <w:spacing w:after="0"/>
              <w:rPr>
                <w:sz w:val="20"/>
                <w:szCs w:val="20"/>
                <w:color w:val="auto"/>
              </w:rPr>
            </w:pPr>
            <w:r>
              <w:rPr>
                <w:rFonts w:ascii="Arial" w:cs="Arial" w:eastAsia="Arial" w:hAnsi="Arial"/>
                <w:sz w:val="14"/>
                <w:szCs w:val="14"/>
                <w:color w:val="auto"/>
              </w:rPr>
              <w:t>11,284</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John F. North, III</w:t>
            </w:r>
          </w:p>
        </w:tc>
        <w:tc>
          <w:tcPr>
            <w:tcW w:w="210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color w:val="auto"/>
              </w:rPr>
              <w:t>21,174</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68"/>
              <w:spacing w:after="0"/>
              <w:rPr>
                <w:sz w:val="20"/>
                <w:szCs w:val="20"/>
                <w:color w:val="auto"/>
              </w:rPr>
            </w:pPr>
            <w:r>
              <w:rPr>
                <w:rFonts w:ascii="Arial" w:cs="Arial" w:eastAsia="Arial" w:hAnsi="Arial"/>
                <w:sz w:val="14"/>
                <w:szCs w:val="14"/>
                <w:color w:val="auto"/>
              </w:rPr>
              <w:t>21,174</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Keith Rankin</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Edward P. Linnen</w:t>
            </w:r>
          </w:p>
        </w:tc>
        <w:tc>
          <w:tcPr>
            <w:tcW w:w="210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color w:val="auto"/>
              </w:rPr>
              <w:t>49,653</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68"/>
              <w:spacing w:after="0"/>
              <w:rPr>
                <w:sz w:val="20"/>
                <w:szCs w:val="20"/>
                <w:color w:val="auto"/>
              </w:rPr>
            </w:pPr>
            <w:r>
              <w:rPr>
                <w:rFonts w:ascii="Arial" w:cs="Arial" w:eastAsia="Arial" w:hAnsi="Arial"/>
                <w:sz w:val="14"/>
                <w:szCs w:val="14"/>
                <w:color w:val="auto"/>
              </w:rPr>
              <w:t>6,080</w:t>
            </w: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Larry D. De Shon</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183,120</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Martyn Smith</w:t>
            </w:r>
          </w:p>
        </w:tc>
        <w:tc>
          <w:tcPr>
            <w:tcW w:w="2100" w:type="dxa"/>
            <w:vAlign w:val="bottom"/>
            <w:tcBorders>
              <w:top w:val="single" w:sz="8" w:color="auto"/>
            </w:tcBorders>
            <w:vMerge w:val="restart"/>
          </w:tcPr>
          <w:p>
            <w:pPr>
              <w:jc w:val="right"/>
              <w:ind w:right="56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tcBorders>
              <w:top w:val="single" w:sz="8" w:color="auto"/>
            </w:tcBorders>
            <w:vMerge w:val="restart"/>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7"/>
        </w:trPr>
        <w:tc>
          <w:tcPr>
            <w:tcW w:w="454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540" w:type="dxa"/>
            <w:vAlign w:val="bottom"/>
            <w:shd w:val="clear" w:color="auto" w:fill="CCCCCC"/>
          </w:tcPr>
          <w:p>
            <w:pPr>
              <w:spacing w:after="0"/>
              <w:rPr>
                <w:sz w:val="20"/>
                <w:szCs w:val="20"/>
                <w:color w:val="auto"/>
              </w:rPr>
            </w:pPr>
            <w:r>
              <w:rPr>
                <w:rFonts w:ascii="Arial" w:cs="Arial" w:eastAsia="Arial" w:hAnsi="Arial"/>
                <w:sz w:val="14"/>
                <w:szCs w:val="14"/>
                <w:color w:val="auto"/>
              </w:rPr>
              <w:t>Mark J. Servodidio</w:t>
            </w:r>
          </w:p>
        </w:tc>
        <w:tc>
          <w:tcPr>
            <w:tcW w:w="2100" w:type="dxa"/>
            <w:vAlign w:val="bottom"/>
            <w:vMerge w:val="restart"/>
            <w:shd w:val="clear" w:color="auto" w:fill="CCCCCC"/>
          </w:tcPr>
          <w:p>
            <w:pPr>
              <w:jc w:val="right"/>
              <w:ind w:right="56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CCCC"/>
          </w:tcPr>
          <w:p>
            <w:pPr>
              <w:jc w:val="center"/>
              <w:spacing w:after="0"/>
              <w:rPr>
                <w:sz w:val="20"/>
                <w:szCs w:val="20"/>
                <w:color w:val="auto"/>
              </w:rPr>
            </w:pPr>
            <w:r>
              <w:rPr>
                <w:rFonts w:ascii="Arial" w:cs="Arial" w:eastAsia="Arial" w:hAnsi="Arial"/>
                <w:sz w:val="14"/>
                <w:szCs w:val="14"/>
                <w:color w:val="auto"/>
                <w:w w:val="72"/>
              </w:rPr>
              <w:t>*</w:t>
            </w:r>
          </w:p>
        </w:tc>
        <w:tc>
          <w:tcPr>
            <w:tcW w:w="2700" w:type="dxa"/>
            <w:vAlign w:val="bottom"/>
            <w:vMerge w:val="restart"/>
            <w:shd w:val="clear" w:color="auto" w:fill="CCCCCC"/>
          </w:tcPr>
          <w:p>
            <w:pPr>
              <w:jc w:val="right"/>
              <w:ind w:right="10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4540" w:type="dxa"/>
            <w:vAlign w:val="bottom"/>
            <w:tcBorders>
              <w:bottom w:val="single" w:sz="8" w:color="CCCCCC"/>
            </w:tcBorders>
            <w:shd w:val="clear" w:color="auto" w:fill="CCCCCC"/>
          </w:tcPr>
          <w:p>
            <w:pPr>
              <w:spacing w:after="0"/>
              <w:rPr>
                <w:sz w:val="8"/>
                <w:szCs w:val="8"/>
                <w:color w:val="auto"/>
              </w:rPr>
            </w:pPr>
          </w:p>
        </w:tc>
        <w:tc>
          <w:tcPr>
            <w:tcW w:w="2100" w:type="dxa"/>
            <w:vAlign w:val="bottom"/>
            <w:tcBorders>
              <w:bottom w:val="single" w:sz="8" w:color="CCCCCC"/>
            </w:tcBorders>
            <w:vMerge w:val="continue"/>
            <w:shd w:val="clear" w:color="auto" w:fill="CCCCCC"/>
          </w:tcPr>
          <w:p>
            <w:pPr>
              <w:spacing w:after="0"/>
              <w:rPr>
                <w:sz w:val="8"/>
                <w:szCs w:val="8"/>
                <w:color w:val="auto"/>
              </w:rPr>
            </w:pPr>
          </w:p>
        </w:tc>
        <w:tc>
          <w:tcPr>
            <w:tcW w:w="1540" w:type="dxa"/>
            <w:vAlign w:val="bottom"/>
            <w:tcBorders>
              <w:bottom w:val="single" w:sz="8" w:color="CCCCCC"/>
            </w:tcBorders>
            <w:vMerge w:val="continue"/>
            <w:shd w:val="clear" w:color="auto" w:fill="CCCCCC"/>
          </w:tcPr>
          <w:p>
            <w:pPr>
              <w:spacing w:after="0"/>
              <w:rPr>
                <w:sz w:val="8"/>
                <w:szCs w:val="8"/>
                <w:color w:val="auto"/>
              </w:rPr>
            </w:pPr>
          </w:p>
        </w:tc>
        <w:tc>
          <w:tcPr>
            <w:tcW w:w="2700" w:type="dxa"/>
            <w:vAlign w:val="bottom"/>
            <w:tcBorders>
              <w:bottom w:val="single" w:sz="8" w:color="CCCCCC"/>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All Directors, Nominees and Executive Officers as a group (23</w:t>
            </w:r>
          </w:p>
        </w:tc>
        <w:tc>
          <w:tcPr>
            <w:tcW w:w="210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17,278,716</w:t>
            </w:r>
            <w:r>
              <w:rPr>
                <w:rFonts w:ascii="Arial" w:cs="Arial" w:eastAsia="Arial" w:hAnsi="Arial"/>
                <w:sz w:val="21"/>
                <w:szCs w:val="21"/>
                <w:color w:val="auto"/>
                <w:vertAlign w:val="superscript"/>
              </w:rPr>
              <w:t>(11)</w:t>
            </w:r>
          </w:p>
        </w:tc>
        <w:tc>
          <w:tcPr>
            <w:tcW w:w="15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vMerge w:val="restart"/>
          </w:tcPr>
          <w:p>
            <w:pPr>
              <w:jc w:val="right"/>
              <w:ind w:right="888"/>
              <w:spacing w:after="0"/>
              <w:rPr>
                <w:sz w:val="20"/>
                <w:szCs w:val="20"/>
                <w:color w:val="auto"/>
              </w:rPr>
            </w:pPr>
            <w:r>
              <w:rPr>
                <w:rFonts w:ascii="Arial" w:cs="Arial" w:eastAsia="Arial" w:hAnsi="Arial"/>
                <w:sz w:val="14"/>
                <w:szCs w:val="14"/>
                <w:b w:val="1"/>
                <w:bCs w:val="1"/>
                <w:color w:val="auto"/>
              </w:rPr>
              <w:t>198,697</w:t>
            </w:r>
            <w:r>
              <w:rPr>
                <w:rFonts w:ascii="Arial" w:cs="Arial" w:eastAsia="Arial" w:hAnsi="Arial"/>
                <w:sz w:val="21"/>
                <w:szCs w:val="21"/>
                <w:color w:val="auto"/>
                <w:vertAlign w:val="superscript"/>
              </w:rPr>
              <w:t>(12)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persons)</w:t>
            </w:r>
          </w:p>
        </w:tc>
        <w:tc>
          <w:tcPr>
            <w:tcW w:w="21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23.2%</w:t>
            </w:r>
          </w:p>
        </w:tc>
        <w:tc>
          <w:tcPr>
            <w:tcW w:w="2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109" w:lineRule="exact"/>
        <w:rPr>
          <w:sz w:val="20"/>
          <w:szCs w:val="20"/>
          <w:color w:val="auto"/>
        </w:rPr>
      </w:pPr>
    </w:p>
    <w:p>
      <w:pPr>
        <w:ind w:left="340" w:hanging="332"/>
        <w:spacing w:after="0" w:line="258" w:lineRule="auto"/>
        <w:tabs>
          <w:tab w:leader="none" w:pos="341"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March 4, 2020.</w:t>
      </w:r>
    </w:p>
    <w:p>
      <w:pPr>
        <w:spacing w:after="0" w:line="86" w:lineRule="exact"/>
        <w:rPr>
          <w:sz w:val="20"/>
          <w:szCs w:val="20"/>
          <w:color w:val="auto"/>
        </w:rPr>
      </w:pPr>
    </w:p>
    <w:p>
      <w:pPr>
        <w:ind w:left="340" w:hanging="332"/>
        <w:spacing w:after="0" w:line="258" w:lineRule="auto"/>
        <w:tabs>
          <w:tab w:leader="none" w:pos="3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restricted stock units, and (iii) director deferred stock units that may be settled or exercised within 60 days of March 4, 2020.</w:t>
      </w:r>
    </w:p>
    <w:p>
      <w:pPr>
        <w:spacing w:after="0" w:line="85"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74,250,258 shares of Common Stock outstanding on March 4, 2020.</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time-vested restricted stock units and (ii) director deferred stock units that may vest within 60 days of March 4, 2020.</w:t>
      </w:r>
    </w:p>
    <w:p>
      <w:pPr>
        <w:sectPr>
          <w:pgSz w:w="11900" w:h="16838" w:orient="portrait"/>
          <w:cols w:equalWidth="0" w:num="1">
            <w:col w:w="10880"/>
          </w:cols>
          <w:pgMar w:left="500" w:top="287" w:right="51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09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jc w:val="both"/>
        <w:ind w:left="340" w:hanging="332"/>
        <w:spacing w:after="0" w:line="243" w:lineRule="auto"/>
        <w:tabs>
          <w:tab w:leader="none" w:pos="442"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beneficial ownership of 16,189,300 shares of Common Stock by SRS Investment Management, LLC (“SRS”) and Karthik R. Sarma (the “Reporting Persons”), as derived solely from information reported on Schedule 13D/A under the Exchange Act, as filed with the SEC on February 24, 2020. Such Schedule 13D/A indicates that SRS and Mr. Sarma share voting and dispositive power over the shares of Common Stock. The Reporting Persons have economic exposure to, and may be deemed to beneficially own, an additional 8,810,700 notional shares of Common Stock pursuant to cash-settled equity swaps, as derived solely from information reported on Schedule 13D/A under the Exchange Act, as filed with the SEC on February 24, 2020, and Schedule 13D/A under the Exchange Act, as filed with the SEC on February 26, 2019. Such notional shares represent approximately 11.9% of the shares of Common Stock outstanding on March 4, 2020. Such Schedule 13D/A indicates that the Reporting Persons do not have voting power or dispositive power with respect to the shares referenced in such swaps, and disclaim beneficial ownership of the shares underlying such swaps.</w:t>
      </w:r>
    </w:p>
    <w:p>
      <w:pPr>
        <w:spacing w:after="0" w:line="99" w:lineRule="exact"/>
        <w:rPr>
          <w:rFonts w:ascii="Arial" w:cs="Arial" w:eastAsia="Arial" w:hAnsi="Arial"/>
          <w:sz w:val="14"/>
          <w:szCs w:val="14"/>
          <w:color w:val="auto"/>
        </w:rPr>
      </w:pPr>
    </w:p>
    <w:p>
      <w:pPr>
        <w:jc w:val="both"/>
        <w:ind w:left="340" w:hanging="332"/>
        <w:spacing w:after="0" w:line="249" w:lineRule="auto"/>
        <w:tabs>
          <w:tab w:leader="none" w:pos="368"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beneficial ownership of 7,199,319 shares of Common Stock by Glenview Capital Management, LLC and Larry Robbins as derived solely from information reported in a Schedule 13G/A under the Exchange Act, filed with the SEC on February 14, 2020. Such Schedule 13G/A indicates that Glenview Capital Management, LLC and Mr. Robbins share voting and dispositive power over the shares of Common Stock.</w:t>
      </w:r>
    </w:p>
    <w:p>
      <w:pPr>
        <w:spacing w:after="0" w:line="92" w:lineRule="exact"/>
        <w:rPr>
          <w:rFonts w:ascii="Arial" w:cs="Arial" w:eastAsia="Arial" w:hAnsi="Arial"/>
          <w:sz w:val="14"/>
          <w:szCs w:val="14"/>
          <w:color w:val="auto"/>
        </w:rPr>
      </w:pPr>
    </w:p>
    <w:p>
      <w:pPr>
        <w:jc w:val="both"/>
        <w:ind w:left="340" w:hanging="332"/>
        <w:spacing w:after="0" w:line="249" w:lineRule="auto"/>
        <w:tabs>
          <w:tab w:leader="none" w:pos="341"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beneficial ownership of 7,173,351 shares of Common Stock by BlackRock, Inc. (“BlackRock”), as derived solely from information in a Schedule 13G/A under the Exchange Act, filed with the SEC on February 5, 2020. Such Schedule 13G/A indicates that BlackRock has sole voting power 7,028,306 shares of Common Stock and sole dispositive power over 7,173,351 shares of Common Stock.</w:t>
      </w:r>
    </w:p>
    <w:p>
      <w:pPr>
        <w:spacing w:after="0" w:line="92" w:lineRule="exact"/>
        <w:rPr>
          <w:rFonts w:ascii="Arial" w:cs="Arial" w:eastAsia="Arial" w:hAnsi="Arial"/>
          <w:sz w:val="14"/>
          <w:szCs w:val="14"/>
          <w:color w:val="auto"/>
        </w:rPr>
      </w:pPr>
    </w:p>
    <w:p>
      <w:pPr>
        <w:jc w:val="both"/>
        <w:ind w:left="340" w:hanging="332"/>
        <w:spacing w:after="0" w:line="247" w:lineRule="auto"/>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beneficial ownership of 5,845,083 shares of Common Stock by The Vanguard Group, Inc., as derived solely from information reported in a Schedule 13G/A under the Exchange Act, filed with the SEC on February 12, 2020. Such Schedule 13G/A indicates that The Vanguard Group, Inc. has sole voting power over 120,537 shares, shared voting power over 11,774 shares, sole dispositive power over 5,720,206 shares, and shared dispositive power over 124,877 shares of Common Stock.</w:t>
      </w:r>
    </w:p>
    <w:p>
      <w:pPr>
        <w:spacing w:after="0" w:line="258" w:lineRule="exact"/>
        <w:rPr>
          <w:rFonts w:ascii="Arial" w:cs="Arial" w:eastAsia="Arial" w:hAnsi="Arial"/>
          <w:sz w:val="14"/>
          <w:szCs w:val="14"/>
          <w:color w:val="auto"/>
        </w:rPr>
      </w:pPr>
    </w:p>
    <w:p>
      <w:pPr>
        <w:jc w:val="both"/>
        <w:ind w:left="340" w:hanging="332"/>
        <w:spacing w:after="0" w:line="245" w:lineRule="auto"/>
        <w:tabs>
          <w:tab w:leader="none" w:pos="35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beneficial ownership of 4,428,321 shares of Common Stock by Pzena Investment Management, LLC (“Pzena”), in its capacity as an investment adviser, as derived solely from information reported in a Schedule 13G under the Exchange Act, filed with the SEC on January 27, 2020. Such Schedule 13G indicates that Pzena has sole voting power with respect to 4,003,556 shares and sole dispositive power with respect to 4,428,321 shares. Pzena disclosed that its clients have the right to receive and the ultimate power to direct the receipt of dividends from, or the proceeds from the sale of such shares, and that no interest of any one of such clients relates to more than 5% of the outstanding shares of Common Stock.</w:t>
      </w:r>
    </w:p>
    <w:p>
      <w:pPr>
        <w:spacing w:after="0" w:line="96" w:lineRule="exact"/>
        <w:rPr>
          <w:rFonts w:ascii="Arial" w:cs="Arial" w:eastAsia="Arial" w:hAnsi="Arial"/>
          <w:sz w:val="14"/>
          <w:szCs w:val="14"/>
          <w:color w:val="auto"/>
        </w:rPr>
      </w:pPr>
    </w:p>
    <w:p>
      <w:pPr>
        <w:jc w:val="both"/>
        <w:ind w:left="340" w:hanging="332"/>
        <w:spacing w:after="0" w:line="246" w:lineRule="auto"/>
        <w:tabs>
          <w:tab w:leader="none" w:pos="343"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each non-employee director/nominee, (1) includes deferred stock units held under the Non-Employee Directors Deferred Compensation Plan, which, pursuant to the terms of the Plan, will be distributed in the form of Common Stock on a one-to-one basis as soon as reasonably practicable following such director’s retirement or termination of service from the Board for any reason (“Director Shares”), and (2) excludes deferred stock units held under the plan, which pursuant to the terms of the Plan will be distributed seven months following such director’s retirement or termination of service from the Board for any reason (“Director Deferred Shares”), as follows:</w:t>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Director</w:t>
            </w:r>
          </w:p>
        </w:tc>
        <w:tc>
          <w:tcPr>
            <w:tcW w:w="2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20" w:type="dxa"/>
            <w:vAlign w:val="bottom"/>
          </w:tcPr>
          <w:p>
            <w:pPr>
              <w:ind w:left="480"/>
              <w:spacing w:after="0"/>
              <w:rPr>
                <w:sz w:val="20"/>
                <w:szCs w:val="20"/>
                <w:color w:val="auto"/>
              </w:rPr>
            </w:pPr>
            <w:r>
              <w:rPr>
                <w:rFonts w:ascii="Arial" w:cs="Arial" w:eastAsia="Arial" w:hAnsi="Arial"/>
                <w:sz w:val="14"/>
                <w:szCs w:val="14"/>
                <w:b w:val="1"/>
                <w:bCs w:val="1"/>
                <w:color w:val="auto"/>
              </w:rPr>
              <w:t>Director</w:t>
            </w:r>
          </w:p>
        </w:tc>
      </w:tr>
      <w:tr>
        <w:trPr>
          <w:trHeight w:val="162"/>
        </w:trPr>
        <w:tc>
          <w:tcPr>
            <w:tcW w:w="1640" w:type="dxa"/>
            <w:vAlign w:val="bottom"/>
          </w:tcPr>
          <w:p>
            <w:pPr>
              <w:spacing w:after="0"/>
              <w:rPr>
                <w:sz w:val="14"/>
                <w:szCs w:val="14"/>
                <w:color w:val="auto"/>
              </w:rPr>
            </w:pPr>
          </w:p>
        </w:tc>
        <w:tc>
          <w:tcPr>
            <w:tcW w:w="1760" w:type="dxa"/>
            <w:vAlign w:val="bottom"/>
          </w:tcPr>
          <w:p>
            <w:pPr>
              <w:ind w:left="740"/>
              <w:spacing w:after="0"/>
              <w:rPr>
                <w:sz w:val="20"/>
                <w:szCs w:val="20"/>
                <w:color w:val="auto"/>
              </w:rPr>
            </w:pPr>
            <w:r>
              <w:rPr>
                <w:rFonts w:ascii="Arial" w:cs="Arial" w:eastAsia="Arial" w:hAnsi="Arial"/>
                <w:sz w:val="14"/>
                <w:szCs w:val="14"/>
                <w:b w:val="1"/>
                <w:bCs w:val="1"/>
                <w:color w:val="auto"/>
              </w:rPr>
              <w:t>Director</w:t>
            </w: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Deferred</w:t>
            </w:r>
          </w:p>
        </w:tc>
        <w:tc>
          <w:tcPr>
            <w:tcW w:w="204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Arial" w:cs="Arial" w:eastAsia="Arial" w:hAnsi="Arial"/>
                <w:sz w:val="14"/>
                <w:szCs w:val="14"/>
                <w:b w:val="1"/>
                <w:bCs w:val="1"/>
                <w:color w:val="auto"/>
              </w:rPr>
              <w:t>Director</w:t>
            </w:r>
          </w:p>
        </w:tc>
        <w:tc>
          <w:tcPr>
            <w:tcW w:w="2020" w:type="dxa"/>
            <w:vAlign w:val="bottom"/>
          </w:tcPr>
          <w:p>
            <w:pPr>
              <w:ind w:left="480"/>
              <w:spacing w:after="0"/>
              <w:rPr>
                <w:sz w:val="20"/>
                <w:szCs w:val="20"/>
                <w:color w:val="auto"/>
              </w:rPr>
            </w:pPr>
            <w:r>
              <w:rPr>
                <w:rFonts w:ascii="Arial" w:cs="Arial" w:eastAsia="Arial" w:hAnsi="Arial"/>
                <w:sz w:val="14"/>
                <w:szCs w:val="14"/>
                <w:b w:val="1"/>
                <w:bCs w:val="1"/>
                <w:color w:val="auto"/>
              </w:rPr>
              <w:t>Deferred</w:t>
            </w:r>
          </w:p>
        </w:tc>
      </w:tr>
      <w:tr>
        <w:trPr>
          <w:trHeight w:val="190"/>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Director</w:t>
            </w:r>
          </w:p>
        </w:tc>
        <w:tc>
          <w:tcPr>
            <w:tcW w:w="1760" w:type="dxa"/>
            <w:vAlign w:val="bottom"/>
          </w:tcPr>
          <w:p>
            <w:pPr>
              <w:ind w:left="74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2040" w:type="dxa"/>
            <w:vAlign w:val="bottom"/>
          </w:tcPr>
          <w:p>
            <w:pPr>
              <w:ind w:left="500"/>
              <w:spacing w:after="0"/>
              <w:rPr>
                <w:sz w:val="20"/>
                <w:szCs w:val="20"/>
                <w:color w:val="auto"/>
              </w:rPr>
            </w:pPr>
            <w:r>
              <w:rPr>
                <w:rFonts w:ascii="Arial" w:cs="Arial" w:eastAsia="Arial" w:hAnsi="Arial"/>
                <w:sz w:val="14"/>
                <w:szCs w:val="14"/>
                <w:b w:val="1"/>
                <w:bCs w:val="1"/>
                <w:color w:val="auto"/>
              </w:rPr>
              <w:t>Director</w:t>
            </w:r>
          </w:p>
        </w:tc>
        <w:tc>
          <w:tcPr>
            <w:tcW w:w="150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202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r>
      <w:tr>
        <w:trPr>
          <w:trHeight w:val="33"/>
        </w:trPr>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75"/>
        </w:trPr>
        <w:tc>
          <w:tcPr>
            <w:tcW w:w="16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Mr. Choi</w:t>
            </w:r>
          </w:p>
        </w:tc>
        <w:tc>
          <w:tcPr>
            <w:tcW w:w="1760" w:type="dxa"/>
            <w:vAlign w:val="bottom"/>
            <w:tcBorders>
              <w:bottom w:val="single" w:sz="8" w:color="CCCCCC"/>
            </w:tcBorders>
            <w:shd w:val="clear" w:color="auto" w:fill="CCCCCC"/>
          </w:tcPr>
          <w:p>
            <w:pPr>
              <w:ind w:left="74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CCCCCC"/>
            </w:tcBorders>
            <w:shd w:val="clear" w:color="auto" w:fill="CCCCCC"/>
          </w:tcPr>
          <w:p>
            <w:pPr>
              <w:ind w:left="500"/>
              <w:spacing w:after="0"/>
              <w:rPr>
                <w:sz w:val="20"/>
                <w:szCs w:val="20"/>
                <w:color w:val="auto"/>
              </w:rPr>
            </w:pPr>
            <w:r>
              <w:rPr>
                <w:rFonts w:ascii="Arial" w:cs="Arial" w:eastAsia="Arial" w:hAnsi="Arial"/>
                <w:sz w:val="14"/>
                <w:szCs w:val="14"/>
                <w:color w:val="auto"/>
              </w:rPr>
              <w:t>Mr. Pahwa</w:t>
            </w:r>
          </w:p>
        </w:tc>
        <w:tc>
          <w:tcPr>
            <w:tcW w:w="150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w:t>
            </w:r>
          </w:p>
        </w:tc>
      </w:tr>
      <w:tr>
        <w:trPr>
          <w:trHeight w:val="238"/>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Ms. Choksi</w:t>
            </w:r>
          </w:p>
        </w:tc>
        <w:tc>
          <w:tcPr>
            <w:tcW w:w="1760" w:type="dxa"/>
            <w:vAlign w:val="bottom"/>
            <w:tcBorders>
              <w:top w:val="single" w:sz="8" w:color="auto"/>
            </w:tcBorders>
          </w:tcPr>
          <w:p>
            <w:pPr>
              <w:ind w:left="740"/>
              <w:spacing w:after="0"/>
              <w:rPr>
                <w:sz w:val="20"/>
                <w:szCs w:val="20"/>
                <w:color w:val="auto"/>
              </w:rPr>
            </w:pPr>
            <w:r>
              <w:rPr>
                <w:rFonts w:ascii="Arial" w:cs="Arial" w:eastAsia="Arial" w:hAnsi="Arial"/>
                <w:sz w:val="14"/>
                <w:szCs w:val="14"/>
                <w:color w:val="auto"/>
              </w:rPr>
              <w:t>37,103</w:t>
            </w:r>
          </w:p>
        </w:tc>
        <w:tc>
          <w:tcPr>
            <w:tcW w:w="156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35,584</w:t>
            </w:r>
          </w:p>
        </w:tc>
        <w:tc>
          <w:tcPr>
            <w:tcW w:w="204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Mr. Salerno</w:t>
            </w:r>
          </w:p>
        </w:tc>
        <w:tc>
          <w:tcPr>
            <w:tcW w:w="150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26,232</w:t>
            </w:r>
          </w:p>
        </w:tc>
        <w:tc>
          <w:tcPr>
            <w:tcW w:w="202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r>
      <w:tr>
        <w:trPr>
          <w:trHeight w:val="25"/>
        </w:trPr>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16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Mr. Coleman</w:t>
            </w:r>
          </w:p>
        </w:tc>
        <w:tc>
          <w:tcPr>
            <w:tcW w:w="1760" w:type="dxa"/>
            <w:vAlign w:val="bottom"/>
            <w:tcBorders>
              <w:bottom w:val="single" w:sz="8" w:color="CCCCCC"/>
            </w:tcBorders>
            <w:shd w:val="clear" w:color="auto" w:fill="CCCCCC"/>
          </w:tcPr>
          <w:p>
            <w:pPr>
              <w:ind w:left="740"/>
              <w:spacing w:after="0"/>
              <w:rPr>
                <w:sz w:val="20"/>
                <w:szCs w:val="20"/>
                <w:color w:val="auto"/>
              </w:rPr>
            </w:pPr>
            <w:r>
              <w:rPr>
                <w:rFonts w:ascii="Arial" w:cs="Arial" w:eastAsia="Arial" w:hAnsi="Arial"/>
                <w:sz w:val="14"/>
                <w:szCs w:val="14"/>
                <w:color w:val="auto"/>
              </w:rPr>
              <w:t>23,986</w:t>
            </w:r>
          </w:p>
        </w:tc>
        <w:tc>
          <w:tcPr>
            <w:tcW w:w="156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45,301</w:t>
            </w:r>
          </w:p>
        </w:tc>
        <w:tc>
          <w:tcPr>
            <w:tcW w:w="2040" w:type="dxa"/>
            <w:vAlign w:val="bottom"/>
            <w:tcBorders>
              <w:bottom w:val="single" w:sz="8" w:color="CCCCCC"/>
            </w:tcBorders>
            <w:shd w:val="clear" w:color="auto" w:fill="CCCCCC"/>
          </w:tcPr>
          <w:p>
            <w:pPr>
              <w:ind w:left="500"/>
              <w:spacing w:after="0"/>
              <w:rPr>
                <w:sz w:val="20"/>
                <w:szCs w:val="20"/>
                <w:color w:val="auto"/>
              </w:rPr>
            </w:pPr>
            <w:r>
              <w:rPr>
                <w:rFonts w:ascii="Arial" w:cs="Arial" w:eastAsia="Arial" w:hAnsi="Arial"/>
                <w:sz w:val="14"/>
                <w:szCs w:val="14"/>
                <w:color w:val="auto"/>
              </w:rPr>
              <w:t>Mr. Sarma</w:t>
            </w:r>
          </w:p>
        </w:tc>
        <w:tc>
          <w:tcPr>
            <w:tcW w:w="150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w:t>
            </w:r>
          </w:p>
        </w:tc>
      </w:tr>
      <w:tr>
        <w:trPr>
          <w:trHeight w:val="238"/>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Mr. Fox</w:t>
            </w:r>
          </w:p>
        </w:tc>
        <w:tc>
          <w:tcPr>
            <w:tcW w:w="1760" w:type="dxa"/>
            <w:vAlign w:val="bottom"/>
            <w:tcBorders>
              <w:top w:val="single" w:sz="8" w:color="auto"/>
            </w:tcBorders>
          </w:tcPr>
          <w:p>
            <w:pPr>
              <w:ind w:left="740"/>
              <w:spacing w:after="0"/>
              <w:rPr>
                <w:sz w:val="20"/>
                <w:szCs w:val="20"/>
                <w:color w:val="auto"/>
              </w:rPr>
            </w:pPr>
            <w:r>
              <w:rPr>
                <w:rFonts w:ascii="Arial" w:cs="Arial" w:eastAsia="Arial" w:hAnsi="Arial"/>
                <w:sz w:val="14"/>
                <w:szCs w:val="14"/>
                <w:color w:val="auto"/>
              </w:rPr>
              <w:t>18,232</w:t>
            </w:r>
          </w:p>
        </w:tc>
        <w:tc>
          <w:tcPr>
            <w:tcW w:w="156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204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Mr. Shammo</w:t>
            </w:r>
          </w:p>
        </w:tc>
        <w:tc>
          <w:tcPr>
            <w:tcW w:w="150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6,139</w:t>
            </w:r>
          </w:p>
        </w:tc>
        <w:tc>
          <w:tcPr>
            <w:tcW w:w="202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r>
      <w:tr>
        <w:trPr>
          <w:trHeight w:val="25"/>
        </w:trPr>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8"/>
        </w:trPr>
        <w:tc>
          <w:tcPr>
            <w:tcW w:w="16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Mr. Hees</w:t>
            </w:r>
          </w:p>
        </w:tc>
        <w:tc>
          <w:tcPr>
            <w:tcW w:w="1760" w:type="dxa"/>
            <w:vAlign w:val="bottom"/>
            <w:tcBorders>
              <w:bottom w:val="single" w:sz="8" w:color="CCCCCC"/>
            </w:tcBorders>
            <w:shd w:val="clear" w:color="auto" w:fill="CCCCCC"/>
          </w:tcPr>
          <w:p>
            <w:pPr>
              <w:ind w:left="74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CCCCCC"/>
            </w:tcBorders>
            <w:shd w:val="clear" w:color="auto" w:fill="CCCCCC"/>
          </w:tcPr>
          <w:p>
            <w:pPr>
              <w:ind w:left="500"/>
              <w:spacing w:after="0"/>
              <w:rPr>
                <w:sz w:val="20"/>
                <w:szCs w:val="20"/>
                <w:color w:val="auto"/>
              </w:rPr>
            </w:pPr>
            <w:r>
              <w:rPr>
                <w:rFonts w:ascii="Arial" w:cs="Arial" w:eastAsia="Arial" w:hAnsi="Arial"/>
                <w:sz w:val="14"/>
                <w:szCs w:val="14"/>
                <w:color w:val="auto"/>
              </w:rPr>
              <w:t>Mr. Sparks</w:t>
            </w:r>
          </w:p>
        </w:tc>
        <w:tc>
          <w:tcPr>
            <w:tcW w:w="150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5,801</w:t>
            </w:r>
          </w:p>
        </w:tc>
        <w:tc>
          <w:tcPr>
            <w:tcW w:w="2020" w:type="dxa"/>
            <w:vAlign w:val="bottom"/>
            <w:tcBorders>
              <w:bottom w:val="single" w:sz="8" w:color="CCCCCC"/>
            </w:tcBorders>
            <w:shd w:val="clear" w:color="auto" w:fill="CCCCCC"/>
          </w:tcPr>
          <w:p>
            <w:pPr>
              <w:ind w:left="480"/>
              <w:spacing w:after="0"/>
              <w:rPr>
                <w:sz w:val="20"/>
                <w:szCs w:val="20"/>
                <w:color w:val="auto"/>
              </w:rPr>
            </w:pPr>
            <w:r>
              <w:rPr>
                <w:rFonts w:ascii="Arial" w:cs="Arial" w:eastAsia="Arial" w:hAnsi="Arial"/>
                <w:sz w:val="14"/>
                <w:szCs w:val="14"/>
                <w:color w:val="auto"/>
              </w:rPr>
              <w:t>—</w:t>
            </w:r>
          </w:p>
        </w:tc>
      </w:tr>
      <w:tr>
        <w:trPr>
          <w:trHeight w:val="238"/>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Ms. Krominga</w:t>
            </w:r>
          </w:p>
        </w:tc>
        <w:tc>
          <w:tcPr>
            <w:tcW w:w="1760" w:type="dxa"/>
            <w:vAlign w:val="bottom"/>
            <w:tcBorders>
              <w:top w:val="single" w:sz="8" w:color="auto"/>
            </w:tcBorders>
          </w:tcPr>
          <w:p>
            <w:pPr>
              <w:ind w:left="740"/>
              <w:spacing w:after="0"/>
              <w:rPr>
                <w:sz w:val="20"/>
                <w:szCs w:val="20"/>
                <w:color w:val="auto"/>
              </w:rPr>
            </w:pPr>
            <w:r>
              <w:rPr>
                <w:rFonts w:ascii="Arial" w:cs="Arial" w:eastAsia="Arial" w:hAnsi="Arial"/>
                <w:sz w:val="14"/>
                <w:szCs w:val="14"/>
                <w:color w:val="auto"/>
              </w:rPr>
              <w:t>15,967</w:t>
            </w:r>
          </w:p>
        </w:tc>
        <w:tc>
          <w:tcPr>
            <w:tcW w:w="156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37,939</w:t>
            </w:r>
          </w:p>
        </w:tc>
        <w:tc>
          <w:tcPr>
            <w:tcW w:w="204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Mr. Viswanathan</w:t>
            </w:r>
          </w:p>
        </w:tc>
        <w:tc>
          <w:tcPr>
            <w:tcW w:w="150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11,521</w:t>
            </w:r>
          </w:p>
        </w:tc>
        <w:tc>
          <w:tcPr>
            <w:tcW w:w="202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r>
      <w:tr>
        <w:trPr>
          <w:trHeight w:val="25"/>
        </w:trPr>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70"/>
        </w:trPr>
        <w:tc>
          <w:tcPr>
            <w:tcW w:w="1640" w:type="dxa"/>
            <w:vAlign w:val="bottom"/>
            <w:shd w:val="clear" w:color="auto" w:fill="CCCCCC"/>
          </w:tcPr>
          <w:p>
            <w:pPr>
              <w:ind w:left="20"/>
              <w:spacing w:after="0"/>
              <w:rPr>
                <w:sz w:val="20"/>
                <w:szCs w:val="20"/>
                <w:color w:val="auto"/>
              </w:rPr>
            </w:pPr>
            <w:r>
              <w:rPr>
                <w:rFonts w:ascii="Arial" w:cs="Arial" w:eastAsia="Arial" w:hAnsi="Arial"/>
                <w:sz w:val="14"/>
                <w:szCs w:val="14"/>
                <w:color w:val="auto"/>
              </w:rPr>
              <w:t>Mr. Lurie</w:t>
            </w:r>
          </w:p>
        </w:tc>
        <w:tc>
          <w:tcPr>
            <w:tcW w:w="1760" w:type="dxa"/>
            <w:vAlign w:val="bottom"/>
            <w:shd w:val="clear" w:color="auto" w:fill="CCCCCC"/>
          </w:tcPr>
          <w:p>
            <w:pPr>
              <w:ind w:left="740"/>
              <w:spacing w:after="0"/>
              <w:rPr>
                <w:sz w:val="20"/>
                <w:szCs w:val="20"/>
                <w:color w:val="auto"/>
              </w:rPr>
            </w:pPr>
            <w:r>
              <w:rPr>
                <w:rFonts w:ascii="Arial" w:cs="Arial" w:eastAsia="Arial" w:hAnsi="Arial"/>
                <w:sz w:val="14"/>
                <w:szCs w:val="14"/>
                <w:color w:val="auto"/>
              </w:rPr>
              <w:t>5,531</w:t>
            </w:r>
          </w:p>
        </w:tc>
        <w:tc>
          <w:tcPr>
            <w:tcW w:w="1560" w:type="dxa"/>
            <w:vAlign w:val="bottom"/>
            <w:shd w:val="clear" w:color="auto" w:fill="CCCCCC"/>
          </w:tcPr>
          <w:p>
            <w:pPr>
              <w:ind w:left="480"/>
              <w:spacing w:after="0"/>
              <w:rPr>
                <w:sz w:val="20"/>
                <w:szCs w:val="20"/>
                <w:color w:val="auto"/>
              </w:rPr>
            </w:pPr>
            <w:r>
              <w:rPr>
                <w:rFonts w:ascii="Arial" w:cs="Arial" w:eastAsia="Arial" w:hAnsi="Arial"/>
                <w:sz w:val="14"/>
                <w:szCs w:val="14"/>
                <w:color w:val="auto"/>
              </w:rPr>
              <w:t>—</w:t>
            </w:r>
          </w:p>
        </w:tc>
        <w:tc>
          <w:tcPr>
            <w:tcW w:w="2040" w:type="dxa"/>
            <w:vAlign w:val="bottom"/>
            <w:shd w:val="clear" w:color="auto" w:fill="CCCCCC"/>
          </w:tcPr>
          <w:p>
            <w:pPr>
              <w:spacing w:after="0"/>
              <w:rPr>
                <w:sz w:val="14"/>
                <w:szCs w:val="14"/>
                <w:color w:val="auto"/>
              </w:rPr>
            </w:pPr>
          </w:p>
        </w:tc>
        <w:tc>
          <w:tcPr>
            <w:tcW w:w="1500" w:type="dxa"/>
            <w:vAlign w:val="bottom"/>
            <w:shd w:val="clear" w:color="auto" w:fill="CCCCCC"/>
          </w:tcPr>
          <w:p>
            <w:pPr>
              <w:spacing w:after="0"/>
              <w:rPr>
                <w:sz w:val="14"/>
                <w:szCs w:val="14"/>
                <w:color w:val="auto"/>
              </w:rPr>
            </w:pPr>
          </w:p>
        </w:tc>
        <w:tc>
          <w:tcPr>
            <w:tcW w:w="2020" w:type="dxa"/>
            <w:vAlign w:val="bottom"/>
            <w:shd w:val="clear" w:color="auto" w:fill="CCCCCC"/>
          </w:tcPr>
          <w:p>
            <w:pPr>
              <w:spacing w:after="0"/>
              <w:rPr>
                <w:sz w:val="14"/>
                <w:szCs w:val="14"/>
                <w:color w:val="auto"/>
              </w:rPr>
            </w:pPr>
          </w:p>
        </w:tc>
      </w:tr>
      <w:tr>
        <w:trPr>
          <w:trHeight w:val="100"/>
        </w:trPr>
        <w:tc>
          <w:tcPr>
            <w:tcW w:w="1640" w:type="dxa"/>
            <w:vAlign w:val="bottom"/>
            <w:tcBorders>
              <w:bottom w:val="single" w:sz="8" w:color="auto"/>
            </w:tcBorders>
            <w:shd w:val="clear" w:color="auto" w:fill="CCCCCC"/>
          </w:tcPr>
          <w:p>
            <w:pPr>
              <w:spacing w:after="0"/>
              <w:rPr>
                <w:sz w:val="8"/>
                <w:szCs w:val="8"/>
                <w:color w:val="auto"/>
              </w:rPr>
            </w:pPr>
          </w:p>
        </w:tc>
        <w:tc>
          <w:tcPr>
            <w:tcW w:w="1760" w:type="dxa"/>
            <w:vAlign w:val="bottom"/>
            <w:tcBorders>
              <w:bottom w:val="single" w:sz="8" w:color="auto"/>
            </w:tcBorders>
            <w:shd w:val="clear" w:color="auto" w:fill="CCCCCC"/>
          </w:tcPr>
          <w:p>
            <w:pPr>
              <w:spacing w:after="0"/>
              <w:rPr>
                <w:sz w:val="8"/>
                <w:szCs w:val="8"/>
                <w:color w:val="auto"/>
              </w:rPr>
            </w:pPr>
          </w:p>
        </w:tc>
        <w:tc>
          <w:tcPr>
            <w:tcW w:w="1560" w:type="dxa"/>
            <w:vAlign w:val="bottom"/>
            <w:tcBorders>
              <w:bottom w:val="single" w:sz="8" w:color="auto"/>
            </w:tcBorders>
            <w:shd w:val="clear" w:color="auto" w:fill="CCCCCC"/>
          </w:tcPr>
          <w:p>
            <w:pPr>
              <w:spacing w:after="0"/>
              <w:rPr>
                <w:sz w:val="8"/>
                <w:szCs w:val="8"/>
                <w:color w:val="auto"/>
              </w:rPr>
            </w:pPr>
          </w:p>
        </w:tc>
        <w:tc>
          <w:tcPr>
            <w:tcW w:w="2040" w:type="dxa"/>
            <w:vAlign w:val="bottom"/>
            <w:tcBorders>
              <w:bottom w:val="single" w:sz="8" w:color="auto"/>
            </w:tcBorders>
            <w:shd w:val="clear" w:color="auto" w:fill="CCCCCC"/>
          </w:tcPr>
          <w:p>
            <w:pPr>
              <w:spacing w:after="0"/>
              <w:rPr>
                <w:sz w:val="8"/>
                <w:szCs w:val="8"/>
                <w:color w:val="auto"/>
              </w:rPr>
            </w:pPr>
          </w:p>
        </w:tc>
        <w:tc>
          <w:tcPr>
            <w:tcW w:w="1500" w:type="dxa"/>
            <w:vAlign w:val="bottom"/>
            <w:tcBorders>
              <w:bottom w:val="single" w:sz="8" w:color="auto"/>
            </w:tcBorders>
            <w:shd w:val="clear" w:color="auto" w:fill="CCCCCC"/>
          </w:tcPr>
          <w:p>
            <w:pPr>
              <w:spacing w:after="0"/>
              <w:rPr>
                <w:sz w:val="8"/>
                <w:szCs w:val="8"/>
                <w:color w:val="auto"/>
              </w:rPr>
            </w:pPr>
          </w:p>
        </w:tc>
        <w:tc>
          <w:tcPr>
            <w:tcW w:w="2020" w:type="dxa"/>
            <w:vAlign w:val="bottom"/>
            <w:tcBorders>
              <w:bottom w:val="single" w:sz="8" w:color="auto"/>
            </w:tcBorders>
            <w:shd w:val="clear" w:color="auto" w:fill="CCCCCC"/>
          </w:tcPr>
          <w:p>
            <w:pPr>
              <w:spacing w:after="0"/>
              <w:rPr>
                <w:sz w:val="8"/>
                <w:szCs w:val="8"/>
                <w:color w:val="auto"/>
              </w:rPr>
            </w:pPr>
          </w:p>
        </w:tc>
      </w:tr>
    </w:tbl>
    <w:p>
      <w:pPr>
        <w:spacing w:after="0" w:line="113" w:lineRule="exact"/>
        <w:rPr>
          <w:sz w:val="20"/>
          <w:szCs w:val="20"/>
          <w:color w:val="auto"/>
        </w:rPr>
      </w:pPr>
    </w:p>
    <w:p>
      <w:pPr>
        <w:ind w:left="340" w:hanging="332"/>
        <w:spacing w:after="0" w:line="258" w:lineRule="auto"/>
        <w:tabs>
          <w:tab w:leader="none" w:pos="35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shared beneficial ownership of 16,189,300 shares of Common Stock by SRS and Mr. Sarma, as described above in footnote (4). All of these shares are included in the 17,278,716 shares of Common Stock deemed to be beneficially owned by all Directors, Nominees and Executive Officers as a group.</w:t>
      </w:r>
    </w:p>
    <w:p>
      <w:pPr>
        <w:spacing w:after="0" w:line="85"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118,824 Director Deferred Shares.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150,512 Director Shares and 48,185 time-vested restricted stock units that will vest within 60 days of March 4,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Executive Officers</w:t>
      </w:r>
    </w:p>
    <w:p>
      <w:pPr>
        <w:spacing w:after="0" w:line="14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Executive officers of the Company are set forth below. Each executive officer is appointed to hold office at the discretion of the Board of Directors and may be removed at any time by the Board of Directors with or without cause.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8820" w:type="dxa"/>
            <w:vAlign w:val="bottom"/>
          </w:tcPr>
          <w:p>
            <w:pPr>
              <w:ind w:left="440"/>
              <w:spacing w:after="0"/>
              <w:rPr>
                <w:sz w:val="20"/>
                <w:szCs w:val="20"/>
                <w:color w:val="auto"/>
              </w:rPr>
            </w:pPr>
            <w:r>
              <w:rPr>
                <w:rFonts w:ascii="Arial" w:cs="Arial" w:eastAsia="Arial" w:hAnsi="Arial"/>
                <w:sz w:val="16"/>
                <w:szCs w:val="16"/>
                <w:b w:val="1"/>
                <w:bCs w:val="1"/>
                <w:color w:val="auto"/>
              </w:rPr>
              <w:t>Offices or Positions To be Held</w:t>
            </w:r>
          </w:p>
        </w:tc>
      </w:tr>
      <w:tr>
        <w:trPr>
          <w:trHeight w:val="40"/>
        </w:trPr>
        <w:tc>
          <w:tcPr>
            <w:tcW w:w="20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r>
      <w:tr>
        <w:trPr>
          <w:trHeight w:val="275"/>
        </w:trPr>
        <w:tc>
          <w:tcPr>
            <w:tcW w:w="20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Joseph A. Ferraro</w:t>
            </w:r>
          </w:p>
        </w:tc>
        <w:tc>
          <w:tcPr>
            <w:tcW w:w="8820" w:type="dxa"/>
            <w:vAlign w:val="bottom"/>
            <w:tcBorders>
              <w:bottom w:val="single" w:sz="8" w:color="CCCCCC"/>
            </w:tcBorders>
            <w:shd w:val="clear" w:color="auto" w:fill="CCCCCC"/>
          </w:tcPr>
          <w:p>
            <w:pPr>
              <w:ind w:left="440"/>
              <w:spacing w:after="0"/>
              <w:rPr>
                <w:sz w:val="20"/>
                <w:szCs w:val="20"/>
                <w:color w:val="auto"/>
              </w:rPr>
            </w:pPr>
            <w:r>
              <w:rPr>
                <w:rFonts w:ascii="Arial" w:cs="Arial" w:eastAsia="Arial" w:hAnsi="Arial"/>
                <w:sz w:val="18"/>
                <w:szCs w:val="18"/>
                <w:color w:val="auto"/>
              </w:rPr>
              <w:t>Interim President and Chief Executive Officer</w:t>
            </w:r>
          </w:p>
        </w:tc>
      </w:tr>
      <w:tr>
        <w:trPr>
          <w:trHeight w:val="237"/>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F. North, III</w:t>
            </w:r>
          </w:p>
        </w:tc>
        <w:tc>
          <w:tcPr>
            <w:tcW w:w="88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0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68"/>
        </w:trPr>
        <w:tc>
          <w:tcPr>
            <w:tcW w:w="20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Izilda P. Martins</w:t>
            </w:r>
          </w:p>
        </w:tc>
        <w:tc>
          <w:tcPr>
            <w:tcW w:w="8820" w:type="dxa"/>
            <w:vAlign w:val="bottom"/>
            <w:tcBorders>
              <w:bottom w:val="single" w:sz="8" w:color="CCCCCC"/>
            </w:tcBorders>
            <w:shd w:val="clear" w:color="auto" w:fill="CCCCCC"/>
          </w:tcPr>
          <w:p>
            <w:pPr>
              <w:ind w:left="440"/>
              <w:spacing w:after="0"/>
              <w:rPr>
                <w:sz w:val="20"/>
                <w:szCs w:val="20"/>
                <w:color w:val="auto"/>
              </w:rPr>
            </w:pPr>
            <w:r>
              <w:rPr>
                <w:rFonts w:ascii="Arial" w:cs="Arial" w:eastAsia="Arial" w:hAnsi="Arial"/>
                <w:sz w:val="18"/>
                <w:szCs w:val="18"/>
                <w:color w:val="auto"/>
              </w:rPr>
              <w:t>Interim President, Americas</w:t>
            </w:r>
          </w:p>
        </w:tc>
      </w:tr>
      <w:tr>
        <w:trPr>
          <w:trHeight w:val="237"/>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Edward P. Linnen</w:t>
            </w:r>
          </w:p>
        </w:tc>
        <w:tc>
          <w:tcPr>
            <w:tcW w:w="88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7"/>
        </w:trPr>
        <w:tc>
          <w:tcPr>
            <w:tcW w:w="20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68"/>
        </w:trPr>
        <w:tc>
          <w:tcPr>
            <w:tcW w:w="20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Keith Rankin</w:t>
            </w:r>
          </w:p>
        </w:tc>
        <w:tc>
          <w:tcPr>
            <w:tcW w:w="8820" w:type="dxa"/>
            <w:vAlign w:val="bottom"/>
            <w:tcBorders>
              <w:bottom w:val="single" w:sz="8" w:color="CCCCCC"/>
            </w:tcBorders>
            <w:shd w:val="clear" w:color="auto" w:fill="CCCCCC"/>
          </w:tcPr>
          <w:p>
            <w:pPr>
              <w:ind w:left="440"/>
              <w:spacing w:after="0"/>
              <w:rPr>
                <w:sz w:val="20"/>
                <w:szCs w:val="20"/>
                <w:color w:val="auto"/>
              </w:rPr>
            </w:pPr>
            <w:r>
              <w:rPr>
                <w:rFonts w:ascii="Arial" w:cs="Arial" w:eastAsia="Arial" w:hAnsi="Arial"/>
                <w:sz w:val="18"/>
                <w:szCs w:val="18"/>
                <w:color w:val="auto"/>
              </w:rPr>
              <w:t>President, International</w:t>
            </w:r>
          </w:p>
        </w:tc>
      </w:tr>
      <w:tr>
        <w:trPr>
          <w:trHeight w:val="237"/>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Jean M. Sera</w:t>
            </w:r>
          </w:p>
        </w:tc>
        <w:tc>
          <w:tcPr>
            <w:tcW w:w="88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20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43"/>
        </w:trPr>
        <w:tc>
          <w:tcPr>
            <w:tcW w:w="20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Cathleen DeGenova</w:t>
            </w:r>
          </w:p>
        </w:tc>
        <w:tc>
          <w:tcPr>
            <w:tcW w:w="8820" w:type="dxa"/>
            <w:vAlign w:val="bottom"/>
            <w:tcBorders>
              <w:bottom w:val="single" w:sz="8" w:color="CCCCCC"/>
            </w:tcBorders>
            <w:shd w:val="clear" w:color="auto" w:fill="CCCCCC"/>
          </w:tcPr>
          <w:p>
            <w:pPr>
              <w:ind w:left="440"/>
              <w:spacing w:after="0"/>
              <w:rPr>
                <w:sz w:val="20"/>
                <w:szCs w:val="20"/>
                <w:color w:val="auto"/>
              </w:rPr>
            </w:pPr>
            <w:r>
              <w:rPr>
                <w:rFonts w:ascii="Arial" w:cs="Arial" w:eastAsia="Arial" w:hAnsi="Arial"/>
                <w:sz w:val="18"/>
                <w:szCs w:val="18"/>
                <w:color w:val="auto"/>
              </w:rPr>
              <w:t>Vice President and Chief Accounting Officer</w:t>
            </w:r>
          </w:p>
        </w:tc>
      </w:tr>
      <w:tr>
        <w:trPr>
          <w:trHeight w:val="27"/>
        </w:trPr>
        <w:tc>
          <w:tcPr>
            <w:tcW w:w="2060" w:type="dxa"/>
            <w:vAlign w:val="bottom"/>
            <w:shd w:val="clear" w:color="auto" w:fill="000000"/>
          </w:tcPr>
          <w:p>
            <w:pPr>
              <w:spacing w:after="0"/>
              <w:rPr>
                <w:sz w:val="2"/>
                <w:szCs w:val="2"/>
                <w:color w:val="auto"/>
              </w:rPr>
            </w:pPr>
          </w:p>
        </w:tc>
        <w:tc>
          <w:tcPr>
            <w:tcW w:w="8820" w:type="dxa"/>
            <w:vAlign w:val="bottom"/>
            <w:shd w:val="clear" w:color="auto" w:fill="000000"/>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for our executive officers is set forth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9080" w:type="dxa"/>
            <w:vAlign w:val="bottom"/>
            <w:gridSpan w:val="2"/>
          </w:tcPr>
          <w:p>
            <w:pPr>
              <w:ind w:left="360"/>
              <w:spacing w:after="0"/>
              <w:rPr>
                <w:sz w:val="20"/>
                <w:szCs w:val="20"/>
                <w:color w:val="auto"/>
              </w:rPr>
            </w:pPr>
            <w:r>
              <w:rPr>
                <w:rFonts w:ascii="Arial" w:cs="Arial" w:eastAsia="Arial" w:hAnsi="Arial"/>
                <w:sz w:val="16"/>
                <w:szCs w:val="16"/>
                <w:b w:val="1"/>
                <w:bCs w:val="1"/>
                <w:color w:val="auto"/>
              </w:rPr>
              <w:t>Biographical Information</w:t>
            </w:r>
          </w:p>
        </w:tc>
      </w:tr>
      <w:tr>
        <w:trPr>
          <w:trHeight w:val="40"/>
        </w:trPr>
        <w:tc>
          <w:tcPr>
            <w:tcW w:w="1820" w:type="dxa"/>
            <w:vAlign w:val="bottom"/>
            <w:tcBorders>
              <w:bottom w:val="single" w:sz="8" w:color="auto"/>
            </w:tcBorders>
          </w:tcPr>
          <w:p>
            <w:pPr>
              <w:spacing w:after="0"/>
              <w:rPr>
                <w:sz w:val="3"/>
                <w:szCs w:val="3"/>
                <w:color w:val="auto"/>
              </w:rPr>
            </w:pPr>
          </w:p>
        </w:tc>
        <w:tc>
          <w:tcPr>
            <w:tcW w:w="9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1820" w:type="dxa"/>
            <w:vAlign w:val="bottom"/>
            <w:shd w:val="clear" w:color="auto" w:fill="CCCCCC"/>
          </w:tcPr>
          <w:p>
            <w:pPr>
              <w:spacing w:after="0" w:line="201" w:lineRule="exact"/>
              <w:rPr>
                <w:sz w:val="20"/>
                <w:szCs w:val="20"/>
                <w:color w:val="auto"/>
              </w:rPr>
            </w:pPr>
            <w:r>
              <w:rPr>
                <w:rFonts w:ascii="Arial" w:cs="Arial" w:eastAsia="Arial" w:hAnsi="Arial"/>
                <w:sz w:val="18"/>
                <w:szCs w:val="18"/>
                <w:color w:val="auto"/>
              </w:rPr>
              <w:t>Joseph A. Ferraro</w:t>
            </w:r>
          </w:p>
        </w:tc>
        <w:tc>
          <w:tcPr>
            <w:tcW w:w="9060" w:type="dxa"/>
            <w:vAlign w:val="bottom"/>
            <w:shd w:val="clear" w:color="auto" w:fill="CCCCCC"/>
          </w:tcPr>
          <w:p>
            <w:pPr>
              <w:ind w:left="360"/>
              <w:spacing w:after="0" w:line="201" w:lineRule="exact"/>
              <w:rPr>
                <w:sz w:val="20"/>
                <w:szCs w:val="20"/>
                <w:color w:val="auto"/>
              </w:rPr>
            </w:pPr>
            <w:r>
              <w:rPr>
                <w:rFonts w:ascii="Arial" w:cs="Arial" w:eastAsia="Arial" w:hAnsi="Arial"/>
                <w:sz w:val="18"/>
                <w:szCs w:val="18"/>
                <w:b w:val="1"/>
                <w:bCs w:val="1"/>
                <w:color w:val="auto"/>
              </w:rPr>
              <w:t>Mr. Ferraro</w:t>
            </w:r>
            <w:r>
              <w:rPr>
                <w:rFonts w:ascii="Arial" w:cs="Arial" w:eastAsia="Arial" w:hAnsi="Arial"/>
                <w:sz w:val="18"/>
                <w:szCs w:val="18"/>
                <w:color w:val="auto"/>
              </w:rPr>
              <w:t>, age 63, was appointed Interim President and Chief Executive Officer effective January 1, 2020.</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Previously,  Mr.  Ferraro  held  various  roles  with  the  Company,  including  President,  Americas  from</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January  2015  through  December  2019  and  Senior  Vice  President,  North  America  Operations  from</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w w:val="99"/>
              </w:rPr>
              <w:t>October 2011 to December 2014. Mr. Ferraro joined the Company in 1979, and served in various positions of</w:t>
            </w:r>
          </w:p>
        </w:tc>
        <w:tc>
          <w:tcPr>
            <w:tcW w:w="20" w:type="dxa"/>
            <w:vAlign w:val="bottom"/>
          </w:tcPr>
          <w:p>
            <w:pPr>
              <w:spacing w:after="0"/>
              <w:rPr>
                <w:sz w:val="17"/>
                <w:szCs w:val="17"/>
                <w:color w:val="auto"/>
              </w:rPr>
            </w:pPr>
          </w:p>
        </w:tc>
      </w:tr>
      <w:tr>
        <w:trPr>
          <w:trHeight w:val="249"/>
        </w:trPr>
        <w:tc>
          <w:tcPr>
            <w:tcW w:w="1820" w:type="dxa"/>
            <w:vAlign w:val="bottom"/>
            <w:tcBorders>
              <w:bottom w:val="single" w:sz="8" w:color="CCCCCC"/>
            </w:tcBorders>
            <w:shd w:val="clear" w:color="auto" w:fill="CCCCCC"/>
          </w:tcPr>
          <w:p>
            <w:pPr>
              <w:spacing w:after="0"/>
              <w:rPr>
                <w:sz w:val="21"/>
                <w:szCs w:val="21"/>
                <w:color w:val="auto"/>
              </w:rPr>
            </w:pPr>
          </w:p>
        </w:tc>
        <w:tc>
          <w:tcPr>
            <w:tcW w:w="906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8"/>
                <w:szCs w:val="18"/>
                <w:color w:val="auto"/>
              </w:rPr>
              <w:t>increasing responsibility in the Company’s North American operations.</w:t>
            </w:r>
          </w:p>
        </w:tc>
        <w:tc>
          <w:tcPr>
            <w:tcW w:w="20" w:type="dxa"/>
            <w:vAlign w:val="bottom"/>
          </w:tcPr>
          <w:p>
            <w:pPr>
              <w:spacing w:after="0"/>
              <w:rPr>
                <w:sz w:val="21"/>
                <w:szCs w:val="21"/>
                <w:color w:val="auto"/>
              </w:rPr>
            </w:pPr>
          </w:p>
        </w:tc>
      </w:tr>
      <w:tr>
        <w:trPr>
          <w:trHeight w:val="195"/>
        </w:trPr>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North, III</w:t>
            </w:r>
          </w:p>
        </w:tc>
        <w:tc>
          <w:tcPr>
            <w:tcW w:w="90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b w:val="1"/>
                <w:bCs w:val="1"/>
                <w:color w:val="auto"/>
              </w:rPr>
              <w:t>Mr. North</w:t>
            </w:r>
            <w:r>
              <w:rPr>
                <w:rFonts w:ascii="Arial" w:cs="Arial" w:eastAsia="Arial" w:hAnsi="Arial"/>
                <w:sz w:val="18"/>
                <w:szCs w:val="18"/>
                <w:color w:val="auto"/>
              </w:rPr>
              <w:t>, age 42, has been Executive Vice President and Chief Financial Officer since March 2019. Prior to</w:t>
            </w:r>
          </w:p>
        </w:tc>
        <w:tc>
          <w:tcPr>
            <w:tcW w:w="20" w:type="dxa"/>
            <w:vAlign w:val="bottom"/>
          </w:tcPr>
          <w:p>
            <w:pPr>
              <w:spacing w:after="0"/>
              <w:rPr>
                <w:sz w:val="16"/>
                <w:szCs w:val="16"/>
                <w:color w:val="auto"/>
              </w:rPr>
            </w:pP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joining the Company, Mr. North served in leadership roles in finance at Lithia Motors, Inc. beginning in 2002,</w:t>
            </w: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including as Chief Financial Officer from January 2017 to March 2019, as Chief Accounting Officer from</w:t>
            </w: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January  2015  to  December  2016  and  as  Vice  President,  Finance  and  Corporate  Controller  from</w:t>
            </w:r>
          </w:p>
        </w:tc>
      </w:tr>
      <w:tr>
        <w:trPr>
          <w:trHeight w:val="217"/>
        </w:trPr>
        <w:tc>
          <w:tcPr>
            <w:tcW w:w="18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January 2010 to December 2014. Mr. North is a Certified Public Accountant and a CFA® charterholder.</w:t>
            </w:r>
          </w:p>
        </w:tc>
      </w:tr>
      <w:tr>
        <w:trPr>
          <w:trHeight w:val="27"/>
        </w:trPr>
        <w:tc>
          <w:tcPr>
            <w:tcW w:w="182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820" w:type="dxa"/>
            <w:vAlign w:val="bottom"/>
            <w:shd w:val="clear" w:color="auto" w:fill="CCCCCC"/>
          </w:tcPr>
          <w:p>
            <w:pPr>
              <w:spacing w:after="0" w:line="195" w:lineRule="exact"/>
              <w:rPr>
                <w:sz w:val="20"/>
                <w:szCs w:val="20"/>
                <w:color w:val="auto"/>
              </w:rPr>
            </w:pPr>
            <w:r>
              <w:rPr>
                <w:rFonts w:ascii="Arial" w:cs="Arial" w:eastAsia="Arial" w:hAnsi="Arial"/>
                <w:sz w:val="18"/>
                <w:szCs w:val="18"/>
                <w:color w:val="auto"/>
              </w:rPr>
              <w:t>Izilda P. Martins</w:t>
            </w:r>
          </w:p>
        </w:tc>
        <w:tc>
          <w:tcPr>
            <w:tcW w:w="9060" w:type="dxa"/>
            <w:vAlign w:val="bottom"/>
            <w:shd w:val="clear" w:color="auto" w:fill="CCCCCC"/>
          </w:tcPr>
          <w:p>
            <w:pPr>
              <w:ind w:left="360"/>
              <w:spacing w:after="0" w:line="195" w:lineRule="exact"/>
              <w:rPr>
                <w:sz w:val="20"/>
                <w:szCs w:val="20"/>
                <w:color w:val="auto"/>
              </w:rPr>
            </w:pPr>
            <w:r>
              <w:rPr>
                <w:rFonts w:ascii="Arial" w:cs="Arial" w:eastAsia="Arial" w:hAnsi="Arial"/>
                <w:sz w:val="18"/>
                <w:szCs w:val="18"/>
                <w:b w:val="1"/>
                <w:bCs w:val="1"/>
                <w:color w:val="auto"/>
              </w:rPr>
              <w:t>Ms. Martins</w:t>
            </w:r>
            <w:r>
              <w:rPr>
                <w:rFonts w:ascii="Arial" w:cs="Arial" w:eastAsia="Arial" w:hAnsi="Arial"/>
                <w:sz w:val="18"/>
                <w:szCs w:val="18"/>
                <w:color w:val="auto"/>
              </w:rPr>
              <w:t>, age 48, was appointed Interim President, Americas effective January 1, 2020. Previously,</w:t>
            </w:r>
          </w:p>
        </w:tc>
        <w:tc>
          <w:tcPr>
            <w:tcW w:w="20" w:type="dxa"/>
            <w:vAlign w:val="bottom"/>
          </w:tcPr>
          <w:p>
            <w:pPr>
              <w:spacing w:after="0"/>
              <w:rPr>
                <w:sz w:val="16"/>
                <w:szCs w:val="16"/>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Ms. Martins held various strategic and financial roles with the Company, including Senior Vice President and</w:t>
            </w:r>
          </w:p>
        </w:tc>
        <w:tc>
          <w:tcPr>
            <w:tcW w:w="20" w:type="dxa"/>
            <w:vAlign w:val="bottom"/>
          </w:tcPr>
          <w:p>
            <w:pPr>
              <w:spacing w:after="0"/>
              <w:rPr>
                <w:sz w:val="17"/>
                <w:szCs w:val="17"/>
                <w:color w:val="auto"/>
              </w:rPr>
            </w:pPr>
          </w:p>
        </w:tc>
      </w:tr>
      <w:tr>
        <w:trPr>
          <w:trHeight w:val="202"/>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Chief Financial Officer, Americas from May 2014 through December 2019, Senior Vice President and Acting</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Chief Accounting Officer from November 2010 through May 2014, and Vice President of Tax from</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August 2006 through November 2010. Ms. Martins was Director of Tax Planning and Mergers &amp; Acquisitions</w:t>
            </w:r>
          </w:p>
        </w:tc>
        <w:tc>
          <w:tcPr>
            <w:tcW w:w="20" w:type="dxa"/>
            <w:vAlign w:val="bottom"/>
          </w:tcPr>
          <w:p>
            <w:pPr>
              <w:spacing w:after="0"/>
              <w:rPr>
                <w:sz w:val="17"/>
                <w:szCs w:val="17"/>
                <w:color w:val="auto"/>
              </w:rPr>
            </w:pPr>
          </w:p>
        </w:tc>
      </w:tr>
      <w:tr>
        <w:trPr>
          <w:trHeight w:val="180"/>
        </w:trPr>
        <w:tc>
          <w:tcPr>
            <w:tcW w:w="1820" w:type="dxa"/>
            <w:vAlign w:val="bottom"/>
            <w:shd w:val="clear" w:color="auto" w:fill="CCCCCC"/>
          </w:tcPr>
          <w:p>
            <w:pPr>
              <w:spacing w:after="0"/>
              <w:rPr>
                <w:sz w:val="15"/>
                <w:szCs w:val="15"/>
                <w:color w:val="auto"/>
              </w:rPr>
            </w:pPr>
          </w:p>
        </w:tc>
        <w:tc>
          <w:tcPr>
            <w:tcW w:w="9060" w:type="dxa"/>
            <w:vAlign w:val="bottom"/>
            <w:shd w:val="clear" w:color="auto" w:fill="CCCCCC"/>
          </w:tcPr>
          <w:p>
            <w:pPr>
              <w:ind w:left="360"/>
              <w:spacing w:after="0" w:line="181" w:lineRule="exact"/>
              <w:rPr>
                <w:sz w:val="20"/>
                <w:szCs w:val="20"/>
                <w:color w:val="auto"/>
              </w:rPr>
            </w:pPr>
            <w:r>
              <w:rPr>
                <w:rFonts w:ascii="Arial" w:cs="Arial" w:eastAsia="Arial" w:hAnsi="Arial"/>
                <w:sz w:val="18"/>
                <w:szCs w:val="18"/>
                <w:color w:val="auto"/>
              </w:rPr>
              <w:t>of Cendant Corporation (as the Company was formerly known) from November 2004 through August 2006.</w:t>
            </w:r>
          </w:p>
        </w:tc>
        <w:tc>
          <w:tcPr>
            <w:tcW w:w="20" w:type="dxa"/>
            <w:vAlign w:val="bottom"/>
          </w:tcPr>
          <w:p>
            <w:pPr>
              <w:spacing w:after="0"/>
              <w:rPr>
                <w:sz w:val="15"/>
                <w:szCs w:val="15"/>
                <w:color w:val="auto"/>
              </w:rPr>
            </w:pPr>
          </w:p>
        </w:tc>
      </w:tr>
      <w:tr>
        <w:trPr>
          <w:trHeight w:val="271"/>
        </w:trPr>
        <w:tc>
          <w:tcPr>
            <w:tcW w:w="1820" w:type="dxa"/>
            <w:vAlign w:val="bottom"/>
            <w:tcBorders>
              <w:bottom w:val="single" w:sz="8" w:color="CCCCCC"/>
            </w:tcBorders>
            <w:shd w:val="clear" w:color="auto" w:fill="CCCCCC"/>
          </w:tcPr>
          <w:p>
            <w:pPr>
              <w:spacing w:after="0"/>
              <w:rPr>
                <w:sz w:val="23"/>
                <w:szCs w:val="23"/>
                <w:color w:val="auto"/>
              </w:rPr>
            </w:pPr>
          </w:p>
        </w:tc>
        <w:tc>
          <w:tcPr>
            <w:tcW w:w="906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8"/>
                <w:szCs w:val="18"/>
                <w:color w:val="auto"/>
              </w:rPr>
              <w:t>Prior to joining the Company, Ms. Martins was associated with Deloitte &amp; Touche LLP for seven years</w:t>
            </w: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r>
      <w:tr>
        <w:trPr>
          <w:trHeight w:val="195"/>
        </w:trPr>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Edward P. Linnen</w:t>
            </w:r>
          </w:p>
        </w:tc>
        <w:tc>
          <w:tcPr>
            <w:tcW w:w="90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50,  has  been  Executive  Vice  President,  Chief  Human  Resources  Officer  since</w:t>
            </w:r>
          </w:p>
        </w:tc>
        <w:tc>
          <w:tcPr>
            <w:tcW w:w="20" w:type="dxa"/>
            <w:vAlign w:val="bottom"/>
          </w:tcPr>
          <w:p>
            <w:pPr>
              <w:spacing w:after="0"/>
              <w:rPr>
                <w:sz w:val="16"/>
                <w:szCs w:val="16"/>
                <w:color w:val="auto"/>
              </w:rPr>
            </w:pP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January 2015. Previously, Mr. Linnen held the title of Senior Vice President, Chief Human Resources Officer</w:t>
            </w: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from February 2013 until January 2015, and Senior Vice President, Human Resources for North America</w:t>
            </w: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from October 2011 to February 2013. Mr. Linnen joined the Company in 2001, and served in several</w:t>
            </w: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positions in the Company’s human resources function, including as Vice President, Labor Relations &amp;</w:t>
            </w: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International Human Resources, Vice President, Domestic Human Resources, and Field Human Resources</w:t>
            </w:r>
          </w:p>
        </w:tc>
      </w:tr>
      <w:tr>
        <w:trPr>
          <w:trHeight w:val="203"/>
        </w:trPr>
        <w:tc>
          <w:tcPr>
            <w:tcW w:w="1820" w:type="dxa"/>
            <w:vAlign w:val="bottom"/>
          </w:tcPr>
          <w:p>
            <w:pPr>
              <w:spacing w:after="0"/>
              <w:rPr>
                <w:sz w:val="17"/>
                <w:szCs w:val="17"/>
                <w:color w:val="auto"/>
              </w:rPr>
            </w:pPr>
          </w:p>
        </w:tc>
        <w:tc>
          <w:tcPr>
            <w:tcW w:w="90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Director. Prior to joining the Company, Mr. Linnen served in various positions within human resources at Kraft</w:t>
            </w:r>
          </w:p>
        </w:tc>
      </w:tr>
      <w:tr>
        <w:trPr>
          <w:trHeight w:val="217"/>
        </w:trPr>
        <w:tc>
          <w:tcPr>
            <w:tcW w:w="18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Foods Inc. and Nabisco, Inc.</w:t>
            </w:r>
          </w:p>
        </w:tc>
      </w:tr>
      <w:tr>
        <w:trPr>
          <w:trHeight w:val="27"/>
        </w:trPr>
        <w:tc>
          <w:tcPr>
            <w:tcW w:w="182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820" w:type="dxa"/>
            <w:vAlign w:val="bottom"/>
            <w:shd w:val="clear" w:color="auto" w:fill="CCCCCC"/>
          </w:tcPr>
          <w:p>
            <w:pPr>
              <w:spacing w:after="0" w:line="195" w:lineRule="exact"/>
              <w:rPr>
                <w:sz w:val="20"/>
                <w:szCs w:val="20"/>
                <w:color w:val="auto"/>
              </w:rPr>
            </w:pPr>
            <w:r>
              <w:rPr>
                <w:rFonts w:ascii="Arial" w:cs="Arial" w:eastAsia="Arial" w:hAnsi="Arial"/>
                <w:sz w:val="18"/>
                <w:szCs w:val="18"/>
                <w:color w:val="auto"/>
              </w:rPr>
              <w:t>Keith Rankin</w:t>
            </w:r>
          </w:p>
        </w:tc>
        <w:tc>
          <w:tcPr>
            <w:tcW w:w="9060" w:type="dxa"/>
            <w:vAlign w:val="bottom"/>
            <w:shd w:val="clear" w:color="auto" w:fill="CCCCCC"/>
          </w:tcPr>
          <w:p>
            <w:pPr>
              <w:ind w:left="360"/>
              <w:spacing w:after="0" w:line="195" w:lineRule="exact"/>
              <w:rPr>
                <w:sz w:val="20"/>
                <w:szCs w:val="20"/>
                <w:color w:val="auto"/>
              </w:rPr>
            </w:pPr>
            <w:r>
              <w:rPr>
                <w:rFonts w:ascii="Arial" w:cs="Arial" w:eastAsia="Arial" w:hAnsi="Arial"/>
                <w:sz w:val="18"/>
                <w:szCs w:val="18"/>
                <w:b w:val="1"/>
                <w:bCs w:val="1"/>
                <w:color w:val="auto"/>
              </w:rPr>
              <w:t>Mr. Rankin</w:t>
            </w:r>
            <w:r>
              <w:rPr>
                <w:rFonts w:ascii="Arial" w:cs="Arial" w:eastAsia="Arial" w:hAnsi="Arial"/>
                <w:sz w:val="18"/>
                <w:szCs w:val="18"/>
                <w:color w:val="auto"/>
              </w:rPr>
              <w:t>, 50, has been President of International since June 2019. Prior to joining the Company, Mr.</w:t>
            </w:r>
          </w:p>
        </w:tc>
        <w:tc>
          <w:tcPr>
            <w:tcW w:w="20" w:type="dxa"/>
            <w:vAlign w:val="bottom"/>
          </w:tcPr>
          <w:p>
            <w:pPr>
              <w:spacing w:after="0"/>
              <w:rPr>
                <w:sz w:val="16"/>
                <w:szCs w:val="16"/>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Rankin held the position of Chief Executive Officer for the automotive division of Barloworld in South Africa</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from March 2015. Barloworld is a distributor of leading global brands, providing integrated rental, fleet</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management, product support and logistics solutions, and a licensee partner of Avis Budget Group. Mr.</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Rankin began his career with Avis in South Africa in 1998 and was appointed Chief Executive of Avis Car</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Rental Southern Africa in 2004. In 2007, he was appointed Chief Executive Officer of car rental, part of</w:t>
            </w:r>
          </w:p>
        </w:tc>
        <w:tc>
          <w:tcPr>
            <w:tcW w:w="20" w:type="dxa"/>
            <w:vAlign w:val="bottom"/>
          </w:tcPr>
          <w:p>
            <w:pPr>
              <w:spacing w:after="0"/>
              <w:rPr>
                <w:sz w:val="17"/>
                <w:szCs w:val="17"/>
                <w:color w:val="auto"/>
              </w:rPr>
            </w:pPr>
          </w:p>
        </w:tc>
      </w:tr>
      <w:tr>
        <w:trPr>
          <w:trHeight w:val="203"/>
        </w:trPr>
        <w:tc>
          <w:tcPr>
            <w:tcW w:w="1820" w:type="dxa"/>
            <w:vAlign w:val="bottom"/>
            <w:shd w:val="clear" w:color="auto" w:fill="CCCCCC"/>
          </w:tcPr>
          <w:p>
            <w:pPr>
              <w:spacing w:after="0"/>
              <w:rPr>
                <w:sz w:val="17"/>
                <w:szCs w:val="17"/>
                <w:color w:val="auto"/>
              </w:rPr>
            </w:pPr>
          </w:p>
        </w:tc>
        <w:tc>
          <w:tcPr>
            <w:tcW w:w="906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Barloworld’s automotive division that included Barloworld’s southern Africa and Scandinavian car rental</w:t>
            </w:r>
          </w:p>
        </w:tc>
        <w:tc>
          <w:tcPr>
            <w:tcW w:w="20" w:type="dxa"/>
            <w:vAlign w:val="bottom"/>
          </w:tcPr>
          <w:p>
            <w:pPr>
              <w:spacing w:after="0"/>
              <w:rPr>
                <w:sz w:val="17"/>
                <w:szCs w:val="17"/>
                <w:color w:val="auto"/>
              </w:rPr>
            </w:pPr>
          </w:p>
        </w:tc>
      </w:tr>
      <w:tr>
        <w:trPr>
          <w:trHeight w:val="249"/>
        </w:trPr>
        <w:tc>
          <w:tcPr>
            <w:tcW w:w="1820" w:type="dxa"/>
            <w:vAlign w:val="bottom"/>
            <w:tcBorders>
              <w:bottom w:val="single" w:sz="8" w:color="CCCCCC"/>
            </w:tcBorders>
            <w:shd w:val="clear" w:color="auto" w:fill="CCCCCC"/>
          </w:tcPr>
          <w:p>
            <w:pPr>
              <w:spacing w:after="0"/>
              <w:rPr>
                <w:sz w:val="21"/>
                <w:szCs w:val="21"/>
                <w:color w:val="auto"/>
              </w:rPr>
            </w:pPr>
          </w:p>
        </w:tc>
        <w:tc>
          <w:tcPr>
            <w:tcW w:w="906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8"/>
                <w:szCs w:val="18"/>
                <w:color w:val="auto"/>
              </w:rPr>
              <w:t>operations.</w:t>
            </w:r>
          </w:p>
        </w:tc>
        <w:tc>
          <w:tcPr>
            <w:tcW w:w="20" w:type="dxa"/>
            <w:vAlign w:val="bottom"/>
          </w:tcPr>
          <w:p>
            <w:pPr>
              <w:spacing w:after="0"/>
              <w:rPr>
                <w:sz w:val="21"/>
                <w:szCs w:val="21"/>
                <w:color w:val="auto"/>
              </w:rPr>
            </w:pPr>
          </w:p>
        </w:tc>
      </w:tr>
      <w:tr>
        <w:trPr>
          <w:trHeight w:val="385"/>
        </w:trPr>
        <w:tc>
          <w:tcPr>
            <w:tcW w:w="1820" w:type="dxa"/>
            <w:vAlign w:val="bottom"/>
            <w:tcBorders>
              <w:top w:val="single" w:sz="8" w:color="auto"/>
              <w:bottom w:val="single" w:sz="8" w:color="auto"/>
            </w:tcBorders>
          </w:tcPr>
          <w:p>
            <w:pPr>
              <w:spacing w:after="0"/>
              <w:rPr>
                <w:sz w:val="24"/>
                <w:szCs w:val="24"/>
                <w:color w:val="auto"/>
              </w:rPr>
            </w:pPr>
          </w:p>
        </w:tc>
        <w:tc>
          <w:tcPr>
            <w:tcW w:w="9060" w:type="dxa"/>
            <w:vAlign w:val="bottom"/>
            <w:tcBorders>
              <w:top w:val="single" w:sz="8" w:color="auto"/>
              <w:bottom w:val="single" w:sz="8" w:color="auto"/>
            </w:tcBorders>
          </w:tcPr>
          <w:p>
            <w:pPr>
              <w:ind w:left="352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87" w:right="5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0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8"/>
                <w:szCs w:val="18"/>
                <w:color w:val="auto"/>
              </w:rPr>
              <w:t>Jean M. Sera</w:t>
            </w:r>
          </w:p>
        </w:tc>
        <w:tc>
          <w:tcPr>
            <w:tcW w:w="8980" w:type="dxa"/>
            <w:vAlign w:val="bottom"/>
            <w:tcBorders>
              <w:top w:val="single" w:sz="8" w:color="auto"/>
            </w:tcBorders>
            <w:shd w:val="clear" w:color="auto" w:fill="CCCCCC"/>
          </w:tcPr>
          <w:p>
            <w:pPr>
              <w:ind w:left="280"/>
              <w:spacing w:after="0"/>
              <w:rPr>
                <w:sz w:val="20"/>
                <w:szCs w:val="20"/>
                <w:color w:val="auto"/>
              </w:rPr>
            </w:pPr>
            <w:r>
              <w:rPr>
                <w:rFonts w:ascii="Arial" w:cs="Arial" w:eastAsia="Arial" w:hAnsi="Arial"/>
                <w:sz w:val="18"/>
                <w:szCs w:val="18"/>
                <w:b w:val="1"/>
                <w:bCs w:val="1"/>
                <w:color w:val="auto"/>
              </w:rPr>
              <w:t>Ms. Sera</w:t>
            </w:r>
            <w:r>
              <w:rPr>
                <w:rFonts w:ascii="Arial" w:cs="Arial" w:eastAsia="Arial" w:hAnsi="Arial"/>
                <w:sz w:val="18"/>
                <w:szCs w:val="18"/>
                <w:color w:val="auto"/>
              </w:rPr>
              <w:t>, age 50, has been appointed Senior Vice President, General Counsel and Corporate Secretary,</w:t>
            </w:r>
          </w:p>
        </w:tc>
        <w:tc>
          <w:tcPr>
            <w:tcW w:w="20" w:type="dxa"/>
            <w:vAlign w:val="bottom"/>
          </w:tcPr>
          <w:p>
            <w:pPr>
              <w:spacing w:after="0"/>
              <w:rPr>
                <w:sz w:val="18"/>
                <w:szCs w:val="18"/>
                <w:color w:val="auto"/>
              </w:rPr>
            </w:pPr>
          </w:p>
        </w:tc>
      </w:tr>
      <w:tr>
        <w:trPr>
          <w:trHeight w:val="203"/>
        </w:trPr>
        <w:tc>
          <w:tcPr>
            <w:tcW w:w="1900" w:type="dxa"/>
            <w:vAlign w:val="bottom"/>
            <w:shd w:val="clear" w:color="auto" w:fill="CCCCCC"/>
          </w:tcPr>
          <w:p>
            <w:pPr>
              <w:spacing w:after="0"/>
              <w:rPr>
                <w:sz w:val="17"/>
                <w:szCs w:val="17"/>
                <w:color w:val="auto"/>
              </w:rPr>
            </w:pPr>
          </w:p>
        </w:tc>
        <w:tc>
          <w:tcPr>
            <w:tcW w:w="8980" w:type="dxa"/>
            <w:vAlign w:val="bottom"/>
            <w:shd w:val="clear" w:color="auto" w:fill="CCCCCC"/>
          </w:tcPr>
          <w:p>
            <w:pPr>
              <w:ind w:left="280"/>
              <w:spacing w:after="0" w:line="202" w:lineRule="exact"/>
              <w:rPr>
                <w:sz w:val="20"/>
                <w:szCs w:val="20"/>
                <w:color w:val="auto"/>
              </w:rPr>
            </w:pPr>
            <w:r>
              <w:rPr>
                <w:rFonts w:ascii="Arial" w:cs="Arial" w:eastAsia="Arial" w:hAnsi="Arial"/>
                <w:sz w:val="18"/>
                <w:szCs w:val="18"/>
                <w:color w:val="auto"/>
              </w:rPr>
              <w:t>effective March 27, 2020. Ms. Sera has held the title of Senior Vice President &amp; Corporate Secretary since</w:t>
            </w:r>
          </w:p>
        </w:tc>
        <w:tc>
          <w:tcPr>
            <w:tcW w:w="20" w:type="dxa"/>
            <w:vAlign w:val="bottom"/>
          </w:tcPr>
          <w:p>
            <w:pPr>
              <w:spacing w:after="0"/>
              <w:rPr>
                <w:sz w:val="17"/>
                <w:szCs w:val="17"/>
                <w:color w:val="auto"/>
              </w:rPr>
            </w:pPr>
          </w:p>
        </w:tc>
      </w:tr>
      <w:tr>
        <w:trPr>
          <w:trHeight w:val="203"/>
        </w:trPr>
        <w:tc>
          <w:tcPr>
            <w:tcW w:w="1900" w:type="dxa"/>
            <w:vAlign w:val="bottom"/>
            <w:shd w:val="clear" w:color="auto" w:fill="CCCCCC"/>
          </w:tcPr>
          <w:p>
            <w:pPr>
              <w:spacing w:after="0"/>
              <w:rPr>
                <w:sz w:val="17"/>
                <w:szCs w:val="17"/>
                <w:color w:val="auto"/>
              </w:rPr>
            </w:pPr>
          </w:p>
        </w:tc>
        <w:tc>
          <w:tcPr>
            <w:tcW w:w="8980" w:type="dxa"/>
            <w:vAlign w:val="bottom"/>
            <w:shd w:val="clear" w:color="auto" w:fill="CCCCCC"/>
          </w:tcPr>
          <w:p>
            <w:pPr>
              <w:ind w:left="280"/>
              <w:spacing w:after="0" w:line="202" w:lineRule="exact"/>
              <w:rPr>
                <w:sz w:val="20"/>
                <w:szCs w:val="20"/>
                <w:color w:val="auto"/>
              </w:rPr>
            </w:pPr>
            <w:r>
              <w:rPr>
                <w:rFonts w:ascii="Arial" w:cs="Arial" w:eastAsia="Arial" w:hAnsi="Arial"/>
                <w:sz w:val="18"/>
                <w:szCs w:val="18"/>
                <w:color w:val="auto"/>
                <w:w w:val="99"/>
              </w:rPr>
              <w:t>August 2006. Previously, Ms. Sera was a Vice President in the Legal Department of Cendant Corporation (as</w:t>
            </w:r>
          </w:p>
        </w:tc>
        <w:tc>
          <w:tcPr>
            <w:tcW w:w="20" w:type="dxa"/>
            <w:vAlign w:val="bottom"/>
          </w:tcPr>
          <w:p>
            <w:pPr>
              <w:spacing w:after="0"/>
              <w:rPr>
                <w:sz w:val="17"/>
                <w:szCs w:val="17"/>
                <w:color w:val="auto"/>
              </w:rPr>
            </w:pPr>
          </w:p>
        </w:tc>
      </w:tr>
      <w:tr>
        <w:trPr>
          <w:trHeight w:val="203"/>
        </w:trPr>
        <w:tc>
          <w:tcPr>
            <w:tcW w:w="1900" w:type="dxa"/>
            <w:vAlign w:val="bottom"/>
            <w:shd w:val="clear" w:color="auto" w:fill="CCCCCC"/>
          </w:tcPr>
          <w:p>
            <w:pPr>
              <w:spacing w:after="0"/>
              <w:rPr>
                <w:sz w:val="17"/>
                <w:szCs w:val="17"/>
                <w:color w:val="auto"/>
              </w:rPr>
            </w:pPr>
          </w:p>
        </w:tc>
        <w:tc>
          <w:tcPr>
            <w:tcW w:w="8980" w:type="dxa"/>
            <w:vAlign w:val="bottom"/>
            <w:shd w:val="clear" w:color="auto" w:fill="CCCCCC"/>
          </w:tcPr>
          <w:p>
            <w:pPr>
              <w:ind w:left="280"/>
              <w:spacing w:after="0" w:line="202" w:lineRule="exact"/>
              <w:rPr>
                <w:sz w:val="20"/>
                <w:szCs w:val="20"/>
                <w:color w:val="auto"/>
              </w:rPr>
            </w:pPr>
            <w:r>
              <w:rPr>
                <w:rFonts w:ascii="Arial" w:cs="Arial" w:eastAsia="Arial" w:hAnsi="Arial"/>
                <w:sz w:val="18"/>
                <w:szCs w:val="18"/>
                <w:color w:val="auto"/>
              </w:rPr>
              <w:t>the Company was formerly known) from January 2002 to August 2006. Prior to joining the Company,</w:t>
            </w:r>
          </w:p>
        </w:tc>
        <w:tc>
          <w:tcPr>
            <w:tcW w:w="20" w:type="dxa"/>
            <w:vAlign w:val="bottom"/>
          </w:tcPr>
          <w:p>
            <w:pPr>
              <w:spacing w:after="0"/>
              <w:rPr>
                <w:sz w:val="17"/>
                <w:szCs w:val="17"/>
                <w:color w:val="auto"/>
              </w:rPr>
            </w:pPr>
          </w:p>
        </w:tc>
      </w:tr>
      <w:tr>
        <w:trPr>
          <w:trHeight w:val="249"/>
        </w:trPr>
        <w:tc>
          <w:tcPr>
            <w:tcW w:w="1900" w:type="dxa"/>
            <w:vAlign w:val="bottom"/>
            <w:tcBorders>
              <w:bottom w:val="single" w:sz="8" w:color="CCCCCC"/>
            </w:tcBorders>
            <w:shd w:val="clear" w:color="auto" w:fill="CCCCCC"/>
          </w:tcPr>
          <w:p>
            <w:pPr>
              <w:spacing w:after="0"/>
              <w:rPr>
                <w:sz w:val="21"/>
                <w:szCs w:val="21"/>
                <w:color w:val="auto"/>
              </w:rPr>
            </w:pPr>
          </w:p>
        </w:tc>
        <w:tc>
          <w:tcPr>
            <w:tcW w:w="898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8"/>
                <w:szCs w:val="18"/>
                <w:color w:val="auto"/>
              </w:rPr>
              <w:t>Ms. Sera was an associate with the law firm of Shearman &amp; Sterling.</w:t>
            </w:r>
          </w:p>
        </w:tc>
        <w:tc>
          <w:tcPr>
            <w:tcW w:w="20" w:type="dxa"/>
            <w:vAlign w:val="bottom"/>
          </w:tcPr>
          <w:p>
            <w:pPr>
              <w:spacing w:after="0"/>
              <w:rPr>
                <w:sz w:val="21"/>
                <w:szCs w:val="21"/>
                <w:color w:val="auto"/>
              </w:rPr>
            </w:pPr>
          </w:p>
        </w:tc>
      </w:tr>
      <w:tr>
        <w:trPr>
          <w:trHeight w:val="195"/>
        </w:trPr>
        <w:tc>
          <w:tcPr>
            <w:tcW w:w="1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Cathleen DeGenova</w:t>
            </w:r>
          </w:p>
        </w:tc>
        <w:tc>
          <w:tcPr>
            <w:tcW w:w="898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b w:val="1"/>
                <w:bCs w:val="1"/>
                <w:color w:val="auto"/>
              </w:rPr>
              <w:t>Ms. DeGenova</w:t>
            </w:r>
            <w:r>
              <w:rPr>
                <w:rFonts w:ascii="Arial" w:cs="Arial" w:eastAsia="Arial" w:hAnsi="Arial"/>
                <w:sz w:val="18"/>
                <w:szCs w:val="18"/>
                <w:color w:val="auto"/>
              </w:rPr>
              <w:t>, age 58, has been Vice President and Chief Accounting Officer since August 2019.</w:t>
            </w:r>
          </w:p>
        </w:tc>
        <w:tc>
          <w:tcPr>
            <w:tcW w:w="20" w:type="dxa"/>
            <w:vAlign w:val="bottom"/>
          </w:tcPr>
          <w:p>
            <w:pPr>
              <w:spacing w:after="0"/>
              <w:rPr>
                <w:sz w:val="16"/>
                <w:szCs w:val="16"/>
                <w:color w:val="auto"/>
              </w:rPr>
            </w:pPr>
          </w:p>
        </w:tc>
      </w:tr>
      <w:tr>
        <w:trPr>
          <w:trHeight w:val="202"/>
        </w:trPr>
        <w:tc>
          <w:tcPr>
            <w:tcW w:w="1900" w:type="dxa"/>
            <w:vAlign w:val="bottom"/>
          </w:tcPr>
          <w:p>
            <w:pPr>
              <w:spacing w:after="0"/>
              <w:rPr>
                <w:sz w:val="17"/>
                <w:szCs w:val="17"/>
                <w:color w:val="auto"/>
              </w:rPr>
            </w:pPr>
          </w:p>
        </w:tc>
        <w:tc>
          <w:tcPr>
            <w:tcW w:w="90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Previously, Ms. DeGenova held the title of Vice President of the Company overseeing External Reporting and</w:t>
            </w:r>
          </w:p>
        </w:tc>
      </w:tr>
      <w:tr>
        <w:trPr>
          <w:trHeight w:val="203"/>
        </w:trPr>
        <w:tc>
          <w:tcPr>
            <w:tcW w:w="1900" w:type="dxa"/>
            <w:vAlign w:val="bottom"/>
          </w:tcPr>
          <w:p>
            <w:pPr>
              <w:spacing w:after="0"/>
              <w:rPr>
                <w:sz w:val="17"/>
                <w:szCs w:val="17"/>
                <w:color w:val="auto"/>
              </w:rPr>
            </w:pPr>
          </w:p>
        </w:tc>
        <w:tc>
          <w:tcPr>
            <w:tcW w:w="90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Technical Accounting since April 2018. Ms. DeGenova previously held the title of Director of External</w:t>
            </w:r>
          </w:p>
        </w:tc>
      </w:tr>
      <w:tr>
        <w:trPr>
          <w:trHeight w:val="203"/>
        </w:trPr>
        <w:tc>
          <w:tcPr>
            <w:tcW w:w="1900" w:type="dxa"/>
            <w:vAlign w:val="bottom"/>
          </w:tcPr>
          <w:p>
            <w:pPr>
              <w:spacing w:after="0"/>
              <w:rPr>
                <w:sz w:val="17"/>
                <w:szCs w:val="17"/>
                <w:color w:val="auto"/>
              </w:rPr>
            </w:pPr>
          </w:p>
        </w:tc>
        <w:tc>
          <w:tcPr>
            <w:tcW w:w="90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Reporting &amp; Technical Accounting from June 2013, when she joined the Company. Prior to joining the</w:t>
            </w:r>
          </w:p>
        </w:tc>
      </w:tr>
      <w:tr>
        <w:trPr>
          <w:trHeight w:val="203"/>
        </w:trPr>
        <w:tc>
          <w:tcPr>
            <w:tcW w:w="1900" w:type="dxa"/>
            <w:vAlign w:val="bottom"/>
          </w:tcPr>
          <w:p>
            <w:pPr>
              <w:spacing w:after="0"/>
              <w:rPr>
                <w:sz w:val="17"/>
                <w:szCs w:val="17"/>
                <w:color w:val="auto"/>
              </w:rPr>
            </w:pPr>
          </w:p>
        </w:tc>
        <w:tc>
          <w:tcPr>
            <w:tcW w:w="90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Ms. DeGenova held similar roles at Zipcar, Inc., which the Company acquired in 2013, Charles</w:t>
            </w:r>
          </w:p>
        </w:tc>
      </w:tr>
      <w:tr>
        <w:trPr>
          <w:trHeight w:val="203"/>
        </w:trPr>
        <w:tc>
          <w:tcPr>
            <w:tcW w:w="1900" w:type="dxa"/>
            <w:vAlign w:val="bottom"/>
          </w:tcPr>
          <w:p>
            <w:pPr>
              <w:spacing w:after="0"/>
              <w:rPr>
                <w:sz w:val="17"/>
                <w:szCs w:val="17"/>
                <w:color w:val="auto"/>
              </w:rPr>
            </w:pPr>
          </w:p>
        </w:tc>
        <w:tc>
          <w:tcPr>
            <w:tcW w:w="90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River Labs and Millipore, and was an accountant with Ernst &amp; Young. Ms. DeGenova is a Certified Public</w:t>
            </w:r>
          </w:p>
        </w:tc>
      </w:tr>
      <w:tr>
        <w:trPr>
          <w:trHeight w:val="217"/>
        </w:trPr>
        <w:tc>
          <w:tcPr>
            <w:tcW w:w="1900" w:type="dxa"/>
            <w:vAlign w:val="bottom"/>
          </w:tcPr>
          <w:p>
            <w:pPr>
              <w:spacing w:after="0"/>
              <w:rPr>
                <w:sz w:val="18"/>
                <w:szCs w:val="18"/>
                <w:color w:val="auto"/>
              </w:rPr>
            </w:pPr>
          </w:p>
        </w:tc>
        <w:tc>
          <w:tcPr>
            <w:tcW w:w="9000" w:type="dxa"/>
            <w:vAlign w:val="bottom"/>
            <w:gridSpan w:val="2"/>
          </w:tcPr>
          <w:p>
            <w:pPr>
              <w:ind w:left="280"/>
              <w:spacing w:after="0"/>
              <w:rPr>
                <w:sz w:val="20"/>
                <w:szCs w:val="20"/>
                <w:color w:val="auto"/>
              </w:rPr>
            </w:pPr>
            <w:r>
              <w:rPr>
                <w:rFonts w:ascii="Arial" w:cs="Arial" w:eastAsia="Arial" w:hAnsi="Arial"/>
                <w:sz w:val="18"/>
                <w:szCs w:val="18"/>
                <w:color w:val="auto"/>
              </w:rPr>
              <w:t>Accountant.</w:t>
            </w:r>
          </w:p>
        </w:tc>
      </w:tr>
      <w:tr>
        <w:trPr>
          <w:trHeight w:val="34"/>
        </w:trPr>
        <w:tc>
          <w:tcPr>
            <w:tcW w:w="1900" w:type="dxa"/>
            <w:vAlign w:val="bottom"/>
            <w:tcBorders>
              <w:bottom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has announced the resignation of Michael K. Tucker, effective March 27, 2020. Mr. Tucker, age 62, held the position of Executive Vice President, General Counsel and Chief Compliance Officer of the Company from April 2010.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We refer you to our Annual Report on Form 10-K for the year ended December 31, 2019 (our “2019 Form 10-K”) for additional information regarding our financial results discussed below. In this Proxy Statement, we refer to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and income taxes. This non-GAAP measure is a performance metric in our incentive programs and a reconciliation is provided under “Analysis of 2019 Pay Decisions.” When we refer to “the Committee” in this “Executive Compensation” section, we are referring to the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Performance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had a successful 2019, achieving revenue of $9.2 billion, an increase of 1% compared to 2018. Our net income was $302 million, and our Adjusted EBITDA was $788 million, also an increase of 1% compared to 2018. Our financial results reflect Adjusted EBITDA growth for the Americas region of 17%, and an Adjusted EBITDA decline of 29% for the International region, in each case as compared to 2018. In 2019, we again returned capital to our shareholders through the repurchase of 2.25 million shares, and our closing stock price on December 31, 2019 of $32.24 reflected an increase of 43% compared to our closing stock price on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Accomplishments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2019, we continued to execute on our strategy by leveraging our global brands, and implementing our innovation and efficiency initiatives, including through:</w:t>
      </w:r>
    </w:p>
    <w:p>
      <w:pPr>
        <w:spacing w:after="0" w:line="107" w:lineRule="exact"/>
        <w:rPr>
          <w:sz w:val="20"/>
          <w:szCs w:val="20"/>
          <w:color w:val="auto"/>
        </w:rPr>
      </w:pPr>
    </w:p>
    <w:p>
      <w:pPr>
        <w:ind w:left="340" w:right="20" w:hanging="314"/>
        <w:spacing w:after="0" w:line="237" w:lineRule="auto"/>
        <w:tabs>
          <w:tab w:leader="none" w:pos="359" w:val="left"/>
        </w:tabs>
        <w:numPr>
          <w:ilvl w:val="0"/>
          <w:numId w:val="31"/>
        </w:numPr>
        <w:rPr>
          <w:rFonts w:ascii="Arial" w:cs="Arial" w:eastAsia="Arial" w:hAnsi="Arial"/>
          <w:sz w:val="22"/>
          <w:szCs w:val="22"/>
          <w:color w:val="auto"/>
        </w:rPr>
      </w:pPr>
      <w:r>
        <w:rPr>
          <w:rFonts w:ascii="Arial" w:cs="Arial" w:eastAsia="Arial" w:hAnsi="Arial"/>
          <w:sz w:val="18"/>
          <w:szCs w:val="18"/>
          <w:b w:val="1"/>
          <w:bCs w:val="1"/>
          <w:color w:val="auto"/>
        </w:rPr>
        <w:t>Technology</w:t>
      </w:r>
      <w:r>
        <w:rPr>
          <w:rFonts w:ascii="Arial" w:cs="Arial" w:eastAsia="Arial" w:hAnsi="Arial"/>
          <w:sz w:val="18"/>
          <w:szCs w:val="18"/>
          <w:color w:val="auto"/>
        </w:rPr>
        <w:t>: modernizing legacy infrastructure; and improving the Avis app, which in 2019 received the J.D. Power award for best</w:t>
      </w:r>
      <w:r>
        <w:rPr>
          <w:rFonts w:ascii="Arial" w:cs="Arial" w:eastAsia="Arial" w:hAnsi="Arial"/>
          <w:sz w:val="18"/>
          <w:szCs w:val="18"/>
          <w:b w:val="1"/>
          <w:bCs w:val="1"/>
          <w:color w:val="auto"/>
        </w:rPr>
        <w:t xml:space="preserve"> </w:t>
      </w:r>
      <w:r>
        <w:rPr>
          <w:rFonts w:ascii="Arial" w:cs="Arial" w:eastAsia="Arial" w:hAnsi="Arial"/>
          <w:sz w:val="18"/>
          <w:szCs w:val="18"/>
          <w:color w:val="auto"/>
        </w:rPr>
        <w:t>mobile rental car application;</w:t>
      </w:r>
    </w:p>
    <w:p>
      <w:pPr>
        <w:spacing w:after="0" w:line="126" w:lineRule="exact"/>
        <w:rPr>
          <w:rFonts w:ascii="Arial" w:cs="Arial" w:eastAsia="Arial" w:hAnsi="Arial"/>
          <w:sz w:val="22"/>
          <w:szCs w:val="22"/>
          <w:color w:val="auto"/>
        </w:rPr>
      </w:pPr>
    </w:p>
    <w:p>
      <w:pPr>
        <w:ind w:left="340" w:hanging="314"/>
        <w:spacing w:after="0" w:line="237" w:lineRule="auto"/>
        <w:tabs>
          <w:tab w:leader="none" w:pos="386" w:val="left"/>
        </w:tabs>
        <w:numPr>
          <w:ilvl w:val="0"/>
          <w:numId w:val="31"/>
        </w:numPr>
        <w:rPr>
          <w:rFonts w:ascii="Arial" w:cs="Arial" w:eastAsia="Arial" w:hAnsi="Arial"/>
          <w:sz w:val="22"/>
          <w:szCs w:val="22"/>
          <w:color w:val="auto"/>
        </w:rPr>
      </w:pPr>
      <w:r>
        <w:rPr>
          <w:rFonts w:ascii="Arial" w:cs="Arial" w:eastAsia="Arial" w:hAnsi="Arial"/>
          <w:sz w:val="18"/>
          <w:szCs w:val="18"/>
          <w:b w:val="1"/>
          <w:bCs w:val="1"/>
          <w:color w:val="auto"/>
        </w:rPr>
        <w:t>Connected Car</w:t>
      </w:r>
      <w:r>
        <w:rPr>
          <w:rFonts w:ascii="Arial" w:cs="Arial" w:eastAsia="Arial" w:hAnsi="Arial"/>
          <w:sz w:val="18"/>
          <w:szCs w:val="18"/>
          <w:color w:val="auto"/>
        </w:rPr>
        <w:t>: connecting over 200,000 vehicles, which provides benefits such as fuel optimization, enhanced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vehicle recovery;</w:t>
      </w:r>
    </w:p>
    <w:p>
      <w:pPr>
        <w:spacing w:after="0" w:line="98" w:lineRule="exact"/>
        <w:rPr>
          <w:rFonts w:ascii="Arial" w:cs="Arial" w:eastAsia="Arial" w:hAnsi="Arial"/>
          <w:sz w:val="22"/>
          <w:szCs w:val="22"/>
          <w:color w:val="auto"/>
        </w:rPr>
      </w:pPr>
    </w:p>
    <w:p>
      <w:pPr>
        <w:ind w:left="340" w:hanging="314"/>
        <w:spacing w:after="0"/>
        <w:tabs>
          <w:tab w:leader="none" w:pos="340" w:val="left"/>
        </w:tabs>
        <w:numPr>
          <w:ilvl w:val="0"/>
          <w:numId w:val="31"/>
        </w:numPr>
        <w:rPr>
          <w:rFonts w:ascii="Arial" w:cs="Arial" w:eastAsia="Arial" w:hAnsi="Arial"/>
          <w:sz w:val="22"/>
          <w:szCs w:val="22"/>
          <w:color w:val="auto"/>
        </w:rPr>
      </w:pPr>
      <w:r>
        <w:rPr>
          <w:rFonts w:ascii="Arial" w:cs="Arial" w:eastAsia="Arial" w:hAnsi="Arial"/>
          <w:sz w:val="18"/>
          <w:szCs w:val="18"/>
          <w:b w:val="1"/>
          <w:bCs w:val="1"/>
          <w:color w:val="auto"/>
        </w:rPr>
        <w:t>Strategic Partnerships</w:t>
      </w:r>
      <w:r>
        <w:rPr>
          <w:rFonts w:ascii="Arial" w:cs="Arial" w:eastAsia="Arial" w:hAnsi="Arial"/>
          <w:sz w:val="18"/>
          <w:szCs w:val="18"/>
          <w:color w:val="auto"/>
        </w:rPr>
        <w:t>: developing strategic business alliances with companies such as Uber and Via;</w:t>
      </w:r>
    </w:p>
    <w:p>
      <w:pPr>
        <w:spacing w:after="0" w:line="125" w:lineRule="exact"/>
        <w:rPr>
          <w:rFonts w:ascii="Arial" w:cs="Arial" w:eastAsia="Arial" w:hAnsi="Arial"/>
          <w:sz w:val="22"/>
          <w:szCs w:val="22"/>
          <w:color w:val="auto"/>
        </w:rPr>
      </w:pPr>
    </w:p>
    <w:p>
      <w:pPr>
        <w:ind w:left="340" w:hanging="314"/>
        <w:spacing w:after="0" w:line="237" w:lineRule="auto"/>
        <w:tabs>
          <w:tab w:leader="none" w:pos="345" w:val="left"/>
        </w:tabs>
        <w:numPr>
          <w:ilvl w:val="0"/>
          <w:numId w:val="31"/>
        </w:numPr>
        <w:rPr>
          <w:rFonts w:ascii="Arial" w:cs="Arial" w:eastAsia="Arial" w:hAnsi="Arial"/>
          <w:sz w:val="22"/>
          <w:szCs w:val="22"/>
          <w:color w:val="auto"/>
        </w:rPr>
      </w:pPr>
      <w:r>
        <w:rPr>
          <w:rFonts w:ascii="Arial" w:cs="Arial" w:eastAsia="Arial" w:hAnsi="Arial"/>
          <w:sz w:val="18"/>
          <w:szCs w:val="18"/>
          <w:b w:val="1"/>
          <w:bCs w:val="1"/>
          <w:color w:val="auto"/>
        </w:rPr>
        <w:t>Fleet</w:t>
      </w:r>
      <w:r>
        <w:rPr>
          <w:rFonts w:ascii="Arial" w:cs="Arial" w:eastAsia="Arial" w:hAnsi="Arial"/>
          <w:sz w:val="18"/>
          <w:szCs w:val="18"/>
          <w:color w:val="auto"/>
        </w:rPr>
        <w:t>: increasing vehicle dispositions through alternative channels, including through our approximately 15 direct-to-consumer retail</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locations; and</w:t>
      </w:r>
    </w:p>
    <w:p>
      <w:pPr>
        <w:spacing w:after="0" w:line="126" w:lineRule="exact"/>
        <w:rPr>
          <w:rFonts w:ascii="Arial" w:cs="Arial" w:eastAsia="Arial" w:hAnsi="Arial"/>
          <w:sz w:val="22"/>
          <w:szCs w:val="22"/>
          <w:color w:val="auto"/>
        </w:rPr>
      </w:pPr>
    </w:p>
    <w:p>
      <w:pPr>
        <w:ind w:left="340" w:hanging="314"/>
        <w:spacing w:after="0" w:line="237" w:lineRule="auto"/>
        <w:tabs>
          <w:tab w:leader="none" w:pos="494" w:val="left"/>
        </w:tabs>
        <w:numPr>
          <w:ilvl w:val="0"/>
          <w:numId w:val="31"/>
        </w:numPr>
        <w:rPr>
          <w:rFonts w:ascii="Arial" w:cs="Arial" w:eastAsia="Arial" w:hAnsi="Arial"/>
          <w:sz w:val="22"/>
          <w:szCs w:val="22"/>
          <w:color w:val="auto"/>
        </w:rPr>
      </w:pPr>
      <w:r>
        <w:rPr>
          <w:rFonts w:ascii="Arial" w:cs="Arial" w:eastAsia="Arial" w:hAnsi="Arial"/>
          <w:sz w:val="18"/>
          <w:szCs w:val="18"/>
          <w:b w:val="1"/>
          <w:bCs w:val="1"/>
          <w:color w:val="auto"/>
        </w:rPr>
        <w:t>Operational Efficiencies</w:t>
      </w:r>
      <w:r>
        <w:rPr>
          <w:rFonts w:ascii="Arial" w:cs="Arial" w:eastAsia="Arial" w:hAnsi="Arial"/>
          <w:sz w:val="18"/>
          <w:szCs w:val="18"/>
          <w:color w:val="auto"/>
        </w:rPr>
        <w:t>: improving workforce planning and rationalization, shuttling efficiency, shared services, and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procurement.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for our Named Executive Officers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Named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experienced a number of executive management changes in 2019:</w:t>
      </w:r>
    </w:p>
    <w:p>
      <w:pPr>
        <w:spacing w:after="0" w:line="144" w:lineRule="exact"/>
        <w:rPr>
          <w:sz w:val="20"/>
          <w:szCs w:val="20"/>
          <w:color w:val="auto"/>
        </w:rPr>
      </w:pPr>
    </w:p>
    <w:p>
      <w:pPr>
        <w:jc w:val="both"/>
        <w:ind w:left="340" w:hanging="314"/>
        <w:spacing w:after="0" w:line="230" w:lineRule="auto"/>
        <w:tabs>
          <w:tab w:leader="none" w:pos="345" w:val="left"/>
        </w:tabs>
        <w:numPr>
          <w:ilvl w:val="0"/>
          <w:numId w:val="32"/>
        </w:numPr>
        <w:rPr>
          <w:rFonts w:ascii="Arial" w:cs="Arial" w:eastAsia="Arial" w:hAnsi="Arial"/>
          <w:sz w:val="22"/>
          <w:szCs w:val="22"/>
          <w:color w:val="auto"/>
        </w:rPr>
      </w:pPr>
      <w:r>
        <w:rPr>
          <w:rFonts w:ascii="Arial" w:cs="Arial" w:eastAsia="Arial" w:hAnsi="Arial"/>
          <w:sz w:val="18"/>
          <w:szCs w:val="18"/>
          <w:color w:val="auto"/>
        </w:rPr>
        <w:t>In March, the Company appointed John North, as its Chief Financial Officer (“CFO”), replacing Martyn Smith, the Company’s former Interim Chief Financial Officer (“Former Interim CFO”). In addition to deep financial expertise, Mr. North also has experience in retail vehicle sales, which is a strategic initiative for the Company. As discussed below, our Former Interim CFO agreed to provide advisory services for six months following the appointment of the new CFO in order to facilitate a smooth transition.</w:t>
      </w:r>
    </w:p>
    <w:p>
      <w:pPr>
        <w:spacing w:after="0" w:line="134" w:lineRule="exact"/>
        <w:rPr>
          <w:rFonts w:ascii="Arial" w:cs="Arial" w:eastAsia="Arial" w:hAnsi="Arial"/>
          <w:sz w:val="22"/>
          <w:szCs w:val="22"/>
          <w:color w:val="auto"/>
        </w:rPr>
      </w:pPr>
    </w:p>
    <w:p>
      <w:pPr>
        <w:jc w:val="both"/>
        <w:ind w:left="340" w:hanging="314"/>
        <w:spacing w:after="0" w:line="230" w:lineRule="auto"/>
        <w:tabs>
          <w:tab w:leader="none" w:pos="372" w:val="left"/>
        </w:tabs>
        <w:numPr>
          <w:ilvl w:val="0"/>
          <w:numId w:val="32"/>
        </w:numPr>
        <w:rPr>
          <w:rFonts w:ascii="Arial" w:cs="Arial" w:eastAsia="Arial" w:hAnsi="Arial"/>
          <w:sz w:val="22"/>
          <w:szCs w:val="22"/>
          <w:color w:val="auto"/>
        </w:rPr>
      </w:pPr>
      <w:r>
        <w:rPr>
          <w:rFonts w:ascii="Arial" w:cs="Arial" w:eastAsia="Arial" w:hAnsi="Arial"/>
          <w:sz w:val="18"/>
          <w:szCs w:val="18"/>
          <w:color w:val="auto"/>
        </w:rPr>
        <w:t>In June, the Company appointed Keith Rankin as its new President, International to replace Mark Servodidio in the same position (“Former President, International”), who resigned from the Company, effective June 14, 2019. Mr. Rankin has deep expertise in the vehicle rental industry, having had a long career with our licensee partner, Barloworld, in South Africa, where he was the Chief Executive Officer of Barloworld’s automotive division.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jc w:val="both"/>
        <w:ind w:left="340" w:hanging="314"/>
        <w:spacing w:after="0" w:line="230" w:lineRule="auto"/>
        <w:tabs>
          <w:tab w:leader="none" w:pos="345" w:val="left"/>
        </w:tabs>
        <w:numPr>
          <w:ilvl w:val="0"/>
          <w:numId w:val="33"/>
        </w:numPr>
        <w:rPr>
          <w:rFonts w:ascii="Arial" w:cs="Arial" w:eastAsia="Arial" w:hAnsi="Arial"/>
          <w:sz w:val="22"/>
          <w:szCs w:val="22"/>
          <w:color w:val="auto"/>
        </w:rPr>
      </w:pPr>
      <w:r>
        <w:rPr>
          <w:rFonts w:ascii="Arial" w:cs="Arial" w:eastAsia="Arial" w:hAnsi="Arial"/>
          <w:sz w:val="18"/>
          <w:szCs w:val="18"/>
          <w:color w:val="auto"/>
        </w:rPr>
        <w:t>Larry De Shon, the Company’s former Chief Executive Officer (“Former CEO”), resigned from the Company and the Board effective December 31, 2019. Joe Ferraro, our President, Americas for 2019, assumed the role of Interim Chief Executive Officer (“Interim CEO”) on January 1, 2020. The role of Interim President, Americas was assumed by Izzy Martins, as described under “Executive Officers” above, effective January 1, 2020.</w:t>
      </w:r>
    </w:p>
    <w:p>
      <w:pPr>
        <w:spacing w:after="0" w:line="134" w:lineRule="exact"/>
        <w:rPr>
          <w:sz w:val="20"/>
          <w:szCs w:val="20"/>
          <w:color w:val="auto"/>
        </w:rPr>
      </w:pPr>
    </w:p>
    <w:p>
      <w:pPr>
        <w:ind w:right="340"/>
        <w:spacing w:after="0" w:line="399" w:lineRule="auto"/>
        <w:rPr>
          <w:sz w:val="20"/>
          <w:szCs w:val="20"/>
          <w:color w:val="auto"/>
        </w:rPr>
      </w:pPr>
      <w:r>
        <w:rPr>
          <w:rFonts w:ascii="Arial" w:cs="Arial" w:eastAsia="Arial" w:hAnsi="Arial"/>
          <w:sz w:val="18"/>
          <w:szCs w:val="18"/>
          <w:color w:val="auto"/>
        </w:rPr>
        <w:t xml:space="preserve">A discussion of pay decisions related to these changes can be found under “Pay Decisions Related to 2019 Management Changes.” </w:t>
      </w:r>
      <w:r>
        <w:rPr>
          <w:rFonts w:ascii="Arial" w:cs="Arial" w:eastAsia="Arial" w:hAnsi="Arial"/>
          <w:sz w:val="18"/>
          <w:szCs w:val="18"/>
          <w:i w:val="1"/>
          <w:iCs w:val="1"/>
          <w:color w:val="auto"/>
        </w:rPr>
        <w:t>Setting 2019 Regular Compensation and Performance Metrics</w:t>
      </w:r>
    </w:p>
    <w:p>
      <w:pPr>
        <w:jc w:val="both"/>
        <w:spacing w:after="0" w:line="237" w:lineRule="auto"/>
        <w:rPr>
          <w:sz w:val="20"/>
          <w:szCs w:val="20"/>
          <w:color w:val="auto"/>
        </w:rPr>
      </w:pPr>
      <w:r>
        <w:rPr>
          <w:rFonts w:ascii="Arial" w:cs="Arial" w:eastAsia="Arial" w:hAnsi="Arial"/>
          <w:sz w:val="18"/>
          <w:szCs w:val="18"/>
          <w:color w:val="auto"/>
        </w:rPr>
        <w:t>For 2019, the Committee considered 2018 financial performance, market conditions and other factors, and approved base salaries and annual and long-term incentive target opportunities for the Company’s Named Executive Officers (“NEOs”) who were employed for full year 2019, reflecting increases generally aligned with past practice. Consistent with prior years, more than 50% of CEO pay opportunity, at target, was performance-based, excluding amounts contained in the Summary Compensation Table under “All Other Compensation.” In 2019, the Committee approved performance metrics for the annual and long-term incentive programs, consistent with the 2018 programs, given that changes had been made to both programs in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Alignment of Incentive Compensation with Performance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history of pay-for-performance alignment was evident in the compensation paid to our NEOs for 2019. Based on 2019 financial and individual performance, the annual incentive program indicated payouts ranging from 40% of target for our President, International to 141% of target for our President, Americas. Our President, International elected to forfeit his payment under the program and therefore actual annual incentive payments ranged from 0% to 141%. As a result of our three-year cumulative financial results, performance-based restricted stock unit awards (“PSUs”) granted in 2016 did not vest in 2019 and were forfeited without payout. The PSUs granted in 2017 to our then-NEOs also did not vest in 2020 and were also forfeited without payout.</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illustrate the alignment of our incentive compensation with our Company’s performance, granted pay compared to realizable pay for our Former CEO (excluding forfeitures or payments resulting from his separation from the Company on December 31, 2019) is set forth below for the three-year period ended December 31, 2019 together with total shareholder returns (“TSR”)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86360</wp:posOffset>
            </wp:positionV>
            <wp:extent cx="4560570" cy="3248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6057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Practices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compensation programs reflect sound practices, such as:</w:t>
      </w:r>
    </w:p>
    <w:p>
      <w:pPr>
        <w:spacing w:after="0" w:line="171" w:lineRule="exact"/>
        <w:rPr>
          <w:sz w:val="20"/>
          <w:szCs w:val="20"/>
          <w:color w:val="auto"/>
        </w:rPr>
      </w:pPr>
    </w:p>
    <w:p>
      <w:pPr>
        <w:ind w:left="340" w:right="20" w:hanging="314"/>
        <w:spacing w:after="0" w:line="225" w:lineRule="auto"/>
        <w:tabs>
          <w:tab w:leader="none" w:pos="332" w:val="left"/>
        </w:tabs>
        <w:numPr>
          <w:ilvl w:val="0"/>
          <w:numId w:val="34"/>
        </w:numPr>
        <w:rPr>
          <w:rFonts w:ascii="Arial" w:cs="Arial" w:eastAsia="Arial" w:hAnsi="Arial"/>
          <w:sz w:val="22"/>
          <w:szCs w:val="22"/>
          <w:color w:val="auto"/>
        </w:rPr>
      </w:pPr>
      <w:r>
        <w:rPr>
          <w:rFonts w:ascii="Arial" w:cs="Arial" w:eastAsia="Arial" w:hAnsi="Arial"/>
          <w:sz w:val="18"/>
          <w:szCs w:val="18"/>
          <w:color w:val="auto"/>
        </w:rPr>
        <w:t>executive stock ownership guidelines with significant share ownership requirements and a requirement that an amount equal to 50% of net shares that vest must also be held for twelve months;</w:t>
      </w:r>
    </w:p>
    <w:p>
      <w:pPr>
        <w:spacing w:after="0" w:line="126" w:lineRule="exact"/>
        <w:rPr>
          <w:rFonts w:ascii="Arial" w:cs="Arial" w:eastAsia="Arial" w:hAnsi="Arial"/>
          <w:sz w:val="22"/>
          <w:szCs w:val="22"/>
          <w:color w:val="auto"/>
        </w:rPr>
      </w:pPr>
    </w:p>
    <w:p>
      <w:pPr>
        <w:ind w:left="340" w:hanging="314"/>
        <w:spacing w:after="0"/>
        <w:tabs>
          <w:tab w:leader="none" w:pos="340" w:val="left"/>
        </w:tabs>
        <w:numPr>
          <w:ilvl w:val="0"/>
          <w:numId w:val="34"/>
        </w:numPr>
        <w:rPr>
          <w:rFonts w:ascii="Arial" w:cs="Arial" w:eastAsia="Arial" w:hAnsi="Arial"/>
          <w:sz w:val="22"/>
          <w:szCs w:val="22"/>
          <w:color w:val="auto"/>
        </w:rPr>
      </w:pPr>
      <w:r>
        <w:rPr>
          <w:rFonts w:ascii="Arial" w:cs="Arial" w:eastAsia="Arial" w:hAnsi="Arial"/>
          <w:sz w:val="18"/>
          <w:szCs w:val="18"/>
          <w:color w:val="auto"/>
        </w:rPr>
        <w:t>an executive compensation recoupment (or “clawback”) policy with respect to incentive compensation;</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34"/>
        </w:numPr>
        <w:rPr>
          <w:rFonts w:ascii="Arial" w:cs="Arial" w:eastAsia="Arial" w:hAnsi="Arial"/>
          <w:sz w:val="22"/>
          <w:szCs w:val="22"/>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34"/>
        </w:numPr>
        <w:rPr>
          <w:rFonts w:ascii="Arial" w:cs="Arial" w:eastAsia="Arial" w:hAnsi="Arial"/>
          <w:sz w:val="22"/>
          <w:szCs w:val="22"/>
          <w:color w:val="auto"/>
        </w:rPr>
      </w:pPr>
      <w:r>
        <w:rPr>
          <w:rFonts w:ascii="Arial" w:cs="Arial" w:eastAsia="Arial" w:hAnsi="Arial"/>
          <w:sz w:val="18"/>
          <w:szCs w:val="18"/>
          <w:color w:val="auto"/>
        </w:rPr>
        <w:t>no excise tax gross-up or single-trigger change-in-control provisions; and</w:t>
      </w:r>
    </w:p>
    <w:p>
      <w:pPr>
        <w:spacing w:after="0" w:line="174" w:lineRule="exact"/>
        <w:rPr>
          <w:rFonts w:ascii="Arial" w:cs="Arial" w:eastAsia="Arial" w:hAnsi="Arial"/>
          <w:sz w:val="22"/>
          <w:szCs w:val="22"/>
          <w:color w:val="auto"/>
        </w:rPr>
      </w:pPr>
    </w:p>
    <w:p>
      <w:pPr>
        <w:ind w:left="340" w:right="20" w:hanging="314"/>
        <w:spacing w:after="0" w:line="225" w:lineRule="auto"/>
        <w:tabs>
          <w:tab w:leader="none" w:pos="413" w:val="left"/>
        </w:tabs>
        <w:numPr>
          <w:ilvl w:val="0"/>
          <w:numId w:val="34"/>
        </w:numPr>
        <w:rPr>
          <w:rFonts w:ascii="Arial" w:cs="Arial" w:eastAsia="Arial" w:hAnsi="Arial"/>
          <w:sz w:val="22"/>
          <w:szCs w:val="22"/>
          <w:color w:val="auto"/>
        </w:rPr>
      </w:pPr>
      <w:r>
        <w:rPr>
          <w:rFonts w:ascii="Arial" w:cs="Arial" w:eastAsia="Arial" w:hAnsi="Arial"/>
          <w:sz w:val="18"/>
          <w:szCs w:val="18"/>
          <w:color w:val="auto"/>
        </w:rPr>
        <w:t>no tax gross-ups on executive perquisites except with respect to relocation and expatriate benefits per the Company’s standard practices.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Named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addresses executive compensation in 2019 for our named executive officers, who are:</w:t>
      </w:r>
    </w:p>
    <w:p>
      <w:pPr>
        <w:spacing w:after="0" w:line="135" w:lineRule="exact"/>
        <w:rPr>
          <w:sz w:val="20"/>
          <w:szCs w:val="20"/>
          <w:color w:val="auto"/>
        </w:rPr>
      </w:pPr>
    </w:p>
    <w:p>
      <w:pPr>
        <w:ind w:left="340" w:hanging="314"/>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Joseph A. Ferraro, our President, Americas for 2019 and our current Interim Chief Executive Officer;</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John F. North, III, our CFO;</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Patrick “Keith” Rankin, our President, International;</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Edward P. Linnen, our Executive Vice President and Chief Human Resources Officer (our “CHRO”);</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Larry D. De Shon, our Former CEO;</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Martyn Smith, our Former Interim CFO; and</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Mark J. Servodidio, our Former President, International.</w:t>
      </w:r>
    </w:p>
    <w:p>
      <w:pPr>
        <w:spacing w:after="0" w:line="148" w:lineRule="exact"/>
        <w:rPr>
          <w:sz w:val="20"/>
          <w:szCs w:val="20"/>
          <w:color w:val="auto"/>
        </w:rPr>
      </w:pPr>
    </w:p>
    <w:p>
      <w:pPr>
        <w:ind w:right="2780"/>
        <w:spacing w:after="0" w:line="402" w:lineRule="auto"/>
        <w:rPr>
          <w:sz w:val="20"/>
          <w:szCs w:val="20"/>
          <w:color w:val="auto"/>
        </w:rPr>
      </w:pPr>
      <w:r>
        <w:rPr>
          <w:rFonts w:ascii="Arial" w:cs="Arial" w:eastAsia="Arial" w:hAnsi="Arial"/>
          <w:sz w:val="18"/>
          <w:szCs w:val="18"/>
          <w:color w:val="auto"/>
        </w:rPr>
        <w:t>Mr. Ferraro and Mr. Rankin are sometimes referred to herein collectively as the “Regional Presidents.” Compensation for our NEOs is typically comprised of the following components: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Arial" w:cs="Arial" w:eastAsia="Arial" w:hAnsi="Arial"/>
                <w:sz w:val="16"/>
                <w:szCs w:val="16"/>
                <w:b w:val="1"/>
                <w:bCs w:val="1"/>
                <w:color w:val="auto"/>
              </w:rPr>
              <w:t>Component</w:t>
            </w:r>
          </w:p>
        </w:tc>
        <w:tc>
          <w:tcPr>
            <w:tcW w:w="8360" w:type="dxa"/>
            <w:vAlign w:val="bottom"/>
            <w:gridSpan w:val="2"/>
          </w:tcPr>
          <w:p>
            <w:pPr>
              <w:ind w:left="260"/>
              <w:spacing w:after="0"/>
              <w:rPr>
                <w:sz w:val="20"/>
                <w:szCs w:val="20"/>
                <w:color w:val="auto"/>
              </w:rPr>
            </w:pPr>
            <w:r>
              <w:rPr>
                <w:rFonts w:ascii="Arial" w:cs="Arial" w:eastAsia="Arial" w:hAnsi="Arial"/>
                <w:sz w:val="16"/>
                <w:szCs w:val="16"/>
                <w:b w:val="1"/>
                <w:bCs w:val="1"/>
                <w:color w:val="auto"/>
              </w:rPr>
              <w:t>Function and Objective</w:t>
            </w:r>
          </w:p>
        </w:tc>
      </w:tr>
      <w:tr>
        <w:trPr>
          <w:trHeight w:val="40"/>
        </w:trPr>
        <w:tc>
          <w:tcPr>
            <w:tcW w:w="2540" w:type="dxa"/>
            <w:vAlign w:val="bottom"/>
          </w:tcPr>
          <w:p>
            <w:pPr>
              <w:spacing w:after="0"/>
              <w:rPr>
                <w:sz w:val="3"/>
                <w:szCs w:val="3"/>
                <w:color w:val="auto"/>
              </w:rPr>
            </w:pPr>
          </w:p>
        </w:tc>
        <w:tc>
          <w:tcPr>
            <w:tcW w:w="8360" w:type="dxa"/>
            <w:vAlign w:val="bottom"/>
            <w:gridSpan w:val="2"/>
          </w:tcPr>
          <w:p>
            <w:pPr>
              <w:spacing w:after="0"/>
              <w:rPr>
                <w:sz w:val="3"/>
                <w:szCs w:val="3"/>
                <w:color w:val="auto"/>
              </w:rPr>
            </w:pPr>
          </w:p>
        </w:tc>
      </w:tr>
      <w:tr>
        <w:trPr>
          <w:trHeight w:val="202"/>
        </w:trPr>
        <w:tc>
          <w:tcPr>
            <w:tcW w:w="2540" w:type="dxa"/>
            <w:vAlign w:val="bottom"/>
            <w:tcBorders>
              <w:top w:val="single" w:sz="8" w:color="auto"/>
            </w:tcBorders>
            <w:shd w:val="clear" w:color="auto" w:fill="CCCCCC"/>
          </w:tcPr>
          <w:p>
            <w:pPr>
              <w:spacing w:after="0" w:line="201" w:lineRule="exact"/>
              <w:rPr>
                <w:sz w:val="20"/>
                <w:szCs w:val="20"/>
                <w:color w:val="auto"/>
              </w:rPr>
            </w:pPr>
            <w:r>
              <w:rPr>
                <w:rFonts w:ascii="Arial" w:cs="Arial" w:eastAsia="Arial" w:hAnsi="Arial"/>
                <w:sz w:val="18"/>
                <w:szCs w:val="18"/>
                <w:i w:val="1"/>
                <w:iCs w:val="1"/>
                <w:color w:val="auto"/>
              </w:rPr>
              <w:t>Base Salary</w:t>
            </w:r>
          </w:p>
        </w:tc>
        <w:tc>
          <w:tcPr>
            <w:tcW w:w="8340" w:type="dxa"/>
            <w:vAlign w:val="bottom"/>
            <w:tcBorders>
              <w:top w:val="single" w:sz="8" w:color="auto"/>
            </w:tcBorders>
            <w:shd w:val="clear" w:color="auto" w:fill="CCCCCC"/>
          </w:tcPr>
          <w:p>
            <w:pPr>
              <w:ind w:left="260"/>
              <w:spacing w:after="0" w:line="201" w:lineRule="exact"/>
              <w:rPr>
                <w:sz w:val="20"/>
                <w:szCs w:val="20"/>
                <w:color w:val="auto"/>
              </w:rPr>
            </w:pPr>
            <w:r>
              <w:rPr>
                <w:rFonts w:ascii="Arial" w:cs="Arial" w:eastAsia="Arial" w:hAnsi="Arial"/>
                <w:sz w:val="18"/>
                <w:szCs w:val="18"/>
                <w:color w:val="auto"/>
              </w:rPr>
              <w:t>Base salaries are paid in the form of cash and provide a fixed and competitive form of annual</w:t>
            </w:r>
          </w:p>
        </w:tc>
        <w:tc>
          <w:tcPr>
            <w:tcW w:w="20" w:type="dxa"/>
            <w:vAlign w:val="bottom"/>
          </w:tcPr>
          <w:p>
            <w:pPr>
              <w:spacing w:after="0"/>
              <w:rPr>
                <w:sz w:val="17"/>
                <w:szCs w:val="17"/>
                <w:color w:val="auto"/>
              </w:rPr>
            </w:pPr>
          </w:p>
        </w:tc>
      </w:tr>
      <w:tr>
        <w:trPr>
          <w:trHeight w:val="203"/>
        </w:trPr>
        <w:tc>
          <w:tcPr>
            <w:tcW w:w="2540" w:type="dxa"/>
            <w:vAlign w:val="bottom"/>
            <w:shd w:val="clear" w:color="auto" w:fill="CCCCCC"/>
          </w:tcPr>
          <w:p>
            <w:pPr>
              <w:spacing w:after="0"/>
              <w:rPr>
                <w:sz w:val="17"/>
                <w:szCs w:val="17"/>
                <w:color w:val="auto"/>
              </w:rPr>
            </w:pPr>
          </w:p>
        </w:tc>
        <w:tc>
          <w:tcPr>
            <w:tcW w:w="8340" w:type="dxa"/>
            <w:vAlign w:val="bottom"/>
            <w:shd w:val="clear" w:color="auto" w:fill="CCCCCC"/>
          </w:tcPr>
          <w:p>
            <w:pPr>
              <w:ind w:left="260"/>
              <w:spacing w:after="0" w:line="202" w:lineRule="exact"/>
              <w:rPr>
                <w:sz w:val="20"/>
                <w:szCs w:val="20"/>
                <w:color w:val="auto"/>
              </w:rPr>
            </w:pPr>
            <w:r>
              <w:rPr>
                <w:rFonts w:ascii="Arial" w:cs="Arial" w:eastAsia="Arial" w:hAnsi="Arial"/>
                <w:sz w:val="18"/>
                <w:szCs w:val="18"/>
                <w:color w:val="auto"/>
              </w:rPr>
              <w:t>compensation for the performance of primary responsibilities at a level consistent with each</w:t>
            </w:r>
          </w:p>
        </w:tc>
        <w:tc>
          <w:tcPr>
            <w:tcW w:w="20" w:type="dxa"/>
            <w:vAlign w:val="bottom"/>
          </w:tcPr>
          <w:p>
            <w:pPr>
              <w:spacing w:after="0"/>
              <w:rPr>
                <w:sz w:val="17"/>
                <w:szCs w:val="17"/>
                <w:color w:val="auto"/>
              </w:rPr>
            </w:pPr>
          </w:p>
        </w:tc>
      </w:tr>
      <w:tr>
        <w:trPr>
          <w:trHeight w:val="203"/>
        </w:trPr>
        <w:tc>
          <w:tcPr>
            <w:tcW w:w="2540" w:type="dxa"/>
            <w:vAlign w:val="bottom"/>
            <w:shd w:val="clear" w:color="auto" w:fill="CCCCCC"/>
          </w:tcPr>
          <w:p>
            <w:pPr>
              <w:spacing w:after="0"/>
              <w:rPr>
                <w:sz w:val="17"/>
                <w:szCs w:val="17"/>
                <w:color w:val="auto"/>
              </w:rPr>
            </w:pPr>
          </w:p>
        </w:tc>
        <w:tc>
          <w:tcPr>
            <w:tcW w:w="8340" w:type="dxa"/>
            <w:vAlign w:val="bottom"/>
            <w:shd w:val="clear" w:color="auto" w:fill="CCCCCC"/>
          </w:tcPr>
          <w:p>
            <w:pPr>
              <w:ind w:left="260"/>
              <w:spacing w:after="0" w:line="202" w:lineRule="exact"/>
              <w:rPr>
                <w:sz w:val="20"/>
                <w:szCs w:val="20"/>
                <w:color w:val="auto"/>
              </w:rPr>
            </w:pPr>
            <w:r>
              <w:rPr>
                <w:rFonts w:ascii="Arial" w:cs="Arial" w:eastAsia="Arial" w:hAnsi="Arial"/>
                <w:sz w:val="18"/>
                <w:szCs w:val="18"/>
                <w:color w:val="auto"/>
              </w:rPr>
              <w:t>executive’s experience and role. Base salaries are designed to provide competitive compensation to</w:t>
            </w:r>
          </w:p>
        </w:tc>
        <w:tc>
          <w:tcPr>
            <w:tcW w:w="20" w:type="dxa"/>
            <w:vAlign w:val="bottom"/>
          </w:tcPr>
          <w:p>
            <w:pPr>
              <w:spacing w:after="0"/>
              <w:rPr>
                <w:sz w:val="17"/>
                <w:szCs w:val="17"/>
                <w:color w:val="auto"/>
              </w:rPr>
            </w:pPr>
          </w:p>
        </w:tc>
      </w:tr>
      <w:tr>
        <w:trPr>
          <w:trHeight w:val="249"/>
        </w:trPr>
        <w:tc>
          <w:tcPr>
            <w:tcW w:w="2540" w:type="dxa"/>
            <w:vAlign w:val="bottom"/>
            <w:tcBorders>
              <w:bottom w:val="single" w:sz="8" w:color="CCCCCC"/>
            </w:tcBorders>
            <w:shd w:val="clear" w:color="auto" w:fill="CCCCCC"/>
          </w:tcPr>
          <w:p>
            <w:pPr>
              <w:spacing w:after="0"/>
              <w:rPr>
                <w:sz w:val="21"/>
                <w:szCs w:val="21"/>
                <w:color w:val="auto"/>
              </w:rPr>
            </w:pPr>
          </w:p>
        </w:tc>
        <w:tc>
          <w:tcPr>
            <w:tcW w:w="834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8"/>
                <w:szCs w:val="18"/>
                <w:color w:val="auto"/>
              </w:rPr>
              <w:t>attract and retain exceptional executive talent.</w:t>
            </w:r>
          </w:p>
        </w:tc>
        <w:tc>
          <w:tcPr>
            <w:tcW w:w="20" w:type="dxa"/>
            <w:vAlign w:val="bottom"/>
          </w:tcPr>
          <w:p>
            <w:pPr>
              <w:spacing w:after="0"/>
              <w:rPr>
                <w:sz w:val="21"/>
                <w:szCs w:val="21"/>
                <w:color w:val="auto"/>
              </w:rPr>
            </w:pPr>
          </w:p>
        </w:tc>
      </w:tr>
      <w:tr>
        <w:trPr>
          <w:trHeight w:val="195"/>
        </w:trPr>
        <w:tc>
          <w:tcPr>
            <w:tcW w:w="2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Annual Incentive Awards</w:t>
            </w:r>
          </w:p>
        </w:tc>
        <w:tc>
          <w:tcPr>
            <w:tcW w:w="834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Annual incentives are comprised of annual cash incentive opportunities that are pre-dominantly</w:t>
            </w:r>
          </w:p>
        </w:tc>
        <w:tc>
          <w:tcPr>
            <w:tcW w:w="20" w:type="dxa"/>
            <w:vAlign w:val="bottom"/>
          </w:tcPr>
          <w:p>
            <w:pPr>
              <w:spacing w:after="0"/>
              <w:rPr>
                <w:sz w:val="16"/>
                <w:szCs w:val="16"/>
                <w:color w:val="auto"/>
              </w:rPr>
            </w:pPr>
          </w:p>
        </w:tc>
      </w:tr>
      <w:tr>
        <w:trPr>
          <w:trHeight w:val="203"/>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performance-based, and reward our executives upon achieving or exceeding specific annual</w:t>
            </w:r>
          </w:p>
        </w:tc>
      </w:tr>
      <w:tr>
        <w:trPr>
          <w:trHeight w:val="203"/>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Company and individual goals using performance metrics approved by the Committee and that the</w:t>
            </w:r>
          </w:p>
        </w:tc>
      </w:tr>
      <w:tr>
        <w:trPr>
          <w:trHeight w:val="217"/>
        </w:trPr>
        <w:tc>
          <w:tcPr>
            <w:tcW w:w="2540" w:type="dxa"/>
            <w:vAlign w:val="bottom"/>
          </w:tcPr>
          <w:p>
            <w:pPr>
              <w:spacing w:after="0"/>
              <w:rPr>
                <w:sz w:val="18"/>
                <w:szCs w:val="18"/>
                <w:color w:val="auto"/>
              </w:rPr>
            </w:pPr>
          </w:p>
        </w:tc>
        <w:tc>
          <w:tcPr>
            <w:tcW w:w="8360" w:type="dxa"/>
            <w:vAlign w:val="bottom"/>
            <w:gridSpan w:val="2"/>
          </w:tcPr>
          <w:p>
            <w:pPr>
              <w:ind w:left="260"/>
              <w:spacing w:after="0"/>
              <w:rPr>
                <w:sz w:val="20"/>
                <w:szCs w:val="20"/>
                <w:color w:val="auto"/>
              </w:rPr>
            </w:pPr>
            <w:r>
              <w:rPr>
                <w:rFonts w:ascii="Arial" w:cs="Arial" w:eastAsia="Arial" w:hAnsi="Arial"/>
                <w:sz w:val="18"/>
                <w:szCs w:val="18"/>
                <w:color w:val="auto"/>
              </w:rPr>
              <w:t>Company believes are appropriate measures of operational and financial performance.</w:t>
            </w:r>
          </w:p>
        </w:tc>
      </w:tr>
      <w:tr>
        <w:trPr>
          <w:trHeight w:val="27"/>
        </w:trPr>
        <w:tc>
          <w:tcPr>
            <w:tcW w:w="25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r>
      <w:tr>
        <w:trPr>
          <w:trHeight w:val="195"/>
        </w:trPr>
        <w:tc>
          <w:tcPr>
            <w:tcW w:w="2540" w:type="dxa"/>
            <w:vAlign w:val="bottom"/>
            <w:tcBorders>
              <w:top w:val="single" w:sz="8" w:color="auto"/>
            </w:tcBorders>
            <w:shd w:val="clear" w:color="auto" w:fill="CCCCCC"/>
          </w:tcPr>
          <w:p>
            <w:pPr>
              <w:spacing w:after="0" w:line="195" w:lineRule="exact"/>
              <w:rPr>
                <w:sz w:val="20"/>
                <w:szCs w:val="20"/>
                <w:color w:val="auto"/>
              </w:rPr>
            </w:pPr>
            <w:r>
              <w:rPr>
                <w:rFonts w:ascii="Arial" w:cs="Arial" w:eastAsia="Arial" w:hAnsi="Arial"/>
                <w:sz w:val="18"/>
                <w:szCs w:val="18"/>
                <w:i w:val="1"/>
                <w:iCs w:val="1"/>
                <w:color w:val="auto"/>
              </w:rPr>
              <w:t>Long-Term Incentive Awards</w:t>
            </w:r>
          </w:p>
        </w:tc>
        <w:tc>
          <w:tcPr>
            <w:tcW w:w="8340" w:type="dxa"/>
            <w:vAlign w:val="bottom"/>
            <w:tcBorders>
              <w:top w:val="single" w:sz="8" w:color="auto"/>
            </w:tcBorders>
            <w:shd w:val="clear" w:color="auto" w:fill="CCCCCC"/>
          </w:tcPr>
          <w:p>
            <w:pPr>
              <w:ind w:left="260"/>
              <w:spacing w:after="0" w:line="195" w:lineRule="exact"/>
              <w:rPr>
                <w:sz w:val="20"/>
                <w:szCs w:val="20"/>
                <w:color w:val="auto"/>
              </w:rPr>
            </w:pPr>
            <w:r>
              <w:rPr>
                <w:rFonts w:ascii="Arial" w:cs="Arial" w:eastAsia="Arial" w:hAnsi="Arial"/>
                <w:sz w:val="18"/>
                <w:szCs w:val="18"/>
                <w:color w:val="auto"/>
              </w:rPr>
              <w:t>Long-term incentive awards are designed to attract and retain a highly qualified executive team, align</w:t>
            </w:r>
          </w:p>
        </w:tc>
        <w:tc>
          <w:tcPr>
            <w:tcW w:w="20" w:type="dxa"/>
            <w:vAlign w:val="bottom"/>
          </w:tcPr>
          <w:p>
            <w:pPr>
              <w:spacing w:after="0"/>
              <w:rPr>
                <w:sz w:val="16"/>
                <w:szCs w:val="16"/>
                <w:color w:val="auto"/>
              </w:rPr>
            </w:pPr>
          </w:p>
        </w:tc>
      </w:tr>
      <w:tr>
        <w:trPr>
          <w:trHeight w:val="202"/>
        </w:trPr>
        <w:tc>
          <w:tcPr>
            <w:tcW w:w="2540" w:type="dxa"/>
            <w:vAlign w:val="bottom"/>
            <w:shd w:val="clear" w:color="auto" w:fill="CCCCCC"/>
          </w:tcPr>
          <w:p>
            <w:pPr>
              <w:spacing w:after="0"/>
              <w:rPr>
                <w:sz w:val="17"/>
                <w:szCs w:val="17"/>
                <w:color w:val="auto"/>
              </w:rPr>
            </w:pPr>
          </w:p>
        </w:tc>
        <w:tc>
          <w:tcPr>
            <w:tcW w:w="8340" w:type="dxa"/>
            <w:vAlign w:val="bottom"/>
            <w:shd w:val="clear" w:color="auto" w:fill="CCCCCC"/>
          </w:tcPr>
          <w:p>
            <w:pPr>
              <w:ind w:left="260"/>
              <w:spacing w:after="0" w:line="202" w:lineRule="exact"/>
              <w:rPr>
                <w:sz w:val="20"/>
                <w:szCs w:val="20"/>
                <w:color w:val="auto"/>
              </w:rPr>
            </w:pPr>
            <w:r>
              <w:rPr>
                <w:rFonts w:ascii="Arial" w:cs="Arial" w:eastAsia="Arial" w:hAnsi="Arial"/>
                <w:sz w:val="18"/>
                <w:szCs w:val="18"/>
                <w:color w:val="auto"/>
              </w:rPr>
              <w:t>executive rewards with shareholder interests, provide an incentive for our executives to achieve</w:t>
            </w:r>
          </w:p>
        </w:tc>
        <w:tc>
          <w:tcPr>
            <w:tcW w:w="20" w:type="dxa"/>
            <w:vAlign w:val="bottom"/>
          </w:tcPr>
          <w:p>
            <w:pPr>
              <w:spacing w:after="0"/>
              <w:rPr>
                <w:sz w:val="17"/>
                <w:szCs w:val="17"/>
                <w:color w:val="auto"/>
              </w:rPr>
            </w:pPr>
          </w:p>
        </w:tc>
      </w:tr>
      <w:tr>
        <w:trPr>
          <w:trHeight w:val="203"/>
        </w:trPr>
        <w:tc>
          <w:tcPr>
            <w:tcW w:w="2540" w:type="dxa"/>
            <w:vAlign w:val="bottom"/>
            <w:shd w:val="clear" w:color="auto" w:fill="CCCCCC"/>
          </w:tcPr>
          <w:p>
            <w:pPr>
              <w:spacing w:after="0"/>
              <w:rPr>
                <w:sz w:val="17"/>
                <w:szCs w:val="17"/>
                <w:color w:val="auto"/>
              </w:rPr>
            </w:pPr>
          </w:p>
        </w:tc>
        <w:tc>
          <w:tcPr>
            <w:tcW w:w="8340" w:type="dxa"/>
            <w:vAlign w:val="bottom"/>
            <w:shd w:val="clear" w:color="auto" w:fill="CCCCCC"/>
          </w:tcPr>
          <w:p>
            <w:pPr>
              <w:ind w:left="260"/>
              <w:spacing w:after="0" w:line="202" w:lineRule="exact"/>
              <w:rPr>
                <w:sz w:val="20"/>
                <w:szCs w:val="20"/>
                <w:color w:val="auto"/>
              </w:rPr>
            </w:pPr>
            <w:r>
              <w:rPr>
                <w:rFonts w:ascii="Arial" w:cs="Arial" w:eastAsia="Arial" w:hAnsi="Arial"/>
                <w:sz w:val="18"/>
                <w:szCs w:val="18"/>
                <w:color w:val="auto"/>
              </w:rPr>
              <w:t>appropriately challenging long-range performance goals, and allow our executives to share in the</w:t>
            </w:r>
          </w:p>
        </w:tc>
        <w:tc>
          <w:tcPr>
            <w:tcW w:w="20" w:type="dxa"/>
            <w:vAlign w:val="bottom"/>
          </w:tcPr>
          <w:p>
            <w:pPr>
              <w:spacing w:after="0"/>
              <w:rPr>
                <w:sz w:val="17"/>
                <w:szCs w:val="17"/>
                <w:color w:val="auto"/>
              </w:rPr>
            </w:pPr>
          </w:p>
        </w:tc>
      </w:tr>
      <w:tr>
        <w:trPr>
          <w:trHeight w:val="249"/>
        </w:trPr>
        <w:tc>
          <w:tcPr>
            <w:tcW w:w="2540" w:type="dxa"/>
            <w:vAlign w:val="bottom"/>
            <w:tcBorders>
              <w:bottom w:val="single" w:sz="8" w:color="CCCCCC"/>
            </w:tcBorders>
            <w:shd w:val="clear" w:color="auto" w:fill="CCCCCC"/>
          </w:tcPr>
          <w:p>
            <w:pPr>
              <w:spacing w:after="0"/>
              <w:rPr>
                <w:sz w:val="21"/>
                <w:szCs w:val="21"/>
                <w:color w:val="auto"/>
              </w:rPr>
            </w:pPr>
          </w:p>
        </w:tc>
        <w:tc>
          <w:tcPr>
            <w:tcW w:w="834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8"/>
                <w:szCs w:val="18"/>
                <w:color w:val="auto"/>
              </w:rPr>
              <w:t>value created for the Company’s shareholders.</w:t>
            </w:r>
          </w:p>
        </w:tc>
        <w:tc>
          <w:tcPr>
            <w:tcW w:w="20" w:type="dxa"/>
            <w:vAlign w:val="bottom"/>
          </w:tcPr>
          <w:p>
            <w:pPr>
              <w:spacing w:after="0"/>
              <w:rPr>
                <w:sz w:val="21"/>
                <w:szCs w:val="21"/>
                <w:color w:val="auto"/>
              </w:rPr>
            </w:pPr>
          </w:p>
        </w:tc>
      </w:tr>
      <w:tr>
        <w:trPr>
          <w:trHeight w:val="195"/>
        </w:trPr>
        <w:tc>
          <w:tcPr>
            <w:tcW w:w="2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Other Compensation</w:t>
            </w:r>
          </w:p>
        </w:tc>
        <w:tc>
          <w:tcPr>
            <w:tcW w:w="834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We provide certain health, life insurance, disability and retirement benefits, which are all part of our</w:t>
            </w:r>
          </w:p>
        </w:tc>
        <w:tc>
          <w:tcPr>
            <w:tcW w:w="20" w:type="dxa"/>
            <w:vAlign w:val="bottom"/>
          </w:tcPr>
          <w:p>
            <w:pPr>
              <w:spacing w:after="0"/>
              <w:rPr>
                <w:sz w:val="16"/>
                <w:szCs w:val="16"/>
                <w:color w:val="auto"/>
              </w:rPr>
            </w:pPr>
          </w:p>
        </w:tc>
      </w:tr>
      <w:tr>
        <w:trPr>
          <w:trHeight w:val="203"/>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broad-based  employee  benefits  program.  Retirement  benefits  for  our  NEOs  (other  than  our</w:t>
            </w:r>
          </w:p>
        </w:tc>
      </w:tr>
      <w:tr>
        <w:trPr>
          <w:trHeight w:val="203"/>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President, Americas and our Former Interim CFO) are limited to (i) deferrals under the Company’s</w:t>
            </w:r>
          </w:p>
        </w:tc>
      </w:tr>
      <w:tr>
        <w:trPr>
          <w:trHeight w:val="203"/>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deferred compensation plan for executives, which the Company matches up to a maximum of 6% of</w:t>
            </w:r>
          </w:p>
        </w:tc>
      </w:tr>
      <w:tr>
        <w:trPr>
          <w:trHeight w:val="203"/>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base salary and annual incentive, and/or (ii) participation in our 401(k) plan or our U.K. Defined</w:t>
            </w:r>
          </w:p>
        </w:tc>
      </w:tr>
      <w:tr>
        <w:trPr>
          <w:trHeight w:val="203"/>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Contribution Plan. Other executive benefits and perquisites include auto use and financial planning</w:t>
            </w:r>
          </w:p>
        </w:tc>
      </w:tr>
      <w:tr>
        <w:trPr>
          <w:trHeight w:val="202"/>
        </w:trPr>
        <w:tc>
          <w:tcPr>
            <w:tcW w:w="2540" w:type="dxa"/>
            <w:vAlign w:val="bottom"/>
          </w:tcPr>
          <w:p>
            <w:pPr>
              <w:spacing w:after="0"/>
              <w:rPr>
                <w:sz w:val="17"/>
                <w:szCs w:val="17"/>
                <w:color w:val="auto"/>
              </w:rPr>
            </w:pPr>
          </w:p>
        </w:tc>
        <w:tc>
          <w:tcPr>
            <w:tcW w:w="8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services. Our Former CEO was also provided with agreed-upon limited personal use of Company-</w:t>
            </w:r>
          </w:p>
        </w:tc>
      </w:tr>
      <w:tr>
        <w:trPr>
          <w:trHeight w:val="217"/>
        </w:trPr>
        <w:tc>
          <w:tcPr>
            <w:tcW w:w="2540" w:type="dxa"/>
            <w:vAlign w:val="bottom"/>
          </w:tcPr>
          <w:p>
            <w:pPr>
              <w:spacing w:after="0"/>
              <w:rPr>
                <w:sz w:val="18"/>
                <w:szCs w:val="18"/>
                <w:color w:val="auto"/>
              </w:rPr>
            </w:pPr>
          </w:p>
        </w:tc>
        <w:tc>
          <w:tcPr>
            <w:tcW w:w="8360" w:type="dxa"/>
            <w:vAlign w:val="bottom"/>
            <w:gridSpan w:val="2"/>
          </w:tcPr>
          <w:p>
            <w:pPr>
              <w:ind w:left="260"/>
              <w:spacing w:after="0"/>
              <w:rPr>
                <w:sz w:val="20"/>
                <w:szCs w:val="20"/>
                <w:color w:val="auto"/>
              </w:rPr>
            </w:pPr>
            <w:r>
              <w:rPr>
                <w:rFonts w:ascii="Arial" w:cs="Arial" w:eastAsia="Arial" w:hAnsi="Arial"/>
                <w:sz w:val="18"/>
                <w:szCs w:val="18"/>
                <w:color w:val="auto"/>
              </w:rPr>
              <w:t>leased aircraft services.</w:t>
            </w:r>
          </w:p>
        </w:tc>
      </w:tr>
      <w:tr>
        <w:trPr>
          <w:trHeight w:val="34"/>
        </w:trPr>
        <w:tc>
          <w:tcPr>
            <w:tcW w:w="254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91"/>
        </w:trPr>
        <w:tc>
          <w:tcPr>
            <w:tcW w:w="254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880"/>
          </w:cols>
          <w:pgMar w:left="500" w:top="287" w:right="5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2019 Pay Decisions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Philosophy, Components and Mix of Executive Compensation</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2019, “pay-for-performance” continued to be a fundamental tenet of our compensation philosophy, which includes the core principles of rewarding the attainment of appropriately challenging performance goals and aligning our executives’ objectives with our shareholders’ interests. The Committee also believes that executive compensation should be designed to attract and retain a high-caliber leadership team and take into consideration competitive practices and the overall market for executive talent.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Salaries for our Named Executive Officers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Salaries for our NEOs are typically determined based on factors such as our past practice, reasonable comparability with Peer Group pay data and Survey Data (as described under “Consideration of Peer Groups and Survey Data”) and each NEO’s responsibilities, capabilities and skills, commitment to our business, leadership and drive to add value. For the CEO and CFO roles, the Committee also considers the size and complexity of our balance sheet and capital structure.</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2019, base salaries for our CFO and President, International were determined in connection with the new hire process discussed under “Pay Decisions Related to 2019 Management Changes.” For NEOs employed for full year 2019, based on the Committee’s consideration of the factors described above, the Company’s 2018 financial performance, and the fact that no salary increases had been approved for 2018, the Committee approved base salaries for our NEOs in the beginning of 2019, as follows: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215"/>
        </w:trPr>
        <w:tc>
          <w:tcPr>
            <w:tcW w:w="2000" w:type="dxa"/>
            <w:vAlign w:val="bottom"/>
          </w:tcPr>
          <w:p>
            <w:pPr>
              <w:spacing w:after="0"/>
              <w:rPr>
                <w:sz w:val="20"/>
                <w:szCs w:val="20"/>
                <w:color w:val="auto"/>
              </w:rPr>
            </w:pPr>
            <w:r>
              <w:rPr>
                <w:rFonts w:ascii="Arial" w:cs="Arial" w:eastAsia="Arial" w:hAnsi="Arial"/>
                <w:sz w:val="16"/>
                <w:szCs w:val="16"/>
                <w:b w:val="1"/>
                <w:bCs w:val="1"/>
                <w:color w:val="auto"/>
              </w:rPr>
              <w:t>Executive</w:t>
            </w:r>
          </w:p>
        </w:tc>
        <w:tc>
          <w:tcPr>
            <w:tcW w:w="50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2018 Salary</w:t>
            </w:r>
          </w:p>
        </w:tc>
        <w:tc>
          <w:tcPr>
            <w:tcW w:w="160" w:type="dxa"/>
            <w:vAlign w:val="bottom"/>
          </w:tcPr>
          <w:p>
            <w:pPr>
              <w:spacing w:after="0"/>
              <w:rPr>
                <w:sz w:val="18"/>
                <w:szCs w:val="18"/>
                <w:color w:val="auto"/>
              </w:rPr>
            </w:pPr>
          </w:p>
        </w:tc>
        <w:tc>
          <w:tcPr>
            <w:tcW w:w="116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2019 Salary</w:t>
            </w:r>
          </w:p>
        </w:tc>
        <w:tc>
          <w:tcPr>
            <w:tcW w:w="1980" w:type="dxa"/>
            <w:vAlign w:val="bottom"/>
          </w:tcPr>
          <w:p>
            <w:pPr>
              <w:jc w:val="center"/>
              <w:ind w:right="32"/>
              <w:spacing w:after="0"/>
              <w:rPr>
                <w:sz w:val="20"/>
                <w:szCs w:val="20"/>
                <w:color w:val="auto"/>
              </w:rPr>
            </w:pPr>
            <w:r>
              <w:rPr>
                <w:rFonts w:ascii="Arial" w:cs="Arial" w:eastAsia="Arial" w:hAnsi="Arial"/>
                <w:sz w:val="16"/>
                <w:szCs w:val="16"/>
                <w:b w:val="1"/>
                <w:bCs w:val="1"/>
                <w:color w:val="auto"/>
              </w:rPr>
              <w:t>Percentage Increase</w:t>
            </w:r>
          </w:p>
        </w:tc>
      </w:tr>
      <w:tr>
        <w:trPr>
          <w:trHeight w:val="40"/>
        </w:trPr>
        <w:tc>
          <w:tcPr>
            <w:tcW w:w="2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88"/>
        </w:trPr>
        <w:tc>
          <w:tcPr>
            <w:tcW w:w="20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Former CEO</w:t>
            </w:r>
          </w:p>
        </w:tc>
        <w:tc>
          <w:tcPr>
            <w:tcW w:w="5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1,100,000</w:t>
            </w:r>
          </w:p>
        </w:tc>
        <w:tc>
          <w:tcPr>
            <w:tcW w:w="1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CCCC"/>
            </w:tcBorders>
            <w:shd w:val="clear" w:color="auto" w:fill="CCCCCC"/>
          </w:tcPr>
          <w:p>
            <w:pPr>
              <w:jc w:val="right"/>
              <w:ind w:right="52"/>
              <w:spacing w:after="0"/>
              <w:rPr>
                <w:sz w:val="20"/>
                <w:szCs w:val="20"/>
                <w:color w:val="auto"/>
              </w:rPr>
            </w:pPr>
            <w:r>
              <w:rPr>
                <w:rFonts w:ascii="Arial" w:cs="Arial" w:eastAsia="Arial" w:hAnsi="Arial"/>
                <w:sz w:val="18"/>
                <w:szCs w:val="18"/>
                <w:color w:val="auto"/>
              </w:rPr>
              <w:t>1,200,000</w:t>
            </w:r>
          </w:p>
        </w:tc>
        <w:tc>
          <w:tcPr>
            <w:tcW w:w="1980" w:type="dxa"/>
            <w:vAlign w:val="bottom"/>
            <w:tcBorders>
              <w:bottom w:val="single" w:sz="8" w:color="CCCCCC"/>
            </w:tcBorders>
            <w:shd w:val="clear" w:color="auto" w:fill="CCCCCC"/>
          </w:tcPr>
          <w:p>
            <w:pPr>
              <w:jc w:val="center"/>
              <w:ind w:right="32"/>
              <w:spacing w:after="0"/>
              <w:rPr>
                <w:sz w:val="20"/>
                <w:szCs w:val="20"/>
                <w:color w:val="auto"/>
              </w:rPr>
            </w:pPr>
            <w:r>
              <w:rPr>
                <w:rFonts w:ascii="Arial" w:cs="Arial" w:eastAsia="Arial" w:hAnsi="Arial"/>
                <w:sz w:val="18"/>
                <w:szCs w:val="18"/>
                <w:color w:val="auto"/>
                <w:w w:val="99"/>
              </w:rPr>
              <w:t>9%</w:t>
            </w:r>
          </w:p>
        </w:tc>
      </w:tr>
      <w:tr>
        <w:trPr>
          <w:trHeight w:val="250"/>
        </w:trPr>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Americas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700,000</w:t>
            </w:r>
          </w:p>
        </w:tc>
        <w:tc>
          <w:tcPr>
            <w:tcW w:w="198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color w:val="auto"/>
                <w:w w:val="99"/>
              </w:rPr>
              <w:t>8%</w:t>
            </w:r>
          </w:p>
        </w:tc>
      </w:tr>
      <w:tr>
        <w:trPr>
          <w:trHeight w:val="27"/>
        </w:trPr>
        <w:tc>
          <w:tcPr>
            <w:tcW w:w="2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0"/>
        </w:trPr>
        <w:tc>
          <w:tcPr>
            <w:tcW w:w="2000" w:type="dxa"/>
            <w:vAlign w:val="bottom"/>
            <w:shd w:val="clear" w:color="auto" w:fill="CCCCCC"/>
          </w:tcPr>
          <w:p>
            <w:pPr>
              <w:spacing w:after="0"/>
              <w:rPr>
                <w:sz w:val="20"/>
                <w:szCs w:val="20"/>
                <w:color w:val="auto"/>
              </w:rPr>
            </w:pPr>
            <w:r>
              <w:rPr>
                <w:rFonts w:ascii="Arial" w:cs="Arial" w:eastAsia="Arial" w:hAnsi="Arial"/>
                <w:sz w:val="18"/>
                <w:szCs w:val="18"/>
                <w:color w:val="auto"/>
              </w:rPr>
              <w:t>CHRO</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475,000</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rPr>
              <w:t>500,000</w:t>
            </w:r>
          </w:p>
        </w:tc>
        <w:tc>
          <w:tcPr>
            <w:tcW w:w="1980" w:type="dxa"/>
            <w:vAlign w:val="bottom"/>
            <w:shd w:val="clear" w:color="auto" w:fill="CCCCCC"/>
          </w:tcPr>
          <w:p>
            <w:pPr>
              <w:jc w:val="center"/>
              <w:ind w:right="32"/>
              <w:spacing w:after="0"/>
              <w:rPr>
                <w:sz w:val="20"/>
                <w:szCs w:val="20"/>
                <w:color w:val="auto"/>
              </w:rPr>
            </w:pPr>
            <w:r>
              <w:rPr>
                <w:rFonts w:ascii="Arial" w:cs="Arial" w:eastAsia="Arial" w:hAnsi="Arial"/>
                <w:sz w:val="18"/>
                <w:szCs w:val="18"/>
                <w:color w:val="auto"/>
                <w:w w:val="99"/>
              </w:rPr>
              <w:t>5%</w:t>
            </w:r>
          </w:p>
        </w:tc>
      </w:tr>
      <w:tr>
        <w:trPr>
          <w:trHeight w:val="74"/>
        </w:trPr>
        <w:tc>
          <w:tcPr>
            <w:tcW w:w="2000" w:type="dxa"/>
            <w:vAlign w:val="bottom"/>
            <w:tcBorders>
              <w:bottom w:val="single" w:sz="8" w:color="auto"/>
            </w:tcBorders>
            <w:shd w:val="clear" w:color="auto" w:fill="CCCCCC"/>
          </w:tcPr>
          <w:p>
            <w:pPr>
              <w:spacing w:after="0"/>
              <w:rPr>
                <w:sz w:val="6"/>
                <w:szCs w:val="6"/>
                <w:color w:val="auto"/>
              </w:rPr>
            </w:pPr>
          </w:p>
        </w:tc>
        <w:tc>
          <w:tcPr>
            <w:tcW w:w="500" w:type="dxa"/>
            <w:vAlign w:val="bottom"/>
            <w:tcBorders>
              <w:bottom w:val="single" w:sz="8" w:color="auto"/>
            </w:tcBorders>
            <w:shd w:val="clear" w:color="auto" w:fill="CCCCCC"/>
          </w:tcPr>
          <w:p>
            <w:pPr>
              <w:spacing w:after="0"/>
              <w:rPr>
                <w:sz w:val="6"/>
                <w:szCs w:val="6"/>
                <w:color w:val="auto"/>
              </w:rPr>
            </w:pPr>
          </w:p>
        </w:tc>
        <w:tc>
          <w:tcPr>
            <w:tcW w:w="1080" w:type="dxa"/>
            <w:vAlign w:val="bottom"/>
            <w:tcBorders>
              <w:bottom w:val="single" w:sz="8" w:color="auto"/>
            </w:tcBorders>
            <w:shd w:val="clear" w:color="auto" w:fill="CCCCCC"/>
          </w:tcPr>
          <w:p>
            <w:pPr>
              <w:spacing w:after="0"/>
              <w:rPr>
                <w:sz w:val="6"/>
                <w:szCs w:val="6"/>
                <w:color w:val="auto"/>
              </w:rPr>
            </w:pPr>
          </w:p>
        </w:tc>
        <w:tc>
          <w:tcPr>
            <w:tcW w:w="160" w:type="dxa"/>
            <w:vAlign w:val="bottom"/>
            <w:tcBorders>
              <w:bottom w:val="single" w:sz="8" w:color="auto"/>
            </w:tcBorders>
            <w:shd w:val="clear" w:color="auto" w:fill="CCCCCC"/>
          </w:tcPr>
          <w:p>
            <w:pPr>
              <w:spacing w:after="0"/>
              <w:rPr>
                <w:sz w:val="6"/>
                <w:szCs w:val="6"/>
                <w:color w:val="auto"/>
              </w:rPr>
            </w:pPr>
          </w:p>
        </w:tc>
        <w:tc>
          <w:tcPr>
            <w:tcW w:w="1160" w:type="dxa"/>
            <w:vAlign w:val="bottom"/>
            <w:tcBorders>
              <w:bottom w:val="single" w:sz="8" w:color="auto"/>
            </w:tcBorders>
            <w:shd w:val="clear" w:color="auto" w:fill="CCCCCC"/>
          </w:tcPr>
          <w:p>
            <w:pPr>
              <w:spacing w:after="0"/>
              <w:rPr>
                <w:sz w:val="6"/>
                <w:szCs w:val="6"/>
                <w:color w:val="auto"/>
              </w:rPr>
            </w:pPr>
          </w:p>
        </w:tc>
        <w:tc>
          <w:tcPr>
            <w:tcW w:w="1980" w:type="dxa"/>
            <w:vAlign w:val="bottom"/>
            <w:tcBorders>
              <w:bottom w:val="single" w:sz="8" w:color="auto"/>
            </w:tcBorders>
            <w:shd w:val="clear" w:color="auto" w:fill="CCCCCC"/>
          </w:tcPr>
          <w:p>
            <w:pPr>
              <w:spacing w:after="0"/>
              <w:rPr>
                <w:sz w:val="6"/>
                <w:szCs w:val="6"/>
                <w:color w:val="auto"/>
              </w:rPr>
            </w:pPr>
          </w:p>
        </w:tc>
      </w:tr>
    </w:tbl>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 salary for our President, Americas was increased to $750,000 later in the year as discussed under “Pay Decisions Related to 2019 Management Changes.” No base salary increases were approved for our Former Interim CFO and our Former President, International.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Awards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2019, the Committee approved an annual incentive program (the “2019 AIP”) consistent with the annual incentive program for 2018. With the exception of our Former President, International, each NEO participated in the 2019 AIP, prorated as applicable for the number of months each NEO held his role in 2019.</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2019 AIP included the following performance metrics: Adjusted EBITDA, Adjusted Free Cash Flow and individual performance, with weightings as described below. Following program changes implemented in 2018, the Committee determined that consistency was important in order to understand the efficacy of the revised program. Accordingly, the Committee decided to keep the 2019 program consistent with the 2018 program.</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Adjusted EBITDA was included in the program in recognition of the wide acceptance and understanding of the metric within the Company, and because it is a key measure of operational and financial performance, driven by achieving profitable revenues and our annual business plan. Adjusted EBITDA is also highly correlated to the Company’s stock price performance. The program also included Adjusted Free Cash Flow given the focus on this metric by shareholders, and an individual component intended to reward the contribution and value an executive brings to the organization. The Committee believes that the inclusion of an individual component is motivating and allows for differentiation furthering our alignment of pay with performance. Target payout opportunity as a percentage remained consistent with 2018 levels for each NEO role, ranging from 75% to 150% of base salary, with payout opportunity ranging from 25% to 200% of target.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Goals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financial performance goals included in the 2019 AIP, presented below, were set based on the Company’s 2019 business plan and within the estimated range as disclosed in the Company’s press release on February 20, 2019. At target, the global Adjusted EBITDA goal represented an increase of approximately 2.4% compared to 2018 Adjusted EBITDA, as reported. The target Adjusted Free Cash Flow goal for 2019 was lower than 2018 reported results due to timing of cash inflows and outflows at the end of 2018, which resulted in significant overachievement of the 2018 goal. The 2018 results were adjusted downward to exclude the impact of this timing for 2018 annual incentive payout calculations, and 2019 goals were set lower than 2018 goals also as a result of this timing.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GOALS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500" w:type="dxa"/>
            <w:vAlign w:val="bottom"/>
          </w:tcPr>
          <w:p>
            <w:pPr>
              <w:ind w:left="1040"/>
              <w:spacing w:after="0"/>
              <w:rPr>
                <w:sz w:val="20"/>
                <w:szCs w:val="20"/>
                <w:color w:val="auto"/>
              </w:rPr>
            </w:pPr>
            <w:r>
              <w:rPr>
                <w:rFonts w:ascii="Arial" w:cs="Arial" w:eastAsia="Arial" w:hAnsi="Arial"/>
                <w:sz w:val="16"/>
                <w:szCs w:val="16"/>
                <w:b w:val="1"/>
                <w:bCs w:val="1"/>
                <w:color w:val="auto"/>
              </w:rPr>
              <w:t>Goals</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(Dollars in Millions)</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2040" w:type="dxa"/>
            <w:vAlign w:val="bottom"/>
            <w:vMerge w:val="restart"/>
          </w:tcPr>
          <w:p>
            <w:pPr>
              <w:jc w:val="center"/>
              <w:ind w:left="594"/>
              <w:spacing w:after="0"/>
              <w:rPr>
                <w:sz w:val="20"/>
                <w:szCs w:val="20"/>
                <w:color w:val="auto"/>
              </w:rPr>
            </w:pPr>
            <w:r>
              <w:rPr>
                <w:rFonts w:ascii="Arial" w:cs="Arial" w:eastAsia="Arial" w:hAnsi="Arial"/>
                <w:sz w:val="16"/>
                <w:szCs w:val="16"/>
                <w:b w:val="1"/>
                <w:bCs w:val="1"/>
                <w:color w:val="auto"/>
              </w:rPr>
              <w:t>Opportunity</w:t>
            </w:r>
          </w:p>
        </w:tc>
        <w:tc>
          <w:tcPr>
            <w:tcW w:w="19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6"/>
                <w:szCs w:val="16"/>
                <w:b w:val="1"/>
                <w:bCs w:val="1"/>
                <w:color w:val="auto"/>
              </w:rPr>
              <w:t>Achievement Level</w:t>
            </w:r>
          </w:p>
        </w:tc>
        <w:tc>
          <w:tcPr>
            <w:tcW w:w="2040" w:type="dxa"/>
            <w:vAlign w:val="bottom"/>
          </w:tcPr>
          <w:p>
            <w:pPr>
              <w:jc w:val="center"/>
              <w:ind w:left="634"/>
              <w:spacing w:after="0"/>
              <w:rPr>
                <w:sz w:val="20"/>
                <w:szCs w:val="20"/>
                <w:color w:val="auto"/>
              </w:rPr>
            </w:pPr>
            <w:r>
              <w:rPr>
                <w:rFonts w:ascii="Arial" w:cs="Arial" w:eastAsia="Arial" w:hAnsi="Arial"/>
                <w:sz w:val="16"/>
                <w:szCs w:val="16"/>
                <w:b w:val="1"/>
                <w:bCs w:val="1"/>
                <w:color w:val="auto"/>
                <w:w w:val="99"/>
              </w:rPr>
              <w:t>(% of Target)*</w:t>
            </w:r>
          </w:p>
        </w:tc>
        <w:tc>
          <w:tcPr>
            <w:tcW w:w="1960" w:type="dxa"/>
            <w:vAlign w:val="bottom"/>
          </w:tcPr>
          <w:p>
            <w:pPr>
              <w:jc w:val="center"/>
              <w:ind w:left="192"/>
              <w:spacing w:after="0"/>
              <w:rPr>
                <w:sz w:val="20"/>
                <w:szCs w:val="20"/>
                <w:color w:val="auto"/>
              </w:rPr>
            </w:pPr>
            <w:r>
              <w:rPr>
                <w:rFonts w:ascii="Arial" w:cs="Arial" w:eastAsia="Arial" w:hAnsi="Arial"/>
                <w:sz w:val="16"/>
                <w:szCs w:val="16"/>
                <w:b w:val="1"/>
                <w:bCs w:val="1"/>
                <w:color w:val="auto"/>
              </w:rPr>
              <w:t>Global**</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Americas</w:t>
            </w:r>
          </w:p>
        </w:tc>
        <w:tc>
          <w:tcPr>
            <w:tcW w:w="2020" w:type="dxa"/>
            <w:vAlign w:val="bottom"/>
          </w:tcPr>
          <w:p>
            <w:pPr>
              <w:jc w:val="center"/>
              <w:ind w:right="32"/>
              <w:spacing w:after="0"/>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40"/>
        </w:trPr>
        <w:tc>
          <w:tcPr>
            <w:tcW w:w="23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23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Maximum</w:t>
            </w:r>
          </w:p>
        </w:tc>
        <w:tc>
          <w:tcPr>
            <w:tcW w:w="2040" w:type="dxa"/>
            <w:vAlign w:val="bottom"/>
            <w:tcBorders>
              <w:bottom w:val="single" w:sz="8" w:color="CCCCCC"/>
            </w:tcBorders>
            <w:shd w:val="clear" w:color="auto" w:fill="CCCCCC"/>
          </w:tcPr>
          <w:p>
            <w:pPr>
              <w:jc w:val="center"/>
              <w:ind w:left="614"/>
              <w:spacing w:after="0"/>
              <w:rPr>
                <w:sz w:val="20"/>
                <w:szCs w:val="20"/>
                <w:color w:val="auto"/>
              </w:rPr>
            </w:pPr>
            <w:r>
              <w:rPr>
                <w:rFonts w:ascii="Arial" w:cs="Arial" w:eastAsia="Arial" w:hAnsi="Arial"/>
                <w:sz w:val="18"/>
                <w:szCs w:val="18"/>
                <w:color w:val="auto"/>
                <w:w w:val="99"/>
              </w:rPr>
              <w:t>200%</w:t>
            </w:r>
          </w:p>
        </w:tc>
        <w:tc>
          <w:tcPr>
            <w:tcW w:w="1960" w:type="dxa"/>
            <w:vAlign w:val="bottom"/>
            <w:tcBorders>
              <w:bottom w:val="single" w:sz="8" w:color="CCCCCC"/>
            </w:tcBorders>
            <w:shd w:val="clear" w:color="auto" w:fill="CCCCCC"/>
          </w:tcPr>
          <w:p>
            <w:pPr>
              <w:jc w:val="center"/>
              <w:ind w:left="232"/>
              <w:spacing w:after="0"/>
              <w:rPr>
                <w:sz w:val="20"/>
                <w:szCs w:val="20"/>
                <w:color w:val="auto"/>
              </w:rPr>
            </w:pPr>
            <w:r>
              <w:rPr>
                <w:rFonts w:ascii="Arial" w:cs="Arial" w:eastAsia="Arial" w:hAnsi="Arial"/>
                <w:sz w:val="18"/>
                <w:szCs w:val="18"/>
                <w:color w:val="auto"/>
                <w:w w:val="99"/>
              </w:rPr>
              <w:t>$960</w:t>
            </w:r>
          </w:p>
        </w:tc>
        <w:tc>
          <w:tcPr>
            <w:tcW w:w="2500" w:type="dxa"/>
            <w:vAlign w:val="bottom"/>
            <w:tcBorders>
              <w:bottom w:val="single" w:sz="8" w:color="CCCCCC"/>
            </w:tcBorders>
            <w:shd w:val="clear" w:color="auto" w:fill="CCCCCC"/>
          </w:tcPr>
          <w:p>
            <w:pPr>
              <w:jc w:val="center"/>
              <w:ind w:left="55"/>
              <w:spacing w:after="0"/>
              <w:rPr>
                <w:sz w:val="20"/>
                <w:szCs w:val="20"/>
                <w:color w:val="auto"/>
              </w:rPr>
            </w:pPr>
            <w:r>
              <w:rPr>
                <w:rFonts w:ascii="Arial" w:cs="Arial" w:eastAsia="Arial" w:hAnsi="Arial"/>
                <w:sz w:val="18"/>
                <w:szCs w:val="18"/>
                <w:color w:val="auto"/>
                <w:w w:val="99"/>
              </w:rPr>
              <w:t>$685</w:t>
            </w:r>
          </w:p>
        </w:tc>
        <w:tc>
          <w:tcPr>
            <w:tcW w:w="20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$355</w:t>
            </w:r>
          </w:p>
        </w:tc>
        <w:tc>
          <w:tcPr>
            <w:tcW w:w="0" w:type="dxa"/>
            <w:vAlign w:val="bottom"/>
          </w:tcPr>
          <w:p>
            <w:pPr>
              <w:spacing w:after="0"/>
              <w:rPr>
                <w:sz w:val="1"/>
                <w:szCs w:val="1"/>
                <w:color w:val="auto"/>
              </w:rPr>
            </w:pPr>
          </w:p>
        </w:tc>
      </w:tr>
      <w:tr>
        <w:trPr>
          <w:trHeight w:val="237"/>
        </w:trPr>
        <w:tc>
          <w:tcPr>
            <w:tcW w:w="2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Target</w:t>
            </w:r>
          </w:p>
        </w:tc>
        <w:tc>
          <w:tcPr>
            <w:tcW w:w="2040" w:type="dxa"/>
            <w:vAlign w:val="bottom"/>
            <w:tcBorders>
              <w:top w:val="single" w:sz="8" w:color="auto"/>
            </w:tcBorders>
          </w:tcPr>
          <w:p>
            <w:pPr>
              <w:jc w:val="center"/>
              <w:ind w:left="614"/>
              <w:spacing w:after="0"/>
              <w:rPr>
                <w:sz w:val="20"/>
                <w:szCs w:val="20"/>
                <w:color w:val="auto"/>
              </w:rPr>
            </w:pPr>
            <w:r>
              <w:rPr>
                <w:rFonts w:ascii="Arial" w:cs="Arial" w:eastAsia="Arial" w:hAnsi="Arial"/>
                <w:sz w:val="18"/>
                <w:szCs w:val="18"/>
                <w:color w:val="auto"/>
                <w:w w:val="99"/>
              </w:rPr>
              <w:t>100%</w:t>
            </w:r>
          </w:p>
        </w:tc>
        <w:tc>
          <w:tcPr>
            <w:tcW w:w="1960" w:type="dxa"/>
            <w:vAlign w:val="bottom"/>
            <w:tcBorders>
              <w:top w:val="single" w:sz="8" w:color="auto"/>
            </w:tcBorders>
          </w:tcPr>
          <w:p>
            <w:pPr>
              <w:jc w:val="center"/>
              <w:ind w:left="232"/>
              <w:spacing w:after="0"/>
              <w:rPr>
                <w:sz w:val="20"/>
                <w:szCs w:val="20"/>
                <w:color w:val="auto"/>
              </w:rPr>
            </w:pPr>
            <w:r>
              <w:rPr>
                <w:rFonts w:ascii="Arial" w:cs="Arial" w:eastAsia="Arial" w:hAnsi="Arial"/>
                <w:sz w:val="18"/>
                <w:szCs w:val="18"/>
                <w:color w:val="auto"/>
                <w:w w:val="99"/>
              </w:rPr>
              <w:t>$800</w:t>
            </w:r>
          </w:p>
        </w:tc>
        <w:tc>
          <w:tcPr>
            <w:tcW w:w="2500" w:type="dxa"/>
            <w:vAlign w:val="bottom"/>
            <w:tcBorders>
              <w:top w:val="single" w:sz="8" w:color="auto"/>
            </w:tcBorders>
          </w:tcPr>
          <w:p>
            <w:pPr>
              <w:jc w:val="center"/>
              <w:ind w:left="55"/>
              <w:spacing w:after="0"/>
              <w:rPr>
                <w:sz w:val="20"/>
                <w:szCs w:val="20"/>
                <w:color w:val="auto"/>
              </w:rPr>
            </w:pPr>
            <w:r>
              <w:rPr>
                <w:rFonts w:ascii="Arial" w:cs="Arial" w:eastAsia="Arial" w:hAnsi="Arial"/>
                <w:sz w:val="18"/>
                <w:szCs w:val="18"/>
                <w:color w:val="auto"/>
                <w:w w:val="99"/>
              </w:rPr>
              <w:t>$571</w:t>
            </w: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$296</w:t>
            </w:r>
          </w:p>
        </w:tc>
        <w:tc>
          <w:tcPr>
            <w:tcW w:w="0" w:type="dxa"/>
            <w:vAlign w:val="bottom"/>
          </w:tcPr>
          <w:p>
            <w:pPr>
              <w:spacing w:after="0"/>
              <w:rPr>
                <w:sz w:val="1"/>
                <w:szCs w:val="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Threshold</w:t>
            </w:r>
          </w:p>
        </w:tc>
        <w:tc>
          <w:tcPr>
            <w:tcW w:w="2040" w:type="dxa"/>
            <w:vAlign w:val="bottom"/>
            <w:tcBorders>
              <w:bottom w:val="single" w:sz="8" w:color="CCCCCC"/>
            </w:tcBorders>
            <w:shd w:val="clear" w:color="auto" w:fill="CCCCCC"/>
          </w:tcPr>
          <w:p>
            <w:pPr>
              <w:jc w:val="center"/>
              <w:ind w:left="594"/>
              <w:spacing w:after="0"/>
              <w:rPr>
                <w:sz w:val="20"/>
                <w:szCs w:val="20"/>
                <w:color w:val="auto"/>
              </w:rPr>
            </w:pPr>
            <w:r>
              <w:rPr>
                <w:rFonts w:ascii="Arial" w:cs="Arial" w:eastAsia="Arial" w:hAnsi="Arial"/>
                <w:sz w:val="18"/>
                <w:szCs w:val="18"/>
                <w:color w:val="auto"/>
                <w:w w:val="99"/>
              </w:rPr>
              <w:t>25%</w:t>
            </w:r>
          </w:p>
        </w:tc>
        <w:tc>
          <w:tcPr>
            <w:tcW w:w="1960" w:type="dxa"/>
            <w:vAlign w:val="bottom"/>
            <w:tcBorders>
              <w:bottom w:val="single" w:sz="8" w:color="CCCCCC"/>
            </w:tcBorders>
            <w:shd w:val="clear" w:color="auto" w:fill="CCCCCC"/>
          </w:tcPr>
          <w:p>
            <w:pPr>
              <w:jc w:val="center"/>
              <w:ind w:left="232"/>
              <w:spacing w:after="0"/>
              <w:rPr>
                <w:sz w:val="20"/>
                <w:szCs w:val="20"/>
                <w:color w:val="auto"/>
              </w:rPr>
            </w:pPr>
            <w:r>
              <w:rPr>
                <w:rFonts w:ascii="Arial" w:cs="Arial" w:eastAsia="Arial" w:hAnsi="Arial"/>
                <w:sz w:val="18"/>
                <w:szCs w:val="18"/>
                <w:color w:val="auto"/>
                <w:w w:val="99"/>
              </w:rPr>
              <w:t>$720</w:t>
            </w:r>
          </w:p>
        </w:tc>
        <w:tc>
          <w:tcPr>
            <w:tcW w:w="2500" w:type="dxa"/>
            <w:vAlign w:val="bottom"/>
            <w:tcBorders>
              <w:bottom w:val="single" w:sz="8" w:color="CCCCCC"/>
            </w:tcBorders>
            <w:shd w:val="clear" w:color="auto" w:fill="CCCCCC"/>
          </w:tcPr>
          <w:p>
            <w:pPr>
              <w:jc w:val="center"/>
              <w:ind w:left="55"/>
              <w:spacing w:after="0"/>
              <w:rPr>
                <w:sz w:val="20"/>
                <w:szCs w:val="20"/>
                <w:color w:val="auto"/>
              </w:rPr>
            </w:pPr>
            <w:r>
              <w:rPr>
                <w:rFonts w:ascii="Arial" w:cs="Arial" w:eastAsia="Arial" w:hAnsi="Arial"/>
                <w:sz w:val="18"/>
                <w:szCs w:val="18"/>
                <w:color w:val="auto"/>
                <w:w w:val="99"/>
              </w:rPr>
              <w:t>$514</w:t>
            </w:r>
          </w:p>
        </w:tc>
        <w:tc>
          <w:tcPr>
            <w:tcW w:w="20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$266</w:t>
            </w:r>
          </w:p>
        </w:tc>
        <w:tc>
          <w:tcPr>
            <w:tcW w:w="0" w:type="dxa"/>
            <w:vAlign w:val="bottom"/>
          </w:tcPr>
          <w:p>
            <w:pPr>
              <w:spacing w:after="0"/>
              <w:rPr>
                <w:sz w:val="1"/>
                <w:szCs w:val="1"/>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*Straight-line interpolation is used to determine achievement between specified goals.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**Includes unallocated corporate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 GOALS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Pr>
          <w:p>
            <w:pPr>
              <w:spacing w:after="0"/>
              <w:rPr>
                <w:sz w:val="16"/>
                <w:szCs w:val="16"/>
                <w:color w:val="auto"/>
              </w:rPr>
            </w:pPr>
          </w:p>
        </w:tc>
        <w:tc>
          <w:tcPr>
            <w:tcW w:w="3260" w:type="dxa"/>
            <w:vAlign w:val="bottom"/>
          </w:tcPr>
          <w:p>
            <w:pPr>
              <w:jc w:val="center"/>
              <w:ind w:right="414"/>
              <w:spacing w:after="0"/>
              <w:rPr>
                <w:sz w:val="20"/>
                <w:szCs w:val="20"/>
                <w:color w:val="auto"/>
              </w:rPr>
            </w:pPr>
            <w:r>
              <w:rPr>
                <w:rFonts w:ascii="Arial" w:cs="Arial" w:eastAsia="Arial" w:hAnsi="Arial"/>
                <w:sz w:val="16"/>
                <w:szCs w:val="16"/>
                <w:b w:val="1"/>
                <w:bCs w:val="1"/>
                <w:color w:val="auto"/>
              </w:rPr>
              <w:t>Opportunity</w:t>
            </w:r>
          </w:p>
        </w:tc>
        <w:tc>
          <w:tcPr>
            <w:tcW w:w="5280" w:type="dxa"/>
            <w:vAlign w:val="bottom"/>
          </w:tcPr>
          <w:p>
            <w:pPr>
              <w:ind w:left="1840"/>
              <w:spacing w:after="0"/>
              <w:rPr>
                <w:sz w:val="20"/>
                <w:szCs w:val="20"/>
                <w:color w:val="auto"/>
              </w:rPr>
            </w:pPr>
            <w:r>
              <w:rPr>
                <w:rFonts w:ascii="Arial" w:cs="Arial" w:eastAsia="Arial" w:hAnsi="Arial"/>
                <w:sz w:val="16"/>
                <w:szCs w:val="16"/>
                <w:b w:val="1"/>
                <w:bCs w:val="1"/>
                <w:color w:val="auto"/>
              </w:rPr>
              <w:t>Goals</w:t>
            </w:r>
          </w:p>
        </w:tc>
      </w:tr>
      <w:tr>
        <w:trPr>
          <w:trHeight w:val="215"/>
        </w:trPr>
        <w:tc>
          <w:tcPr>
            <w:tcW w:w="2340" w:type="dxa"/>
            <w:vAlign w:val="bottom"/>
          </w:tcPr>
          <w:p>
            <w:pPr>
              <w:spacing w:after="0"/>
              <w:rPr>
                <w:sz w:val="20"/>
                <w:szCs w:val="20"/>
                <w:color w:val="auto"/>
              </w:rPr>
            </w:pPr>
            <w:r>
              <w:rPr>
                <w:rFonts w:ascii="Arial" w:cs="Arial" w:eastAsia="Arial" w:hAnsi="Arial"/>
                <w:sz w:val="16"/>
                <w:szCs w:val="16"/>
                <w:b w:val="1"/>
                <w:bCs w:val="1"/>
                <w:color w:val="auto"/>
              </w:rPr>
              <w:t>Achievement Level</w:t>
            </w:r>
          </w:p>
        </w:tc>
        <w:tc>
          <w:tcPr>
            <w:tcW w:w="3260" w:type="dxa"/>
            <w:vAlign w:val="bottom"/>
          </w:tcPr>
          <w:p>
            <w:pPr>
              <w:jc w:val="center"/>
              <w:ind w:right="374"/>
              <w:spacing w:after="0"/>
              <w:rPr>
                <w:sz w:val="20"/>
                <w:szCs w:val="20"/>
                <w:color w:val="auto"/>
              </w:rPr>
            </w:pPr>
            <w:r>
              <w:rPr>
                <w:rFonts w:ascii="Arial" w:cs="Arial" w:eastAsia="Arial" w:hAnsi="Arial"/>
                <w:sz w:val="16"/>
                <w:szCs w:val="16"/>
                <w:b w:val="1"/>
                <w:bCs w:val="1"/>
                <w:color w:val="auto"/>
                <w:w w:val="99"/>
              </w:rPr>
              <w:t>(% of Target)*</w:t>
            </w:r>
          </w:p>
        </w:tc>
        <w:tc>
          <w:tcPr>
            <w:tcW w:w="5280" w:type="dxa"/>
            <w:vAlign w:val="bottom"/>
          </w:tcPr>
          <w:p>
            <w:pPr>
              <w:jc w:val="center"/>
              <w:ind w:right="1014"/>
              <w:spacing w:after="0"/>
              <w:rPr>
                <w:sz w:val="20"/>
                <w:szCs w:val="20"/>
                <w:color w:val="auto"/>
              </w:rPr>
            </w:pPr>
            <w:r>
              <w:rPr>
                <w:rFonts w:ascii="Arial" w:cs="Arial" w:eastAsia="Arial" w:hAnsi="Arial"/>
                <w:sz w:val="16"/>
                <w:szCs w:val="16"/>
                <w:b w:val="1"/>
                <w:bCs w:val="1"/>
                <w:color w:val="auto"/>
              </w:rPr>
              <w:t>(Dollars in Millions)</w:t>
            </w:r>
          </w:p>
        </w:tc>
      </w:tr>
      <w:tr>
        <w:trPr>
          <w:trHeight w:val="40"/>
        </w:trPr>
        <w:tc>
          <w:tcPr>
            <w:tcW w:w="234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275"/>
        </w:trPr>
        <w:tc>
          <w:tcPr>
            <w:tcW w:w="23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Maximum</w:t>
            </w:r>
          </w:p>
        </w:tc>
        <w:tc>
          <w:tcPr>
            <w:tcW w:w="3260" w:type="dxa"/>
            <w:vAlign w:val="bottom"/>
            <w:tcBorders>
              <w:bottom w:val="single" w:sz="8" w:color="CCCCCC"/>
            </w:tcBorders>
            <w:shd w:val="clear" w:color="auto" w:fill="CCCCCC"/>
          </w:tcPr>
          <w:p>
            <w:pPr>
              <w:jc w:val="center"/>
              <w:ind w:right="354"/>
              <w:spacing w:after="0"/>
              <w:rPr>
                <w:sz w:val="20"/>
                <w:szCs w:val="20"/>
                <w:color w:val="auto"/>
              </w:rPr>
            </w:pPr>
            <w:r>
              <w:rPr>
                <w:rFonts w:ascii="Arial" w:cs="Arial" w:eastAsia="Arial" w:hAnsi="Arial"/>
                <w:sz w:val="18"/>
                <w:szCs w:val="18"/>
                <w:color w:val="auto"/>
                <w:w w:val="99"/>
              </w:rPr>
              <w:t>200%</w:t>
            </w:r>
          </w:p>
        </w:tc>
        <w:tc>
          <w:tcPr>
            <w:tcW w:w="5280" w:type="dxa"/>
            <w:vAlign w:val="bottom"/>
            <w:tcBorders>
              <w:bottom w:val="single" w:sz="8" w:color="CCCCCC"/>
            </w:tcBorders>
            <w:shd w:val="clear" w:color="auto" w:fill="CCCCCC"/>
          </w:tcPr>
          <w:p>
            <w:pPr>
              <w:jc w:val="center"/>
              <w:ind w:right="954"/>
              <w:spacing w:after="0"/>
              <w:rPr>
                <w:sz w:val="20"/>
                <w:szCs w:val="20"/>
                <w:color w:val="auto"/>
              </w:rPr>
            </w:pPr>
            <w:r>
              <w:rPr>
                <w:rFonts w:ascii="Arial" w:cs="Arial" w:eastAsia="Arial" w:hAnsi="Arial"/>
                <w:sz w:val="18"/>
                <w:szCs w:val="18"/>
                <w:color w:val="auto"/>
                <w:w w:val="99"/>
              </w:rPr>
              <w:t>$353</w:t>
            </w:r>
          </w:p>
        </w:tc>
      </w:tr>
      <w:tr>
        <w:trPr>
          <w:trHeight w:val="237"/>
        </w:trPr>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Target</w:t>
            </w:r>
          </w:p>
        </w:tc>
        <w:tc>
          <w:tcPr>
            <w:tcW w:w="3260" w:type="dxa"/>
            <w:vAlign w:val="bottom"/>
            <w:tcBorders>
              <w:top w:val="single" w:sz="8" w:color="auto"/>
            </w:tcBorders>
          </w:tcPr>
          <w:p>
            <w:pPr>
              <w:jc w:val="center"/>
              <w:ind w:right="354"/>
              <w:spacing w:after="0"/>
              <w:rPr>
                <w:sz w:val="20"/>
                <w:szCs w:val="20"/>
                <w:color w:val="auto"/>
              </w:rPr>
            </w:pPr>
            <w:r>
              <w:rPr>
                <w:rFonts w:ascii="Arial" w:cs="Arial" w:eastAsia="Arial" w:hAnsi="Arial"/>
                <w:sz w:val="18"/>
                <w:szCs w:val="18"/>
                <w:color w:val="auto"/>
                <w:w w:val="99"/>
              </w:rPr>
              <w:t>100%</w:t>
            </w:r>
          </w:p>
        </w:tc>
        <w:tc>
          <w:tcPr>
            <w:tcW w:w="5280" w:type="dxa"/>
            <w:vAlign w:val="bottom"/>
            <w:tcBorders>
              <w:top w:val="single" w:sz="8" w:color="auto"/>
            </w:tcBorders>
          </w:tcPr>
          <w:p>
            <w:pPr>
              <w:jc w:val="center"/>
              <w:ind w:right="954"/>
              <w:spacing w:after="0"/>
              <w:rPr>
                <w:sz w:val="20"/>
                <w:szCs w:val="20"/>
                <w:color w:val="auto"/>
              </w:rPr>
            </w:pPr>
            <w:r>
              <w:rPr>
                <w:rFonts w:ascii="Arial" w:cs="Arial" w:eastAsia="Arial" w:hAnsi="Arial"/>
                <w:sz w:val="18"/>
                <w:szCs w:val="18"/>
                <w:color w:val="auto"/>
                <w:w w:val="99"/>
              </w:rPr>
              <w:t>$294</w:t>
            </w:r>
          </w:p>
        </w:tc>
      </w:tr>
      <w:tr>
        <w:trPr>
          <w:trHeight w:val="27"/>
        </w:trPr>
        <w:tc>
          <w:tcPr>
            <w:tcW w:w="2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Threshold</w:t>
            </w:r>
          </w:p>
        </w:tc>
        <w:tc>
          <w:tcPr>
            <w:tcW w:w="3260" w:type="dxa"/>
            <w:vAlign w:val="bottom"/>
            <w:tcBorders>
              <w:bottom w:val="single" w:sz="8" w:color="CCCCCC"/>
            </w:tcBorders>
            <w:shd w:val="clear" w:color="auto" w:fill="CCCCCC"/>
          </w:tcPr>
          <w:p>
            <w:pPr>
              <w:jc w:val="center"/>
              <w:ind w:right="374"/>
              <w:spacing w:after="0"/>
              <w:rPr>
                <w:sz w:val="20"/>
                <w:szCs w:val="20"/>
                <w:color w:val="auto"/>
              </w:rPr>
            </w:pPr>
            <w:r>
              <w:rPr>
                <w:rFonts w:ascii="Arial" w:cs="Arial" w:eastAsia="Arial" w:hAnsi="Arial"/>
                <w:sz w:val="18"/>
                <w:szCs w:val="18"/>
                <w:color w:val="auto"/>
                <w:w w:val="99"/>
              </w:rPr>
              <w:t>25%</w:t>
            </w:r>
          </w:p>
        </w:tc>
        <w:tc>
          <w:tcPr>
            <w:tcW w:w="5280" w:type="dxa"/>
            <w:vAlign w:val="bottom"/>
            <w:tcBorders>
              <w:bottom w:val="single" w:sz="8" w:color="CCCCCC"/>
            </w:tcBorders>
            <w:shd w:val="clear" w:color="auto" w:fill="CCCCCC"/>
          </w:tcPr>
          <w:p>
            <w:pPr>
              <w:jc w:val="center"/>
              <w:ind w:right="954"/>
              <w:spacing w:after="0"/>
              <w:rPr>
                <w:sz w:val="20"/>
                <w:szCs w:val="20"/>
                <w:color w:val="auto"/>
              </w:rPr>
            </w:pPr>
            <w:r>
              <w:rPr>
                <w:rFonts w:ascii="Arial" w:cs="Arial" w:eastAsia="Arial" w:hAnsi="Arial"/>
                <w:sz w:val="18"/>
                <w:szCs w:val="18"/>
                <w:color w:val="auto"/>
                <w:w w:val="99"/>
              </w:rPr>
              <w:t>$250</w:t>
            </w:r>
          </w:p>
        </w:tc>
      </w:tr>
      <w:tr>
        <w:trPr>
          <w:trHeight w:val="27"/>
        </w:trPr>
        <w:tc>
          <w:tcPr>
            <w:tcW w:w="234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5280" w:type="dxa"/>
            <w:vAlign w:val="bottom"/>
            <w:shd w:val="clear" w:color="auto" w:fill="000000"/>
          </w:tcPr>
          <w:p>
            <w:pPr>
              <w:spacing w:after="0"/>
              <w:rPr>
                <w:sz w:val="2"/>
                <w:szCs w:val="2"/>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*Straight-line interpolation is used to determine achievement between specified goals.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Performance Goals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Individual performance goals were established for each NEO based on key objectives in support of the Company’s strategic goals, as described in the “Executive Summary” section above. For our Former CEO, objectives were reviewed and approved by the Committee. For our other NEOs, objectives were reviewed and approved by our Former CEO and also approved by the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weighting for each component of the 2019 AIP is set forth below:</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3000" w:type="dxa"/>
            <w:vAlign w:val="bottom"/>
          </w:tcPr>
          <w:p>
            <w:pPr>
              <w:spacing w:after="0"/>
              <w:rPr>
                <w:sz w:val="20"/>
                <w:szCs w:val="20"/>
                <w:color w:val="auto"/>
              </w:rPr>
            </w:pPr>
            <w:r>
              <w:rPr>
                <w:rFonts w:ascii="Arial" w:cs="Arial" w:eastAsia="Arial" w:hAnsi="Arial"/>
                <w:sz w:val="16"/>
                <w:szCs w:val="16"/>
                <w:b w:val="1"/>
                <w:bCs w:val="1"/>
                <w:color w:val="auto"/>
              </w:rPr>
              <w:t>NEO</w:t>
            </w:r>
          </w:p>
        </w:tc>
        <w:tc>
          <w:tcPr>
            <w:tcW w:w="3700" w:type="dxa"/>
            <w:vAlign w:val="bottom"/>
          </w:tcPr>
          <w:p>
            <w:pPr>
              <w:ind w:left="400"/>
              <w:spacing w:after="0"/>
              <w:rPr>
                <w:sz w:val="20"/>
                <w:szCs w:val="20"/>
                <w:color w:val="auto"/>
              </w:rPr>
            </w:pPr>
            <w:r>
              <w:rPr>
                <w:rFonts w:ascii="Arial" w:cs="Arial" w:eastAsia="Arial" w:hAnsi="Arial"/>
                <w:sz w:val="16"/>
                <w:szCs w:val="16"/>
                <w:b w:val="1"/>
                <w:bCs w:val="1"/>
                <w:color w:val="auto"/>
              </w:rPr>
              <w:t>Component</w:t>
            </w:r>
          </w:p>
        </w:tc>
        <w:tc>
          <w:tcPr>
            <w:tcW w:w="2480" w:type="dxa"/>
            <w:vAlign w:val="bottom"/>
          </w:tcPr>
          <w:p>
            <w:pPr>
              <w:ind w:left="840"/>
              <w:spacing w:after="0"/>
              <w:rPr>
                <w:sz w:val="20"/>
                <w:szCs w:val="20"/>
                <w:color w:val="auto"/>
              </w:rPr>
            </w:pPr>
            <w:r>
              <w:rPr>
                <w:rFonts w:ascii="Arial" w:cs="Arial" w:eastAsia="Arial" w:hAnsi="Arial"/>
                <w:sz w:val="16"/>
                <w:szCs w:val="16"/>
                <w:b w:val="1"/>
                <w:bCs w:val="1"/>
                <w:color w:val="auto"/>
              </w:rPr>
              <w:t>Weighting</w:t>
            </w:r>
          </w:p>
        </w:tc>
      </w:tr>
      <w:tr>
        <w:trPr>
          <w:trHeight w:val="40"/>
        </w:trPr>
        <w:tc>
          <w:tcPr>
            <w:tcW w:w="30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88"/>
        </w:trPr>
        <w:tc>
          <w:tcPr>
            <w:tcW w:w="30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color w:val="auto"/>
              </w:rPr>
              <w:t>All (Other than Regional Presidents)</w:t>
            </w:r>
          </w:p>
        </w:tc>
        <w:tc>
          <w:tcPr>
            <w:tcW w:w="3700" w:type="dxa"/>
            <w:vAlign w:val="bottom"/>
            <w:tcBorders>
              <w:bottom w:val="single" w:sz="8" w:color="CCCCCC"/>
            </w:tcBorders>
            <w:shd w:val="clear" w:color="auto" w:fill="CCCCCC"/>
          </w:tcPr>
          <w:p>
            <w:pPr>
              <w:ind w:left="400"/>
              <w:spacing w:after="0"/>
              <w:rPr>
                <w:sz w:val="20"/>
                <w:szCs w:val="20"/>
                <w:color w:val="auto"/>
              </w:rPr>
            </w:pPr>
            <w:r>
              <w:rPr>
                <w:rFonts w:ascii="Arial" w:cs="Arial" w:eastAsia="Arial" w:hAnsi="Arial"/>
                <w:sz w:val="16"/>
                <w:szCs w:val="16"/>
                <w:color w:val="auto"/>
              </w:rPr>
              <w:t>Global Adjusted EBITDA</w:t>
            </w:r>
          </w:p>
        </w:tc>
        <w:tc>
          <w:tcPr>
            <w:tcW w:w="24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6"/>
                <w:szCs w:val="16"/>
                <w:color w:val="auto"/>
                <w:w w:val="99"/>
              </w:rPr>
              <w:t>50%</w:t>
            </w:r>
          </w:p>
        </w:tc>
      </w:tr>
      <w:tr>
        <w:trPr>
          <w:trHeight w:val="244"/>
        </w:trPr>
        <w:tc>
          <w:tcPr>
            <w:tcW w:w="3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Regional Presidents</w:t>
            </w:r>
          </w:p>
        </w:tc>
        <w:tc>
          <w:tcPr>
            <w:tcW w:w="370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Global/Regional Adjusted EBITDA</w:t>
            </w: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20%/30%</w:t>
            </w:r>
          </w:p>
        </w:tc>
      </w:tr>
      <w:tr>
        <w:trPr>
          <w:trHeight w:val="33"/>
        </w:trPr>
        <w:tc>
          <w:tcPr>
            <w:tcW w:w="30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82"/>
        </w:trPr>
        <w:tc>
          <w:tcPr>
            <w:tcW w:w="30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color w:val="auto"/>
              </w:rPr>
              <w:t>All</w:t>
            </w:r>
          </w:p>
        </w:tc>
        <w:tc>
          <w:tcPr>
            <w:tcW w:w="3700" w:type="dxa"/>
            <w:vAlign w:val="bottom"/>
            <w:tcBorders>
              <w:bottom w:val="single" w:sz="8" w:color="CCCCCC"/>
            </w:tcBorders>
            <w:shd w:val="clear" w:color="auto" w:fill="CCCCCC"/>
          </w:tcPr>
          <w:p>
            <w:pPr>
              <w:ind w:left="400"/>
              <w:spacing w:after="0"/>
              <w:rPr>
                <w:sz w:val="20"/>
                <w:szCs w:val="20"/>
                <w:color w:val="auto"/>
              </w:rPr>
            </w:pPr>
            <w:r>
              <w:rPr>
                <w:rFonts w:ascii="Arial" w:cs="Arial" w:eastAsia="Arial" w:hAnsi="Arial"/>
                <w:sz w:val="16"/>
                <w:szCs w:val="16"/>
                <w:color w:val="auto"/>
              </w:rPr>
              <w:t>Global Adjusted Free Cash Flow</w:t>
            </w:r>
          </w:p>
        </w:tc>
        <w:tc>
          <w:tcPr>
            <w:tcW w:w="24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6"/>
                <w:szCs w:val="16"/>
                <w:color w:val="auto"/>
                <w:w w:val="99"/>
              </w:rPr>
              <w:t>25%</w:t>
            </w:r>
          </w:p>
        </w:tc>
      </w:tr>
      <w:tr>
        <w:trPr>
          <w:trHeight w:val="190"/>
        </w:trPr>
        <w:tc>
          <w:tcPr>
            <w:tcW w:w="3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All</w:t>
            </w:r>
          </w:p>
        </w:tc>
        <w:tc>
          <w:tcPr>
            <w:tcW w:w="370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Individual Performance</w:t>
            </w: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25%</w:t>
            </w:r>
          </w:p>
        </w:tc>
      </w:tr>
      <w:tr>
        <w:trPr>
          <w:trHeight w:val="94"/>
        </w:trPr>
        <w:tc>
          <w:tcPr>
            <w:tcW w:w="300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and Payouts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global payout under the Adjusted EBITDA component of the 2019 AIP was 100% of target, reflecting the Company’s attainment of reported Adjusted EBITDA of $788 million, increased to $800 million based on a $12 million currency adjustment pursuant to the terms of the program. The payout under the Adjusted Free Cash Flow component was 80% of target, reflecting the Company’s attainment of reported Adjusted Free Cash Flow of $277 million. Payouts for the individual component for each NEO who was eligible to participate in the 2019 AIP were based on an assessment of each executive’s performance relative to his objectives. Objectives for each NEO were related to the key duties for his respective position.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Accordingly, actual payouts under the 2019 AIP, as a percentage of target for each NEO,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Individual</w:t>
            </w:r>
          </w:p>
        </w:tc>
        <w:tc>
          <w:tcPr>
            <w:tcW w:w="1500" w:type="dxa"/>
            <w:vAlign w:val="bottom"/>
          </w:tcPr>
          <w:p>
            <w:pPr>
              <w:jc w:val="center"/>
              <w:ind w:right="13"/>
              <w:spacing w:after="0"/>
              <w:rPr>
                <w:sz w:val="20"/>
                <w:szCs w:val="20"/>
                <w:color w:val="auto"/>
              </w:rPr>
            </w:pPr>
            <w:r>
              <w:rPr>
                <w:rFonts w:ascii="Arial" w:cs="Arial" w:eastAsia="Arial" w:hAnsi="Arial"/>
                <w:sz w:val="16"/>
                <w:szCs w:val="16"/>
                <w:b w:val="1"/>
                <w:bCs w:val="1"/>
                <w:color w:val="auto"/>
              </w:rPr>
              <w:t>Adjusted Free</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5"/>
        </w:trPr>
        <w:tc>
          <w:tcPr>
            <w:tcW w:w="2480" w:type="dxa"/>
            <w:vAlign w:val="bottom"/>
          </w:tcPr>
          <w:p>
            <w:pPr>
              <w:spacing w:after="0"/>
              <w:rPr>
                <w:sz w:val="18"/>
                <w:szCs w:val="18"/>
                <w:color w:val="auto"/>
              </w:rPr>
            </w:pPr>
          </w:p>
        </w:tc>
        <w:tc>
          <w:tcPr>
            <w:tcW w:w="1380" w:type="dxa"/>
            <w:vAlign w:val="bottom"/>
          </w:tcPr>
          <w:p>
            <w:pPr>
              <w:jc w:val="center"/>
              <w:ind w:right="12"/>
              <w:spacing w:after="0"/>
              <w:rPr>
                <w:sz w:val="20"/>
                <w:szCs w:val="20"/>
                <w:color w:val="auto"/>
              </w:rPr>
            </w:pPr>
            <w:r>
              <w:rPr>
                <w:rFonts w:ascii="Arial" w:cs="Arial" w:eastAsia="Arial" w:hAnsi="Arial"/>
                <w:sz w:val="16"/>
                <w:szCs w:val="16"/>
                <w:b w:val="1"/>
                <w:bCs w:val="1"/>
                <w:color w:val="auto"/>
              </w:rPr>
              <w:t>Total Actual</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Performance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Cash Flow</w:t>
            </w:r>
          </w:p>
        </w:tc>
        <w:tc>
          <w:tcPr>
            <w:tcW w:w="1300" w:type="dxa"/>
            <w:vAlign w:val="bottom"/>
          </w:tcPr>
          <w:p>
            <w:pPr>
              <w:spacing w:after="0"/>
              <w:rPr>
                <w:sz w:val="18"/>
                <w:szCs w:val="18"/>
                <w:color w:val="auto"/>
              </w:rPr>
            </w:pPr>
          </w:p>
        </w:tc>
        <w:tc>
          <w:tcPr>
            <w:tcW w:w="2900" w:type="dxa"/>
            <w:vAlign w:val="bottom"/>
            <w:gridSpan w:val="2"/>
          </w:tcPr>
          <w:p>
            <w:pPr>
              <w:ind w:left="820"/>
              <w:spacing w:after="0"/>
              <w:rPr>
                <w:sz w:val="20"/>
                <w:szCs w:val="20"/>
                <w:color w:val="auto"/>
              </w:rPr>
            </w:pPr>
            <w:r>
              <w:rPr>
                <w:rFonts w:ascii="Arial" w:cs="Arial" w:eastAsia="Arial" w:hAnsi="Arial"/>
                <w:sz w:val="16"/>
                <w:szCs w:val="16"/>
                <w:b w:val="1"/>
                <w:bCs w:val="1"/>
                <w:color w:val="auto"/>
              </w:rPr>
              <w:t>Adjusted EBITDA</w:t>
            </w:r>
          </w:p>
        </w:tc>
      </w:tr>
      <w:tr>
        <w:trPr>
          <w:trHeight w:val="40"/>
        </w:trPr>
        <w:tc>
          <w:tcPr>
            <w:tcW w:w="24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71"/>
        </w:trPr>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jc w:val="center"/>
              <w:ind w:right="32"/>
              <w:spacing w:after="0" w:line="171" w:lineRule="exact"/>
              <w:rPr>
                <w:sz w:val="20"/>
                <w:szCs w:val="20"/>
                <w:color w:val="auto"/>
              </w:rPr>
            </w:pPr>
            <w:r>
              <w:rPr>
                <w:rFonts w:ascii="Arial" w:cs="Arial" w:eastAsia="Arial" w:hAnsi="Arial"/>
                <w:sz w:val="16"/>
                <w:szCs w:val="16"/>
                <w:b w:val="1"/>
                <w:bCs w:val="1"/>
                <w:color w:val="auto"/>
              </w:rPr>
              <w:t>Global</w:t>
            </w:r>
          </w:p>
        </w:tc>
        <w:tc>
          <w:tcPr>
            <w:tcW w:w="1380" w:type="dxa"/>
            <w:vAlign w:val="bottom"/>
          </w:tcPr>
          <w:p>
            <w:pPr>
              <w:ind w:left="340"/>
              <w:spacing w:after="0" w:line="171" w:lineRule="exact"/>
              <w:rPr>
                <w:sz w:val="20"/>
                <w:szCs w:val="20"/>
                <w:color w:val="auto"/>
              </w:rPr>
            </w:pPr>
            <w:r>
              <w:rPr>
                <w:rFonts w:ascii="Arial" w:cs="Arial" w:eastAsia="Arial" w:hAnsi="Arial"/>
                <w:sz w:val="16"/>
                <w:szCs w:val="16"/>
                <w:b w:val="1"/>
                <w:bCs w:val="1"/>
                <w:color w:val="auto"/>
              </w:rPr>
              <w:t>Americas</w:t>
            </w:r>
          </w:p>
        </w:tc>
        <w:tc>
          <w:tcPr>
            <w:tcW w:w="15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International</w:t>
            </w:r>
          </w:p>
        </w:tc>
      </w:tr>
      <w:tr>
        <w:trPr>
          <w:trHeight w:val="215"/>
        </w:trPr>
        <w:tc>
          <w:tcPr>
            <w:tcW w:w="2480" w:type="dxa"/>
            <w:vAlign w:val="bottom"/>
          </w:tcPr>
          <w:p>
            <w:pPr>
              <w:spacing w:after="0"/>
              <w:rPr>
                <w:sz w:val="20"/>
                <w:szCs w:val="20"/>
                <w:color w:val="auto"/>
              </w:rPr>
            </w:pPr>
            <w:r>
              <w:rPr>
                <w:rFonts w:ascii="Arial" w:cs="Arial" w:eastAsia="Arial" w:hAnsi="Arial"/>
                <w:sz w:val="16"/>
                <w:szCs w:val="16"/>
                <w:b w:val="1"/>
                <w:bCs w:val="1"/>
                <w:color w:val="auto"/>
              </w:rPr>
              <w:t>NEO</w:t>
            </w:r>
          </w:p>
        </w:tc>
        <w:tc>
          <w:tcPr>
            <w:tcW w:w="1380" w:type="dxa"/>
            <w:vAlign w:val="bottom"/>
          </w:tcPr>
          <w:p>
            <w:pPr>
              <w:jc w:val="center"/>
              <w:ind w:right="12"/>
              <w:spacing w:after="0"/>
              <w:rPr>
                <w:sz w:val="20"/>
                <w:szCs w:val="20"/>
                <w:color w:val="auto"/>
              </w:rPr>
            </w:pPr>
            <w:r>
              <w:rPr>
                <w:rFonts w:ascii="Arial" w:cs="Arial" w:eastAsia="Arial" w:hAnsi="Arial"/>
                <w:sz w:val="16"/>
                <w:szCs w:val="16"/>
                <w:b w:val="1"/>
                <w:bCs w:val="1"/>
                <w:color w:val="auto"/>
                <w:w w:val="99"/>
              </w:rPr>
              <w:t>Payout %</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Payout %</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Payout %</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Payout %</w:t>
            </w:r>
          </w:p>
        </w:tc>
        <w:tc>
          <w:tcPr>
            <w:tcW w:w="1380" w:type="dxa"/>
            <w:vAlign w:val="bottom"/>
          </w:tcPr>
          <w:p>
            <w:pPr>
              <w:ind w:left="360"/>
              <w:spacing w:after="0"/>
              <w:rPr>
                <w:sz w:val="20"/>
                <w:szCs w:val="20"/>
                <w:color w:val="auto"/>
              </w:rPr>
            </w:pPr>
            <w:r>
              <w:rPr>
                <w:rFonts w:ascii="Arial" w:cs="Arial" w:eastAsia="Arial" w:hAnsi="Arial"/>
                <w:sz w:val="16"/>
                <w:szCs w:val="16"/>
                <w:b w:val="1"/>
                <w:bCs w:val="1"/>
                <w:color w:val="auto"/>
              </w:rPr>
              <w:t>Payout %</w:t>
            </w:r>
          </w:p>
        </w:tc>
        <w:tc>
          <w:tcPr>
            <w:tcW w:w="1520" w:type="dxa"/>
            <w:vAlign w:val="bottom"/>
          </w:tcPr>
          <w:p>
            <w:pPr>
              <w:jc w:val="center"/>
              <w:ind w:left="12"/>
              <w:spacing w:after="0"/>
              <w:rPr>
                <w:sz w:val="20"/>
                <w:szCs w:val="20"/>
                <w:color w:val="auto"/>
              </w:rPr>
            </w:pPr>
            <w:r>
              <w:rPr>
                <w:rFonts w:ascii="Arial" w:cs="Arial" w:eastAsia="Arial" w:hAnsi="Arial"/>
                <w:sz w:val="16"/>
                <w:szCs w:val="16"/>
                <w:b w:val="1"/>
                <w:bCs w:val="1"/>
                <w:color w:val="auto"/>
              </w:rPr>
              <w:t>Payout</w:t>
            </w:r>
          </w:p>
        </w:tc>
      </w:tr>
      <w:tr>
        <w:trPr>
          <w:trHeight w:val="40"/>
        </w:trPr>
        <w:tc>
          <w:tcPr>
            <w:tcW w:w="24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Former CEO</w:t>
            </w:r>
          </w:p>
        </w:tc>
        <w:tc>
          <w:tcPr>
            <w:tcW w:w="1380" w:type="dxa"/>
            <w:vAlign w:val="bottom"/>
            <w:shd w:val="clear" w:color="auto" w:fill="D1D3D4"/>
          </w:tcPr>
          <w:p>
            <w:pPr>
              <w:jc w:val="center"/>
              <w:ind w:right="12"/>
              <w:spacing w:after="0" w:line="201" w:lineRule="exact"/>
              <w:rPr>
                <w:sz w:val="20"/>
                <w:szCs w:val="20"/>
                <w:color w:val="auto"/>
              </w:rPr>
            </w:pPr>
            <w:r>
              <w:rPr>
                <w:rFonts w:ascii="Arial" w:cs="Arial" w:eastAsia="Arial" w:hAnsi="Arial"/>
                <w:sz w:val="18"/>
                <w:szCs w:val="18"/>
                <w:color w:val="auto"/>
                <w:w w:val="99"/>
              </w:rPr>
              <w:t>95%</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9"/>
              </w:rPr>
              <w:t>100%</w:t>
            </w: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9"/>
              </w:rPr>
              <w:t>80%</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9"/>
              </w:rPr>
              <w:t>100%</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520" w:type="dxa"/>
            <w:vAlign w:val="bottom"/>
          </w:tcPr>
          <w:p>
            <w:pPr>
              <w:jc w:val="center"/>
              <w:ind w:left="12"/>
              <w:spacing w:after="0" w:line="201" w:lineRule="exact"/>
              <w:rPr>
                <w:sz w:val="20"/>
                <w:szCs w:val="20"/>
                <w:color w:val="auto"/>
              </w:rPr>
            </w:pPr>
            <w:r>
              <w:rPr>
                <w:rFonts w:ascii="Arial" w:cs="Arial" w:eastAsia="Arial" w:hAnsi="Arial"/>
                <w:sz w:val="18"/>
                <w:szCs w:val="18"/>
                <w:color w:val="auto"/>
                <w:w w:val="99"/>
              </w:rPr>
              <w: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CFO</w:t>
            </w:r>
          </w:p>
        </w:tc>
        <w:tc>
          <w:tcPr>
            <w:tcW w:w="1380" w:type="dxa"/>
            <w:vAlign w:val="bottom"/>
            <w:shd w:val="clear" w:color="auto" w:fill="D1D3D4"/>
          </w:tcPr>
          <w:p>
            <w:pPr>
              <w:jc w:val="center"/>
              <w:ind w:right="32"/>
              <w:spacing w:after="0" w:line="202" w:lineRule="exact"/>
              <w:rPr>
                <w:sz w:val="20"/>
                <w:szCs w:val="20"/>
                <w:color w:val="auto"/>
              </w:rPr>
            </w:pPr>
            <w:r>
              <w:rPr>
                <w:rFonts w:ascii="Arial" w:cs="Arial" w:eastAsia="Arial" w:hAnsi="Arial"/>
                <w:sz w:val="18"/>
                <w:szCs w:val="18"/>
                <w:color w:val="auto"/>
                <w:w w:val="99"/>
              </w:rPr>
              <w:t>101%</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9"/>
              </w:rPr>
              <w:t>125%</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80%</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Former Interim CFO</w:t>
            </w:r>
          </w:p>
        </w:tc>
        <w:tc>
          <w:tcPr>
            <w:tcW w:w="1380" w:type="dxa"/>
            <w:vAlign w:val="bottom"/>
            <w:shd w:val="clear" w:color="auto" w:fill="D1D3D4"/>
          </w:tcPr>
          <w:p>
            <w:pPr>
              <w:jc w:val="center"/>
              <w:ind w:right="12"/>
              <w:spacing w:after="0" w:line="202" w:lineRule="exact"/>
              <w:rPr>
                <w:sz w:val="20"/>
                <w:szCs w:val="20"/>
                <w:color w:val="auto"/>
              </w:rPr>
            </w:pPr>
            <w:r>
              <w:rPr>
                <w:rFonts w:ascii="Arial" w:cs="Arial" w:eastAsia="Arial" w:hAnsi="Arial"/>
                <w:sz w:val="18"/>
                <w:szCs w:val="18"/>
                <w:color w:val="auto"/>
                <w:w w:val="99"/>
              </w:rPr>
              <w:t>95%</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80%</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President, Americas</w:t>
            </w:r>
          </w:p>
        </w:tc>
        <w:tc>
          <w:tcPr>
            <w:tcW w:w="1380" w:type="dxa"/>
            <w:vAlign w:val="bottom"/>
            <w:shd w:val="clear" w:color="auto" w:fill="D1D3D4"/>
          </w:tcPr>
          <w:p>
            <w:pPr>
              <w:jc w:val="center"/>
              <w:ind w:right="32"/>
              <w:spacing w:after="0" w:line="202" w:lineRule="exact"/>
              <w:rPr>
                <w:sz w:val="20"/>
                <w:szCs w:val="20"/>
                <w:color w:val="auto"/>
              </w:rPr>
            </w:pPr>
            <w:r>
              <w:rPr>
                <w:rFonts w:ascii="Arial" w:cs="Arial" w:eastAsia="Arial" w:hAnsi="Arial"/>
                <w:sz w:val="18"/>
                <w:szCs w:val="18"/>
                <w:color w:val="auto"/>
                <w:w w:val="99"/>
              </w:rPr>
              <w:t>141%</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9"/>
              </w:rPr>
              <w:t>200%</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80%</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170%</w:t>
            </w:r>
          </w:p>
        </w:tc>
        <w:tc>
          <w:tcPr>
            <w:tcW w:w="15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President, International</w:t>
            </w:r>
          </w:p>
        </w:tc>
        <w:tc>
          <w:tcPr>
            <w:tcW w:w="1380" w:type="dxa"/>
            <w:vAlign w:val="bottom"/>
            <w:shd w:val="clear" w:color="auto" w:fill="D1D3D4"/>
          </w:tcPr>
          <w:p>
            <w:pPr>
              <w:jc w:val="center"/>
              <w:ind w:right="32"/>
              <w:spacing w:after="0" w:line="202" w:lineRule="exact"/>
              <w:rPr>
                <w:sz w:val="20"/>
                <w:szCs w:val="20"/>
                <w:color w:val="auto"/>
              </w:rPr>
            </w:pPr>
            <w:r>
              <w:rPr>
                <w:rFonts w:ascii="Arial" w:cs="Arial" w:eastAsia="Arial" w:hAnsi="Arial"/>
                <w:sz w:val="18"/>
                <w:szCs w:val="18"/>
                <w:color w:val="auto"/>
                <w:w w:val="99"/>
              </w:rPr>
              <w:t>0%</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9"/>
              </w:rPr>
              <w:t>80%</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9"/>
              </w:rPr>
              <w:t>0%</w:t>
            </w:r>
          </w:p>
        </w:tc>
      </w:tr>
      <w:tr>
        <w:trPr>
          <w:trHeight w:val="224"/>
        </w:trPr>
        <w:tc>
          <w:tcPr>
            <w:tcW w:w="2480" w:type="dxa"/>
            <w:vAlign w:val="bottom"/>
          </w:tcPr>
          <w:p>
            <w:pPr>
              <w:spacing w:after="0"/>
              <w:rPr>
                <w:sz w:val="20"/>
                <w:szCs w:val="20"/>
                <w:color w:val="auto"/>
              </w:rPr>
            </w:pPr>
            <w:r>
              <w:rPr>
                <w:rFonts w:ascii="Arial" w:cs="Arial" w:eastAsia="Arial" w:hAnsi="Arial"/>
                <w:sz w:val="18"/>
                <w:szCs w:val="18"/>
                <w:color w:val="auto"/>
              </w:rPr>
              <w:t>CHRO</w:t>
            </w:r>
          </w:p>
        </w:tc>
        <w:tc>
          <w:tcPr>
            <w:tcW w:w="1380" w:type="dxa"/>
            <w:vAlign w:val="bottom"/>
            <w:tcBorders>
              <w:bottom w:val="single" w:sz="8" w:color="D1D3D4"/>
            </w:tcBorders>
            <w:shd w:val="clear" w:color="auto" w:fill="D1D3D4"/>
          </w:tcPr>
          <w:p>
            <w:pPr>
              <w:jc w:val="center"/>
              <w:ind w:right="32"/>
              <w:spacing w:after="0"/>
              <w:rPr>
                <w:sz w:val="20"/>
                <w:szCs w:val="20"/>
                <w:color w:val="auto"/>
              </w:rPr>
            </w:pPr>
            <w:r>
              <w:rPr>
                <w:rFonts w:ascii="Arial" w:cs="Arial" w:eastAsia="Arial" w:hAnsi="Arial"/>
                <w:sz w:val="18"/>
                <w:szCs w:val="18"/>
                <w:color w:val="auto"/>
                <w:w w:val="99"/>
              </w:rPr>
              <w:t>106%</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145%</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r>
      <w:tr>
        <w:trPr>
          <w:trHeight w:val="27"/>
        </w:trPr>
        <w:tc>
          <w:tcPr>
            <w:tcW w:w="24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r>
    </w:tbl>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under the terms of the program, our President, International would have been entitled to a payout of 40% of target based on goal achievement for the global Adjusted EBITDA and Adjusted Free Cash Flow components of the program, Mr. Rankin elected to forfeit the payout given that the financial performance of the International region indicated a zero payout on the regional Adjusted EBITDA component. In approving a 200% payout under the individual component of the 2019 AIP for our President, Americas, the Committee considered that all key objectives had been met or exceeded and that the financial performance of the Americas region, which helped to offset financial results for the International region, enabled the Company to achieve its overall financial goals for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reported global net income to our reported global Adjusted EBITDA is set forth below (dollars are in millions):</w:t>
      </w:r>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217"/>
        </w:trPr>
        <w:tc>
          <w:tcPr>
            <w:tcW w:w="704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r>
      <w:tr>
        <w:trPr>
          <w:trHeight w:val="27"/>
        </w:trPr>
        <w:tc>
          <w:tcPr>
            <w:tcW w:w="7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70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tcBorders>
              <w:bottom w:val="single" w:sz="8" w:color="CCCCCC"/>
            </w:tcBorders>
            <w:shd w:val="clear" w:color="auto" w:fill="CCCCCC"/>
          </w:tcPr>
          <w:p>
            <w:pPr>
              <w:spacing w:after="0"/>
              <w:rPr>
                <w:sz w:val="22"/>
                <w:szCs w:val="22"/>
                <w:color w:val="auto"/>
              </w:rPr>
            </w:pPr>
          </w:p>
        </w:tc>
        <w:tc>
          <w:tcPr>
            <w:tcW w:w="800" w:type="dxa"/>
            <w:vAlign w:val="bottom"/>
            <w:tcBorders>
              <w:bottom w:val="single" w:sz="8" w:color="CCCCCC"/>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(15)</w:t>
            </w: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22"/>
                <w:szCs w:val="22"/>
                <w:color w:val="auto"/>
              </w:rPr>
            </w:pPr>
          </w:p>
        </w:tc>
      </w:tr>
      <w:tr>
        <w:trPr>
          <w:trHeight w:val="27"/>
        </w:trPr>
        <w:tc>
          <w:tcPr>
            <w:tcW w:w="7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70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Add: Non-vehicle related depreciation and amortization</w:t>
            </w:r>
          </w:p>
        </w:tc>
        <w:tc>
          <w:tcPr>
            <w:tcW w:w="380" w:type="dxa"/>
            <w:vAlign w:val="bottom"/>
            <w:tcBorders>
              <w:bottom w:val="single" w:sz="8" w:color="CCCCCC"/>
            </w:tcBorders>
            <w:shd w:val="clear" w:color="auto" w:fill="CCCCCC"/>
          </w:tcPr>
          <w:p>
            <w:pPr>
              <w:spacing w:after="0"/>
              <w:rPr>
                <w:sz w:val="22"/>
                <w:szCs w:val="22"/>
                <w:color w:val="auto"/>
              </w:rPr>
            </w:pPr>
          </w:p>
        </w:tc>
        <w:tc>
          <w:tcPr>
            <w:tcW w:w="5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Borders>
              <w:bottom w:val="single" w:sz="8" w:color="CCCCCC"/>
            </w:tcBorders>
            <w:shd w:val="clear" w:color="auto" w:fill="CCCCCC"/>
          </w:tcPr>
          <w:p>
            <w:pPr>
              <w:spacing w:after="0"/>
              <w:rPr>
                <w:sz w:val="22"/>
                <w:szCs w:val="22"/>
                <w:color w:val="auto"/>
              </w:rPr>
            </w:pPr>
          </w:p>
        </w:tc>
      </w:tr>
      <w:tr>
        <w:trPr>
          <w:trHeight w:val="257"/>
        </w:trPr>
        <w:tc>
          <w:tcPr>
            <w:tcW w:w="7040" w:type="dxa"/>
            <w:vAlign w:val="bottom"/>
          </w:tcPr>
          <w:p>
            <w:pPr>
              <w:ind w:left="420"/>
              <w:spacing w:after="0"/>
              <w:rPr>
                <w:sz w:val="20"/>
                <w:szCs w:val="20"/>
                <w:color w:val="auto"/>
              </w:rPr>
            </w:pPr>
            <w:r>
              <w:rPr>
                <w:rFonts w:ascii="Arial" w:cs="Arial" w:eastAsia="Arial" w:hAnsi="Arial"/>
                <w:sz w:val="18"/>
                <w:szCs w:val="18"/>
                <w:color w:val="auto"/>
              </w:rPr>
              <w:t>Interest expense related to corporate debt, net</w:t>
            </w:r>
          </w:p>
        </w:tc>
        <w:tc>
          <w:tcPr>
            <w:tcW w:w="3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2"/>
                <w:szCs w:val="22"/>
                <w:color w:val="auto"/>
              </w:rPr>
            </w:pPr>
          </w:p>
        </w:tc>
      </w:tr>
      <w:tr>
        <w:trPr>
          <w:trHeight w:val="27"/>
        </w:trPr>
        <w:tc>
          <w:tcPr>
            <w:tcW w:w="7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7040" w:type="dxa"/>
            <w:vAlign w:val="bottom"/>
            <w:tcBorders>
              <w:bottom w:val="single" w:sz="8" w:color="CCCCCC"/>
            </w:tcBorders>
            <w:shd w:val="clear" w:color="auto" w:fill="CCCCCC"/>
          </w:tcPr>
          <w:p>
            <w:pPr>
              <w:ind w:left="420"/>
              <w:spacing w:after="0"/>
              <w:rPr>
                <w:sz w:val="20"/>
                <w:szCs w:val="20"/>
                <w:color w:val="auto"/>
              </w:rPr>
            </w:pPr>
            <w:r>
              <w:rPr>
                <w:rFonts w:ascii="Arial" w:cs="Arial" w:eastAsia="Arial" w:hAnsi="Arial"/>
                <w:sz w:val="18"/>
                <w:szCs w:val="18"/>
                <w:color w:val="auto"/>
              </w:rPr>
              <w:t>Restructuring and other related charges</w:t>
            </w:r>
          </w:p>
        </w:tc>
        <w:tc>
          <w:tcPr>
            <w:tcW w:w="380" w:type="dxa"/>
            <w:vAlign w:val="bottom"/>
            <w:tcBorders>
              <w:bottom w:val="single" w:sz="8" w:color="CCCCCC"/>
            </w:tcBorders>
            <w:shd w:val="clear" w:color="auto" w:fill="CCCCCC"/>
          </w:tcPr>
          <w:p>
            <w:pPr>
              <w:spacing w:after="0"/>
              <w:rPr>
                <w:sz w:val="22"/>
                <w:szCs w:val="22"/>
                <w:color w:val="auto"/>
              </w:rPr>
            </w:pPr>
          </w:p>
        </w:tc>
        <w:tc>
          <w:tcPr>
            <w:tcW w:w="5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CCCC"/>
            </w:tcBorders>
            <w:shd w:val="clear" w:color="auto" w:fill="CCCCCC"/>
          </w:tcPr>
          <w:p>
            <w:pPr>
              <w:spacing w:after="0"/>
              <w:rPr>
                <w:sz w:val="22"/>
                <w:szCs w:val="22"/>
                <w:color w:val="auto"/>
              </w:rPr>
            </w:pPr>
          </w:p>
        </w:tc>
      </w:tr>
      <w:tr>
        <w:trPr>
          <w:trHeight w:val="257"/>
        </w:trPr>
        <w:tc>
          <w:tcPr>
            <w:tcW w:w="7040" w:type="dxa"/>
            <w:vAlign w:val="bottom"/>
          </w:tcPr>
          <w:p>
            <w:pPr>
              <w:ind w:left="420"/>
              <w:spacing w:after="0"/>
              <w:rPr>
                <w:sz w:val="20"/>
                <w:szCs w:val="20"/>
                <w:color w:val="auto"/>
              </w:rPr>
            </w:pPr>
            <w:r>
              <w:rPr>
                <w:rFonts w:ascii="Arial" w:cs="Arial" w:eastAsia="Arial" w:hAnsi="Arial"/>
                <w:sz w:val="18"/>
                <w:szCs w:val="18"/>
                <w:color w:val="auto"/>
              </w:rPr>
              <w:t>Transaction-related costs, net</w:t>
            </w:r>
          </w:p>
        </w:tc>
        <w:tc>
          <w:tcPr>
            <w:tcW w:w="3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2"/>
                <w:szCs w:val="22"/>
                <w:color w:val="auto"/>
              </w:rPr>
            </w:pPr>
          </w:p>
        </w:tc>
      </w:tr>
      <w:tr>
        <w:trPr>
          <w:trHeight w:val="27"/>
        </w:trPr>
        <w:tc>
          <w:tcPr>
            <w:tcW w:w="7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3"/>
        </w:trPr>
        <w:tc>
          <w:tcPr>
            <w:tcW w:w="7040" w:type="dxa"/>
            <w:vAlign w:val="bottom"/>
            <w:tcBorders>
              <w:bottom w:val="single" w:sz="8" w:color="CCCCCC"/>
            </w:tcBorders>
            <w:shd w:val="clear" w:color="auto" w:fill="CCCCCC"/>
          </w:tcPr>
          <w:p>
            <w:pPr>
              <w:ind w:left="420"/>
              <w:spacing w:after="0"/>
              <w:rPr>
                <w:sz w:val="20"/>
                <w:szCs w:val="20"/>
                <w:color w:val="auto"/>
              </w:rPr>
            </w:pPr>
            <w:r>
              <w:rPr>
                <w:rFonts w:ascii="Arial" w:cs="Arial" w:eastAsia="Arial" w:hAnsi="Arial"/>
                <w:sz w:val="18"/>
                <w:szCs w:val="18"/>
                <w:color w:val="auto"/>
              </w:rPr>
              <w:t>Early extinguishment of corporate debt</w:t>
            </w:r>
          </w:p>
        </w:tc>
        <w:tc>
          <w:tcPr>
            <w:tcW w:w="380" w:type="dxa"/>
            <w:vAlign w:val="bottom"/>
            <w:tcBorders>
              <w:bottom w:val="single" w:sz="8" w:color="CCCCCC"/>
            </w:tcBorders>
            <w:shd w:val="clear" w:color="auto" w:fill="CCCCCC"/>
          </w:tcPr>
          <w:p>
            <w:pPr>
              <w:spacing w:after="0"/>
              <w:rPr>
                <w:sz w:val="22"/>
                <w:szCs w:val="22"/>
                <w:color w:val="auto"/>
              </w:rPr>
            </w:pPr>
          </w:p>
        </w:tc>
        <w:tc>
          <w:tcPr>
            <w:tcW w:w="5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CCCC"/>
            </w:tcBorders>
            <w:shd w:val="clear" w:color="auto" w:fill="CCCCCC"/>
          </w:tcPr>
          <w:p>
            <w:pPr>
              <w:spacing w:after="0"/>
              <w:rPr>
                <w:sz w:val="22"/>
                <w:szCs w:val="22"/>
                <w:color w:val="auto"/>
              </w:rPr>
            </w:pPr>
          </w:p>
        </w:tc>
      </w:tr>
      <w:tr>
        <w:trPr>
          <w:trHeight w:val="257"/>
        </w:trPr>
        <w:tc>
          <w:tcPr>
            <w:tcW w:w="7040" w:type="dxa"/>
            <w:vAlign w:val="bottom"/>
          </w:tcPr>
          <w:p>
            <w:pPr>
              <w:ind w:left="420"/>
              <w:spacing w:after="0"/>
              <w:rPr>
                <w:sz w:val="20"/>
                <w:szCs w:val="20"/>
                <w:color w:val="auto"/>
              </w:rPr>
            </w:pPr>
            <w:r>
              <w:rPr>
                <w:rFonts w:ascii="Arial" w:cs="Arial" w:eastAsia="Arial" w:hAnsi="Arial"/>
                <w:sz w:val="18"/>
                <w:szCs w:val="18"/>
                <w:color w:val="auto"/>
              </w:rPr>
              <w:t>Non-operational charges related to shareholder activist activity</w:t>
            </w:r>
          </w:p>
        </w:tc>
        <w:tc>
          <w:tcPr>
            <w:tcW w:w="3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2"/>
                <w:szCs w:val="22"/>
                <w:color w:val="auto"/>
              </w:rPr>
            </w:pPr>
          </w:p>
        </w:tc>
      </w:tr>
      <w:tr>
        <w:trPr>
          <w:trHeight w:val="27"/>
        </w:trPr>
        <w:tc>
          <w:tcPr>
            <w:tcW w:w="7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84"/>
        </w:trPr>
        <w:tc>
          <w:tcPr>
            <w:tcW w:w="7040" w:type="dxa"/>
            <w:vAlign w:val="bottom"/>
            <w:shd w:val="clear" w:color="auto" w:fill="CCCCCC"/>
          </w:tcPr>
          <w:p>
            <w:pPr>
              <w:ind w:left="420"/>
              <w:spacing w:after="0"/>
              <w:rPr>
                <w:sz w:val="20"/>
                <w:szCs w:val="20"/>
                <w:color w:val="auto"/>
              </w:rPr>
            </w:pPr>
            <w:r>
              <w:rPr>
                <w:rFonts w:ascii="Arial" w:cs="Arial" w:eastAsia="Arial" w:hAnsi="Arial"/>
                <w:sz w:val="18"/>
                <w:szCs w:val="18"/>
                <w:color w:val="auto"/>
              </w:rPr>
              <w:t>Gain on sale of equity method investment in China</w:t>
            </w:r>
          </w:p>
        </w:tc>
        <w:tc>
          <w:tcPr>
            <w:tcW w:w="380" w:type="dxa"/>
            <w:vAlign w:val="bottom"/>
            <w:shd w:val="clear" w:color="auto" w:fill="CCCCCC"/>
          </w:tcPr>
          <w:p>
            <w:pPr>
              <w:spacing w:after="0"/>
              <w:rPr>
                <w:sz w:val="24"/>
                <w:szCs w:val="24"/>
                <w:color w:val="auto"/>
              </w:rPr>
            </w:pPr>
          </w:p>
        </w:tc>
        <w:tc>
          <w:tcPr>
            <w:tcW w:w="800" w:type="dxa"/>
            <w:vAlign w:val="bottom"/>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(44)</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21"/>
                <w:szCs w:val="21"/>
                <w:color w:val="auto"/>
              </w:rPr>
            </w:pPr>
          </w:p>
        </w:tc>
      </w:tr>
      <w:tr>
        <w:trPr>
          <w:trHeight w:val="20"/>
        </w:trPr>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global income before taxes to Adjusted Free Cash Flow is set forth below (dollars are in millions):</w:t>
      </w:r>
    </w:p>
    <w:p>
      <w:pPr>
        <w:spacing w:after="0" w:line="212" w:lineRule="exact"/>
        <w:rPr>
          <w:sz w:val="20"/>
          <w:szCs w:val="20"/>
          <w:color w:val="auto"/>
        </w:rPr>
      </w:pPr>
    </w:p>
    <w:tbl>
      <w:tblPr>
        <w:tblLayout w:type="fixed"/>
        <w:tblInd w:w="1240" w:type="dxa"/>
        <w:tblCellMar>
          <w:top w:w="0" w:type="dxa"/>
          <w:left w:w="0" w:type="dxa"/>
          <w:bottom w:w="0" w:type="dxa"/>
          <w:right w:w="0" w:type="dxa"/>
        </w:tblCellMar>
      </w:tblPr>
      <w:tr>
        <w:trPr>
          <w:trHeight w:val="217"/>
        </w:trPr>
        <w:tc>
          <w:tcPr>
            <w:tcW w:w="73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64"/>
        </w:trPr>
        <w:tc>
          <w:tcPr>
            <w:tcW w:w="7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Add-back of non-vehicle related depreciation and amortization</w:t>
            </w:r>
          </w:p>
        </w:tc>
        <w:tc>
          <w:tcPr>
            <w:tcW w:w="280" w:type="dxa"/>
            <w:vAlign w:val="bottom"/>
            <w:tcBorders>
              <w:bottom w:val="single" w:sz="8" w:color="CCCCCC"/>
            </w:tcBorders>
            <w:shd w:val="clear" w:color="auto" w:fill="CCCCCC"/>
          </w:tcPr>
          <w:p>
            <w:pPr>
              <w:spacing w:after="0"/>
              <w:rPr>
                <w:sz w:val="22"/>
                <w:szCs w:val="22"/>
                <w:color w:val="auto"/>
              </w:rPr>
            </w:pPr>
          </w:p>
        </w:tc>
        <w:tc>
          <w:tcPr>
            <w:tcW w:w="5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bottom w:val="single" w:sz="8" w:color="CCCCCC"/>
            </w:tcBorders>
            <w:shd w:val="clear" w:color="auto" w:fill="CCCCCC"/>
          </w:tcPr>
          <w:p>
            <w:pPr>
              <w:spacing w:after="0"/>
              <w:rPr>
                <w:sz w:val="22"/>
                <w:szCs w:val="22"/>
                <w:color w:val="auto"/>
              </w:rPr>
            </w:pPr>
          </w:p>
        </w:tc>
      </w:tr>
      <w:tr>
        <w:trPr>
          <w:trHeight w:val="257"/>
        </w:trPr>
        <w:tc>
          <w:tcPr>
            <w:tcW w:w="7300" w:type="dxa"/>
            <w:vAlign w:val="bottom"/>
          </w:tcPr>
          <w:p>
            <w:pPr>
              <w:ind w:left="20"/>
              <w:spacing w:after="0"/>
              <w:rPr>
                <w:sz w:val="20"/>
                <w:szCs w:val="20"/>
                <w:color w:val="auto"/>
              </w:rPr>
            </w:pPr>
            <w:r>
              <w:rPr>
                <w:rFonts w:ascii="Arial" w:cs="Arial" w:eastAsia="Arial" w:hAnsi="Arial"/>
                <w:sz w:val="18"/>
                <w:szCs w:val="18"/>
                <w:color w:val="auto"/>
              </w:rPr>
              <w:t>Add-back of restructuring and other related costs</w:t>
            </w:r>
          </w:p>
        </w:tc>
        <w:tc>
          <w:tcPr>
            <w:tcW w:w="2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63"/>
        </w:trPr>
        <w:tc>
          <w:tcPr>
            <w:tcW w:w="7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Add-back of debt extinguishment costs</w:t>
            </w:r>
          </w:p>
        </w:tc>
        <w:tc>
          <w:tcPr>
            <w:tcW w:w="280" w:type="dxa"/>
            <w:vAlign w:val="bottom"/>
            <w:tcBorders>
              <w:bottom w:val="single" w:sz="8" w:color="CCCCCC"/>
            </w:tcBorders>
            <w:shd w:val="clear" w:color="auto" w:fill="CCCCCC"/>
          </w:tcPr>
          <w:p>
            <w:pPr>
              <w:spacing w:after="0"/>
              <w:rPr>
                <w:sz w:val="22"/>
                <w:szCs w:val="22"/>
                <w:color w:val="auto"/>
              </w:rPr>
            </w:pPr>
          </w:p>
        </w:tc>
        <w:tc>
          <w:tcPr>
            <w:tcW w:w="800" w:type="dxa"/>
            <w:vAlign w:val="bottom"/>
            <w:tcBorders>
              <w:bottom w:val="single" w:sz="8" w:color="CCCCCC"/>
            </w:tcBorders>
            <w:gridSpan w:val="2"/>
            <w:shd w:val="clear" w:color="auto" w:fill="CCCCCC"/>
          </w:tcPr>
          <w:p>
            <w:pPr>
              <w:jc w:val="right"/>
              <w:ind w:right="260"/>
              <w:spacing w:after="0"/>
              <w:rPr>
                <w:sz w:val="20"/>
                <w:szCs w:val="20"/>
                <w:color w:val="auto"/>
              </w:rPr>
            </w:pPr>
            <w:r>
              <w:rPr>
                <w:rFonts w:ascii="Arial" w:cs="Arial" w:eastAsia="Arial" w:hAnsi="Arial"/>
                <w:sz w:val="18"/>
                <w:szCs w:val="18"/>
                <w:color w:val="auto"/>
              </w:rPr>
              <w:t>12</w:t>
            </w:r>
          </w:p>
        </w:tc>
      </w:tr>
      <w:tr>
        <w:trPr>
          <w:trHeight w:val="257"/>
        </w:trPr>
        <w:tc>
          <w:tcPr>
            <w:tcW w:w="7300" w:type="dxa"/>
            <w:vAlign w:val="bottom"/>
          </w:tcPr>
          <w:p>
            <w:pPr>
              <w:ind w:left="20"/>
              <w:spacing w:after="0"/>
              <w:rPr>
                <w:sz w:val="20"/>
                <w:szCs w:val="20"/>
                <w:color w:val="auto"/>
              </w:rPr>
            </w:pPr>
            <w:r>
              <w:rPr>
                <w:rFonts w:ascii="Arial" w:cs="Arial" w:eastAsia="Arial" w:hAnsi="Arial"/>
                <w:sz w:val="18"/>
                <w:szCs w:val="18"/>
                <w:color w:val="auto"/>
              </w:rPr>
              <w:t>Add-back of transaction-related costs</w:t>
            </w:r>
          </w:p>
        </w:tc>
        <w:tc>
          <w:tcPr>
            <w:tcW w:w="2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63"/>
        </w:trPr>
        <w:tc>
          <w:tcPr>
            <w:tcW w:w="7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Add-back of non-operational charges related to shareholder activist activity</w:t>
            </w:r>
          </w:p>
        </w:tc>
        <w:tc>
          <w:tcPr>
            <w:tcW w:w="280" w:type="dxa"/>
            <w:vAlign w:val="bottom"/>
            <w:tcBorders>
              <w:bottom w:val="single" w:sz="8" w:color="CCCCCC"/>
            </w:tcBorders>
            <w:shd w:val="clear" w:color="auto" w:fill="CCCCCC"/>
          </w:tcPr>
          <w:p>
            <w:pPr>
              <w:spacing w:after="0"/>
              <w:rPr>
                <w:sz w:val="22"/>
                <w:szCs w:val="22"/>
                <w:color w:val="auto"/>
              </w:rPr>
            </w:pPr>
          </w:p>
        </w:tc>
        <w:tc>
          <w:tcPr>
            <w:tcW w:w="5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CCCC"/>
            </w:tcBorders>
            <w:shd w:val="clear" w:color="auto" w:fill="CCCCCC"/>
          </w:tcPr>
          <w:p>
            <w:pPr>
              <w:spacing w:after="0"/>
              <w:rPr>
                <w:sz w:val="22"/>
                <w:szCs w:val="22"/>
                <w:color w:val="auto"/>
              </w:rPr>
            </w:pPr>
          </w:p>
        </w:tc>
      </w:tr>
      <w:tr>
        <w:trPr>
          <w:trHeight w:val="256"/>
        </w:trPr>
        <w:tc>
          <w:tcPr>
            <w:tcW w:w="7300" w:type="dxa"/>
            <w:vAlign w:val="bottom"/>
          </w:tcPr>
          <w:p>
            <w:pPr>
              <w:ind w:left="20"/>
              <w:spacing w:after="0"/>
              <w:rPr>
                <w:sz w:val="20"/>
                <w:szCs w:val="20"/>
                <w:color w:val="auto"/>
              </w:rPr>
            </w:pPr>
            <w:r>
              <w:rPr>
                <w:rFonts w:ascii="Arial" w:cs="Arial" w:eastAsia="Arial" w:hAnsi="Arial"/>
                <w:sz w:val="18"/>
                <w:szCs w:val="18"/>
                <w:color w:val="auto"/>
              </w:rPr>
              <w:t>Working capital and other</w:t>
            </w:r>
          </w:p>
        </w:tc>
        <w:tc>
          <w:tcPr>
            <w:tcW w:w="2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63"/>
        </w:trPr>
        <w:tc>
          <w:tcPr>
            <w:tcW w:w="730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CCCC"/>
            </w:tcBorders>
            <w:shd w:val="clear" w:color="auto" w:fill="CCCCCC"/>
          </w:tcPr>
          <w:p>
            <w:pPr>
              <w:spacing w:after="0"/>
              <w:rPr>
                <w:sz w:val="22"/>
                <w:szCs w:val="22"/>
                <w:color w:val="auto"/>
              </w:rPr>
            </w:pPr>
          </w:p>
        </w:tc>
        <w:tc>
          <w:tcPr>
            <w:tcW w:w="800" w:type="dxa"/>
            <w:vAlign w:val="bottom"/>
            <w:tcBorders>
              <w:bottom w:val="single" w:sz="8" w:color="CCCCCC"/>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(250)</w:t>
            </w:r>
          </w:p>
        </w:tc>
      </w:tr>
      <w:tr>
        <w:trPr>
          <w:trHeight w:val="256"/>
        </w:trPr>
        <w:tc>
          <w:tcPr>
            <w:tcW w:w="7300" w:type="dxa"/>
            <w:vAlign w:val="bottom"/>
          </w:tcPr>
          <w:p>
            <w:pPr>
              <w:ind w:left="20"/>
              <w:spacing w:after="0"/>
              <w:rPr>
                <w:sz w:val="20"/>
                <w:szCs w:val="20"/>
                <w:color w:val="auto"/>
              </w:rPr>
            </w:pPr>
            <w:r>
              <w:rPr>
                <w:rFonts w:ascii="Arial" w:cs="Arial" w:eastAsia="Arial" w:hAnsi="Arial"/>
                <w:sz w:val="18"/>
                <w:szCs w:val="18"/>
                <w:color w:val="auto"/>
              </w:rPr>
              <w:t>Tax payments, net of refunds</w:t>
            </w:r>
          </w:p>
        </w:tc>
        <w:tc>
          <w:tcPr>
            <w:tcW w:w="2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84"/>
        </w:trPr>
        <w:tc>
          <w:tcPr>
            <w:tcW w:w="7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Vehicle programs and related*</w:t>
            </w:r>
          </w:p>
        </w:tc>
        <w:tc>
          <w:tcPr>
            <w:tcW w:w="280" w:type="dxa"/>
            <w:vAlign w:val="bottom"/>
            <w:shd w:val="clear" w:color="auto" w:fill="CCCCCC"/>
          </w:tcPr>
          <w:p>
            <w:pPr>
              <w:spacing w:after="0"/>
              <w:rPr>
                <w:sz w:val="24"/>
                <w:szCs w:val="24"/>
                <w:color w:val="auto"/>
              </w:rPr>
            </w:pPr>
          </w:p>
        </w:tc>
        <w:tc>
          <w:tcPr>
            <w:tcW w:w="80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(104)</w:t>
            </w:r>
          </w:p>
        </w:tc>
      </w:tr>
      <w:tr>
        <w:trPr>
          <w:trHeight w:val="250"/>
        </w:trPr>
        <w:tc>
          <w:tcPr>
            <w:tcW w:w="7300" w:type="dxa"/>
            <w:vAlign w:val="bottom"/>
          </w:tcPr>
          <w:p>
            <w:pPr>
              <w:ind w:left="20"/>
              <w:spacing w:after="0"/>
              <w:rPr>
                <w:sz w:val="20"/>
                <w:szCs w:val="20"/>
                <w:color w:val="auto"/>
              </w:rPr>
            </w:pPr>
            <w:r>
              <w:rPr>
                <w:rFonts w:ascii="Arial" w:cs="Arial" w:eastAsia="Arial" w:hAnsi="Arial"/>
                <w:sz w:val="18"/>
                <w:szCs w:val="18"/>
                <w:color w:val="auto"/>
              </w:rPr>
              <w:t>Adjusted Free Cash Flow</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21"/>
                <w:szCs w:val="21"/>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*Includes vehicle-backed borrowings (repayments) that are incremental to amounts required to fund incremental (reduced)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vehicle and vehicle-related assets.</w:t>
      </w:r>
    </w:p>
    <w:p>
      <w:pPr>
        <w:sectPr>
          <w:pgSz w:w="11900" w:h="16838" w:orient="portrait"/>
          <w:cols w:equalWidth="0" w:num="1">
            <w:col w:w="10880"/>
          </w:cols>
          <w:pgMar w:left="500" w:top="287" w:right="51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09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Adjusted Free Cash Flow represents Net Cash Provided by Operating Activities adjusted to reflect the cash inflows and outflows relating to capital expenditures, the investing and financing activities of our vehicle programs, asset sales, if any, and to exclude debt extinguishment costs, transaction-related costs, restructuring and other related charges, and non-operational charges related to shareholder activist activity. We believe that Adjusted Free Cash Flow is useful to management and investors in measuring the cash generated that is available to be used to repay debt obligations, repurchase stock, pay dividends and invest in further growth through new business development activities or acquisitions. Adjusted Free Cash Flow should not be construed as a substitute in measuring operating results or liquidity, and our presentation of Adjusted Free Cash Flow may not be comparable to similarly-titled measures used by other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Long-Term Incentive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Long-Term Incentive Awards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2019, the Committee approved a long-term incentive program (the “2019 LTIP”) consistent with the long-term incentive program for 2018. NEO participation in this program was limited to our Former CEO, our President, Americas, our CFO and our CHRO. Grant date values for awards issued under this program to officers employed for full year 2019 reflected increases approved following a market review of long-term incentive values of peer companies, which ranged from 10 to 25%.</w:t>
      </w:r>
    </w:p>
    <w:p>
      <w:pPr>
        <w:spacing w:after="0" w:line="13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following factors were reviewed to determine the appropriate type of equity to be granted: perceived value to award recipients to effect retention and incentive goals, peer practices, the degree of alignment with shareholder interests, potential dilution and projected expense balanced with the value delivered to award recipients. Based on an analysis of these factors, the Committee determined that</w:t>
      </w:r>
    </w:p>
    <w:p>
      <w:pPr>
        <w:spacing w:after="0" w:line="2" w:lineRule="exact"/>
        <w:rPr>
          <w:sz w:val="20"/>
          <w:szCs w:val="20"/>
          <w:color w:val="auto"/>
        </w:rPr>
      </w:pPr>
    </w:p>
    <w:p>
      <w:pPr>
        <w:ind w:right="20" w:firstLine="8"/>
        <w:spacing w:after="0" w:line="246" w:lineRule="auto"/>
        <w:tabs>
          <w:tab w:leader="none" w:pos="2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our Former CEO, a mix of 60% PSUs and 40% time-based restricted stock units (“RSUs”); (b) for each of our CFO and our President, Americas, an equal mix of PSUs and RSUs; and (c) for our CHRO, a mix of 30% PSUs and 70% RSUs would:</w:t>
      </w:r>
    </w:p>
    <w:p>
      <w:pPr>
        <w:spacing w:after="0" w:line="120" w:lineRule="exact"/>
        <w:rPr>
          <w:sz w:val="20"/>
          <w:szCs w:val="20"/>
          <w:color w:val="auto"/>
        </w:rPr>
      </w:pPr>
    </w:p>
    <w:p>
      <w:pPr>
        <w:ind w:left="340" w:hanging="314"/>
        <w:spacing w:after="0"/>
        <w:tabs>
          <w:tab w:leader="none" w:pos="3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align incentives with shareholders’ focus on profitability and financial performance;</w:t>
      </w:r>
    </w:p>
    <w:p>
      <w:pPr>
        <w:spacing w:after="0" w:line="125" w:lineRule="exact"/>
        <w:rPr>
          <w:rFonts w:ascii="Arial" w:cs="Arial" w:eastAsia="Arial" w:hAnsi="Arial"/>
          <w:sz w:val="22"/>
          <w:szCs w:val="22"/>
          <w:color w:val="auto"/>
        </w:rPr>
      </w:pPr>
    </w:p>
    <w:p>
      <w:pPr>
        <w:ind w:left="340" w:hanging="314"/>
        <w:spacing w:after="0"/>
        <w:tabs>
          <w:tab w:leader="none" w:pos="3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reflect the relevant decision-making impact of the individual and the impact of those decisions on the Company; and</w:t>
      </w:r>
    </w:p>
    <w:p>
      <w:pPr>
        <w:spacing w:after="0" w:line="138" w:lineRule="exact"/>
        <w:rPr>
          <w:rFonts w:ascii="Arial" w:cs="Arial" w:eastAsia="Arial" w:hAnsi="Arial"/>
          <w:sz w:val="22"/>
          <w:szCs w:val="22"/>
          <w:color w:val="auto"/>
        </w:rPr>
      </w:pPr>
    </w:p>
    <w:p>
      <w:pPr>
        <w:ind w:left="340" w:hanging="314"/>
        <w:spacing w:after="0"/>
        <w:tabs>
          <w:tab w:leader="none" w:pos="340" w:val="left"/>
        </w:tabs>
        <w:numPr>
          <w:ilvl w:val="0"/>
          <w:numId w:val="37"/>
        </w:numPr>
        <w:rPr>
          <w:rFonts w:ascii="Arial" w:cs="Arial" w:eastAsia="Arial" w:hAnsi="Arial"/>
          <w:sz w:val="22"/>
          <w:szCs w:val="22"/>
          <w:color w:val="auto"/>
        </w:rPr>
      </w:pPr>
      <w:r>
        <w:rPr>
          <w:rFonts w:ascii="Arial" w:cs="Arial" w:eastAsia="Arial" w:hAnsi="Arial"/>
          <w:sz w:val="18"/>
          <w:szCs w:val="18"/>
          <w:color w:val="auto"/>
        </w:rPr>
        <w:t>incentivize retention of key employees over the longer term.</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Consistent with the 2018 program, RSUs granted in 2019 under the 2019 LTIP are scheduled to vest on the first three anniversaries of the date of grant, subject to continued employment, and PSUs granted in 2019 are scheduled to vest on the three-year anniversary of the date of grant, subject to satisfaction of performance goals. Three-year cumulative Adjusted EBITDA is the performance metric for the PSUs granted under the 2019 LTIP based on, including but not limited to, the following factors:</w:t>
      </w:r>
    </w:p>
    <w:p>
      <w:pPr>
        <w:spacing w:after="0" w:line="151" w:lineRule="exact"/>
        <w:rPr>
          <w:sz w:val="20"/>
          <w:szCs w:val="20"/>
          <w:color w:val="auto"/>
        </w:rPr>
      </w:pPr>
    </w:p>
    <w:p>
      <w:pPr>
        <w:ind w:left="340" w:hanging="314"/>
        <w:spacing w:after="0" w:line="225" w:lineRule="auto"/>
        <w:tabs>
          <w:tab w:leader="none" w:pos="372" w:val="left"/>
        </w:tabs>
        <w:numPr>
          <w:ilvl w:val="0"/>
          <w:numId w:val="38"/>
        </w:numPr>
        <w:rPr>
          <w:rFonts w:ascii="Arial" w:cs="Arial" w:eastAsia="Arial" w:hAnsi="Arial"/>
          <w:sz w:val="22"/>
          <w:szCs w:val="22"/>
          <w:color w:val="auto"/>
        </w:rPr>
      </w:pPr>
      <w:r>
        <w:rPr>
          <w:rFonts w:ascii="Arial" w:cs="Arial" w:eastAsia="Arial" w:hAnsi="Arial"/>
          <w:sz w:val="18"/>
          <w:szCs w:val="18"/>
          <w:color w:val="auto"/>
        </w:rPr>
        <w:t>the Company’s Adjusted EBITDA and stock price performance are highly correlated with the execution of the Company’s strategic goals; and</w:t>
      </w:r>
    </w:p>
    <w:p>
      <w:pPr>
        <w:spacing w:after="0" w:line="162" w:lineRule="exact"/>
        <w:rPr>
          <w:rFonts w:ascii="Arial" w:cs="Arial" w:eastAsia="Arial" w:hAnsi="Arial"/>
          <w:sz w:val="22"/>
          <w:szCs w:val="22"/>
          <w:color w:val="auto"/>
        </w:rPr>
      </w:pPr>
    </w:p>
    <w:p>
      <w:pPr>
        <w:ind w:left="340" w:hanging="314"/>
        <w:spacing w:after="0" w:line="225" w:lineRule="auto"/>
        <w:tabs>
          <w:tab w:leader="none" w:pos="507" w:val="left"/>
        </w:tabs>
        <w:numPr>
          <w:ilvl w:val="0"/>
          <w:numId w:val="38"/>
        </w:numPr>
        <w:rPr>
          <w:rFonts w:ascii="Arial" w:cs="Arial" w:eastAsia="Arial" w:hAnsi="Arial"/>
          <w:sz w:val="22"/>
          <w:szCs w:val="22"/>
          <w:color w:val="auto"/>
        </w:rPr>
      </w:pPr>
      <w:r>
        <w:rPr>
          <w:rFonts w:ascii="Arial" w:cs="Arial" w:eastAsia="Arial" w:hAnsi="Arial"/>
          <w:sz w:val="18"/>
          <w:szCs w:val="18"/>
          <w:color w:val="auto"/>
        </w:rPr>
        <w:t>Adjusted EBITDA is a key measure of operational and financial performance driven by profitable revenue and operational efficiencies and widely understood within the Company and by the Company’s shareholders.</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Three-year cumulative Adjusted EBITDA goals for the 2019 LTIP are as follows, and the target goal represents a 3.1% compounded annual growth rate over the three-year performance period:</w:t>
      </w:r>
    </w:p>
    <w:p>
      <w:pPr>
        <w:spacing w:after="0" w:line="139" w:lineRule="exact"/>
        <w:rPr>
          <w:sz w:val="20"/>
          <w:szCs w:val="20"/>
          <w:color w:val="auto"/>
        </w:rPr>
      </w:pPr>
    </w:p>
    <w:tbl>
      <w:tblPr>
        <w:tblLayout w:type="fixed"/>
        <w:tblInd w:w="120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Cumulative Three-Year</w:t>
            </w:r>
          </w:p>
        </w:tc>
      </w:tr>
      <w:tr>
        <w:trPr>
          <w:trHeight w:val="189"/>
        </w:trPr>
        <w:tc>
          <w:tcPr>
            <w:tcW w:w="2240" w:type="dxa"/>
            <w:vAlign w:val="bottom"/>
          </w:tcPr>
          <w:p>
            <w:pPr>
              <w:spacing w:after="0"/>
              <w:rPr>
                <w:sz w:val="16"/>
                <w:szCs w:val="16"/>
                <w:color w:val="auto"/>
              </w:rPr>
            </w:pPr>
          </w:p>
        </w:tc>
        <w:tc>
          <w:tcPr>
            <w:tcW w:w="3560" w:type="dxa"/>
            <w:vAlign w:val="bottom"/>
          </w:tcPr>
          <w:p>
            <w:pPr>
              <w:jc w:val="center"/>
              <w:ind w:left="254"/>
              <w:spacing w:after="0"/>
              <w:rPr>
                <w:sz w:val="20"/>
                <w:szCs w:val="20"/>
                <w:color w:val="auto"/>
              </w:rPr>
            </w:pPr>
            <w:r>
              <w:rPr>
                <w:rFonts w:ascii="Arial" w:cs="Arial" w:eastAsia="Arial" w:hAnsi="Arial"/>
                <w:sz w:val="16"/>
                <w:szCs w:val="16"/>
                <w:b w:val="1"/>
                <w:bCs w:val="1"/>
                <w:color w:val="auto"/>
              </w:rPr>
              <w:t>Payout Opportunity</w:t>
            </w:r>
          </w:p>
        </w:tc>
        <w:tc>
          <w:tcPr>
            <w:tcW w:w="2660" w:type="dxa"/>
            <w:vAlign w:val="bottom"/>
          </w:tcPr>
          <w:p>
            <w:pPr>
              <w:ind w:left="380"/>
              <w:spacing w:after="0"/>
              <w:rPr>
                <w:sz w:val="20"/>
                <w:szCs w:val="20"/>
                <w:color w:val="auto"/>
              </w:rPr>
            </w:pPr>
            <w:r>
              <w:rPr>
                <w:rFonts w:ascii="Arial" w:cs="Arial" w:eastAsia="Arial" w:hAnsi="Arial"/>
                <w:sz w:val="16"/>
                <w:szCs w:val="16"/>
                <w:b w:val="1"/>
                <w:bCs w:val="1"/>
                <w:color w:val="auto"/>
              </w:rPr>
              <w:t>Adjusted EBITDA Goal</w:t>
            </w:r>
          </w:p>
        </w:tc>
      </w:tr>
      <w:tr>
        <w:trPr>
          <w:trHeight w:val="215"/>
        </w:trPr>
        <w:tc>
          <w:tcPr>
            <w:tcW w:w="2240" w:type="dxa"/>
            <w:vAlign w:val="bottom"/>
          </w:tcPr>
          <w:p>
            <w:pPr>
              <w:spacing w:after="0"/>
              <w:rPr>
                <w:sz w:val="20"/>
                <w:szCs w:val="20"/>
                <w:color w:val="auto"/>
              </w:rPr>
            </w:pPr>
            <w:r>
              <w:rPr>
                <w:rFonts w:ascii="Arial" w:cs="Arial" w:eastAsia="Arial" w:hAnsi="Arial"/>
                <w:sz w:val="16"/>
                <w:szCs w:val="16"/>
                <w:b w:val="1"/>
                <w:bCs w:val="1"/>
                <w:color w:val="auto"/>
              </w:rPr>
              <w:t>Achievement Level</w:t>
            </w:r>
          </w:p>
        </w:tc>
        <w:tc>
          <w:tcPr>
            <w:tcW w:w="3560" w:type="dxa"/>
            <w:vAlign w:val="bottom"/>
          </w:tcPr>
          <w:p>
            <w:pPr>
              <w:jc w:val="center"/>
              <w:ind w:left="314"/>
              <w:spacing w:after="0"/>
              <w:rPr>
                <w:sz w:val="20"/>
                <w:szCs w:val="20"/>
                <w:color w:val="auto"/>
              </w:rPr>
            </w:pPr>
            <w:r>
              <w:rPr>
                <w:rFonts w:ascii="Arial" w:cs="Arial" w:eastAsia="Arial" w:hAnsi="Arial"/>
                <w:sz w:val="16"/>
                <w:szCs w:val="16"/>
                <w:b w:val="1"/>
                <w:bCs w:val="1"/>
                <w:color w:val="auto"/>
              </w:rPr>
              <w:t>(as a % of target units awarded)</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rPr>
              <w:t>(Dollars in millions)</w:t>
            </w:r>
          </w:p>
        </w:tc>
      </w:tr>
      <w:tr>
        <w:trPr>
          <w:trHeight w:val="40"/>
        </w:trPr>
        <w:tc>
          <w:tcPr>
            <w:tcW w:w="224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r>
      <w:tr>
        <w:trPr>
          <w:trHeight w:val="288"/>
        </w:trPr>
        <w:tc>
          <w:tcPr>
            <w:tcW w:w="22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Maximum</w:t>
            </w:r>
          </w:p>
        </w:tc>
        <w:tc>
          <w:tcPr>
            <w:tcW w:w="3560" w:type="dxa"/>
            <w:vAlign w:val="bottom"/>
            <w:tcBorders>
              <w:bottom w:val="single" w:sz="8" w:color="CCCCCC"/>
            </w:tcBorders>
            <w:shd w:val="clear" w:color="auto" w:fill="CCCCCC"/>
          </w:tcPr>
          <w:p>
            <w:pPr>
              <w:jc w:val="center"/>
              <w:ind w:left="294"/>
              <w:spacing w:after="0"/>
              <w:rPr>
                <w:sz w:val="20"/>
                <w:szCs w:val="20"/>
                <w:color w:val="auto"/>
              </w:rPr>
            </w:pPr>
            <w:r>
              <w:rPr>
                <w:rFonts w:ascii="Arial" w:cs="Arial" w:eastAsia="Arial" w:hAnsi="Arial"/>
                <w:sz w:val="18"/>
                <w:szCs w:val="18"/>
                <w:color w:val="auto"/>
                <w:w w:val="99"/>
              </w:rPr>
              <w:t>200%</w:t>
            </w:r>
          </w:p>
        </w:tc>
        <w:tc>
          <w:tcPr>
            <w:tcW w:w="26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$2,853</w:t>
            </w:r>
          </w:p>
        </w:tc>
      </w:tr>
      <w:tr>
        <w:trPr>
          <w:trHeight w:val="250"/>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Target</w:t>
            </w:r>
          </w:p>
        </w:tc>
        <w:tc>
          <w:tcPr>
            <w:tcW w:w="3560" w:type="dxa"/>
            <w:vAlign w:val="bottom"/>
            <w:tcBorders>
              <w:top w:val="single" w:sz="8" w:color="auto"/>
            </w:tcBorders>
          </w:tcPr>
          <w:p>
            <w:pPr>
              <w:jc w:val="center"/>
              <w:ind w:left="294"/>
              <w:spacing w:after="0"/>
              <w:rPr>
                <w:sz w:val="20"/>
                <w:szCs w:val="20"/>
                <w:color w:val="auto"/>
              </w:rPr>
            </w:pPr>
            <w:r>
              <w:rPr>
                <w:rFonts w:ascii="Arial" w:cs="Arial" w:eastAsia="Arial" w:hAnsi="Arial"/>
                <w:sz w:val="18"/>
                <w:szCs w:val="18"/>
                <w:color w:val="auto"/>
                <w:w w:val="99"/>
              </w:rPr>
              <w:t>100%</w:t>
            </w: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$2,481</w:t>
            </w:r>
          </w:p>
        </w:tc>
      </w:tr>
      <w:tr>
        <w:trPr>
          <w:trHeight w:val="27"/>
        </w:trPr>
        <w:tc>
          <w:tcPr>
            <w:tcW w:w="224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10"/>
        </w:trPr>
        <w:tc>
          <w:tcPr>
            <w:tcW w:w="2240" w:type="dxa"/>
            <w:vAlign w:val="bottom"/>
            <w:shd w:val="clear" w:color="auto" w:fill="CCCCCC"/>
          </w:tcPr>
          <w:p>
            <w:pPr>
              <w:spacing w:after="0"/>
              <w:rPr>
                <w:sz w:val="20"/>
                <w:szCs w:val="20"/>
                <w:color w:val="auto"/>
              </w:rPr>
            </w:pPr>
            <w:r>
              <w:rPr>
                <w:rFonts w:ascii="Arial" w:cs="Arial" w:eastAsia="Arial" w:hAnsi="Arial"/>
                <w:sz w:val="18"/>
                <w:szCs w:val="18"/>
                <w:color w:val="auto"/>
              </w:rPr>
              <w:t>Threshold</w:t>
            </w:r>
          </w:p>
        </w:tc>
        <w:tc>
          <w:tcPr>
            <w:tcW w:w="3560" w:type="dxa"/>
            <w:vAlign w:val="bottom"/>
            <w:shd w:val="clear" w:color="auto" w:fill="CCCCCC"/>
          </w:tcPr>
          <w:p>
            <w:pPr>
              <w:jc w:val="center"/>
              <w:ind w:left="314"/>
              <w:spacing w:after="0"/>
              <w:rPr>
                <w:sz w:val="20"/>
                <w:szCs w:val="20"/>
                <w:color w:val="auto"/>
              </w:rPr>
            </w:pPr>
            <w:r>
              <w:rPr>
                <w:rFonts w:ascii="Arial" w:cs="Arial" w:eastAsia="Arial" w:hAnsi="Arial"/>
                <w:sz w:val="18"/>
                <w:szCs w:val="18"/>
                <w:color w:val="auto"/>
                <w:w w:val="99"/>
              </w:rPr>
              <w:t>50%</w:t>
            </w:r>
          </w:p>
        </w:tc>
        <w:tc>
          <w:tcPr>
            <w:tcW w:w="26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$2,109</w:t>
            </w:r>
          </w:p>
        </w:tc>
      </w:tr>
      <w:tr>
        <w:trPr>
          <w:trHeight w:val="74"/>
        </w:trPr>
        <w:tc>
          <w:tcPr>
            <w:tcW w:w="2240" w:type="dxa"/>
            <w:vAlign w:val="bottom"/>
            <w:tcBorders>
              <w:bottom w:val="single" w:sz="8" w:color="auto"/>
            </w:tcBorders>
            <w:shd w:val="clear" w:color="auto" w:fill="CCCCCC"/>
          </w:tcPr>
          <w:p>
            <w:pPr>
              <w:spacing w:after="0"/>
              <w:rPr>
                <w:sz w:val="6"/>
                <w:szCs w:val="6"/>
                <w:color w:val="auto"/>
              </w:rPr>
            </w:pPr>
          </w:p>
        </w:tc>
        <w:tc>
          <w:tcPr>
            <w:tcW w:w="3560" w:type="dxa"/>
            <w:vAlign w:val="bottom"/>
            <w:tcBorders>
              <w:bottom w:val="single" w:sz="8" w:color="auto"/>
            </w:tcBorders>
            <w:shd w:val="clear" w:color="auto" w:fill="CCCCCC"/>
          </w:tcPr>
          <w:p>
            <w:pPr>
              <w:spacing w:after="0"/>
              <w:rPr>
                <w:sz w:val="6"/>
                <w:szCs w:val="6"/>
                <w:color w:val="auto"/>
              </w:rPr>
            </w:pPr>
          </w:p>
        </w:tc>
        <w:tc>
          <w:tcPr>
            <w:tcW w:w="2660" w:type="dxa"/>
            <w:vAlign w:val="bottom"/>
            <w:tcBorders>
              <w:bottom w:val="single" w:sz="8" w:color="auto"/>
            </w:tcBorders>
            <w:shd w:val="clear" w:color="auto" w:fill="CCCCCC"/>
          </w:tcPr>
          <w:p>
            <w:pPr>
              <w:spacing w:after="0"/>
              <w:rPr>
                <w:sz w:val="6"/>
                <w:szCs w:val="6"/>
                <w:color w:val="auto"/>
              </w:rPr>
            </w:pPr>
          </w:p>
        </w:tc>
      </w:tr>
    </w:tbl>
    <w:p>
      <w:pPr>
        <w:spacing w:after="0" w:line="113"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*Straight-line interpolation is generally used to determine achievement between specified goals.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Decisions Related to 2019 Management Changes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Pay decisions related to management changes that occurred in 2019 are described below. The changes included the appointment of new executives into the roles of CFO and President, International. In order to attract top-level executive talent, including from other companies, compensation for these executives was determined following a review of current market custom and practice, and available compensation data for comparable roles at other companies. The Committee also took into consideration factors such as each new executive’s background, relevant experience, and expected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responsibilities. Compensation for each new executive in 2019 included sign-on cash and equity awards designed to both offset compensation opportunities that were forfeited by joining our Company, and to incentivize each executive to join our Company. Cash sign-on payments are required to be returned if the recipient voluntarily leaves the Company or is terminated for cause within 12 months of the date of hire. The Company also provided relocation benefits to each new executive as each role required relocation to New Jersey or England.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and Former Interim CFO</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appointment of our CFO in March 2019, the Board approved his base salary in the amount of $600,000, an annual incentive target of 100% of base salary and a target 2019 LTIP award as described above. In addition, our CFO was awarded a sign-on RSU award, with a grant date value of $1.5 million, with vesting scheduled on each of the three anniversaries of the date of grant, subject to continued employment, and a sign-on cash payment of $500,000.</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early 2019, our Former Interim CFO agreed to provide transition and advisory services for six months following the effectiveness of the appointment of a new CFO at an annual rate of his current base salary of $575,000, together with a final cash payment of $912,500 in consideration for his release of claims in favor of the Company and compliance with certain post-termination restrictive covenants. In approving the final payment, the Committee recognized Mr. Smith’s 16-year career with the Company and that the interim assignment of approximately 18 months was longer than originally anticipated. The Committee was also focused on retaining Mr. Smith to ensure a smooth transition to the new CFO, and considered that the payment was less than customary cash severance paid to executive officers of 200% of the sum of base salary and annual target incentive.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International and Former President, International</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appointment of our President, International in June 2019, the Board approved his base salary in the amount of £400,000 (approximately $530,000), and an annual incentive target of 100% of base salary. Our President, International will be eligible to receive an award under the Company’s regular long-term incentive program for 2020. In addition, our President, International was awarded a sign-on long term-incentive award with a grant date value of $1.5 million, split equally between RSUs and PSUs (on the same terms as the 2019 LTIP) and a sign-on cash payment of £200,000.</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terms of the severance agreement with our Former President, International in effect at the time of his separation, the Former President, International received a lump-sum cash payment of $2.5 million and accelerated vesting of 22,893 RSUs. While 17,437 target PSUs, granted in 2017, remained eligible to vest, such PSUs have since been forfeited based on actual achievement of the applicable performance goals. An additional 12,315 PSUs granted in 2018 remain eligible to vest based on actual achievement of the applicable performance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CEO</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Former CEO’s departure from the Company, which was announced in May 2019 and became effective on December 31, 2019, was considered to be a “without cause termination” under the terms of the employment agreement between the Company and our Former CEO in effect at the time we announced his departure in May 2019. The employment agreement, in the event of a without cause termination, provided for (i) a lump sum payment equal to 200% of the sum of base salary and target annual incentive, (ii) the immediate vesting of RSU awards scheduled to vest by the two-year anniversary of termination of employment, and (iii) the vesting (or forfeiture) of PSU awards scheduled to vest by the same two-year anniversary based on the achievement of the applicable performance goals.</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terms of the employment agreement, our Former CEO received cash severance in the amount of $6,000,000 and accelerated vesting of 98,132 RSUs. Also, in accordance with the employment agreement, our Former CEO forfeited 105,112 PSUs granted in 2019. The 95,902 PSUs granted in 2017 and the 67,734 PSUs granted in 2018 remained eligible to vest based on actual achievement of the applicable performance goals. The 95,902 PSUs granted in 2017 have since been forfeited based on actual achievement of the applicable performance goals.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order to incentivize strong performance through December 31, 2019 and ensure a smooth transition to the current CEO, the Committee agreed to an additional $1.5 million cash severance payment and to accelerate 23,359 RSUs granted in 2019 and scheduled to vest in 2022. In approving the additional cash severance and vesting, the Committee recognized our Former CEO’s thirteen-year career with the Company and his many contributions, including his leadership as chief executive for four years and as President of the EMEA, and later International, region, starting with the Company’s acquisition of Avis Europe in 2011 and continuing through 2015.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Former CEO has also agreed to provide post-employment consulting for 2020 and will be paid aggregate consulting fees of $1.0 million. Under the consulting provisions of the separation agreement we entered into with our Former CEO, he has agreed to provide counsel and advice to the Company and its chief executive as may be reasonably requested from time to time for a one-year term ending on December 31, 2020. In making the determination to include the consulting provisions in the separation agreement, the Committee considered the benefits to the Company of having access to our Former CEO’s insights to assist with the transition to a successor chief executive.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Compensation</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the announced departure of our Former CEO, the Committee undertook a further market and peer review of the compensation of our CFO and Regional Presidents in light of 2018 pay disclosures to ensure that these officers were provided with compensation that was in line with market practice as the Company would be undergoing a significant change in leadership. During this period of change, it was considered important to retain the Company’s top three executive officers, each of whom has deep experience and expertise in his area of responsibility, and in the case of the Regional Presidents, extensive industry experience and history with the Company.</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this review, the Committee granted RSU awards incremental to the awards described above with grant date values of $1.5 million, $1.0 million and $500,000, for our President, Americas, CFO and President, International, respectively. The awards are scheduled to vest on the two-year anniversary of the grant date, subject to continued employment through such vesting date. In addition, the base salary of our President, Americas was increased by 7% to $750,000.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CEO and Other NEO Compensation</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 The roles and duties of participants in the decision-making process for our executive program are summarized below.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Consistent with its charter, the Committee continued its engagement of Pay Governance LLC, a compensation consulting firm, to work with the Committee and the Company as an adviser on executive compensation matters in 2019. The compensation consultant reports to, and is directed by, the Committee, which has the authority to retain or terminate compensation advisers. In early 2019, the Committee reviewed information regarding the independence and potential conflicts of interest of Pay Governance, taking into account, among other things, the factors set forth in the NASDAQ listing standards.</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Based on this review, the Committee concluded that the engagement of Pay Governance did not raise any conflict of interest. Outside of services provided for the Committee and advice to the Corporate Governance Committee related to compensation of non-employee directors, the compensation consultant did not provide additional services to the Company in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case of NEOs other than the CEO,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2019 Pay Decisions” above. Performance criteria and goals are recommended by our Human Resources staff based on the Company’s business plan and goals, with input from the CFO and his staff. Recommendations related to the elements generally reflect a review of practices of our Peer Group and Survey Data (as defined below), and are typically designed to take into consideration past practice and our strategy to tie a greater portion of total target compensation to variable versus fixed compensation.</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recommendation is then discussed with our CEO for feedback and to determine final recommendations. Final recommendations are reviewed with the compensation consultant and the Chair of the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CEO’s compensation is determined by the Committee, working directly with the compensation consultant. The Committee determines each component of our CEO’s compensation, taking into consideration our CEO’s performance as well as market and Peer Group data and other factors such as level of experience and responsibilities, leadership, skill, contributions to the Company and the size and complexity of the Company’s balance sheet and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has concluded that the Company’s incentive awards would not be likely to encourage excessive risk-taking. Management also annually reviews the Company’s compensation policies and practices for employees generally with the Committee and the Company’s compensation consultant to determine whether these programs create incentives that might motivate inappropriate or excessive risk-taking. For additional information, please see “Functions and Meetings of the Board of Directors-Risk Management and Risk Assessment.”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Peer Groups and Survey Data</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that there is just one other U.S.-based publicly traded car rental company, peer companies are selected to supplement that company with additional companies from industry sectors that are viewed as most relevant to our business based on the following criteria: company size based on revenue as the primary factor, headcount, market capitalization, enterprise value, and debt and assets. Given our capital structure, we place a greater emphasis on enterprise value than market capitalization when developing the peer group. The Company’s peer group consists of the following 16 companies (the “Peer Group”):</w:t>
      </w:r>
    </w:p>
    <w:p>
      <w:pPr>
        <w:sectPr>
          <w:pgSz w:w="11900" w:h="16838" w:orient="portrait"/>
          <w:cols w:equalWidth="0" w:num="1">
            <w:col w:w="10880"/>
          </w:cols>
          <w:pgMar w:left="500" w:top="287" w:right="519" w:bottom="1440" w:gutter="0" w:footer="0" w:header="0"/>
        </w:sectPr>
      </w:pPr>
    </w:p>
    <w:p>
      <w:pPr>
        <w:spacing w:after="0" w:line="2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AutoNation Inc.</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MGM Resorts International</w:t>
      </w:r>
    </w:p>
    <w:p>
      <w:pPr>
        <w:spacing w:after="0" w:line="88"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Carmax,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Norfolk Southern Corporation</w:t>
      </w:r>
    </w:p>
    <w:p>
      <w:pPr>
        <w:spacing w:after="0" w:line="88"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Carnival Corporation</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7"/>
          <w:szCs w:val="17"/>
          <w:color w:val="auto"/>
        </w:rPr>
        <w:t>Office Depot, Inc.</w:t>
      </w:r>
    </w:p>
    <w:p>
      <w:pPr>
        <w:spacing w:after="0" w:line="88"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Cintas Corporation</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7"/>
          <w:szCs w:val="17"/>
          <w:color w:val="auto"/>
        </w:rPr>
        <w:t>Pitney Bowes Inc.</w:t>
      </w:r>
    </w:p>
    <w:p>
      <w:pPr>
        <w:spacing w:after="0" w:line="88"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Hertz Global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RR Donnelley &amp; Sons Company</w:t>
      </w:r>
    </w:p>
    <w:p>
      <w:pPr>
        <w:spacing w:after="0" w:line="88"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Hilton Worldwide Holdings, Inc.</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Arial" w:cs="Arial" w:eastAsia="Arial" w:hAnsi="Arial"/>
          <w:sz w:val="17"/>
          <w:szCs w:val="17"/>
          <w:color w:val="auto"/>
        </w:rPr>
        <w:t>Royal Caribbean Cruises Ltd.</w:t>
      </w:r>
    </w:p>
    <w:p>
      <w:pPr>
        <w:spacing w:after="0" w:line="88"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J.B. Hunt Transport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Ryder System, Inc.</w:t>
      </w:r>
    </w:p>
    <w:p>
      <w:pPr>
        <w:spacing w:after="0" w:line="88"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Marriott International, Inc.</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7"/>
          <w:szCs w:val="17"/>
          <w:color w:val="auto"/>
        </w:rPr>
        <w:t>Waste Management, Inc.</w:t>
      </w:r>
    </w:p>
    <w:p>
      <w:pPr>
        <w:spacing w:after="0" w:line="200" w:lineRule="exact"/>
        <w:rPr>
          <w:sz w:val="20"/>
          <w:szCs w:val="20"/>
          <w:color w:val="auto"/>
        </w:rPr>
      </w:pPr>
    </w:p>
    <w:p>
      <w:pPr>
        <w:sectPr>
          <w:pgSz w:w="11900" w:h="16838" w:orient="portrait"/>
          <w:cols w:equalWidth="0" w:num="2">
            <w:col w:w="4980" w:space="720"/>
            <w:col w:w="5180"/>
          </w:cols>
          <w:pgMar w:left="500" w:top="287" w:right="519" w:bottom="1440" w:gutter="0" w:footer="0" w:header="0"/>
          <w:type w:val="continuous"/>
        </w:sectPr>
      </w:pPr>
    </w:p>
    <w:p>
      <w:pPr>
        <w:spacing w:after="0" w:line="2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Peer Group was initially approved in 2011 and reviewed in subsequent years. For 2019, the Committee made certain changes based on its annual review as further described below, including removing Wyndham Worldwide given Wyndham’s recent spin-off into two separate companies. The Committee reviewed pay data of the Peer Group, as previously discussed to ensure reasonable comparability of the pay packages of our NEOs. The Committee does not specifically target any percentile within the Peer Group when setting overall compensation, any individual element of compensation or the relative pay mix among different elements of compensation. The Committee generally reviews the Peer Group each year in order to ensure that the component companies continue to meet the criteria for which they were selected, as well as to identify other companies that may become appropriate for inclusion. 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 companies that have revenue comparable to ours (the “Survey Data”) as another data point. The Survey Data</w:t>
      </w:r>
      <w:r>
        <w:rPr>
          <w:rFonts w:ascii="Arial" w:cs="Arial" w:eastAsia="Arial" w:hAnsi="Arial"/>
          <w:sz w:val="20"/>
          <w:szCs w:val="20"/>
          <w:color w:val="auto"/>
          <w:vertAlign w:val="superscript"/>
        </w:rPr>
        <w:t>1</w:t>
      </w:r>
      <w:r>
        <w:rPr>
          <w:rFonts w:ascii="Arial" w:cs="Arial" w:eastAsia="Arial" w:hAnsi="Arial"/>
          <w:sz w:val="18"/>
          <w:szCs w:val="18"/>
          <w:color w:val="auto"/>
        </w:rPr>
        <w:t xml:space="preserve"> represents data from over 1,000 companies sized according to revenue, assets and number of employees.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2019, the Committee considered the Survey Data for each element of the 2019 compensation and benefits package as a general check and to ensure reasonable comparability. Consideration of the Peer Group and the Survey Data represented just two factors considered in setting executive compensation for 2019. Please refer to “Analysis of 2019 Pay Decisions” for the other factors considered in setting executive compensation for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09" w:lineRule="exact"/>
        <w:rPr>
          <w:sz w:val="20"/>
          <w:szCs w:val="20"/>
          <w:color w:val="auto"/>
        </w:rPr>
      </w:pPr>
    </w:p>
    <w:p>
      <w:pPr>
        <w:jc w:val="both"/>
        <w:ind w:left="140" w:hanging="125"/>
        <w:spacing w:after="0" w:line="249" w:lineRule="auto"/>
        <w:rPr>
          <w:sz w:val="20"/>
          <w:szCs w:val="20"/>
          <w:color w:val="auto"/>
        </w:rPr>
      </w:pPr>
      <w:r>
        <w:rPr>
          <w:rFonts w:ascii="Arial" w:cs="Arial" w:eastAsia="Arial" w:hAnsi="Arial"/>
          <w:sz w:val="14"/>
          <w:szCs w:val="14"/>
          <w:color w:val="auto"/>
        </w:rPr>
        <w:t>1 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Consideration of the Company’s 2019 Shareholder Vote on Executive Compensation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Committee reviewed the results of the Company’s shareholder advisory vote on executive compensation (“Say on Pay”) in 2019. At the 2019 annual meeting of shareholders, 98% of the votes cast were in support of the Company’s Say on Pay proposal. Based on the 2019 Say on Pay results and feedback from shareholders, the Committee concluded that the Company’s overall compensation program as it relates to its NEOs enjoys the support of the Company’s shareholders and does not require revision to address any broad shareholder concerns.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Related to Equity Awards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practice has been to grant long-term incentive awards at pre-established meetings of the Committee. Annual long-term incentive awards, which typically include the awards granted to all of the NEOs, are usually approved in the first quarter. However, the Committee retains the ability to determine, and has in the past determined, that another grant date may be appropriate in certain circumstances. Awards may also be approved at other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determined by the Committee as the grant date, which is typically the date the Committee approves the award. The Committee typically approves a dollar amount for each restricted unit award, which is then divided by the closing price of our Common Stock on the date of grant to arrive at the number of restricted units to be granted.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and Retention Guidelines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executive stock ownership guidelines require senior officers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20"/>
                <w:szCs w:val="20"/>
                <w:color w:val="auto"/>
              </w:rPr>
            </w:pPr>
            <w:r>
              <w:rPr>
                <w:rFonts w:ascii="Arial" w:cs="Arial" w:eastAsia="Arial" w:hAnsi="Arial"/>
                <w:sz w:val="16"/>
                <w:szCs w:val="16"/>
                <w:b w:val="1"/>
                <w:bCs w:val="1"/>
                <w:color w:val="auto"/>
              </w:rPr>
              <w:t>Officer role(s)</w:t>
            </w:r>
          </w:p>
        </w:tc>
        <w:tc>
          <w:tcPr>
            <w:tcW w:w="7100" w:type="dxa"/>
            <w:vAlign w:val="bottom"/>
          </w:tcPr>
          <w:p>
            <w:pPr>
              <w:ind w:left="1660"/>
              <w:spacing w:after="0"/>
              <w:rPr>
                <w:sz w:val="20"/>
                <w:szCs w:val="20"/>
                <w:color w:val="auto"/>
              </w:rPr>
            </w:pPr>
            <w:r>
              <w:rPr>
                <w:rFonts w:ascii="Arial" w:cs="Arial" w:eastAsia="Arial" w:hAnsi="Arial"/>
                <w:sz w:val="16"/>
                <w:szCs w:val="16"/>
                <w:b w:val="1"/>
                <w:bCs w:val="1"/>
                <w:color w:val="auto"/>
              </w:rPr>
              <w:t>Threshold</w:t>
            </w:r>
          </w:p>
        </w:tc>
      </w:tr>
      <w:tr>
        <w:trPr>
          <w:trHeight w:val="40"/>
        </w:trPr>
        <w:tc>
          <w:tcPr>
            <w:tcW w:w="3780" w:type="dxa"/>
            <w:vAlign w:val="bottom"/>
            <w:tcBorders>
              <w:bottom w:val="single" w:sz="8" w:color="auto"/>
            </w:tcBorders>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r>
      <w:tr>
        <w:trPr>
          <w:trHeight w:val="275"/>
        </w:trPr>
        <w:tc>
          <w:tcPr>
            <w:tcW w:w="37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CEO</w:t>
            </w:r>
          </w:p>
        </w:tc>
        <w:tc>
          <w:tcPr>
            <w:tcW w:w="7100" w:type="dxa"/>
            <w:vAlign w:val="bottom"/>
            <w:tcBorders>
              <w:bottom w:val="single" w:sz="8" w:color="CCCCCC"/>
            </w:tcBorders>
            <w:shd w:val="clear" w:color="auto" w:fill="CCCCCC"/>
          </w:tcPr>
          <w:p>
            <w:pPr>
              <w:ind w:left="1660"/>
              <w:spacing w:after="0"/>
              <w:rPr>
                <w:sz w:val="20"/>
                <w:szCs w:val="20"/>
                <w:color w:val="auto"/>
              </w:rPr>
            </w:pPr>
            <w:r>
              <w:rPr>
                <w:rFonts w:ascii="Arial" w:cs="Arial" w:eastAsia="Arial" w:hAnsi="Arial"/>
                <w:sz w:val="18"/>
                <w:szCs w:val="18"/>
                <w:color w:val="auto"/>
              </w:rPr>
              <w:t>Five times base salary</w:t>
            </w:r>
          </w:p>
        </w:tc>
      </w:tr>
      <w:tr>
        <w:trPr>
          <w:trHeight w:val="237"/>
        </w:trPr>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CFO, Regional Presidents</w:t>
            </w:r>
          </w:p>
        </w:tc>
        <w:tc>
          <w:tcPr>
            <w:tcW w:w="7100" w:type="dxa"/>
            <w:vAlign w:val="bottom"/>
            <w:tcBorders>
              <w:top w:val="single" w:sz="8" w:color="auto"/>
            </w:tcBorders>
          </w:tcPr>
          <w:p>
            <w:pPr>
              <w:ind w:left="1660"/>
              <w:spacing w:after="0"/>
              <w:rPr>
                <w:sz w:val="20"/>
                <w:szCs w:val="20"/>
                <w:color w:val="auto"/>
              </w:rPr>
            </w:pPr>
            <w:r>
              <w:rPr>
                <w:rFonts w:ascii="Arial" w:cs="Arial" w:eastAsia="Arial" w:hAnsi="Arial"/>
                <w:sz w:val="18"/>
                <w:szCs w:val="18"/>
                <w:color w:val="auto"/>
              </w:rPr>
              <w:t>Three times base salary</w:t>
            </w:r>
          </w:p>
        </w:tc>
      </w:tr>
      <w:tr>
        <w:trPr>
          <w:trHeight w:val="27"/>
        </w:trPr>
        <w:tc>
          <w:tcPr>
            <w:tcW w:w="3780" w:type="dxa"/>
            <w:vAlign w:val="bottom"/>
            <w:tcBorders>
              <w:bottom w:val="single" w:sz="8" w:color="auto"/>
            </w:tcBorders>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CHRO</w:t>
            </w:r>
          </w:p>
        </w:tc>
        <w:tc>
          <w:tcPr>
            <w:tcW w:w="7100" w:type="dxa"/>
            <w:vAlign w:val="bottom"/>
            <w:tcBorders>
              <w:bottom w:val="single" w:sz="8" w:color="CCCCCC"/>
            </w:tcBorders>
            <w:shd w:val="clear" w:color="auto" w:fill="CCCCCC"/>
          </w:tcPr>
          <w:p>
            <w:pPr>
              <w:ind w:left="1660"/>
              <w:spacing w:after="0"/>
              <w:rPr>
                <w:sz w:val="20"/>
                <w:szCs w:val="20"/>
                <w:color w:val="auto"/>
              </w:rPr>
            </w:pPr>
            <w:r>
              <w:rPr>
                <w:rFonts w:ascii="Arial" w:cs="Arial" w:eastAsia="Arial" w:hAnsi="Arial"/>
                <w:sz w:val="18"/>
                <w:szCs w:val="18"/>
                <w:color w:val="auto"/>
              </w:rPr>
              <w:t>Two times base salary</w:t>
            </w:r>
          </w:p>
        </w:tc>
      </w:tr>
      <w:tr>
        <w:trPr>
          <w:trHeight w:val="27"/>
        </w:trPr>
        <w:tc>
          <w:tcPr>
            <w:tcW w:w="3780" w:type="dxa"/>
            <w:vAlign w:val="bottom"/>
            <w:shd w:val="clear" w:color="auto" w:fill="000000"/>
          </w:tcPr>
          <w:p>
            <w:pPr>
              <w:spacing w:after="0"/>
              <w:rPr>
                <w:sz w:val="2"/>
                <w:szCs w:val="2"/>
                <w:color w:val="auto"/>
              </w:rPr>
            </w:pPr>
          </w:p>
        </w:tc>
        <w:tc>
          <w:tcPr>
            <w:tcW w:w="7100" w:type="dxa"/>
            <w:vAlign w:val="bottom"/>
            <w:shd w:val="clear" w:color="auto" w:fill="000000"/>
          </w:tcPr>
          <w:p>
            <w:pPr>
              <w:spacing w:after="0"/>
              <w:rPr>
                <w:sz w:val="2"/>
                <w:szCs w:val="2"/>
                <w:color w:val="auto"/>
              </w:rPr>
            </w:pPr>
          </w:p>
        </w:tc>
      </w:tr>
    </w:tbl>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through the Company’s savings plan, and the “in-the-money” portion of vested stock options. Our Interim CEO and CHRO have exceeded the applicable ownership thresholds. Our CFO and President, International have not yet attained these thresholds due to their recent appointments.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Following attainment of ownership thresholds, our NEOs are required, for a period of one year, to hold an amount equal to 50% of the net shares obtained upon the vesting of any equity award and 50% of all stock options that vest.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foster the retention of our key management team and in accordance with past practice, we have agreements with our NEOs under which the Company seeks to provide appropriate protections consistent with prevailing market practices. A more detailed description of the Company’s current agreements with our NEOs is set forth below under the heading “Employment Agreements and Other Arrangements,” and the benefits that would be received by our NEOs in the event of termination without cause or a change in control are set forth below under the heading “Termination, Severance and Change of Control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Benefits</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seek to provide perquisites to our executives that are consistent with those provided by the general market and Peer Group companies. Our perquisites currently consist primarily of financial planning services, auto use or allowance, discounted auto insurance, auto leasing through the employee lease program and limited personal use of Company-leased aircraft services. In 2019, Mr. Servodidio, who was based in the United Kingdom, was also provided with expatriate benefits associated with a Company-requested long-term assignment to the United Kingdom, and Mr. Smith was also provided with some expatriate benefits associated with his temporary relocation to the United States from the United Kingdom. The Company does not provide tax reimbursements on perquisites for any of our NEOs other than relocation and expatriate benefits in accordance with the Company’s standard policies.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insider trading policy prohibits directors, executive officers and other employees required to pre-clear trades in Company securities, along with members of their families and others living in their households and investment partnerships and other entities over which they have or share voting or investment control (collectively, the “Covered Persons”) from:</w:t>
      </w:r>
    </w:p>
    <w:p>
      <w:pPr>
        <w:spacing w:after="0" w:line="149" w:lineRule="exact"/>
        <w:rPr>
          <w:sz w:val="20"/>
          <w:szCs w:val="20"/>
          <w:color w:val="auto"/>
        </w:rPr>
      </w:pPr>
    </w:p>
    <w:p>
      <w:pPr>
        <w:jc w:val="both"/>
        <w:ind w:left="340" w:hanging="314"/>
        <w:spacing w:after="0" w:line="228" w:lineRule="auto"/>
        <w:tabs>
          <w:tab w:leader="none" w:pos="440" w:val="left"/>
        </w:tabs>
        <w:numPr>
          <w:ilvl w:val="0"/>
          <w:numId w:val="39"/>
        </w:numPr>
        <w:rPr>
          <w:rFonts w:ascii="Arial" w:cs="Arial" w:eastAsia="Arial" w:hAnsi="Arial"/>
          <w:sz w:val="22"/>
          <w:szCs w:val="22"/>
          <w:color w:val="auto"/>
        </w:rPr>
      </w:pPr>
      <w:r>
        <w:rPr>
          <w:rFonts w:ascii="Arial" w:cs="Arial" w:eastAsia="Arial" w:hAnsi="Arial"/>
          <w:sz w:val="18"/>
          <w:szCs w:val="18"/>
          <w:color w:val="auto"/>
        </w:rPr>
        <w:t>engaging in hedging and monetization transactions that permit any Covered Person to continue to own the Company’s equity securities without the full risks and rewards of ownership, including through the use of financial instruments such as prepaid variable forwards, equity swaps, collars and exchange funds;</w:t>
      </w:r>
    </w:p>
    <w:p>
      <w:pPr>
        <w:spacing w:after="0" w:line="162" w:lineRule="exact"/>
        <w:rPr>
          <w:rFonts w:ascii="Arial" w:cs="Arial" w:eastAsia="Arial" w:hAnsi="Arial"/>
          <w:sz w:val="22"/>
          <w:szCs w:val="22"/>
          <w:color w:val="auto"/>
        </w:rPr>
      </w:pPr>
    </w:p>
    <w:p>
      <w:pPr>
        <w:ind w:left="340" w:right="20" w:hanging="314"/>
        <w:spacing w:after="0" w:line="225" w:lineRule="auto"/>
        <w:tabs>
          <w:tab w:leader="none" w:pos="345" w:val="left"/>
        </w:tabs>
        <w:numPr>
          <w:ilvl w:val="0"/>
          <w:numId w:val="39"/>
        </w:numPr>
        <w:rPr>
          <w:rFonts w:ascii="Arial" w:cs="Arial" w:eastAsia="Arial" w:hAnsi="Arial"/>
          <w:sz w:val="22"/>
          <w:szCs w:val="22"/>
          <w:color w:val="auto"/>
        </w:rPr>
      </w:pPr>
      <w:r>
        <w:rPr>
          <w:rFonts w:ascii="Arial" w:cs="Arial" w:eastAsia="Arial" w:hAnsi="Arial"/>
          <w:sz w:val="18"/>
          <w:szCs w:val="18"/>
          <w:color w:val="auto"/>
        </w:rPr>
        <w:t>holding the Company’s equity securities in a margin account or otherwise pledging the Company’s equity securities as collateral for a loan;</w:t>
      </w:r>
    </w:p>
    <w:p>
      <w:pPr>
        <w:spacing w:after="0" w:line="162" w:lineRule="exact"/>
        <w:rPr>
          <w:rFonts w:ascii="Arial" w:cs="Arial" w:eastAsia="Arial" w:hAnsi="Arial"/>
          <w:sz w:val="22"/>
          <w:szCs w:val="22"/>
          <w:color w:val="auto"/>
        </w:rPr>
      </w:pPr>
    </w:p>
    <w:p>
      <w:pPr>
        <w:ind w:left="340" w:hanging="314"/>
        <w:spacing w:after="0" w:line="225" w:lineRule="auto"/>
        <w:tabs>
          <w:tab w:leader="none" w:pos="332" w:val="left"/>
        </w:tabs>
        <w:numPr>
          <w:ilvl w:val="0"/>
          <w:numId w:val="39"/>
        </w:numPr>
        <w:rPr>
          <w:rFonts w:ascii="Arial" w:cs="Arial" w:eastAsia="Arial" w:hAnsi="Arial"/>
          <w:sz w:val="22"/>
          <w:szCs w:val="22"/>
          <w:color w:val="auto"/>
        </w:rPr>
      </w:pPr>
      <w:r>
        <w:rPr>
          <w:rFonts w:ascii="Arial" w:cs="Arial" w:eastAsia="Arial" w:hAnsi="Arial"/>
          <w:sz w:val="18"/>
          <w:szCs w:val="18"/>
          <w:color w:val="auto"/>
        </w:rPr>
        <w:t>participating in transactions involving options in relation to the Company’s securities, such as puts, calls or other derivative securities on an exchange or in any other organized market; and</w:t>
      </w:r>
    </w:p>
    <w:p>
      <w:pPr>
        <w:spacing w:after="0" w:line="113" w:lineRule="exact"/>
        <w:rPr>
          <w:rFonts w:ascii="Arial" w:cs="Arial" w:eastAsia="Arial" w:hAnsi="Arial"/>
          <w:sz w:val="22"/>
          <w:szCs w:val="22"/>
          <w:color w:val="auto"/>
        </w:rPr>
      </w:pPr>
    </w:p>
    <w:p>
      <w:pPr>
        <w:ind w:left="340" w:hanging="314"/>
        <w:spacing w:after="0"/>
        <w:tabs>
          <w:tab w:leader="none" w:pos="340" w:val="left"/>
        </w:tabs>
        <w:numPr>
          <w:ilvl w:val="0"/>
          <w:numId w:val="39"/>
        </w:numPr>
        <w:rPr>
          <w:rFonts w:ascii="Arial" w:cs="Arial" w:eastAsia="Arial" w:hAnsi="Arial"/>
          <w:sz w:val="22"/>
          <w:szCs w:val="22"/>
          <w:color w:val="auto"/>
        </w:rPr>
      </w:pPr>
      <w:r>
        <w:rPr>
          <w:rFonts w:ascii="Arial" w:cs="Arial" w:eastAsia="Arial" w:hAnsi="Arial"/>
          <w:sz w:val="18"/>
          <w:szCs w:val="18"/>
          <w:color w:val="auto"/>
        </w:rPr>
        <w:t>engaging in short sales of the Company’s equity securities.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purposes of the above, the Company’s equity securities include securities acquired by a Covered Person as part of his or her compensation or otherwise. The Third A&amp;R Cooperation Agreement provides an exception for Mr. Sarma, a nominee under Proposal No. 1. In his capacity as an advisor, director, general partner or manager of SRS or any affiliated fund, Mr. Sarma is not prohibited from pledging or making purchases on margin of, or entering into derivative or hedging arrangements (including options) with respect to, the securities of the Company, which transactions are otherwise in compliance with applicable law and the Third A&amp;R Cooperation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 Policy</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COMPENSATION COMMITTEE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Brian J. Choi (Chair)</w:t>
      </w:r>
    </w:p>
    <w:p>
      <w:pPr>
        <w:jc w:val="center"/>
        <w:spacing w:after="0" w:line="234" w:lineRule="auto"/>
        <w:rPr>
          <w:sz w:val="20"/>
          <w:szCs w:val="20"/>
          <w:color w:val="auto"/>
        </w:rPr>
      </w:pPr>
      <w:r>
        <w:rPr>
          <w:rFonts w:ascii="Arial" w:cs="Arial" w:eastAsia="Arial" w:hAnsi="Arial"/>
          <w:sz w:val="18"/>
          <w:szCs w:val="18"/>
          <w:i w:val="1"/>
          <w:iCs w:val="1"/>
          <w:color w:val="auto"/>
        </w:rPr>
        <w:t>Mary Choksi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Jeffrey H. Fox</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Compensation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Change in</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Pension</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Value and</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Nonqualified</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rPr>
              <w:t>Non-Equity</w:t>
            </w: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Deferred</w:t>
            </w: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rPr>
              <w:t>All</w:t>
            </w:r>
          </w:p>
        </w:tc>
        <w:tc>
          <w:tcPr>
            <w:tcW w:w="9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rPr>
              <w:t>Incentive Plan</w:t>
            </w: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rPr>
              <w:t>Other</w:t>
            </w:r>
          </w:p>
        </w:tc>
        <w:tc>
          <w:tcPr>
            <w:tcW w:w="940" w:type="dxa"/>
            <w:vAlign w:val="bottom"/>
          </w:tcPr>
          <w:p>
            <w:pPr>
              <w:spacing w:after="0"/>
              <w:rPr>
                <w:sz w:val="14"/>
                <w:szCs w:val="14"/>
                <w:color w:val="auto"/>
              </w:rPr>
            </w:pPr>
          </w:p>
        </w:tc>
      </w:tr>
      <w:tr>
        <w:trPr>
          <w:trHeight w:val="162"/>
        </w:trPr>
        <w:tc>
          <w:tcPr>
            <w:tcW w:w="1940" w:type="dxa"/>
            <w:vAlign w:val="bottom"/>
          </w:tcPr>
          <w:p>
            <w:pPr>
              <w:spacing w:after="0"/>
              <w:rPr>
                <w:sz w:val="20"/>
                <w:szCs w:val="20"/>
                <w:color w:val="auto"/>
              </w:rPr>
            </w:pPr>
            <w:r>
              <w:rPr>
                <w:rFonts w:ascii="Arial" w:cs="Arial" w:eastAsia="Arial" w:hAnsi="Arial"/>
                <w:sz w:val="14"/>
                <w:szCs w:val="14"/>
                <w:b w:val="1"/>
                <w:bCs w:val="1"/>
                <w:color w:val="auto"/>
              </w:rPr>
              <w:t>Name and</w:t>
            </w:r>
          </w:p>
        </w:tc>
        <w:tc>
          <w:tcPr>
            <w:tcW w:w="7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Bonus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Earnings</w:t>
            </w:r>
          </w:p>
        </w:tc>
        <w:tc>
          <w:tcPr>
            <w:tcW w:w="110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Comp</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90"/>
        </w:trPr>
        <w:tc>
          <w:tcPr>
            <w:tcW w:w="1940" w:type="dxa"/>
            <w:vAlign w:val="bottom"/>
          </w:tcPr>
          <w:p>
            <w:pPr>
              <w:spacing w:after="0"/>
              <w:rPr>
                <w:sz w:val="20"/>
                <w:szCs w:val="20"/>
                <w:color w:val="auto"/>
              </w:rPr>
            </w:pPr>
            <w:r>
              <w:rPr>
                <w:rFonts w:ascii="Arial" w:cs="Arial" w:eastAsia="Arial" w:hAnsi="Arial"/>
                <w:sz w:val="14"/>
                <w:szCs w:val="14"/>
                <w:b w:val="1"/>
                <w:bCs w:val="1"/>
                <w:color w:val="auto"/>
              </w:rPr>
              <w:t>Principal Position</w:t>
            </w: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Year</w:t>
            </w: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($)(a)</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rPr>
              <w:t>($)(d)</w:t>
            </w: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rPr>
              <w:t>($)(e)</w:t>
            </w: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rPr>
              <w:t>($)(f)</w:t>
            </w: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r>
      <w:tr>
        <w:trPr>
          <w:trHeight w:val="33"/>
        </w:trPr>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7"/>
        </w:trPr>
        <w:tc>
          <w:tcPr>
            <w:tcW w:w="1940" w:type="dxa"/>
            <w:vAlign w:val="bottom"/>
            <w:shd w:val="clear" w:color="auto" w:fill="CCCCCC"/>
          </w:tcPr>
          <w:p>
            <w:pPr>
              <w:spacing w:after="0"/>
              <w:rPr>
                <w:sz w:val="20"/>
                <w:szCs w:val="20"/>
                <w:color w:val="auto"/>
              </w:rPr>
            </w:pPr>
            <w:r>
              <w:rPr>
                <w:rFonts w:ascii="Arial" w:cs="Arial" w:eastAsia="Arial" w:hAnsi="Arial"/>
                <w:sz w:val="14"/>
                <w:szCs w:val="14"/>
                <w:color w:val="auto"/>
              </w:rPr>
              <w:t>Ferraro, Joseph A.</w:t>
            </w:r>
          </w:p>
        </w:tc>
        <w:tc>
          <w:tcPr>
            <w:tcW w:w="780" w:type="dxa"/>
            <w:vAlign w:val="bottom"/>
            <w:shd w:val="clear" w:color="auto" w:fill="CCCCCC"/>
          </w:tcPr>
          <w:p>
            <w:pPr>
              <w:ind w:left="300"/>
              <w:spacing w:after="0"/>
              <w:rPr>
                <w:sz w:val="20"/>
                <w:szCs w:val="20"/>
                <w:color w:val="auto"/>
              </w:rPr>
            </w:pPr>
            <w:r>
              <w:rPr>
                <w:rFonts w:ascii="Arial" w:cs="Arial" w:eastAsia="Arial" w:hAnsi="Arial"/>
                <w:sz w:val="14"/>
                <w:szCs w:val="14"/>
                <w:color w:val="auto"/>
              </w:rPr>
              <w:t>2019</w:t>
            </w:r>
          </w:p>
        </w:tc>
        <w:tc>
          <w:tcPr>
            <w:tcW w:w="9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725,000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2,999,991</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1,022,250</w:t>
            </w:r>
          </w:p>
        </w:tc>
        <w:tc>
          <w:tcPr>
            <w:tcW w:w="134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44,988</w:t>
            </w:r>
          </w:p>
        </w:tc>
        <w:tc>
          <w:tcPr>
            <w:tcW w:w="11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136,777</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4,929,006</w:t>
            </w:r>
          </w:p>
        </w:tc>
      </w:tr>
      <w:tr>
        <w:trPr>
          <w:trHeight w:val="162"/>
        </w:trPr>
        <w:tc>
          <w:tcPr>
            <w:tcW w:w="1940" w:type="dxa"/>
            <w:vAlign w:val="bottom"/>
            <w:shd w:val="clear" w:color="auto" w:fill="CCCCCC"/>
          </w:tcPr>
          <w:p>
            <w:pPr>
              <w:ind w:left="180"/>
              <w:spacing w:after="0"/>
              <w:rPr>
                <w:sz w:val="20"/>
                <w:szCs w:val="20"/>
                <w:color w:val="auto"/>
              </w:rPr>
            </w:pPr>
            <w:r>
              <w:rPr>
                <w:rFonts w:ascii="Arial" w:cs="Arial" w:eastAsia="Arial" w:hAnsi="Arial"/>
                <w:sz w:val="14"/>
                <w:szCs w:val="14"/>
                <w:color w:val="auto"/>
              </w:rPr>
              <w:t>Interim CEO</w:t>
            </w:r>
          </w:p>
        </w:tc>
        <w:tc>
          <w:tcPr>
            <w:tcW w:w="780" w:type="dxa"/>
            <w:vAlign w:val="bottom"/>
            <w:shd w:val="clear" w:color="auto" w:fill="CCCCCC"/>
          </w:tcPr>
          <w:p>
            <w:pPr>
              <w:ind w:left="300"/>
              <w:spacing w:after="0"/>
              <w:rPr>
                <w:sz w:val="20"/>
                <w:szCs w:val="20"/>
                <w:color w:val="auto"/>
              </w:rPr>
            </w:pPr>
            <w:r>
              <w:rPr>
                <w:rFonts w:ascii="Arial" w:cs="Arial" w:eastAsia="Arial" w:hAnsi="Arial"/>
                <w:sz w:val="14"/>
                <w:szCs w:val="14"/>
                <w:color w:val="auto"/>
              </w:rPr>
              <w:t>2018</w:t>
            </w:r>
          </w:p>
        </w:tc>
        <w:tc>
          <w:tcPr>
            <w:tcW w:w="9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650,000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1,199,974</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902,525</w:t>
            </w:r>
          </w:p>
        </w:tc>
        <w:tc>
          <w:tcPr>
            <w:tcW w:w="134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52,895</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2,805,394</w:t>
            </w:r>
          </w:p>
        </w:tc>
      </w:tr>
      <w:tr>
        <w:trPr>
          <w:trHeight w:val="203"/>
        </w:trPr>
        <w:tc>
          <w:tcPr>
            <w:tcW w:w="1940" w:type="dxa"/>
            <w:vAlign w:val="bottom"/>
            <w:tcBorders>
              <w:bottom w:val="single" w:sz="8" w:color="CCCCCC"/>
            </w:tcBorders>
            <w:shd w:val="clear" w:color="auto" w:fill="CCCCCC"/>
          </w:tcPr>
          <w:p>
            <w:pPr>
              <w:spacing w:after="0"/>
              <w:rPr>
                <w:sz w:val="17"/>
                <w:szCs w:val="17"/>
                <w:color w:val="auto"/>
              </w:rPr>
            </w:pPr>
          </w:p>
        </w:tc>
        <w:tc>
          <w:tcPr>
            <w:tcW w:w="780" w:type="dxa"/>
            <w:vAlign w:val="bottom"/>
            <w:tcBorders>
              <w:bottom w:val="single" w:sz="8" w:color="CCCCCC"/>
            </w:tcBorders>
            <w:shd w:val="clear" w:color="auto" w:fill="CCCCCC"/>
          </w:tcPr>
          <w:p>
            <w:pPr>
              <w:ind w:left="300"/>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648,767</w:t>
            </w:r>
          </w:p>
        </w:tc>
        <w:tc>
          <w:tcPr>
            <w:tcW w:w="7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2,900,000</w:t>
            </w:r>
          </w:p>
        </w:tc>
        <w:tc>
          <w:tcPr>
            <w:tcW w:w="8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CCCCCC"/>
            </w:tcBorders>
            <w:shd w:val="clear" w:color="auto" w:fill="CCCCCC"/>
          </w:tcPr>
          <w:p>
            <w:pPr>
              <w:jc w:val="right"/>
              <w:ind w:right="48"/>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CCCCCC"/>
            </w:tcBorders>
            <w:shd w:val="clear" w:color="auto" w:fill="CCCCCC"/>
          </w:tcPr>
          <w:p>
            <w:pPr>
              <w:jc w:val="center"/>
              <w:ind w:right="28"/>
              <w:spacing w:after="0"/>
              <w:rPr>
                <w:sz w:val="20"/>
                <w:szCs w:val="20"/>
                <w:color w:val="auto"/>
              </w:rPr>
            </w:pPr>
            <w:r>
              <w:rPr>
                <w:rFonts w:ascii="Arial" w:cs="Arial" w:eastAsia="Arial" w:hAnsi="Arial"/>
                <w:sz w:val="14"/>
                <w:szCs w:val="14"/>
                <w:color w:val="auto"/>
              </w:rPr>
              <w:t>31,450</w:t>
            </w:r>
          </w:p>
        </w:tc>
        <w:tc>
          <w:tcPr>
            <w:tcW w:w="110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38,540</w:t>
            </w:r>
          </w:p>
        </w:tc>
        <w:tc>
          <w:tcPr>
            <w:tcW w:w="9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3,618,757</w:t>
            </w:r>
          </w:p>
        </w:tc>
      </w:tr>
      <w:tr>
        <w:trPr>
          <w:trHeight w:val="160"/>
        </w:trPr>
        <w:tc>
          <w:tcPr>
            <w:tcW w:w="1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North, John F.</w:t>
            </w:r>
          </w:p>
        </w:tc>
        <w:tc>
          <w:tcPr>
            <w:tcW w:w="78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rPr>
              <w:t>2019</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461,538</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500,000</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3,999,968</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481,007</w:t>
            </w:r>
          </w:p>
        </w:tc>
        <w:tc>
          <w:tcPr>
            <w:tcW w:w="134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279,637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5,722,150</w:t>
            </w:r>
          </w:p>
        </w:tc>
      </w:tr>
      <w:tr>
        <w:trPr>
          <w:trHeight w:val="172"/>
        </w:trPr>
        <w:tc>
          <w:tcPr>
            <w:tcW w:w="1940" w:type="dxa"/>
            <w:vAlign w:val="bottom"/>
          </w:tcPr>
          <w:p>
            <w:pPr>
              <w:ind w:left="180"/>
              <w:spacing w:after="0"/>
              <w:rPr>
                <w:sz w:val="20"/>
                <w:szCs w:val="20"/>
                <w:color w:val="auto"/>
              </w:rPr>
            </w:pPr>
            <w:r>
              <w:rPr>
                <w:rFonts w:ascii="Arial" w:cs="Arial" w:eastAsia="Arial" w:hAnsi="Arial"/>
                <w:sz w:val="14"/>
                <w:szCs w:val="14"/>
                <w:color w:val="auto"/>
              </w:rPr>
              <w:t>EVP and CFO</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0"/>
        </w:trPr>
        <w:tc>
          <w:tcPr>
            <w:tcW w:w="1940" w:type="dxa"/>
            <w:vAlign w:val="bottom"/>
            <w:shd w:val="clear" w:color="auto" w:fill="CCCCCC"/>
          </w:tcPr>
          <w:p>
            <w:pPr>
              <w:spacing w:after="0"/>
              <w:rPr>
                <w:sz w:val="20"/>
                <w:szCs w:val="20"/>
                <w:color w:val="auto"/>
              </w:rPr>
            </w:pPr>
            <w:r>
              <w:rPr>
                <w:rFonts w:ascii="Arial" w:cs="Arial" w:eastAsia="Arial" w:hAnsi="Arial"/>
                <w:sz w:val="14"/>
                <w:szCs w:val="14"/>
                <w:color w:val="auto"/>
              </w:rPr>
              <w:t>Rankin, Keith</w:t>
            </w:r>
          </w:p>
        </w:tc>
        <w:tc>
          <w:tcPr>
            <w:tcW w:w="780" w:type="dxa"/>
            <w:vAlign w:val="bottom"/>
            <w:shd w:val="clear" w:color="auto" w:fill="CCCCCC"/>
          </w:tcPr>
          <w:p>
            <w:pPr>
              <w:ind w:left="300"/>
              <w:spacing w:after="0"/>
              <w:rPr>
                <w:sz w:val="20"/>
                <w:szCs w:val="20"/>
                <w:color w:val="auto"/>
              </w:rPr>
            </w:pPr>
            <w:r>
              <w:rPr>
                <w:rFonts w:ascii="Arial" w:cs="Arial" w:eastAsia="Arial" w:hAnsi="Arial"/>
                <w:sz w:val="14"/>
                <w:szCs w:val="14"/>
                <w:color w:val="auto"/>
              </w:rPr>
              <w:t>2019</w:t>
            </w:r>
          </w:p>
        </w:tc>
        <w:tc>
          <w:tcPr>
            <w:tcW w:w="9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294,346</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253,549</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2,000,031</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0</w:t>
            </w:r>
          </w:p>
        </w:tc>
        <w:tc>
          <w:tcPr>
            <w:tcW w:w="134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166,610</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2,714,536</w:t>
            </w:r>
          </w:p>
        </w:tc>
      </w:tr>
      <w:tr>
        <w:trPr>
          <w:trHeight w:val="203"/>
        </w:trPr>
        <w:tc>
          <w:tcPr>
            <w:tcW w:w="194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4"/>
                <w:szCs w:val="14"/>
                <w:color w:val="auto"/>
              </w:rPr>
              <w:t>President, International</w:t>
            </w:r>
          </w:p>
        </w:tc>
        <w:tc>
          <w:tcPr>
            <w:tcW w:w="780" w:type="dxa"/>
            <w:vAlign w:val="bottom"/>
            <w:tcBorders>
              <w:bottom w:val="single" w:sz="8" w:color="CCCCCC"/>
            </w:tcBorders>
            <w:shd w:val="clear" w:color="auto" w:fill="CCCCCC"/>
          </w:tcPr>
          <w:p>
            <w:pPr>
              <w:spacing w:after="0"/>
              <w:rPr>
                <w:sz w:val="17"/>
                <w:szCs w:val="17"/>
                <w:color w:val="auto"/>
              </w:rPr>
            </w:pPr>
          </w:p>
        </w:tc>
        <w:tc>
          <w:tcPr>
            <w:tcW w:w="900" w:type="dxa"/>
            <w:vAlign w:val="bottom"/>
            <w:tcBorders>
              <w:bottom w:val="single" w:sz="8" w:color="CCCCCC"/>
            </w:tcBorders>
            <w:shd w:val="clear" w:color="auto" w:fill="CCCCCC"/>
          </w:tcPr>
          <w:p>
            <w:pPr>
              <w:spacing w:after="0"/>
              <w:rPr>
                <w:sz w:val="17"/>
                <w:szCs w:val="17"/>
                <w:color w:val="auto"/>
              </w:rPr>
            </w:pPr>
          </w:p>
        </w:tc>
        <w:tc>
          <w:tcPr>
            <w:tcW w:w="740" w:type="dxa"/>
            <w:vAlign w:val="bottom"/>
            <w:tcBorders>
              <w:bottom w:val="single" w:sz="8" w:color="CCCCCC"/>
            </w:tcBorders>
            <w:shd w:val="clear" w:color="auto" w:fill="CCCCCC"/>
          </w:tcPr>
          <w:p>
            <w:pPr>
              <w:spacing w:after="0"/>
              <w:rPr>
                <w:sz w:val="17"/>
                <w:szCs w:val="17"/>
                <w:color w:val="auto"/>
              </w:rPr>
            </w:pPr>
          </w:p>
        </w:tc>
        <w:tc>
          <w:tcPr>
            <w:tcW w:w="880" w:type="dxa"/>
            <w:vAlign w:val="bottom"/>
            <w:tcBorders>
              <w:bottom w:val="single" w:sz="8" w:color="CCCCCC"/>
            </w:tcBorders>
            <w:shd w:val="clear" w:color="auto" w:fill="CCCCCC"/>
          </w:tcPr>
          <w:p>
            <w:pPr>
              <w:spacing w:after="0"/>
              <w:rPr>
                <w:sz w:val="17"/>
                <w:szCs w:val="17"/>
                <w:color w:val="auto"/>
              </w:rPr>
            </w:pPr>
          </w:p>
        </w:tc>
        <w:tc>
          <w:tcPr>
            <w:tcW w:w="840" w:type="dxa"/>
            <w:vAlign w:val="bottom"/>
            <w:tcBorders>
              <w:bottom w:val="single" w:sz="8" w:color="CCCCCC"/>
            </w:tcBorders>
            <w:shd w:val="clear" w:color="auto" w:fill="CCCCCC"/>
          </w:tcPr>
          <w:p>
            <w:pPr>
              <w:spacing w:after="0"/>
              <w:rPr>
                <w:sz w:val="17"/>
                <w:szCs w:val="17"/>
                <w:color w:val="auto"/>
              </w:rPr>
            </w:pPr>
          </w:p>
        </w:tc>
        <w:tc>
          <w:tcPr>
            <w:tcW w:w="1420" w:type="dxa"/>
            <w:vAlign w:val="bottom"/>
            <w:tcBorders>
              <w:bottom w:val="single" w:sz="8" w:color="CCCCCC"/>
            </w:tcBorders>
            <w:shd w:val="clear" w:color="auto" w:fill="CCCCCC"/>
          </w:tcPr>
          <w:p>
            <w:pPr>
              <w:spacing w:after="0"/>
              <w:rPr>
                <w:sz w:val="17"/>
                <w:szCs w:val="17"/>
                <w:color w:val="auto"/>
              </w:rPr>
            </w:pPr>
          </w:p>
        </w:tc>
        <w:tc>
          <w:tcPr>
            <w:tcW w:w="1340" w:type="dxa"/>
            <w:vAlign w:val="bottom"/>
            <w:tcBorders>
              <w:bottom w:val="single" w:sz="8" w:color="CCCCCC"/>
            </w:tcBorders>
            <w:shd w:val="clear" w:color="auto" w:fill="CCCCCC"/>
          </w:tcPr>
          <w:p>
            <w:pPr>
              <w:spacing w:after="0"/>
              <w:rPr>
                <w:sz w:val="17"/>
                <w:szCs w:val="17"/>
                <w:color w:val="auto"/>
              </w:rPr>
            </w:pPr>
          </w:p>
        </w:tc>
        <w:tc>
          <w:tcPr>
            <w:tcW w:w="1100" w:type="dxa"/>
            <w:vAlign w:val="bottom"/>
            <w:tcBorders>
              <w:bottom w:val="single" w:sz="8" w:color="CCCCCC"/>
            </w:tcBorders>
            <w:shd w:val="clear" w:color="auto" w:fill="CCCCCC"/>
          </w:tcPr>
          <w:p>
            <w:pPr>
              <w:spacing w:after="0"/>
              <w:rPr>
                <w:sz w:val="17"/>
                <w:szCs w:val="17"/>
                <w:color w:val="auto"/>
              </w:rPr>
            </w:pPr>
          </w:p>
        </w:tc>
        <w:tc>
          <w:tcPr>
            <w:tcW w:w="940" w:type="dxa"/>
            <w:vAlign w:val="bottom"/>
            <w:tcBorders>
              <w:bottom w:val="single" w:sz="8" w:color="CCCCCC"/>
            </w:tcBorders>
            <w:shd w:val="clear" w:color="auto" w:fill="CCCCCC"/>
          </w:tcPr>
          <w:p>
            <w:pPr>
              <w:spacing w:after="0"/>
              <w:rPr>
                <w:sz w:val="17"/>
                <w:szCs w:val="17"/>
                <w:color w:val="auto"/>
              </w:rPr>
            </w:pPr>
          </w:p>
        </w:tc>
      </w:tr>
      <w:tr>
        <w:trPr>
          <w:trHeight w:val="160"/>
        </w:trPr>
        <w:tc>
          <w:tcPr>
            <w:tcW w:w="1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Linnen, Edward P.</w:t>
            </w:r>
          </w:p>
        </w:tc>
        <w:tc>
          <w:tcPr>
            <w:tcW w:w="78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rPr>
              <w:t>2019</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500,481</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550,017</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398,438</w:t>
            </w:r>
          </w:p>
        </w:tc>
        <w:tc>
          <w:tcPr>
            <w:tcW w:w="134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58,789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1,507,725</w:t>
            </w:r>
          </w:p>
        </w:tc>
      </w:tr>
      <w:tr>
        <w:trPr>
          <w:trHeight w:val="172"/>
        </w:trPr>
        <w:tc>
          <w:tcPr>
            <w:tcW w:w="1940" w:type="dxa"/>
            <w:vAlign w:val="bottom"/>
          </w:tcPr>
          <w:p>
            <w:pPr>
              <w:ind w:left="180"/>
              <w:spacing w:after="0"/>
              <w:rPr>
                <w:sz w:val="20"/>
                <w:szCs w:val="20"/>
                <w:color w:val="auto"/>
              </w:rPr>
            </w:pPr>
            <w:r>
              <w:rPr>
                <w:rFonts w:ascii="Arial" w:cs="Arial" w:eastAsia="Arial" w:hAnsi="Arial"/>
                <w:sz w:val="14"/>
                <w:szCs w:val="14"/>
                <w:color w:val="auto"/>
              </w:rPr>
              <w:t>EVP, CHRO</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0"/>
        </w:trPr>
        <w:tc>
          <w:tcPr>
            <w:tcW w:w="1940" w:type="dxa"/>
            <w:vAlign w:val="bottom"/>
            <w:shd w:val="clear" w:color="auto" w:fill="CCCCCC"/>
          </w:tcPr>
          <w:p>
            <w:pPr>
              <w:spacing w:after="0"/>
              <w:rPr>
                <w:sz w:val="20"/>
                <w:szCs w:val="20"/>
                <w:color w:val="auto"/>
              </w:rPr>
            </w:pPr>
            <w:r>
              <w:rPr>
                <w:rFonts w:ascii="Arial" w:cs="Arial" w:eastAsia="Arial" w:hAnsi="Arial"/>
                <w:sz w:val="14"/>
                <w:szCs w:val="14"/>
                <w:color w:val="auto"/>
              </w:rPr>
              <w:t>De Shon, Larry D.</w:t>
            </w:r>
          </w:p>
        </w:tc>
        <w:tc>
          <w:tcPr>
            <w:tcW w:w="780" w:type="dxa"/>
            <w:vAlign w:val="bottom"/>
            <w:shd w:val="clear" w:color="auto" w:fill="CCCCCC"/>
          </w:tcPr>
          <w:p>
            <w:pPr>
              <w:ind w:left="300"/>
              <w:spacing w:after="0"/>
              <w:rPr>
                <w:sz w:val="20"/>
                <w:szCs w:val="20"/>
                <w:color w:val="auto"/>
              </w:rPr>
            </w:pPr>
            <w:r>
              <w:rPr>
                <w:rFonts w:ascii="Arial" w:cs="Arial" w:eastAsia="Arial" w:hAnsi="Arial"/>
                <w:sz w:val="14"/>
                <w:szCs w:val="14"/>
                <w:color w:val="auto"/>
              </w:rPr>
              <w:t>2019</w:t>
            </w:r>
          </w:p>
        </w:tc>
        <w:tc>
          <w:tcPr>
            <w:tcW w:w="9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1,201,923</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6,100,012</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1,710,000</w:t>
            </w:r>
          </w:p>
        </w:tc>
        <w:tc>
          <w:tcPr>
            <w:tcW w:w="134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7,730,447</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16,742,382</w:t>
            </w:r>
          </w:p>
        </w:tc>
      </w:tr>
      <w:tr>
        <w:trPr>
          <w:trHeight w:val="162"/>
        </w:trPr>
        <w:tc>
          <w:tcPr>
            <w:tcW w:w="1940" w:type="dxa"/>
            <w:vAlign w:val="bottom"/>
            <w:shd w:val="clear" w:color="auto" w:fill="CCCCCC"/>
          </w:tcPr>
          <w:p>
            <w:pPr>
              <w:ind w:left="180"/>
              <w:spacing w:after="0"/>
              <w:rPr>
                <w:sz w:val="20"/>
                <w:szCs w:val="20"/>
                <w:color w:val="auto"/>
              </w:rPr>
            </w:pPr>
            <w:r>
              <w:rPr>
                <w:rFonts w:ascii="Arial" w:cs="Arial" w:eastAsia="Arial" w:hAnsi="Arial"/>
                <w:sz w:val="14"/>
                <w:szCs w:val="14"/>
                <w:color w:val="auto"/>
              </w:rPr>
              <w:t>Former CEO</w:t>
            </w:r>
          </w:p>
        </w:tc>
        <w:tc>
          <w:tcPr>
            <w:tcW w:w="780" w:type="dxa"/>
            <w:vAlign w:val="bottom"/>
            <w:shd w:val="clear" w:color="auto" w:fill="CCCCCC"/>
          </w:tcPr>
          <w:p>
            <w:pPr>
              <w:ind w:left="300"/>
              <w:spacing w:after="0"/>
              <w:rPr>
                <w:sz w:val="20"/>
                <w:szCs w:val="20"/>
                <w:color w:val="auto"/>
              </w:rPr>
            </w:pPr>
            <w:r>
              <w:rPr>
                <w:rFonts w:ascii="Arial" w:cs="Arial" w:eastAsia="Arial" w:hAnsi="Arial"/>
                <w:sz w:val="14"/>
                <w:szCs w:val="14"/>
                <w:color w:val="auto"/>
              </w:rPr>
              <w:t>2018</w:t>
            </w:r>
          </w:p>
        </w:tc>
        <w:tc>
          <w:tcPr>
            <w:tcW w:w="9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1,100,000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5,500,000</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1,699,500</w:t>
            </w:r>
          </w:p>
        </w:tc>
        <w:tc>
          <w:tcPr>
            <w:tcW w:w="134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127,666</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8,427,166</w:t>
            </w:r>
          </w:p>
        </w:tc>
      </w:tr>
      <w:tr>
        <w:trPr>
          <w:trHeight w:val="203"/>
        </w:trPr>
        <w:tc>
          <w:tcPr>
            <w:tcW w:w="1940" w:type="dxa"/>
            <w:vAlign w:val="bottom"/>
            <w:tcBorders>
              <w:bottom w:val="single" w:sz="8" w:color="CCCCCC"/>
            </w:tcBorders>
            <w:shd w:val="clear" w:color="auto" w:fill="CCCCCC"/>
          </w:tcPr>
          <w:p>
            <w:pPr>
              <w:spacing w:after="0"/>
              <w:rPr>
                <w:sz w:val="17"/>
                <w:szCs w:val="17"/>
                <w:color w:val="auto"/>
              </w:rPr>
            </w:pPr>
          </w:p>
        </w:tc>
        <w:tc>
          <w:tcPr>
            <w:tcW w:w="780" w:type="dxa"/>
            <w:vAlign w:val="bottom"/>
            <w:tcBorders>
              <w:bottom w:val="single" w:sz="8" w:color="CCCCCC"/>
            </w:tcBorders>
            <w:shd w:val="clear" w:color="auto" w:fill="CCCCCC"/>
          </w:tcPr>
          <w:p>
            <w:pPr>
              <w:ind w:left="300"/>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1,095,068</w:t>
            </w:r>
          </w:p>
        </w:tc>
        <w:tc>
          <w:tcPr>
            <w:tcW w:w="7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5,499,991</w:t>
            </w:r>
          </w:p>
        </w:tc>
        <w:tc>
          <w:tcPr>
            <w:tcW w:w="8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CCCCCC"/>
            </w:tcBorders>
            <w:shd w:val="clear" w:color="auto" w:fill="CCCCCC"/>
          </w:tcPr>
          <w:p>
            <w:pPr>
              <w:jc w:val="right"/>
              <w:ind w:right="48"/>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CCCCCC"/>
            </w:tcBorders>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339,018</w:t>
            </w:r>
          </w:p>
        </w:tc>
        <w:tc>
          <w:tcPr>
            <w:tcW w:w="9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6,934,077</w:t>
            </w:r>
          </w:p>
        </w:tc>
      </w:tr>
      <w:tr>
        <w:trPr>
          <w:trHeight w:val="160"/>
        </w:trPr>
        <w:tc>
          <w:tcPr>
            <w:tcW w:w="1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Smith, Martyn</w:t>
            </w:r>
          </w:p>
        </w:tc>
        <w:tc>
          <w:tcPr>
            <w:tcW w:w="78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rPr>
              <w:t>2019</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500,834</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117,654</w:t>
            </w:r>
          </w:p>
        </w:tc>
        <w:tc>
          <w:tcPr>
            <w:tcW w:w="134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color w:val="auto"/>
              </w:rPr>
              <w:t>31,022</w:t>
            </w:r>
          </w:p>
        </w:tc>
        <w:tc>
          <w:tcPr>
            <w:tcW w:w="11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986,241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1,635,751</w:t>
            </w:r>
          </w:p>
        </w:tc>
      </w:tr>
      <w:tr>
        <w:trPr>
          <w:trHeight w:val="162"/>
        </w:trPr>
        <w:tc>
          <w:tcPr>
            <w:tcW w:w="1940" w:type="dxa"/>
            <w:vAlign w:val="bottom"/>
          </w:tcPr>
          <w:p>
            <w:pPr>
              <w:ind w:left="180"/>
              <w:spacing w:after="0"/>
              <w:rPr>
                <w:sz w:val="20"/>
                <w:szCs w:val="20"/>
                <w:color w:val="auto"/>
              </w:rPr>
            </w:pPr>
            <w:r>
              <w:rPr>
                <w:rFonts w:ascii="Arial" w:cs="Arial" w:eastAsia="Arial" w:hAnsi="Arial"/>
                <w:sz w:val="14"/>
                <w:szCs w:val="14"/>
                <w:color w:val="auto"/>
              </w:rPr>
              <w:t>Former Interim CFO</w:t>
            </w:r>
          </w:p>
        </w:tc>
        <w:tc>
          <w:tcPr>
            <w:tcW w:w="780" w:type="dxa"/>
            <w:vAlign w:val="bottom"/>
          </w:tcPr>
          <w:p>
            <w:pPr>
              <w:ind w:left="300"/>
              <w:spacing w:after="0"/>
              <w:rPr>
                <w:sz w:val="20"/>
                <w:szCs w:val="20"/>
                <w:color w:val="auto"/>
              </w:rPr>
            </w:pPr>
            <w:r>
              <w:rPr>
                <w:rFonts w:ascii="Arial" w:cs="Arial" w:eastAsia="Arial" w:hAnsi="Arial"/>
                <w:sz w:val="14"/>
                <w:szCs w:val="14"/>
                <w:color w:val="auto"/>
              </w:rPr>
              <w:t>2018</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575,000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473,800</w:t>
            </w:r>
          </w:p>
        </w:tc>
        <w:tc>
          <w:tcPr>
            <w:tcW w:w="1340" w:type="dxa"/>
            <w:vAlign w:val="bottom"/>
          </w:tcPr>
          <w:p>
            <w:pPr>
              <w:jc w:val="center"/>
              <w:ind w:right="28"/>
              <w:spacing w:after="0"/>
              <w:rPr>
                <w:sz w:val="20"/>
                <w:szCs w:val="20"/>
                <w:color w:val="auto"/>
              </w:rPr>
            </w:pPr>
            <w:r>
              <w:rPr>
                <w:rFonts w:ascii="Arial" w:cs="Arial" w:eastAsia="Arial" w:hAnsi="Arial"/>
                <w:sz w:val="14"/>
                <w:szCs w:val="14"/>
                <w:color w:val="auto"/>
              </w:rPr>
              <w:t>3,271</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174,654</w:t>
            </w:r>
          </w:p>
        </w:tc>
        <w:tc>
          <w:tcPr>
            <w:tcW w:w="940" w:type="dxa"/>
            <w:vAlign w:val="bottom"/>
          </w:tcPr>
          <w:p>
            <w:pPr>
              <w:jc w:val="right"/>
              <w:spacing w:after="0"/>
              <w:rPr>
                <w:sz w:val="20"/>
                <w:szCs w:val="20"/>
                <w:color w:val="auto"/>
              </w:rPr>
            </w:pPr>
            <w:r>
              <w:rPr>
                <w:rFonts w:ascii="Arial" w:cs="Arial" w:eastAsia="Arial" w:hAnsi="Arial"/>
                <w:sz w:val="14"/>
                <w:szCs w:val="14"/>
                <w:color w:val="auto"/>
              </w:rPr>
              <w:t>1,226,725</w:t>
            </w:r>
          </w:p>
        </w:tc>
      </w:tr>
      <w:tr>
        <w:trPr>
          <w:trHeight w:val="172"/>
        </w:trPr>
        <w:tc>
          <w:tcPr>
            <w:tcW w:w="194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4"/>
                <w:szCs w:val="14"/>
                <w:color w:val="auto"/>
              </w:rPr>
              <w:t>2017</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386,132</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3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88,731</w:t>
            </w:r>
          </w:p>
        </w:tc>
        <w:tc>
          <w:tcPr>
            <w:tcW w:w="940" w:type="dxa"/>
            <w:vAlign w:val="bottom"/>
          </w:tcPr>
          <w:p>
            <w:pPr>
              <w:jc w:val="right"/>
              <w:spacing w:after="0"/>
              <w:rPr>
                <w:sz w:val="20"/>
                <w:szCs w:val="20"/>
                <w:color w:val="auto"/>
              </w:rPr>
            </w:pPr>
            <w:r>
              <w:rPr>
                <w:rFonts w:ascii="Arial" w:cs="Arial" w:eastAsia="Arial" w:hAnsi="Arial"/>
                <w:sz w:val="14"/>
                <w:szCs w:val="14"/>
                <w:color w:val="auto"/>
              </w:rPr>
              <w:t>474,863</w:t>
            </w:r>
          </w:p>
        </w:tc>
      </w:tr>
      <w:tr>
        <w:trPr>
          <w:trHeight w:val="26"/>
        </w:trPr>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0"/>
        </w:trPr>
        <w:tc>
          <w:tcPr>
            <w:tcW w:w="1940" w:type="dxa"/>
            <w:vAlign w:val="bottom"/>
            <w:shd w:val="clear" w:color="auto" w:fill="CCCCCC"/>
          </w:tcPr>
          <w:p>
            <w:pPr>
              <w:spacing w:after="0"/>
              <w:rPr>
                <w:sz w:val="20"/>
                <w:szCs w:val="20"/>
                <w:color w:val="auto"/>
              </w:rPr>
            </w:pPr>
            <w:r>
              <w:rPr>
                <w:rFonts w:ascii="Arial" w:cs="Arial" w:eastAsia="Arial" w:hAnsi="Arial"/>
                <w:sz w:val="14"/>
                <w:szCs w:val="14"/>
                <w:color w:val="auto"/>
              </w:rPr>
              <w:t>Servodidio, Mark J.</w:t>
            </w:r>
          </w:p>
        </w:tc>
        <w:tc>
          <w:tcPr>
            <w:tcW w:w="780" w:type="dxa"/>
            <w:vAlign w:val="bottom"/>
            <w:shd w:val="clear" w:color="auto" w:fill="CCCCCC"/>
          </w:tcPr>
          <w:p>
            <w:pPr>
              <w:ind w:left="300"/>
              <w:spacing w:after="0"/>
              <w:rPr>
                <w:sz w:val="20"/>
                <w:szCs w:val="20"/>
                <w:color w:val="auto"/>
              </w:rPr>
            </w:pPr>
            <w:r>
              <w:rPr>
                <w:rFonts w:ascii="Arial" w:cs="Arial" w:eastAsia="Arial" w:hAnsi="Arial"/>
                <w:sz w:val="14"/>
                <w:szCs w:val="14"/>
                <w:color w:val="auto"/>
              </w:rPr>
              <w:t>2019</w:t>
            </w:r>
          </w:p>
        </w:tc>
        <w:tc>
          <w:tcPr>
            <w:tcW w:w="9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300,481</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0</w:t>
            </w:r>
          </w:p>
        </w:tc>
        <w:tc>
          <w:tcPr>
            <w:tcW w:w="134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3,985,318</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4,285,799</w:t>
            </w:r>
          </w:p>
        </w:tc>
      </w:tr>
      <w:tr>
        <w:trPr>
          <w:trHeight w:val="162"/>
        </w:trPr>
        <w:tc>
          <w:tcPr>
            <w:tcW w:w="1940" w:type="dxa"/>
            <w:vAlign w:val="bottom"/>
            <w:shd w:val="clear" w:color="auto" w:fill="CCCCCC"/>
          </w:tcPr>
          <w:p>
            <w:pPr>
              <w:ind w:left="180"/>
              <w:spacing w:after="0"/>
              <w:rPr>
                <w:sz w:val="20"/>
                <w:szCs w:val="20"/>
                <w:color w:val="auto"/>
              </w:rPr>
            </w:pPr>
            <w:r>
              <w:rPr>
                <w:rFonts w:ascii="Arial" w:cs="Arial" w:eastAsia="Arial" w:hAnsi="Arial"/>
                <w:sz w:val="14"/>
                <w:szCs w:val="14"/>
                <w:color w:val="auto"/>
              </w:rPr>
              <w:t>Former President,</w:t>
            </w:r>
          </w:p>
        </w:tc>
        <w:tc>
          <w:tcPr>
            <w:tcW w:w="780" w:type="dxa"/>
            <w:vAlign w:val="bottom"/>
            <w:shd w:val="clear" w:color="auto" w:fill="CCCCCC"/>
          </w:tcPr>
          <w:p>
            <w:pPr>
              <w:ind w:left="300"/>
              <w:spacing w:after="0"/>
              <w:rPr>
                <w:sz w:val="20"/>
                <w:szCs w:val="20"/>
                <w:color w:val="auto"/>
              </w:rPr>
            </w:pPr>
            <w:r>
              <w:rPr>
                <w:rFonts w:ascii="Arial" w:cs="Arial" w:eastAsia="Arial" w:hAnsi="Arial"/>
                <w:sz w:val="14"/>
                <w:szCs w:val="14"/>
                <w:color w:val="auto"/>
              </w:rPr>
              <w:t>2018</w:t>
            </w:r>
          </w:p>
        </w:tc>
        <w:tc>
          <w:tcPr>
            <w:tcW w:w="9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625,000</w:t>
            </w:r>
          </w:p>
        </w:tc>
        <w:tc>
          <w:tcPr>
            <w:tcW w:w="7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1,199,974</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288,750</w:t>
            </w:r>
          </w:p>
        </w:tc>
        <w:tc>
          <w:tcPr>
            <w:tcW w:w="134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1,851,334</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3,965,058</w:t>
            </w:r>
          </w:p>
        </w:tc>
      </w:tr>
      <w:tr>
        <w:trPr>
          <w:trHeight w:val="178"/>
        </w:trPr>
        <w:tc>
          <w:tcPr>
            <w:tcW w:w="194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4"/>
                <w:szCs w:val="14"/>
                <w:color w:val="auto"/>
              </w:rPr>
              <w:t>International</w:t>
            </w:r>
          </w:p>
        </w:tc>
        <w:tc>
          <w:tcPr>
            <w:tcW w:w="780" w:type="dxa"/>
            <w:vAlign w:val="bottom"/>
            <w:tcBorders>
              <w:bottom w:val="single" w:sz="8" w:color="CCCCCC"/>
            </w:tcBorders>
            <w:shd w:val="clear" w:color="auto" w:fill="CCCCCC"/>
          </w:tcPr>
          <w:p>
            <w:pPr>
              <w:ind w:left="300"/>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623,767</w:t>
            </w:r>
          </w:p>
        </w:tc>
        <w:tc>
          <w:tcPr>
            <w:tcW w:w="7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1,850,008</w:t>
            </w:r>
          </w:p>
        </w:tc>
        <w:tc>
          <w:tcPr>
            <w:tcW w:w="8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CCCCCC"/>
            </w:tcBorders>
            <w:shd w:val="clear" w:color="auto" w:fill="CCCCCC"/>
          </w:tcPr>
          <w:p>
            <w:pPr>
              <w:jc w:val="right"/>
              <w:ind w:right="48"/>
              <w:spacing w:after="0"/>
              <w:rPr>
                <w:sz w:val="20"/>
                <w:szCs w:val="20"/>
                <w:color w:val="auto"/>
              </w:rPr>
            </w:pPr>
            <w:r>
              <w:rPr>
                <w:rFonts w:ascii="Arial" w:cs="Arial" w:eastAsia="Arial" w:hAnsi="Arial"/>
                <w:sz w:val="14"/>
                <w:szCs w:val="14"/>
                <w:color w:val="auto"/>
              </w:rPr>
              <w:t>302,950</w:t>
            </w:r>
          </w:p>
        </w:tc>
        <w:tc>
          <w:tcPr>
            <w:tcW w:w="1340" w:type="dxa"/>
            <w:vAlign w:val="bottom"/>
            <w:tcBorders>
              <w:bottom w:val="single" w:sz="8" w:color="CCCCCC"/>
            </w:tcBorders>
            <w:shd w:val="clear" w:color="auto" w:fill="CCCCCC"/>
          </w:tcPr>
          <w:p>
            <w:pPr>
              <w:jc w:val="center"/>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1,020,757</w:t>
            </w:r>
          </w:p>
        </w:tc>
        <w:tc>
          <w:tcPr>
            <w:tcW w:w="9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3,797,482</w:t>
            </w:r>
          </w:p>
        </w:tc>
      </w:tr>
      <w:tr>
        <w:trPr>
          <w:trHeight w:val="27"/>
        </w:trPr>
        <w:tc>
          <w:tcPr>
            <w:tcW w:w="19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80" w:lineRule="exact"/>
        <w:rPr>
          <w:sz w:val="20"/>
          <w:szCs w:val="20"/>
          <w:color w:val="auto"/>
        </w:rPr>
      </w:pPr>
    </w:p>
    <w:p>
      <w:pPr>
        <w:jc w:val="both"/>
        <w:ind w:left="340" w:hanging="332"/>
        <w:spacing w:after="0" w:line="253" w:lineRule="auto"/>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Salary includes amounts deferred under the Company’s Deferred Compensation Plan or 401(k) Plan. For Messrs. North, Rankin and Servodidio, their 2019 salary is prorated to reflect time in position. For Messrs. Rankin and Smith, base salary reflects a monthly average £/$ exchange rate as of the date paid, received or allocated.</w:t>
      </w:r>
    </w:p>
    <w:p>
      <w:pPr>
        <w:spacing w:after="0" w:line="254" w:lineRule="exact"/>
        <w:rPr>
          <w:rFonts w:ascii="Arial" w:cs="Arial" w:eastAsia="Arial" w:hAnsi="Arial"/>
          <w:sz w:val="14"/>
          <w:szCs w:val="14"/>
          <w:color w:val="auto"/>
        </w:rPr>
      </w:pPr>
    </w:p>
    <w:p>
      <w:pPr>
        <w:ind w:left="340" w:hanging="332"/>
        <w:spacing w:after="0" w:line="258" w:lineRule="auto"/>
        <w:tabs>
          <w:tab w:leader="none" w:pos="358" w:val="left"/>
        </w:tabs>
        <w:numPr>
          <w:ilvl w:val="0"/>
          <w:numId w:val="40"/>
        </w:numPr>
        <w:rPr>
          <w:rFonts w:ascii="Arial" w:cs="Arial" w:eastAsia="Arial" w:hAnsi="Arial"/>
          <w:sz w:val="14"/>
          <w:szCs w:val="14"/>
          <w:color w:val="auto"/>
        </w:rPr>
      </w:pPr>
      <w:r>
        <w:rPr>
          <w:rFonts w:ascii="Arial" w:cs="Arial" w:eastAsia="Arial" w:hAnsi="Arial"/>
          <w:sz w:val="14"/>
          <w:szCs w:val="14"/>
          <w:color w:val="auto"/>
        </w:rPr>
        <w:t>Messrs. North and Rankin received sign-on bonuses in the amount of $500,000 and £200,000, respectively. For Mr. Rankin, his bonus reflects the monthly average £/$ exchange rate as of the date paid, received or allocated.</w:t>
      </w:r>
    </w:p>
    <w:p>
      <w:pPr>
        <w:spacing w:after="0" w:line="85" w:lineRule="exact"/>
        <w:rPr>
          <w:rFonts w:ascii="Arial" w:cs="Arial" w:eastAsia="Arial" w:hAnsi="Arial"/>
          <w:sz w:val="14"/>
          <w:szCs w:val="14"/>
          <w:color w:val="auto"/>
        </w:rPr>
      </w:pPr>
    </w:p>
    <w:p>
      <w:pPr>
        <w:jc w:val="both"/>
        <w:ind w:left="340" w:hanging="332"/>
        <w:spacing w:after="0" w:line="245" w:lineRule="auto"/>
        <w:tabs>
          <w:tab w:leader="none" w:pos="387"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2019 stock awards are included in Note 17 to our audited financial statements for the fiscal year ended December 31, 2019, included in our 2019 Form 10-K. The grant date value of the 2019 stock awards assuming achievement of the highest level of performance conditions are: for Mr. Ferraro, $3,749,979; Mr. North, $4,749,951; Mr. Rankin, $2,750,038, Mr. Linnen, $715,029 and Mr. De Shon, $9,760,012. The 2019 stock awards are further discussed in the Compensation Discussion &amp; Analysis (the “CD&amp;A”).</w:t>
      </w:r>
    </w:p>
    <w:p>
      <w:pPr>
        <w:spacing w:after="0" w:line="96" w:lineRule="exact"/>
        <w:rPr>
          <w:rFonts w:ascii="Arial" w:cs="Arial" w:eastAsia="Arial" w:hAnsi="Arial"/>
          <w:sz w:val="14"/>
          <w:szCs w:val="14"/>
          <w:color w:val="auto"/>
        </w:rPr>
      </w:pPr>
    </w:p>
    <w:p>
      <w:pPr>
        <w:jc w:val="both"/>
        <w:ind w:left="340" w:hanging="332"/>
        <w:spacing w:after="0" w:line="249" w:lineRule="auto"/>
        <w:tabs>
          <w:tab w:leader="none" w:pos="345"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2019, amounts reflected were earned based on the terms of the 2019 AIP as further discussed in the CD&amp;A and include amounts deferred under the Company’s Deferred Compensation Plan. For prior years, amounts were earned based on pre-established annual performance goals and include amounts deferred under the Company’s Deferred Compensation Plan.</w:t>
      </w:r>
    </w:p>
    <w:p>
      <w:pPr>
        <w:spacing w:after="0" w:line="92" w:lineRule="exact"/>
        <w:rPr>
          <w:rFonts w:ascii="Arial" w:cs="Arial" w:eastAsia="Arial" w:hAnsi="Arial"/>
          <w:sz w:val="14"/>
          <w:szCs w:val="14"/>
          <w:color w:val="auto"/>
        </w:rPr>
      </w:pPr>
    </w:p>
    <w:p>
      <w:pPr>
        <w:jc w:val="both"/>
        <w:ind w:left="340" w:hanging="332"/>
        <w:spacing w:after="0" w:line="244" w:lineRule="auto"/>
        <w:tabs>
          <w:tab w:leader="none" w:pos="355"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Mr. Ferraro, the reported change in pension value for 2017 represents the change in value accumulated in the Avis Rent A Car System, LLC Pension Plan. For 2018, Mr. Ferraro’s pension value decreased by $20,594, primarily driven by an increase in the discount rate. During 2019, Mr. Ferraro’s change in pension value increased by $44,988 primarily driven by a decrease in the discount rate. Avis froze this qualified defined benefit pension plan to new participation and future benefit accruals as of December 31, 1998. For Mr. Smith, the reported change in pension value during the year represents the increased value accumulated in the Avis UK Pension Plan. Pension values for Mr. Smith reflect a £/$exchange rate as of the date paid, received, or allocated. Please see the “Pension Benefits Table” for further information regarding these plans.</w:t>
      </w:r>
    </w:p>
    <w:p>
      <w:pPr>
        <w:spacing w:after="0" w:line="97"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All Other Compensation is comprised of the benefits and perquisites presented in the following tables.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 Other Compensation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rPr>
              <w:t>Company</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rPr>
              <w:t>Contributions</w:t>
            </w:r>
          </w:p>
        </w:tc>
        <w:tc>
          <w:tcPr>
            <w:tcW w:w="1460" w:type="dxa"/>
            <w:vAlign w:val="bottom"/>
          </w:tcPr>
          <w:p>
            <w:pPr>
              <w:spacing w:after="0"/>
              <w:rPr>
                <w:sz w:val="14"/>
                <w:szCs w:val="14"/>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rPr>
              <w:t>Expatriate,</w:t>
            </w:r>
          </w:p>
        </w:tc>
        <w:tc>
          <w:tcPr>
            <w:tcW w:w="150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Tax</w:t>
            </w:r>
          </w:p>
        </w:tc>
        <w:tc>
          <w:tcPr>
            <w:tcW w:w="142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Arial" w:cs="Arial" w:eastAsia="Arial" w:hAnsi="Arial"/>
                <w:sz w:val="14"/>
                <w:szCs w:val="14"/>
                <w:b w:val="1"/>
                <w:bCs w:val="1"/>
                <w:color w:val="auto"/>
              </w:rPr>
              <w:t>To Deferred</w:t>
            </w:r>
          </w:p>
        </w:tc>
        <w:tc>
          <w:tcPr>
            <w:tcW w:w="1460" w:type="dxa"/>
            <w:vAlign w:val="bottom"/>
          </w:tcPr>
          <w:p>
            <w:pPr>
              <w:spacing w:after="0"/>
              <w:rPr>
                <w:sz w:val="14"/>
                <w:szCs w:val="14"/>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rPr>
              <w:t>Relocation</w:t>
            </w:r>
          </w:p>
        </w:tc>
        <w:tc>
          <w:tcPr>
            <w:tcW w:w="1500" w:type="dxa"/>
            <w:vAlign w:val="bottom"/>
          </w:tcPr>
          <w:p>
            <w:pPr>
              <w:jc w:val="center"/>
              <w:ind w:right="128"/>
              <w:spacing w:after="0"/>
              <w:rPr>
                <w:sz w:val="20"/>
                <w:szCs w:val="20"/>
                <w:color w:val="auto"/>
              </w:rPr>
            </w:pPr>
            <w:r>
              <w:rPr>
                <w:rFonts w:ascii="Arial" w:cs="Arial" w:eastAsia="Arial" w:hAnsi="Arial"/>
                <w:sz w:val="14"/>
                <w:szCs w:val="14"/>
                <w:b w:val="1"/>
                <w:bCs w:val="1"/>
                <w:color w:val="auto"/>
              </w:rPr>
              <w:t>Equalization</w:t>
            </w:r>
          </w:p>
        </w:tc>
        <w:tc>
          <w:tcPr>
            <w:tcW w:w="142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Compensation</w:t>
            </w:r>
          </w:p>
        </w:tc>
        <w:tc>
          <w:tcPr>
            <w:tcW w:w="1460" w:type="dxa"/>
            <w:vAlign w:val="bottom"/>
          </w:tcPr>
          <w:p>
            <w:pPr>
              <w:spacing w:after="0"/>
              <w:rPr>
                <w:sz w:val="14"/>
                <w:szCs w:val="14"/>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b w:val="1"/>
                <w:bCs w:val="1"/>
                <w:color w:val="auto"/>
              </w:rPr>
              <w:t>and Other</w:t>
            </w:r>
          </w:p>
        </w:tc>
        <w:tc>
          <w:tcPr>
            <w:tcW w:w="1500" w:type="dxa"/>
            <w:vAlign w:val="bottom"/>
          </w:tcPr>
          <w:p>
            <w:pPr>
              <w:jc w:val="center"/>
              <w:ind w:right="128"/>
              <w:spacing w:after="0"/>
              <w:rPr>
                <w:sz w:val="20"/>
                <w:szCs w:val="20"/>
                <w:color w:val="auto"/>
              </w:rPr>
            </w:pPr>
            <w:r>
              <w:rPr>
                <w:rFonts w:ascii="Arial" w:cs="Arial" w:eastAsia="Arial" w:hAnsi="Arial"/>
                <w:sz w:val="14"/>
                <w:szCs w:val="14"/>
                <w:b w:val="1"/>
                <w:bCs w:val="1"/>
                <w:color w:val="auto"/>
              </w:rPr>
              <w:t>and</w:t>
            </w: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1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rPr>
              <w:t>Plans</w:t>
            </w:r>
          </w:p>
        </w:tc>
        <w:tc>
          <w:tcPr>
            <w:tcW w:w="1460" w:type="dxa"/>
            <w:vAlign w:val="bottom"/>
          </w:tcPr>
          <w:p>
            <w:pPr>
              <w:jc w:val="right"/>
              <w:ind w:right="428"/>
              <w:spacing w:after="0"/>
              <w:rPr>
                <w:sz w:val="20"/>
                <w:szCs w:val="20"/>
                <w:color w:val="auto"/>
              </w:rPr>
            </w:pPr>
            <w:r>
              <w:rPr>
                <w:rFonts w:ascii="Arial" w:cs="Arial" w:eastAsia="Arial" w:hAnsi="Arial"/>
                <w:sz w:val="14"/>
                <w:szCs w:val="14"/>
                <w:b w:val="1"/>
                <w:bCs w:val="1"/>
                <w:color w:val="auto"/>
              </w:rPr>
              <w:t>Perquisites</w:t>
            </w:r>
          </w:p>
        </w:tc>
        <w:tc>
          <w:tcPr>
            <w:tcW w:w="1360" w:type="dxa"/>
            <w:vAlign w:val="bottom"/>
          </w:tcPr>
          <w:p>
            <w:pPr>
              <w:jc w:val="center"/>
              <w:ind w:right="168"/>
              <w:spacing w:after="0"/>
              <w:rPr>
                <w:sz w:val="20"/>
                <w:szCs w:val="20"/>
                <w:color w:val="auto"/>
              </w:rPr>
            </w:pPr>
            <w:r>
              <w:rPr>
                <w:rFonts w:ascii="Arial" w:cs="Arial" w:eastAsia="Arial" w:hAnsi="Arial"/>
                <w:sz w:val="14"/>
                <w:szCs w:val="14"/>
                <w:b w:val="1"/>
                <w:bCs w:val="1"/>
                <w:color w:val="auto"/>
              </w:rPr>
              <w:t>Benefits</w:t>
            </w:r>
          </w:p>
        </w:tc>
        <w:tc>
          <w:tcPr>
            <w:tcW w:w="1500" w:type="dxa"/>
            <w:vAlign w:val="bottom"/>
          </w:tcPr>
          <w:p>
            <w:pPr>
              <w:jc w:val="center"/>
              <w:ind w:right="128"/>
              <w:spacing w:after="0"/>
              <w:rPr>
                <w:sz w:val="20"/>
                <w:szCs w:val="20"/>
                <w:color w:val="auto"/>
              </w:rPr>
            </w:pPr>
            <w:r>
              <w:rPr>
                <w:rFonts w:ascii="Arial" w:cs="Arial" w:eastAsia="Arial" w:hAnsi="Arial"/>
                <w:sz w:val="14"/>
                <w:szCs w:val="14"/>
                <w:b w:val="1"/>
                <w:bCs w:val="1"/>
                <w:color w:val="auto"/>
              </w:rPr>
              <w:t>Reimbursement</w:t>
            </w: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w:t>
            </w:r>
          </w:p>
        </w:tc>
      </w:tr>
      <w:tr>
        <w:trPr>
          <w:trHeight w:val="190"/>
        </w:trPr>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ind w:left="1040"/>
              <w:spacing w:after="0"/>
              <w:rPr>
                <w:sz w:val="20"/>
                <w:szCs w:val="20"/>
                <w:color w:val="auto"/>
              </w:rPr>
            </w:pPr>
            <w:r>
              <w:rPr>
                <w:rFonts w:ascii="Arial" w:cs="Arial" w:eastAsia="Arial" w:hAnsi="Arial"/>
                <w:sz w:val="14"/>
                <w:szCs w:val="14"/>
                <w:b w:val="1"/>
                <w:bCs w:val="1"/>
                <w:color w:val="auto"/>
              </w:rPr>
              <w:t>Year</w:t>
            </w:r>
          </w:p>
        </w:tc>
        <w:tc>
          <w:tcPr>
            <w:tcW w:w="1600" w:type="dxa"/>
            <w:vAlign w:val="bottom"/>
          </w:tcPr>
          <w:p>
            <w:pPr>
              <w:jc w:val="center"/>
              <w:ind w:right="8"/>
              <w:spacing w:after="0"/>
              <w:rPr>
                <w:sz w:val="20"/>
                <w:szCs w:val="20"/>
                <w:color w:val="auto"/>
              </w:rPr>
            </w:pPr>
            <w:r>
              <w:rPr>
                <w:rFonts w:ascii="Arial" w:cs="Arial" w:eastAsia="Arial" w:hAnsi="Arial"/>
                <w:sz w:val="14"/>
                <w:szCs w:val="14"/>
                <w:b w:val="1"/>
                <w:bCs w:val="1"/>
                <w:color w:val="auto"/>
              </w:rPr>
              <w:t>($)(a)</w:t>
            </w:r>
          </w:p>
        </w:tc>
        <w:tc>
          <w:tcPr>
            <w:tcW w:w="1460" w:type="dxa"/>
            <w:vAlign w:val="bottom"/>
          </w:tcPr>
          <w:p>
            <w:pPr>
              <w:jc w:val="right"/>
              <w:ind w:right="608"/>
              <w:spacing w:after="0"/>
              <w:rPr>
                <w:sz w:val="20"/>
                <w:szCs w:val="20"/>
                <w:color w:val="auto"/>
              </w:rPr>
            </w:pPr>
            <w:r>
              <w:rPr>
                <w:rFonts w:ascii="Arial" w:cs="Arial" w:eastAsia="Arial" w:hAnsi="Arial"/>
                <w:sz w:val="14"/>
                <w:szCs w:val="14"/>
                <w:b w:val="1"/>
                <w:bCs w:val="1"/>
                <w:color w:val="auto"/>
              </w:rPr>
              <w:t>($)(b)</w:t>
            </w:r>
          </w:p>
        </w:tc>
        <w:tc>
          <w:tcPr>
            <w:tcW w:w="1360" w:type="dxa"/>
            <w:vAlign w:val="bottom"/>
          </w:tcPr>
          <w:p>
            <w:pPr>
              <w:jc w:val="center"/>
              <w:ind w:right="128"/>
              <w:spacing w:after="0"/>
              <w:rPr>
                <w:sz w:val="20"/>
                <w:szCs w:val="20"/>
                <w:color w:val="auto"/>
              </w:rPr>
            </w:pPr>
            <w:r>
              <w:rPr>
                <w:rFonts w:ascii="Arial" w:cs="Arial" w:eastAsia="Arial" w:hAnsi="Arial"/>
                <w:sz w:val="14"/>
                <w:szCs w:val="14"/>
                <w:b w:val="1"/>
                <w:bCs w:val="1"/>
                <w:color w:val="auto"/>
              </w:rPr>
              <w:t>($)(c)</w:t>
            </w:r>
          </w:p>
        </w:tc>
        <w:tc>
          <w:tcPr>
            <w:tcW w:w="1500" w:type="dxa"/>
            <w:vAlign w:val="bottom"/>
          </w:tcPr>
          <w:p>
            <w:pPr>
              <w:jc w:val="center"/>
              <w:ind w:right="108"/>
              <w:spacing w:after="0"/>
              <w:rPr>
                <w:sz w:val="20"/>
                <w:szCs w:val="20"/>
                <w:color w:val="auto"/>
              </w:rPr>
            </w:pPr>
            <w:r>
              <w:rPr>
                <w:rFonts w:ascii="Arial" w:cs="Arial" w:eastAsia="Arial" w:hAnsi="Arial"/>
                <w:sz w:val="14"/>
                <w:szCs w:val="14"/>
                <w:b w:val="1"/>
                <w:bCs w:val="1"/>
                <w:color w:val="auto"/>
              </w:rPr>
              <w:t>($)(d)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33"/>
        </w:trPr>
        <w:tc>
          <w:tcPr>
            <w:tcW w:w="19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7"/>
        </w:trPr>
        <w:tc>
          <w:tcPr>
            <w:tcW w:w="1960" w:type="dxa"/>
            <w:vAlign w:val="bottom"/>
            <w:shd w:val="clear" w:color="auto" w:fill="CCCCCC"/>
          </w:tcPr>
          <w:p>
            <w:pPr>
              <w:spacing w:after="0"/>
              <w:rPr>
                <w:sz w:val="20"/>
                <w:szCs w:val="20"/>
                <w:color w:val="auto"/>
              </w:rPr>
            </w:pPr>
            <w:r>
              <w:rPr>
                <w:rFonts w:ascii="Arial" w:cs="Arial" w:eastAsia="Arial" w:hAnsi="Arial"/>
                <w:sz w:val="14"/>
                <w:szCs w:val="14"/>
                <w:color w:val="auto"/>
              </w:rPr>
              <w:t>Mr. Ferraro</w:t>
            </w:r>
          </w:p>
        </w:tc>
        <w:tc>
          <w:tcPr>
            <w:tcW w:w="1580" w:type="dxa"/>
            <w:vAlign w:val="bottom"/>
            <w:shd w:val="clear" w:color="auto" w:fill="CCCCCC"/>
          </w:tcPr>
          <w:p>
            <w:pPr>
              <w:ind w:left="1040"/>
              <w:spacing w:after="0"/>
              <w:rPr>
                <w:sz w:val="20"/>
                <w:szCs w:val="20"/>
                <w:color w:val="auto"/>
              </w:rPr>
            </w:pPr>
            <w:r>
              <w:rPr>
                <w:rFonts w:ascii="Arial" w:cs="Arial" w:eastAsia="Arial" w:hAnsi="Arial"/>
                <w:sz w:val="14"/>
                <w:szCs w:val="14"/>
                <w:color w:val="auto"/>
              </w:rPr>
              <w:t>2019</w:t>
            </w:r>
          </w:p>
        </w:tc>
        <w:tc>
          <w:tcPr>
            <w:tcW w:w="16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96,959</w:t>
            </w:r>
          </w:p>
        </w:tc>
        <w:tc>
          <w:tcPr>
            <w:tcW w:w="14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39,081</w:t>
            </w:r>
          </w:p>
        </w:tc>
        <w:tc>
          <w:tcPr>
            <w:tcW w:w="13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737</w:t>
            </w:r>
          </w:p>
        </w:tc>
        <w:tc>
          <w:tcPr>
            <w:tcW w:w="150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136,777</w:t>
            </w:r>
          </w:p>
        </w:tc>
      </w:tr>
      <w:tr>
        <w:trPr>
          <w:trHeight w:val="162"/>
        </w:trPr>
        <w:tc>
          <w:tcPr>
            <w:tcW w:w="1960" w:type="dxa"/>
            <w:vAlign w:val="bottom"/>
            <w:shd w:val="clear" w:color="auto" w:fill="CCCCCC"/>
          </w:tcPr>
          <w:p>
            <w:pPr>
              <w:spacing w:after="0"/>
              <w:rPr>
                <w:sz w:val="14"/>
                <w:szCs w:val="14"/>
                <w:color w:val="auto"/>
              </w:rPr>
            </w:pPr>
          </w:p>
        </w:tc>
        <w:tc>
          <w:tcPr>
            <w:tcW w:w="1580" w:type="dxa"/>
            <w:vAlign w:val="bottom"/>
            <w:shd w:val="clear" w:color="auto" w:fill="CCCCCC"/>
          </w:tcPr>
          <w:p>
            <w:pPr>
              <w:ind w:left="1040"/>
              <w:spacing w:after="0"/>
              <w:rPr>
                <w:sz w:val="20"/>
                <w:szCs w:val="20"/>
                <w:color w:val="auto"/>
              </w:rPr>
            </w:pPr>
            <w:r>
              <w:rPr>
                <w:rFonts w:ascii="Arial" w:cs="Arial" w:eastAsia="Arial" w:hAnsi="Arial"/>
                <w:sz w:val="14"/>
                <w:szCs w:val="14"/>
                <w:color w:val="auto"/>
              </w:rPr>
              <w:t>2018</w:t>
            </w:r>
          </w:p>
        </w:tc>
        <w:tc>
          <w:tcPr>
            <w:tcW w:w="16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11,500</w:t>
            </w:r>
          </w:p>
        </w:tc>
        <w:tc>
          <w:tcPr>
            <w:tcW w:w="14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40,658</w:t>
            </w:r>
          </w:p>
        </w:tc>
        <w:tc>
          <w:tcPr>
            <w:tcW w:w="13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737</w:t>
            </w:r>
          </w:p>
        </w:tc>
        <w:tc>
          <w:tcPr>
            <w:tcW w:w="150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52,895</w:t>
            </w:r>
          </w:p>
        </w:tc>
      </w:tr>
      <w:tr>
        <w:trPr>
          <w:trHeight w:val="203"/>
        </w:trPr>
        <w:tc>
          <w:tcPr>
            <w:tcW w:w="1960" w:type="dxa"/>
            <w:vAlign w:val="bottom"/>
            <w:tcBorders>
              <w:bottom w:val="single" w:sz="8" w:color="CCCCCC"/>
            </w:tcBorders>
            <w:shd w:val="clear" w:color="auto" w:fill="CCCCCC"/>
          </w:tcPr>
          <w:p>
            <w:pPr>
              <w:spacing w:after="0"/>
              <w:rPr>
                <w:sz w:val="17"/>
                <w:szCs w:val="17"/>
                <w:color w:val="auto"/>
              </w:rPr>
            </w:pPr>
          </w:p>
        </w:tc>
        <w:tc>
          <w:tcPr>
            <w:tcW w:w="1580" w:type="dxa"/>
            <w:vAlign w:val="bottom"/>
            <w:tcBorders>
              <w:bottom w:val="single" w:sz="8" w:color="CCCCCC"/>
            </w:tcBorders>
            <w:shd w:val="clear" w:color="auto" w:fill="CCCCCC"/>
          </w:tcPr>
          <w:p>
            <w:pPr>
              <w:ind w:left="1040"/>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37,831</w:t>
            </w:r>
          </w:p>
        </w:tc>
        <w:tc>
          <w:tcPr>
            <w:tcW w:w="136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709</w:t>
            </w:r>
          </w:p>
        </w:tc>
        <w:tc>
          <w:tcPr>
            <w:tcW w:w="1500" w:type="dxa"/>
            <w:vAlign w:val="bottom"/>
            <w:tcBorders>
              <w:bottom w:val="single" w:sz="8" w:color="CCCCCC"/>
            </w:tcBorders>
            <w:shd w:val="clear" w:color="auto" w:fill="CCCCC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38,540</w:t>
            </w:r>
          </w:p>
        </w:tc>
      </w:tr>
      <w:tr>
        <w:trPr>
          <w:trHeight w:val="170"/>
        </w:trPr>
        <w:tc>
          <w:tcPr>
            <w:tcW w:w="1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Mr. North</w:t>
            </w:r>
          </w:p>
        </w:tc>
        <w:tc>
          <w:tcPr>
            <w:tcW w:w="1580" w:type="dxa"/>
            <w:vAlign w:val="bottom"/>
            <w:tcBorders>
              <w:top w:val="single" w:sz="8" w:color="auto"/>
            </w:tcBorders>
          </w:tcPr>
          <w:p>
            <w:pPr>
              <w:ind w:left="1040"/>
              <w:spacing w:after="0"/>
              <w:rPr>
                <w:sz w:val="20"/>
                <w:szCs w:val="20"/>
                <w:color w:val="auto"/>
              </w:rPr>
            </w:pPr>
            <w:r>
              <w:rPr>
                <w:rFonts w:ascii="Arial" w:cs="Arial" w:eastAsia="Arial" w:hAnsi="Arial"/>
                <w:sz w:val="14"/>
                <w:szCs w:val="14"/>
                <w:color w:val="auto"/>
              </w:rPr>
              <w:t>2019</w:t>
            </w:r>
          </w:p>
        </w:tc>
        <w:tc>
          <w:tcPr>
            <w:tcW w:w="16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23,539</w:t>
            </w:r>
          </w:p>
        </w:tc>
        <w:tc>
          <w:tcPr>
            <w:tcW w:w="14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29,206</w:t>
            </w:r>
          </w:p>
        </w:tc>
        <w:tc>
          <w:tcPr>
            <w:tcW w:w="13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226,892</w:t>
            </w:r>
          </w:p>
        </w:tc>
        <w:tc>
          <w:tcPr>
            <w:tcW w:w="15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279,637</w:t>
            </w:r>
          </w:p>
        </w:tc>
      </w:tr>
      <w:tr>
        <w:trPr>
          <w:trHeight w:val="93"/>
        </w:trPr>
        <w:tc>
          <w:tcPr>
            <w:tcW w:w="19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170"/>
        </w:trPr>
        <w:tc>
          <w:tcPr>
            <w:tcW w:w="1960" w:type="dxa"/>
            <w:vAlign w:val="bottom"/>
            <w:shd w:val="clear" w:color="auto" w:fill="CCCCCC"/>
          </w:tcPr>
          <w:p>
            <w:pPr>
              <w:spacing w:after="0"/>
              <w:rPr>
                <w:sz w:val="20"/>
                <w:szCs w:val="20"/>
                <w:color w:val="auto"/>
              </w:rPr>
            </w:pPr>
            <w:r>
              <w:rPr>
                <w:rFonts w:ascii="Arial" w:cs="Arial" w:eastAsia="Arial" w:hAnsi="Arial"/>
                <w:sz w:val="14"/>
                <w:szCs w:val="14"/>
                <w:color w:val="auto"/>
              </w:rPr>
              <w:t>Mr. Rankin</w:t>
            </w:r>
          </w:p>
        </w:tc>
        <w:tc>
          <w:tcPr>
            <w:tcW w:w="1580" w:type="dxa"/>
            <w:vAlign w:val="bottom"/>
            <w:shd w:val="clear" w:color="auto" w:fill="CCCCCC"/>
          </w:tcPr>
          <w:p>
            <w:pPr>
              <w:ind w:left="1040"/>
              <w:spacing w:after="0"/>
              <w:rPr>
                <w:sz w:val="20"/>
                <w:szCs w:val="20"/>
                <w:color w:val="auto"/>
              </w:rPr>
            </w:pPr>
            <w:r>
              <w:rPr>
                <w:rFonts w:ascii="Arial" w:cs="Arial" w:eastAsia="Arial" w:hAnsi="Arial"/>
                <w:sz w:val="14"/>
                <w:szCs w:val="14"/>
                <w:color w:val="auto"/>
              </w:rPr>
              <w:t>2019</w:t>
            </w:r>
          </w:p>
        </w:tc>
        <w:tc>
          <w:tcPr>
            <w:tcW w:w="16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4,407</w:t>
            </w:r>
          </w:p>
        </w:tc>
        <w:tc>
          <w:tcPr>
            <w:tcW w:w="14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11,038</w:t>
            </w:r>
          </w:p>
        </w:tc>
        <w:tc>
          <w:tcPr>
            <w:tcW w:w="13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151,165</w:t>
            </w:r>
          </w:p>
        </w:tc>
        <w:tc>
          <w:tcPr>
            <w:tcW w:w="150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166,610</w:t>
            </w:r>
          </w:p>
        </w:tc>
      </w:tr>
      <w:tr>
        <w:trPr>
          <w:trHeight w:val="93"/>
        </w:trPr>
        <w:tc>
          <w:tcPr>
            <w:tcW w:w="1960" w:type="dxa"/>
            <w:vAlign w:val="bottom"/>
            <w:tcBorders>
              <w:bottom w:val="single" w:sz="8" w:color="auto"/>
            </w:tcBorders>
            <w:shd w:val="clear" w:color="auto" w:fill="CCCCCC"/>
          </w:tcPr>
          <w:p>
            <w:pPr>
              <w:spacing w:after="0"/>
              <w:rPr>
                <w:sz w:val="8"/>
                <w:szCs w:val="8"/>
                <w:color w:val="auto"/>
              </w:rPr>
            </w:pPr>
          </w:p>
        </w:tc>
        <w:tc>
          <w:tcPr>
            <w:tcW w:w="1580" w:type="dxa"/>
            <w:vAlign w:val="bottom"/>
            <w:tcBorders>
              <w:bottom w:val="single" w:sz="8" w:color="auto"/>
            </w:tcBorders>
            <w:shd w:val="clear" w:color="auto" w:fill="CCCCCC"/>
          </w:tcPr>
          <w:p>
            <w:pPr>
              <w:spacing w:after="0"/>
              <w:rPr>
                <w:sz w:val="8"/>
                <w:szCs w:val="8"/>
                <w:color w:val="auto"/>
              </w:rPr>
            </w:pPr>
          </w:p>
        </w:tc>
        <w:tc>
          <w:tcPr>
            <w:tcW w:w="1600" w:type="dxa"/>
            <w:vAlign w:val="bottom"/>
            <w:tcBorders>
              <w:bottom w:val="single" w:sz="8" w:color="auto"/>
            </w:tcBorders>
            <w:shd w:val="clear" w:color="auto" w:fill="CCCCCC"/>
          </w:tcPr>
          <w:p>
            <w:pPr>
              <w:spacing w:after="0"/>
              <w:rPr>
                <w:sz w:val="8"/>
                <w:szCs w:val="8"/>
                <w:color w:val="auto"/>
              </w:rPr>
            </w:pPr>
          </w:p>
        </w:tc>
        <w:tc>
          <w:tcPr>
            <w:tcW w:w="1460" w:type="dxa"/>
            <w:vAlign w:val="bottom"/>
            <w:tcBorders>
              <w:bottom w:val="single" w:sz="8" w:color="auto"/>
            </w:tcBorders>
            <w:shd w:val="clear" w:color="auto" w:fill="CCCCCC"/>
          </w:tcPr>
          <w:p>
            <w:pPr>
              <w:spacing w:after="0"/>
              <w:rPr>
                <w:sz w:val="8"/>
                <w:szCs w:val="8"/>
                <w:color w:val="auto"/>
              </w:rPr>
            </w:pPr>
          </w:p>
        </w:tc>
        <w:tc>
          <w:tcPr>
            <w:tcW w:w="1360" w:type="dxa"/>
            <w:vAlign w:val="bottom"/>
            <w:tcBorders>
              <w:bottom w:val="single" w:sz="8" w:color="auto"/>
            </w:tcBorders>
            <w:shd w:val="clear" w:color="auto" w:fill="CCCCCC"/>
          </w:tcPr>
          <w:p>
            <w:pPr>
              <w:spacing w:after="0"/>
              <w:rPr>
                <w:sz w:val="8"/>
                <w:szCs w:val="8"/>
                <w:color w:val="auto"/>
              </w:rPr>
            </w:pPr>
          </w:p>
        </w:tc>
        <w:tc>
          <w:tcPr>
            <w:tcW w:w="1500" w:type="dxa"/>
            <w:vAlign w:val="bottom"/>
            <w:tcBorders>
              <w:bottom w:val="single" w:sz="8" w:color="auto"/>
            </w:tcBorders>
            <w:shd w:val="clear" w:color="auto" w:fill="CCCCCC"/>
          </w:tcPr>
          <w:p>
            <w:pPr>
              <w:spacing w:after="0"/>
              <w:rPr>
                <w:sz w:val="8"/>
                <w:szCs w:val="8"/>
                <w:color w:val="auto"/>
              </w:rPr>
            </w:pPr>
          </w:p>
        </w:tc>
        <w:tc>
          <w:tcPr>
            <w:tcW w:w="1420" w:type="dxa"/>
            <w:vAlign w:val="bottom"/>
            <w:tcBorders>
              <w:bottom w:val="single" w:sz="8" w:color="auto"/>
            </w:tcBorders>
            <w:shd w:val="clear" w:color="auto" w:fill="CCCCCC"/>
          </w:tcPr>
          <w:p>
            <w:pPr>
              <w:spacing w:after="0"/>
              <w:rPr>
                <w:sz w:val="8"/>
                <w:szCs w:val="8"/>
                <w:color w:val="auto"/>
              </w:rPr>
            </w:pPr>
          </w:p>
        </w:tc>
      </w:tr>
      <w:tr>
        <w:trPr>
          <w:trHeight w:val="170"/>
        </w:trPr>
        <w:tc>
          <w:tcPr>
            <w:tcW w:w="1960" w:type="dxa"/>
            <w:vAlign w:val="bottom"/>
          </w:tcPr>
          <w:p>
            <w:pPr>
              <w:spacing w:after="0"/>
              <w:rPr>
                <w:sz w:val="20"/>
                <w:szCs w:val="20"/>
                <w:color w:val="auto"/>
              </w:rPr>
            </w:pPr>
            <w:r>
              <w:rPr>
                <w:rFonts w:ascii="Arial" w:cs="Arial" w:eastAsia="Arial" w:hAnsi="Arial"/>
                <w:sz w:val="14"/>
                <w:szCs w:val="14"/>
                <w:color w:val="auto"/>
              </w:rPr>
              <w:t>Mr. Linnen</w:t>
            </w:r>
          </w:p>
        </w:tc>
        <w:tc>
          <w:tcPr>
            <w:tcW w:w="1580" w:type="dxa"/>
            <w:vAlign w:val="bottom"/>
          </w:tcPr>
          <w:p>
            <w:pPr>
              <w:ind w:left="1040"/>
              <w:spacing w:after="0"/>
              <w:rPr>
                <w:sz w:val="20"/>
                <w:szCs w:val="20"/>
                <w:color w:val="auto"/>
              </w:rPr>
            </w:pPr>
            <w:r>
              <w:rPr>
                <w:rFonts w:ascii="Arial" w:cs="Arial" w:eastAsia="Arial" w:hAnsi="Arial"/>
                <w:sz w:val="14"/>
                <w:szCs w:val="14"/>
                <w:color w:val="auto"/>
              </w:rPr>
              <w:t>2019</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29,769</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28,481</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58,789</w:t>
            </w:r>
          </w:p>
        </w:tc>
      </w:tr>
      <w:tr>
        <w:trPr>
          <w:trHeight w:val="93"/>
        </w:trPr>
        <w:tc>
          <w:tcPr>
            <w:tcW w:w="19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160"/>
        </w:trPr>
        <w:tc>
          <w:tcPr>
            <w:tcW w:w="1960" w:type="dxa"/>
            <w:vAlign w:val="bottom"/>
            <w:shd w:val="clear" w:color="auto" w:fill="CCCCCC"/>
          </w:tcPr>
          <w:p>
            <w:pPr>
              <w:spacing w:after="0"/>
              <w:rPr>
                <w:sz w:val="20"/>
                <w:szCs w:val="20"/>
                <w:color w:val="auto"/>
              </w:rPr>
            </w:pPr>
            <w:r>
              <w:rPr>
                <w:rFonts w:ascii="Arial" w:cs="Arial" w:eastAsia="Arial" w:hAnsi="Arial"/>
                <w:sz w:val="14"/>
                <w:szCs w:val="14"/>
                <w:color w:val="auto"/>
              </w:rPr>
              <w:t>Mr. De Shon</w:t>
            </w:r>
          </w:p>
        </w:tc>
        <w:tc>
          <w:tcPr>
            <w:tcW w:w="1580" w:type="dxa"/>
            <w:vAlign w:val="bottom"/>
            <w:shd w:val="clear" w:color="auto" w:fill="CCCCCC"/>
          </w:tcPr>
          <w:p>
            <w:pPr>
              <w:ind w:left="1040"/>
              <w:spacing w:after="0"/>
              <w:rPr>
                <w:sz w:val="20"/>
                <w:szCs w:val="20"/>
                <w:color w:val="auto"/>
              </w:rPr>
            </w:pPr>
            <w:r>
              <w:rPr>
                <w:rFonts w:ascii="Arial" w:cs="Arial" w:eastAsia="Arial" w:hAnsi="Arial"/>
                <w:sz w:val="14"/>
                <w:szCs w:val="14"/>
                <w:color w:val="auto"/>
              </w:rPr>
              <w:t>2019</w:t>
            </w:r>
          </w:p>
        </w:tc>
        <w:tc>
          <w:tcPr>
            <w:tcW w:w="16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173,047</w:t>
            </w:r>
          </w:p>
        </w:tc>
        <w:tc>
          <w:tcPr>
            <w:tcW w:w="14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50,700</w:t>
            </w:r>
          </w:p>
        </w:tc>
        <w:tc>
          <w:tcPr>
            <w:tcW w:w="13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7,500,756</w:t>
            </w:r>
          </w:p>
        </w:tc>
        <w:tc>
          <w:tcPr>
            <w:tcW w:w="150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5,944</w:t>
            </w:r>
          </w:p>
        </w:tc>
        <w:tc>
          <w:tcPr>
            <w:tcW w:w="14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7,730,447</w:t>
            </w:r>
          </w:p>
        </w:tc>
      </w:tr>
      <w:tr>
        <w:trPr>
          <w:trHeight w:val="162"/>
        </w:trPr>
        <w:tc>
          <w:tcPr>
            <w:tcW w:w="1960" w:type="dxa"/>
            <w:vAlign w:val="bottom"/>
            <w:shd w:val="clear" w:color="auto" w:fill="CCCCCC"/>
          </w:tcPr>
          <w:p>
            <w:pPr>
              <w:spacing w:after="0"/>
              <w:rPr>
                <w:sz w:val="14"/>
                <w:szCs w:val="14"/>
                <w:color w:val="auto"/>
              </w:rPr>
            </w:pPr>
          </w:p>
        </w:tc>
        <w:tc>
          <w:tcPr>
            <w:tcW w:w="1580" w:type="dxa"/>
            <w:vAlign w:val="bottom"/>
            <w:shd w:val="clear" w:color="auto" w:fill="CCCCCC"/>
          </w:tcPr>
          <w:p>
            <w:pPr>
              <w:ind w:left="1040"/>
              <w:spacing w:after="0"/>
              <w:rPr>
                <w:sz w:val="20"/>
                <w:szCs w:val="20"/>
                <w:color w:val="auto"/>
              </w:rPr>
            </w:pPr>
            <w:r>
              <w:rPr>
                <w:rFonts w:ascii="Arial" w:cs="Arial" w:eastAsia="Arial" w:hAnsi="Arial"/>
                <w:sz w:val="14"/>
                <w:szCs w:val="14"/>
                <w:color w:val="auto"/>
              </w:rPr>
              <w:t>2018</w:t>
            </w:r>
          </w:p>
        </w:tc>
        <w:tc>
          <w:tcPr>
            <w:tcW w:w="16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66,000</w:t>
            </w:r>
          </w:p>
        </w:tc>
        <w:tc>
          <w:tcPr>
            <w:tcW w:w="14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57,392</w:t>
            </w:r>
          </w:p>
        </w:tc>
        <w:tc>
          <w:tcPr>
            <w:tcW w:w="13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756</w:t>
            </w:r>
          </w:p>
        </w:tc>
        <w:tc>
          <w:tcPr>
            <w:tcW w:w="150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3,518</w:t>
            </w:r>
          </w:p>
        </w:tc>
        <w:tc>
          <w:tcPr>
            <w:tcW w:w="14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127,666</w:t>
            </w:r>
          </w:p>
        </w:tc>
      </w:tr>
      <w:tr>
        <w:trPr>
          <w:trHeight w:val="203"/>
        </w:trPr>
        <w:tc>
          <w:tcPr>
            <w:tcW w:w="1960" w:type="dxa"/>
            <w:vAlign w:val="bottom"/>
            <w:tcBorders>
              <w:bottom w:val="single" w:sz="8" w:color="CCCCCC"/>
            </w:tcBorders>
            <w:shd w:val="clear" w:color="auto" w:fill="CCCCCC"/>
          </w:tcPr>
          <w:p>
            <w:pPr>
              <w:spacing w:after="0"/>
              <w:rPr>
                <w:sz w:val="17"/>
                <w:szCs w:val="17"/>
                <w:color w:val="auto"/>
              </w:rPr>
            </w:pPr>
          </w:p>
        </w:tc>
        <w:tc>
          <w:tcPr>
            <w:tcW w:w="1580" w:type="dxa"/>
            <w:vAlign w:val="bottom"/>
            <w:tcBorders>
              <w:bottom w:val="single" w:sz="8" w:color="CCCCCC"/>
            </w:tcBorders>
            <w:shd w:val="clear" w:color="auto" w:fill="CCCCCC"/>
          </w:tcPr>
          <w:p>
            <w:pPr>
              <w:ind w:left="1040"/>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rPr>
              <w:t>104,769</w:t>
            </w:r>
          </w:p>
        </w:tc>
        <w:tc>
          <w:tcPr>
            <w:tcW w:w="14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43,977</w:t>
            </w:r>
          </w:p>
        </w:tc>
        <w:tc>
          <w:tcPr>
            <w:tcW w:w="136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756</w:t>
            </w:r>
          </w:p>
        </w:tc>
        <w:tc>
          <w:tcPr>
            <w:tcW w:w="1500" w:type="dxa"/>
            <w:vAlign w:val="bottom"/>
            <w:tcBorders>
              <w:bottom w:val="single" w:sz="8" w:color="CCCCCC"/>
            </w:tcBorders>
            <w:shd w:val="clear" w:color="auto" w:fill="CCCCCC"/>
          </w:tcPr>
          <w:p>
            <w:pPr>
              <w:jc w:val="right"/>
              <w:ind w:right="88"/>
              <w:spacing w:after="0"/>
              <w:rPr>
                <w:sz w:val="20"/>
                <w:szCs w:val="20"/>
                <w:color w:val="auto"/>
              </w:rPr>
            </w:pPr>
            <w:r>
              <w:rPr>
                <w:rFonts w:ascii="Arial" w:cs="Arial" w:eastAsia="Arial" w:hAnsi="Arial"/>
                <w:sz w:val="14"/>
                <w:szCs w:val="14"/>
                <w:color w:val="auto"/>
              </w:rPr>
              <w:t>189,516</w:t>
            </w:r>
          </w:p>
        </w:tc>
        <w:tc>
          <w:tcPr>
            <w:tcW w:w="14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339,018</w:t>
            </w:r>
          </w:p>
        </w:tc>
      </w:tr>
      <w:tr>
        <w:trPr>
          <w:trHeight w:val="160"/>
        </w:trPr>
        <w:tc>
          <w:tcPr>
            <w:tcW w:w="1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Mr. Smith</w:t>
            </w:r>
          </w:p>
        </w:tc>
        <w:tc>
          <w:tcPr>
            <w:tcW w:w="1580" w:type="dxa"/>
            <w:vAlign w:val="bottom"/>
            <w:tcBorders>
              <w:top w:val="single" w:sz="8" w:color="auto"/>
            </w:tcBorders>
          </w:tcPr>
          <w:p>
            <w:pPr>
              <w:ind w:left="1040"/>
              <w:spacing w:after="0"/>
              <w:rPr>
                <w:sz w:val="20"/>
                <w:szCs w:val="20"/>
                <w:color w:val="auto"/>
              </w:rPr>
            </w:pPr>
            <w:r>
              <w:rPr>
                <w:rFonts w:ascii="Arial" w:cs="Arial" w:eastAsia="Arial" w:hAnsi="Arial"/>
                <w:sz w:val="14"/>
                <w:szCs w:val="14"/>
                <w:color w:val="auto"/>
              </w:rPr>
              <w:t>2019</w:t>
            </w:r>
          </w:p>
        </w:tc>
        <w:tc>
          <w:tcPr>
            <w:tcW w:w="16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3,932</w:t>
            </w:r>
          </w:p>
        </w:tc>
        <w:tc>
          <w:tcPr>
            <w:tcW w:w="13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982,309</w:t>
            </w:r>
          </w:p>
        </w:tc>
        <w:tc>
          <w:tcPr>
            <w:tcW w:w="15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986,241</w:t>
            </w:r>
          </w:p>
        </w:tc>
      </w:tr>
      <w:tr>
        <w:trPr>
          <w:trHeight w:val="162"/>
        </w:trPr>
        <w:tc>
          <w:tcPr>
            <w:tcW w:w="1960" w:type="dxa"/>
            <w:vAlign w:val="bottom"/>
          </w:tcPr>
          <w:p>
            <w:pPr>
              <w:spacing w:after="0"/>
              <w:rPr>
                <w:sz w:val="14"/>
                <w:szCs w:val="14"/>
                <w:color w:val="auto"/>
              </w:rPr>
            </w:pPr>
          </w:p>
        </w:tc>
        <w:tc>
          <w:tcPr>
            <w:tcW w:w="1580" w:type="dxa"/>
            <w:vAlign w:val="bottom"/>
          </w:tcPr>
          <w:p>
            <w:pPr>
              <w:ind w:left="1040"/>
              <w:spacing w:after="0"/>
              <w:rPr>
                <w:sz w:val="20"/>
                <w:szCs w:val="20"/>
                <w:color w:val="auto"/>
              </w:rPr>
            </w:pPr>
            <w:r>
              <w:rPr>
                <w:rFonts w:ascii="Arial" w:cs="Arial" w:eastAsia="Arial" w:hAnsi="Arial"/>
                <w:sz w:val="14"/>
                <w:szCs w:val="14"/>
                <w:color w:val="auto"/>
              </w:rPr>
              <w:t>2018</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12,843</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161,811</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174,654</w:t>
            </w:r>
          </w:p>
        </w:tc>
      </w:tr>
      <w:tr>
        <w:trPr>
          <w:trHeight w:val="172"/>
        </w:trPr>
        <w:tc>
          <w:tcPr>
            <w:tcW w:w="1960" w:type="dxa"/>
            <w:vAlign w:val="bottom"/>
          </w:tcPr>
          <w:p>
            <w:pPr>
              <w:spacing w:after="0"/>
              <w:rPr>
                <w:sz w:val="14"/>
                <w:szCs w:val="14"/>
                <w:color w:val="auto"/>
              </w:rPr>
            </w:pPr>
          </w:p>
        </w:tc>
        <w:tc>
          <w:tcPr>
            <w:tcW w:w="1580" w:type="dxa"/>
            <w:vAlign w:val="bottom"/>
          </w:tcPr>
          <w:p>
            <w:pPr>
              <w:ind w:left="1040"/>
              <w:spacing w:after="0"/>
              <w:rPr>
                <w:sz w:val="20"/>
                <w:szCs w:val="20"/>
                <w:color w:val="auto"/>
              </w:rPr>
            </w:pPr>
            <w:r>
              <w:rPr>
                <w:rFonts w:ascii="Arial" w:cs="Arial" w:eastAsia="Arial" w:hAnsi="Arial"/>
                <w:sz w:val="14"/>
                <w:szCs w:val="14"/>
                <w:color w:val="auto"/>
              </w:rPr>
              <w:t>2017</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13,853</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74,878</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88,731</w:t>
            </w:r>
          </w:p>
        </w:tc>
      </w:tr>
      <w:tr>
        <w:trPr>
          <w:trHeight w:val="26"/>
        </w:trPr>
        <w:tc>
          <w:tcPr>
            <w:tcW w:w="19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1960" w:type="dxa"/>
            <w:vAlign w:val="bottom"/>
            <w:shd w:val="clear" w:color="auto" w:fill="CCCCCC"/>
          </w:tcPr>
          <w:p>
            <w:pPr>
              <w:spacing w:after="0"/>
              <w:rPr>
                <w:sz w:val="20"/>
                <w:szCs w:val="20"/>
                <w:color w:val="auto"/>
              </w:rPr>
            </w:pPr>
            <w:r>
              <w:rPr>
                <w:rFonts w:ascii="Arial" w:cs="Arial" w:eastAsia="Arial" w:hAnsi="Arial"/>
                <w:sz w:val="14"/>
                <w:szCs w:val="14"/>
                <w:color w:val="auto"/>
              </w:rPr>
              <w:t>Mr. Servodidio</w:t>
            </w:r>
          </w:p>
        </w:tc>
        <w:tc>
          <w:tcPr>
            <w:tcW w:w="1580" w:type="dxa"/>
            <w:vAlign w:val="bottom"/>
            <w:shd w:val="clear" w:color="auto" w:fill="CCCCCC"/>
          </w:tcPr>
          <w:p>
            <w:pPr>
              <w:ind w:left="1040"/>
              <w:spacing w:after="0"/>
              <w:rPr>
                <w:sz w:val="20"/>
                <w:szCs w:val="20"/>
                <w:color w:val="auto"/>
              </w:rPr>
            </w:pPr>
            <w:r>
              <w:rPr>
                <w:rFonts w:ascii="Arial" w:cs="Arial" w:eastAsia="Arial" w:hAnsi="Arial"/>
                <w:sz w:val="14"/>
                <w:szCs w:val="14"/>
                <w:color w:val="auto"/>
              </w:rPr>
              <w:t>2019</w:t>
            </w:r>
          </w:p>
        </w:tc>
        <w:tc>
          <w:tcPr>
            <w:tcW w:w="16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35,354</w:t>
            </w:r>
          </w:p>
        </w:tc>
        <w:tc>
          <w:tcPr>
            <w:tcW w:w="14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12,737</w:t>
            </w:r>
          </w:p>
        </w:tc>
        <w:tc>
          <w:tcPr>
            <w:tcW w:w="13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2,644,255</w:t>
            </w:r>
          </w:p>
        </w:tc>
        <w:tc>
          <w:tcPr>
            <w:tcW w:w="150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1,292,972</w:t>
            </w:r>
          </w:p>
        </w:tc>
        <w:tc>
          <w:tcPr>
            <w:tcW w:w="14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3,985,318</w:t>
            </w:r>
          </w:p>
        </w:tc>
      </w:tr>
      <w:tr>
        <w:trPr>
          <w:trHeight w:val="162"/>
        </w:trPr>
        <w:tc>
          <w:tcPr>
            <w:tcW w:w="1960" w:type="dxa"/>
            <w:vAlign w:val="bottom"/>
            <w:shd w:val="clear" w:color="auto" w:fill="CCCCCC"/>
          </w:tcPr>
          <w:p>
            <w:pPr>
              <w:spacing w:after="0"/>
              <w:rPr>
                <w:sz w:val="14"/>
                <w:szCs w:val="14"/>
                <w:color w:val="auto"/>
              </w:rPr>
            </w:pPr>
          </w:p>
        </w:tc>
        <w:tc>
          <w:tcPr>
            <w:tcW w:w="1580" w:type="dxa"/>
            <w:vAlign w:val="bottom"/>
            <w:shd w:val="clear" w:color="auto" w:fill="CCCCCC"/>
          </w:tcPr>
          <w:p>
            <w:pPr>
              <w:ind w:left="1040"/>
              <w:spacing w:after="0"/>
              <w:rPr>
                <w:sz w:val="20"/>
                <w:szCs w:val="20"/>
                <w:color w:val="auto"/>
              </w:rPr>
            </w:pPr>
            <w:r>
              <w:rPr>
                <w:rFonts w:ascii="Arial" w:cs="Arial" w:eastAsia="Arial" w:hAnsi="Arial"/>
                <w:sz w:val="14"/>
                <w:szCs w:val="14"/>
                <w:color w:val="auto"/>
              </w:rPr>
              <w:t>2018</w:t>
            </w:r>
          </w:p>
        </w:tc>
        <w:tc>
          <w:tcPr>
            <w:tcW w:w="160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55,677</w:t>
            </w:r>
          </w:p>
        </w:tc>
        <w:tc>
          <w:tcPr>
            <w:tcW w:w="146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24,203</w:t>
            </w:r>
          </w:p>
        </w:tc>
        <w:tc>
          <w:tcPr>
            <w:tcW w:w="13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267,657</w:t>
            </w:r>
          </w:p>
        </w:tc>
        <w:tc>
          <w:tcPr>
            <w:tcW w:w="150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1,503,797</w:t>
            </w:r>
          </w:p>
        </w:tc>
        <w:tc>
          <w:tcPr>
            <w:tcW w:w="14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1,851,334</w:t>
            </w:r>
          </w:p>
        </w:tc>
      </w:tr>
      <w:tr>
        <w:trPr>
          <w:trHeight w:val="178"/>
        </w:trPr>
        <w:tc>
          <w:tcPr>
            <w:tcW w:w="1960" w:type="dxa"/>
            <w:vAlign w:val="bottom"/>
            <w:tcBorders>
              <w:bottom w:val="single" w:sz="8" w:color="CCCCCC"/>
            </w:tcBorders>
            <w:shd w:val="clear" w:color="auto" w:fill="CCCCCC"/>
          </w:tcPr>
          <w:p>
            <w:pPr>
              <w:spacing w:after="0"/>
              <w:rPr>
                <w:sz w:val="15"/>
                <w:szCs w:val="15"/>
                <w:color w:val="auto"/>
              </w:rPr>
            </w:pPr>
          </w:p>
        </w:tc>
        <w:tc>
          <w:tcPr>
            <w:tcW w:w="1580" w:type="dxa"/>
            <w:vAlign w:val="bottom"/>
            <w:tcBorders>
              <w:bottom w:val="single" w:sz="8" w:color="CCCCCC"/>
            </w:tcBorders>
            <w:shd w:val="clear" w:color="auto" w:fill="CCCCCC"/>
          </w:tcPr>
          <w:p>
            <w:pPr>
              <w:ind w:left="1040"/>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rPr>
              <w:t>60,246</w:t>
            </w:r>
          </w:p>
        </w:tc>
        <w:tc>
          <w:tcPr>
            <w:tcW w:w="1460" w:type="dxa"/>
            <w:vAlign w:val="bottom"/>
            <w:tcBorders>
              <w:bottom w:val="single" w:sz="8" w:color="CCCCCC"/>
            </w:tcBorders>
            <w:shd w:val="clear" w:color="auto" w:fill="CCCCCC"/>
          </w:tcPr>
          <w:p>
            <w:pPr>
              <w:jc w:val="right"/>
              <w:ind w:right="128"/>
              <w:spacing w:after="0"/>
              <w:rPr>
                <w:sz w:val="20"/>
                <w:szCs w:val="20"/>
                <w:color w:val="auto"/>
              </w:rPr>
            </w:pPr>
            <w:r>
              <w:rPr>
                <w:rFonts w:ascii="Arial" w:cs="Arial" w:eastAsia="Arial" w:hAnsi="Arial"/>
                <w:sz w:val="14"/>
                <w:szCs w:val="14"/>
                <w:color w:val="auto"/>
              </w:rPr>
              <w:t>27,640</w:t>
            </w:r>
          </w:p>
        </w:tc>
        <w:tc>
          <w:tcPr>
            <w:tcW w:w="136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273,772</w:t>
            </w:r>
          </w:p>
        </w:tc>
        <w:tc>
          <w:tcPr>
            <w:tcW w:w="1500" w:type="dxa"/>
            <w:vAlign w:val="bottom"/>
            <w:tcBorders>
              <w:bottom w:val="single" w:sz="8" w:color="CCCCCC"/>
            </w:tcBorders>
            <w:shd w:val="clear" w:color="auto" w:fill="CCCCCC"/>
          </w:tcPr>
          <w:p>
            <w:pPr>
              <w:jc w:val="right"/>
              <w:ind w:right="88"/>
              <w:spacing w:after="0"/>
              <w:rPr>
                <w:sz w:val="20"/>
                <w:szCs w:val="20"/>
                <w:color w:val="auto"/>
              </w:rPr>
            </w:pPr>
            <w:r>
              <w:rPr>
                <w:rFonts w:ascii="Arial" w:cs="Arial" w:eastAsia="Arial" w:hAnsi="Arial"/>
                <w:sz w:val="14"/>
                <w:szCs w:val="14"/>
                <w:color w:val="auto"/>
              </w:rPr>
              <w:t>659,099</w:t>
            </w:r>
          </w:p>
        </w:tc>
        <w:tc>
          <w:tcPr>
            <w:tcW w:w="14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1,020,757</w:t>
            </w:r>
          </w:p>
        </w:tc>
      </w:tr>
      <w:tr>
        <w:trPr>
          <w:trHeight w:val="27"/>
        </w:trPr>
        <w:tc>
          <w:tcPr>
            <w:tcW w:w="19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r>
    </w:tbl>
    <w:p>
      <w:pPr>
        <w:spacing w:after="0" w:line="180" w:lineRule="exact"/>
        <w:rPr>
          <w:sz w:val="20"/>
          <w:szCs w:val="20"/>
          <w:color w:val="auto"/>
        </w:rPr>
      </w:pPr>
    </w:p>
    <w:p>
      <w:pPr>
        <w:jc w:val="both"/>
        <w:ind w:left="340" w:hanging="332"/>
        <w:spacing w:after="0" w:line="247" w:lineRule="auto"/>
        <w:tabs>
          <w:tab w:leader="none" w:pos="385"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Messrs. Ferraro, North, Linnen, De Shon and Servodidio, amounts represent Company matching contributions under the Company’s Deferred Compensation Plan for the benefit of certain of our executive officers. For Mr. Rankin, represents Company matching contributions under the “Defined Contribution” section of the Avis UK Pension Plan. Under the terms of the Deferred Compensation Plan and the Avis UK Pension Plan, participants may receive Company matching contributions up to a maximum cap of 6% and 4%, respectively.</w:t>
      </w:r>
    </w:p>
    <w:p>
      <w:pPr>
        <w:spacing w:after="0" w:line="93"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perquisites presented in the “Perquisites Table” set forth below.</w:t>
      </w:r>
    </w:p>
    <w:p>
      <w:pPr>
        <w:spacing w:after="0" w:line="109" w:lineRule="exact"/>
        <w:rPr>
          <w:rFonts w:ascii="Arial" w:cs="Arial" w:eastAsia="Arial" w:hAnsi="Arial"/>
          <w:sz w:val="14"/>
          <w:szCs w:val="14"/>
          <w:color w:val="auto"/>
        </w:rPr>
      </w:pPr>
    </w:p>
    <w:p>
      <w:pPr>
        <w:jc w:val="both"/>
        <w:ind w:left="340" w:hanging="332"/>
        <w:spacing w:after="0" w:line="244" w:lineRule="auto"/>
        <w:tabs>
          <w:tab w:leader="none" w:pos="403"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value of insurance premiums paid by the Company for a broad-based life insurance benefit. For Messrs. De Shon, Smith and Servodidio, also includes cash severance payments in the amounts of $7,500,000, $912,500 and $2,500,000, respectively, as further described under “Employment and Change of Control Agreements; Severance Arrangements.” For Messrs. North and Rankin, amounts also include relocation benefits in accordance with the Company’s standard policies for executives. Mr. Rankin’s amount also includes $58,324 for tuition reimbursement in accordance with his agreement with the Company. Mr. Smith’s amount includes benefits in connection with his relocation back to the United Kingdom, and Mr. Servodidio’s amount includes expatriate benefits in connection with his long-term assignment to the United Kingdom and benefits in connection with his relocation back to the United States, in each case as set forth below:</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Mr. Smith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34925</wp:posOffset>
            </wp:positionV>
            <wp:extent cx="65062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06210" cy="17145"/>
                    </a:xfrm>
                    <a:prstGeom prst="rect">
                      <a:avLst/>
                    </a:prstGeom>
                    <a:noFill/>
                  </pic:spPr>
                </pic:pic>
              </a:graphicData>
            </a:graphic>
          </wp:anchor>
        </w:drawing>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1740" w:type="dxa"/>
            <w:vAlign w:val="bottom"/>
          </w:tcPr>
          <w:p>
            <w:pPr>
              <w:ind w:left="840"/>
              <w:spacing w:after="0"/>
              <w:rPr>
                <w:sz w:val="20"/>
                <w:szCs w:val="20"/>
                <w:color w:val="auto"/>
              </w:rPr>
            </w:pPr>
            <w:r>
              <w:rPr>
                <w:rFonts w:ascii="Arial" w:cs="Arial" w:eastAsia="Arial" w:hAnsi="Arial"/>
                <w:sz w:val="14"/>
                <w:szCs w:val="14"/>
                <w:b w:val="1"/>
                <w:bCs w:val="1"/>
                <w:color w:val="auto"/>
              </w:rPr>
              <w:t>Year</w:t>
            </w:r>
          </w:p>
        </w:tc>
        <w:tc>
          <w:tcPr>
            <w:tcW w:w="2460" w:type="dxa"/>
            <w:vAlign w:val="bottom"/>
          </w:tcPr>
          <w:p>
            <w:pPr>
              <w:jc w:val="center"/>
              <w:ind w:left="228"/>
              <w:spacing w:after="0"/>
              <w:rPr>
                <w:sz w:val="20"/>
                <w:szCs w:val="20"/>
                <w:color w:val="auto"/>
              </w:rPr>
            </w:pPr>
            <w:r>
              <w:rPr>
                <w:rFonts w:ascii="Arial" w:cs="Arial" w:eastAsia="Arial" w:hAnsi="Arial"/>
                <w:sz w:val="14"/>
                <w:szCs w:val="14"/>
                <w:b w:val="1"/>
                <w:bCs w:val="1"/>
                <w:color w:val="auto"/>
              </w:rPr>
              <w:t>Company Paid Housing</w:t>
            </w:r>
          </w:p>
        </w:tc>
        <w:tc>
          <w:tcPr>
            <w:tcW w:w="2140" w:type="dxa"/>
            <w:vAlign w:val="bottom"/>
          </w:tcPr>
          <w:p>
            <w:pPr>
              <w:ind w:left="280"/>
              <w:spacing w:after="0"/>
              <w:rPr>
                <w:sz w:val="20"/>
                <w:szCs w:val="20"/>
                <w:color w:val="auto"/>
              </w:rPr>
            </w:pPr>
            <w:r>
              <w:rPr>
                <w:rFonts w:ascii="Arial" w:cs="Arial" w:eastAsia="Arial" w:hAnsi="Arial"/>
                <w:sz w:val="14"/>
                <w:szCs w:val="14"/>
                <w:b w:val="1"/>
                <w:bCs w:val="1"/>
                <w:color w:val="auto"/>
              </w:rPr>
              <w:t>Relocation Benefits***</w:t>
            </w:r>
          </w:p>
        </w:tc>
        <w:tc>
          <w:tcPr>
            <w:tcW w:w="2460" w:type="dxa"/>
            <w:vAlign w:val="bottom"/>
          </w:tcPr>
          <w:p>
            <w:pPr>
              <w:jc w:val="center"/>
              <w:ind w:right="388"/>
              <w:spacing w:after="0"/>
              <w:rPr>
                <w:sz w:val="20"/>
                <w:szCs w:val="20"/>
                <w:color w:val="auto"/>
              </w:rPr>
            </w:pPr>
            <w:r>
              <w:rPr>
                <w:rFonts w:ascii="Arial" w:cs="Arial" w:eastAsia="Arial" w:hAnsi="Arial"/>
                <w:sz w:val="14"/>
                <w:szCs w:val="14"/>
                <w:b w:val="1"/>
                <w:bCs w:val="1"/>
                <w:color w:val="auto"/>
              </w:rPr>
              <w:t>Other Allowances**</w:t>
            </w: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33"/>
        </w:trPr>
        <w:tc>
          <w:tcPr>
            <w:tcW w:w="1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1740" w:type="dxa"/>
            <w:vAlign w:val="bottom"/>
            <w:tcBorders>
              <w:bottom w:val="single" w:sz="8" w:color="CCCCCC"/>
            </w:tcBorders>
            <w:shd w:val="clear" w:color="auto" w:fill="CCCCCC"/>
          </w:tcPr>
          <w:p>
            <w:pPr>
              <w:ind w:left="840"/>
              <w:spacing w:after="0"/>
              <w:rPr>
                <w:sz w:val="20"/>
                <w:szCs w:val="20"/>
                <w:color w:val="auto"/>
              </w:rPr>
            </w:pPr>
            <w:r>
              <w:rPr>
                <w:rFonts w:ascii="Arial" w:cs="Arial" w:eastAsia="Arial" w:hAnsi="Arial"/>
                <w:sz w:val="14"/>
                <w:szCs w:val="14"/>
                <w:color w:val="auto"/>
              </w:rPr>
              <w:t>2019</w:t>
            </w:r>
          </w:p>
        </w:tc>
        <w:tc>
          <w:tcPr>
            <w:tcW w:w="2460" w:type="dxa"/>
            <w:vAlign w:val="bottom"/>
            <w:tcBorders>
              <w:bottom w:val="single" w:sz="8" w:color="CCCCCC"/>
            </w:tcBorders>
            <w:shd w:val="clear" w:color="auto" w:fill="CCCCCC"/>
          </w:tcPr>
          <w:p>
            <w:pPr>
              <w:jc w:val="center"/>
              <w:ind w:left="228"/>
              <w:spacing w:after="0"/>
              <w:rPr>
                <w:sz w:val="20"/>
                <w:szCs w:val="20"/>
                <w:color w:val="auto"/>
              </w:rPr>
            </w:pPr>
            <w:r>
              <w:rPr>
                <w:rFonts w:ascii="Arial" w:cs="Arial" w:eastAsia="Arial" w:hAnsi="Arial"/>
                <w:sz w:val="14"/>
                <w:szCs w:val="14"/>
                <w:color w:val="auto"/>
              </w:rPr>
              <w:t>18,050</w:t>
            </w: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3,867</w:t>
            </w:r>
          </w:p>
        </w:tc>
        <w:tc>
          <w:tcPr>
            <w:tcW w:w="2460" w:type="dxa"/>
            <w:vAlign w:val="bottom"/>
            <w:tcBorders>
              <w:bottom w:val="single" w:sz="8" w:color="CCCCCC"/>
            </w:tcBorders>
            <w:shd w:val="clear" w:color="auto" w:fill="CCCCCC"/>
          </w:tcPr>
          <w:p>
            <w:pPr>
              <w:jc w:val="center"/>
              <w:ind w:right="388"/>
              <w:spacing w:after="0"/>
              <w:rPr>
                <w:sz w:val="20"/>
                <w:szCs w:val="20"/>
                <w:color w:val="auto"/>
              </w:rPr>
            </w:pPr>
            <w:r>
              <w:rPr>
                <w:rFonts w:ascii="Arial" w:cs="Arial" w:eastAsia="Arial" w:hAnsi="Arial"/>
                <w:sz w:val="14"/>
                <w:szCs w:val="14"/>
                <w:color w:val="auto"/>
              </w:rPr>
              <w:t>47,892</w:t>
            </w:r>
          </w:p>
        </w:tc>
        <w:tc>
          <w:tcPr>
            <w:tcW w:w="14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69,809</w:t>
            </w:r>
          </w:p>
        </w:tc>
      </w:tr>
      <w:tr>
        <w:trPr>
          <w:trHeight w:val="252"/>
        </w:trPr>
        <w:tc>
          <w:tcPr>
            <w:tcW w:w="174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2018</w:t>
            </w:r>
          </w:p>
        </w:tc>
        <w:tc>
          <w:tcPr>
            <w:tcW w:w="246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color w:val="auto"/>
              </w:rPr>
              <w:t>68,020</w:t>
            </w:r>
          </w:p>
        </w:tc>
        <w:tc>
          <w:tcPr>
            <w:tcW w:w="214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color w:val="auto"/>
                <w:w w:val="99"/>
              </w:rPr>
              <w:t>—</w:t>
            </w:r>
          </w:p>
        </w:tc>
        <w:tc>
          <w:tcPr>
            <w:tcW w:w="2460" w:type="dxa"/>
            <w:vAlign w:val="bottom"/>
            <w:tcBorders>
              <w:top w:val="single" w:sz="8" w:color="auto"/>
            </w:tcBorders>
          </w:tcPr>
          <w:p>
            <w:pPr>
              <w:jc w:val="center"/>
              <w:ind w:right="388"/>
              <w:spacing w:after="0"/>
              <w:rPr>
                <w:sz w:val="20"/>
                <w:szCs w:val="20"/>
                <w:color w:val="auto"/>
              </w:rPr>
            </w:pPr>
            <w:r>
              <w:rPr>
                <w:rFonts w:ascii="Arial" w:cs="Arial" w:eastAsia="Arial" w:hAnsi="Arial"/>
                <w:sz w:val="14"/>
                <w:szCs w:val="14"/>
                <w:color w:val="auto"/>
              </w:rPr>
              <w:t>93,139</w:t>
            </w: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161,159</w:t>
            </w:r>
          </w:p>
        </w:tc>
      </w:tr>
      <w:tr>
        <w:trPr>
          <w:trHeight w:val="25"/>
        </w:trPr>
        <w:tc>
          <w:tcPr>
            <w:tcW w:w="1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CCCC"/>
            </w:tcBorders>
            <w:shd w:val="clear" w:color="auto" w:fill="CCCCCC"/>
          </w:tcPr>
          <w:p>
            <w:pPr>
              <w:ind w:left="840"/>
              <w:spacing w:after="0"/>
              <w:rPr>
                <w:sz w:val="20"/>
                <w:szCs w:val="20"/>
                <w:color w:val="auto"/>
              </w:rPr>
            </w:pPr>
            <w:r>
              <w:rPr>
                <w:rFonts w:ascii="Arial" w:cs="Arial" w:eastAsia="Arial" w:hAnsi="Arial"/>
                <w:sz w:val="14"/>
                <w:szCs w:val="14"/>
                <w:color w:val="auto"/>
              </w:rPr>
              <w:t>2017</w:t>
            </w:r>
          </w:p>
        </w:tc>
        <w:tc>
          <w:tcPr>
            <w:tcW w:w="2460" w:type="dxa"/>
            <w:vAlign w:val="bottom"/>
            <w:tcBorders>
              <w:bottom w:val="single" w:sz="8" w:color="CCCCCC"/>
            </w:tcBorders>
            <w:shd w:val="clear" w:color="auto" w:fill="CCCCCC"/>
          </w:tcPr>
          <w:p>
            <w:pPr>
              <w:jc w:val="center"/>
              <w:ind w:left="228"/>
              <w:spacing w:after="0"/>
              <w:rPr>
                <w:sz w:val="20"/>
                <w:szCs w:val="20"/>
                <w:color w:val="auto"/>
              </w:rPr>
            </w:pPr>
            <w:r>
              <w:rPr>
                <w:rFonts w:ascii="Arial" w:cs="Arial" w:eastAsia="Arial" w:hAnsi="Arial"/>
                <w:sz w:val="14"/>
                <w:szCs w:val="14"/>
                <w:color w:val="auto"/>
              </w:rPr>
              <w:t>37,212</w:t>
            </w:r>
          </w:p>
        </w:tc>
        <w:tc>
          <w:tcPr>
            <w:tcW w:w="21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3,225</w:t>
            </w:r>
          </w:p>
        </w:tc>
        <w:tc>
          <w:tcPr>
            <w:tcW w:w="2460" w:type="dxa"/>
            <w:vAlign w:val="bottom"/>
            <w:tcBorders>
              <w:bottom w:val="single" w:sz="8" w:color="CCCCCC"/>
            </w:tcBorders>
            <w:shd w:val="clear" w:color="auto" w:fill="CCCCCC"/>
          </w:tcPr>
          <w:p>
            <w:pPr>
              <w:jc w:val="center"/>
              <w:ind w:right="388"/>
              <w:spacing w:after="0"/>
              <w:rPr>
                <w:sz w:val="20"/>
                <w:szCs w:val="20"/>
                <w:color w:val="auto"/>
              </w:rPr>
            </w:pPr>
            <w:r>
              <w:rPr>
                <w:rFonts w:ascii="Arial" w:cs="Arial" w:eastAsia="Arial" w:hAnsi="Arial"/>
                <w:sz w:val="14"/>
                <w:szCs w:val="14"/>
                <w:color w:val="auto"/>
              </w:rPr>
              <w:t>34,014</w:t>
            </w:r>
          </w:p>
        </w:tc>
        <w:tc>
          <w:tcPr>
            <w:tcW w:w="14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74,451</w:t>
            </w:r>
          </w:p>
        </w:tc>
      </w:tr>
      <w:tr>
        <w:trPr>
          <w:trHeight w:val="20"/>
        </w:trPr>
        <w:tc>
          <w:tcPr>
            <w:tcW w:w="17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Mr. Servodidio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34925</wp:posOffset>
            </wp:positionV>
            <wp:extent cx="65062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06210" cy="17145"/>
                    </a:xfrm>
                    <a:prstGeom prst="rect">
                      <a:avLst/>
                    </a:prstGeom>
                    <a:noFill/>
                  </pic:spPr>
                </pic:pic>
              </a:graphicData>
            </a:graphic>
          </wp:anchor>
        </w:drawing>
      </w:r>
    </w:p>
    <w:p>
      <w:pPr>
        <w:spacing w:after="0" w:line="130"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1800" w:type="dxa"/>
            <w:vAlign w:val="bottom"/>
          </w:tcPr>
          <w:p>
            <w:pPr>
              <w:ind w:left="840"/>
              <w:spacing w:after="0"/>
              <w:rPr>
                <w:sz w:val="20"/>
                <w:szCs w:val="20"/>
                <w:color w:val="auto"/>
              </w:rPr>
            </w:pPr>
            <w:r>
              <w:rPr>
                <w:rFonts w:ascii="Arial" w:cs="Arial" w:eastAsia="Arial" w:hAnsi="Arial"/>
                <w:sz w:val="14"/>
                <w:szCs w:val="14"/>
                <w:b w:val="1"/>
                <w:bCs w:val="1"/>
                <w:color w:val="auto"/>
              </w:rPr>
              <w:t>Year</w:t>
            </w:r>
          </w:p>
        </w:tc>
        <w:tc>
          <w:tcPr>
            <w:tcW w:w="2380" w:type="dxa"/>
            <w:vAlign w:val="bottom"/>
          </w:tcPr>
          <w:p>
            <w:pPr>
              <w:jc w:val="right"/>
              <w:ind w:right="328"/>
              <w:spacing w:after="0"/>
              <w:rPr>
                <w:sz w:val="20"/>
                <w:szCs w:val="20"/>
                <w:color w:val="auto"/>
              </w:rPr>
            </w:pPr>
            <w:r>
              <w:rPr>
                <w:rFonts w:ascii="Arial" w:cs="Arial" w:eastAsia="Arial" w:hAnsi="Arial"/>
                <w:sz w:val="14"/>
                <w:szCs w:val="14"/>
                <w:b w:val="1"/>
                <w:bCs w:val="1"/>
                <w:color w:val="auto"/>
              </w:rPr>
              <w:t>Housing Allowance</w:t>
            </w:r>
          </w:p>
        </w:tc>
        <w:tc>
          <w:tcPr>
            <w:tcW w:w="2120" w:type="dxa"/>
            <w:vAlign w:val="bottom"/>
          </w:tcPr>
          <w:p>
            <w:pPr>
              <w:ind w:left="380"/>
              <w:spacing w:after="0"/>
              <w:rPr>
                <w:sz w:val="20"/>
                <w:szCs w:val="20"/>
                <w:color w:val="auto"/>
              </w:rPr>
            </w:pPr>
            <w:r>
              <w:rPr>
                <w:rFonts w:ascii="Arial" w:cs="Arial" w:eastAsia="Arial" w:hAnsi="Arial"/>
                <w:sz w:val="14"/>
                <w:szCs w:val="14"/>
                <w:b w:val="1"/>
                <w:bCs w:val="1"/>
                <w:color w:val="auto"/>
              </w:rPr>
              <w:t>Relocation Benefits</w:t>
            </w:r>
          </w:p>
        </w:tc>
        <w:tc>
          <w:tcPr>
            <w:tcW w:w="2500" w:type="dxa"/>
            <w:vAlign w:val="bottom"/>
          </w:tcPr>
          <w:p>
            <w:pPr>
              <w:ind w:left="380"/>
              <w:spacing w:after="0"/>
              <w:rPr>
                <w:sz w:val="20"/>
                <w:szCs w:val="20"/>
                <w:color w:val="auto"/>
              </w:rPr>
            </w:pPr>
            <w:r>
              <w:rPr>
                <w:rFonts w:ascii="Arial" w:cs="Arial" w:eastAsia="Arial" w:hAnsi="Arial"/>
                <w:sz w:val="14"/>
                <w:szCs w:val="14"/>
                <w:b w:val="1"/>
                <w:bCs w:val="1"/>
                <w:color w:val="auto"/>
              </w:rPr>
              <w:t>Other Allowances**</w:t>
            </w: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32"/>
        </w:trPr>
        <w:tc>
          <w:tcPr>
            <w:tcW w:w="18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1800" w:type="dxa"/>
            <w:vAlign w:val="bottom"/>
            <w:tcBorders>
              <w:bottom w:val="single" w:sz="8" w:color="CCCCCC"/>
            </w:tcBorders>
            <w:shd w:val="clear" w:color="auto" w:fill="CCCCCC"/>
          </w:tcPr>
          <w:p>
            <w:pPr>
              <w:ind w:left="840"/>
              <w:spacing w:after="0"/>
              <w:rPr>
                <w:sz w:val="20"/>
                <w:szCs w:val="20"/>
                <w:color w:val="auto"/>
              </w:rPr>
            </w:pPr>
            <w:r>
              <w:rPr>
                <w:rFonts w:ascii="Arial" w:cs="Arial" w:eastAsia="Arial" w:hAnsi="Arial"/>
                <w:sz w:val="14"/>
                <w:szCs w:val="14"/>
                <w:color w:val="auto"/>
              </w:rPr>
              <w:t>2019</w:t>
            </w:r>
          </w:p>
        </w:tc>
        <w:tc>
          <w:tcPr>
            <w:tcW w:w="2380" w:type="dxa"/>
            <w:vAlign w:val="bottom"/>
            <w:tcBorders>
              <w:bottom w:val="single" w:sz="8" w:color="CCCCCC"/>
            </w:tcBorders>
            <w:shd w:val="clear" w:color="auto" w:fill="CCCCCC"/>
          </w:tcPr>
          <w:p>
            <w:pPr>
              <w:jc w:val="right"/>
              <w:ind w:right="728"/>
              <w:spacing w:after="0"/>
              <w:rPr>
                <w:sz w:val="20"/>
                <w:szCs w:val="20"/>
                <w:color w:val="auto"/>
              </w:rPr>
            </w:pPr>
            <w:r>
              <w:rPr>
                <w:rFonts w:ascii="Arial" w:cs="Arial" w:eastAsia="Arial" w:hAnsi="Arial"/>
                <w:sz w:val="14"/>
                <w:szCs w:val="14"/>
                <w:color w:val="auto"/>
              </w:rPr>
              <w:t>77,482</w:t>
            </w:r>
          </w:p>
        </w:tc>
        <w:tc>
          <w:tcPr>
            <w:tcW w:w="21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3,069</w:t>
            </w:r>
          </w:p>
        </w:tc>
        <w:tc>
          <w:tcPr>
            <w:tcW w:w="2500" w:type="dxa"/>
            <w:vAlign w:val="bottom"/>
            <w:tcBorders>
              <w:bottom w:val="single" w:sz="8" w:color="CCCCCC"/>
            </w:tcBorders>
            <w:shd w:val="clear" w:color="auto" w:fill="CCCCCC"/>
          </w:tcPr>
          <w:p>
            <w:pPr>
              <w:jc w:val="center"/>
              <w:ind w:right="348"/>
              <w:spacing w:after="0"/>
              <w:rPr>
                <w:sz w:val="20"/>
                <w:szCs w:val="20"/>
                <w:color w:val="auto"/>
              </w:rPr>
            </w:pPr>
            <w:r>
              <w:rPr>
                <w:rFonts w:ascii="Arial" w:cs="Arial" w:eastAsia="Arial" w:hAnsi="Arial"/>
                <w:sz w:val="14"/>
                <w:szCs w:val="14"/>
                <w:color w:val="auto"/>
              </w:rPr>
              <w:t>62,995</w:t>
            </w:r>
          </w:p>
        </w:tc>
        <w:tc>
          <w:tcPr>
            <w:tcW w:w="14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143,546</w:t>
            </w:r>
          </w:p>
        </w:tc>
      </w:tr>
      <w:tr>
        <w:trPr>
          <w:trHeight w:val="251"/>
        </w:trPr>
        <w:tc>
          <w:tcPr>
            <w:tcW w:w="180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2018</w:t>
            </w:r>
          </w:p>
        </w:tc>
        <w:tc>
          <w:tcPr>
            <w:tcW w:w="23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175,097</w:t>
            </w: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250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rPr>
              <w:t>91,851</w:t>
            </w: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266,948</w:t>
            </w:r>
          </w:p>
        </w:tc>
      </w:tr>
      <w:tr>
        <w:trPr>
          <w:trHeight w:val="25"/>
        </w:trPr>
        <w:tc>
          <w:tcPr>
            <w:tcW w:w="18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1800" w:type="dxa"/>
            <w:vAlign w:val="bottom"/>
            <w:tcBorders>
              <w:bottom w:val="single" w:sz="8" w:color="CCCCCC"/>
            </w:tcBorders>
            <w:shd w:val="clear" w:color="auto" w:fill="CCCCCC"/>
          </w:tcPr>
          <w:p>
            <w:pPr>
              <w:ind w:left="840"/>
              <w:spacing w:after="0"/>
              <w:rPr>
                <w:sz w:val="20"/>
                <w:szCs w:val="20"/>
                <w:color w:val="auto"/>
              </w:rPr>
            </w:pPr>
            <w:r>
              <w:rPr>
                <w:rFonts w:ascii="Arial" w:cs="Arial" w:eastAsia="Arial" w:hAnsi="Arial"/>
                <w:sz w:val="14"/>
                <w:szCs w:val="14"/>
                <w:color w:val="auto"/>
              </w:rPr>
              <w:t>2017</w:t>
            </w:r>
          </w:p>
        </w:tc>
        <w:tc>
          <w:tcPr>
            <w:tcW w:w="2380" w:type="dxa"/>
            <w:vAlign w:val="bottom"/>
            <w:tcBorders>
              <w:bottom w:val="single" w:sz="8" w:color="CCCCCC"/>
            </w:tcBorders>
            <w:shd w:val="clear" w:color="auto" w:fill="CCCCCC"/>
          </w:tcPr>
          <w:p>
            <w:pPr>
              <w:jc w:val="right"/>
              <w:ind w:right="728"/>
              <w:spacing w:after="0"/>
              <w:rPr>
                <w:sz w:val="20"/>
                <w:szCs w:val="20"/>
                <w:color w:val="auto"/>
              </w:rPr>
            </w:pPr>
            <w:r>
              <w:rPr>
                <w:rFonts w:ascii="Arial" w:cs="Arial" w:eastAsia="Arial" w:hAnsi="Arial"/>
                <w:sz w:val="14"/>
                <w:szCs w:val="14"/>
                <w:color w:val="auto"/>
              </w:rPr>
              <w:t>166,588</w:t>
            </w:r>
          </w:p>
        </w:tc>
        <w:tc>
          <w:tcPr>
            <w:tcW w:w="21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2500" w:type="dxa"/>
            <w:vAlign w:val="bottom"/>
            <w:tcBorders>
              <w:bottom w:val="single" w:sz="8" w:color="CCCCCC"/>
            </w:tcBorders>
            <w:shd w:val="clear" w:color="auto" w:fill="CCCCCC"/>
          </w:tcPr>
          <w:p>
            <w:pPr>
              <w:jc w:val="center"/>
              <w:ind w:right="348"/>
              <w:spacing w:after="0"/>
              <w:rPr>
                <w:sz w:val="20"/>
                <w:szCs w:val="20"/>
                <w:color w:val="auto"/>
              </w:rPr>
            </w:pPr>
            <w:r>
              <w:rPr>
                <w:rFonts w:ascii="Arial" w:cs="Arial" w:eastAsia="Arial" w:hAnsi="Arial"/>
                <w:sz w:val="14"/>
                <w:szCs w:val="14"/>
                <w:color w:val="auto"/>
              </w:rPr>
              <w:t>106,504</w:t>
            </w:r>
          </w:p>
        </w:tc>
        <w:tc>
          <w:tcPr>
            <w:tcW w:w="14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273,092</w:t>
            </w:r>
          </w:p>
        </w:tc>
      </w:tr>
      <w:tr>
        <w:trPr>
          <w:trHeight w:val="20"/>
        </w:trPr>
        <w:tc>
          <w:tcPr>
            <w:tcW w:w="18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*Reflects an average monthly £/$ exchange rate as of the date paid, received or allocated.</w:t>
      </w:r>
    </w:p>
    <w:p>
      <w:pPr>
        <w:spacing w:after="0" w:line="136"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**For Mr. Servodidio, amounts include allowances for home leave, utilities, and a goods and services differential to make up for the difference in prices between home and host locations in addition to reasonable car rental costs for his accompanying spouse while on assignment. For Mr. Smith, amount includes reimbursements for home leave to the United Kingdom.</w:t>
      </w:r>
    </w:p>
    <w:p>
      <w:pPr>
        <w:spacing w:after="0" w:line="133" w:lineRule="exact"/>
        <w:rPr>
          <w:sz w:val="20"/>
          <w:szCs w:val="20"/>
          <w:color w:val="auto"/>
        </w:rPr>
      </w:pPr>
    </w:p>
    <w:p>
      <w:pPr>
        <w:jc w:val="both"/>
        <w:ind w:left="340"/>
        <w:spacing w:after="0" w:line="258" w:lineRule="auto"/>
        <w:rPr>
          <w:sz w:val="20"/>
          <w:szCs w:val="20"/>
          <w:color w:val="auto"/>
        </w:rPr>
      </w:pPr>
      <w:r>
        <w:rPr>
          <w:rFonts w:ascii="Arial" w:cs="Arial" w:eastAsia="Arial" w:hAnsi="Arial"/>
          <w:sz w:val="14"/>
          <w:szCs w:val="14"/>
          <w:color w:val="auto"/>
        </w:rPr>
        <w:t>***For Mr. Smith, amounts include destination services related to his relocation from United States to the United Kingdom. For Mr. Servodidio, amounts include destination services related to his relocation from the United Kingdom to the United States</w:t>
      </w:r>
    </w:p>
    <w:p>
      <w:pPr>
        <w:spacing w:after="0" w:line="86" w:lineRule="exact"/>
        <w:rPr>
          <w:sz w:val="20"/>
          <w:szCs w:val="20"/>
          <w:color w:val="auto"/>
        </w:rPr>
      </w:pPr>
    </w:p>
    <w:p>
      <w:pPr>
        <w:jc w:val="both"/>
        <w:ind w:left="340" w:hanging="332"/>
        <w:spacing w:after="0" w:line="244" w:lineRule="auto"/>
        <w:tabs>
          <w:tab w:leader="none" w:pos="334"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Mr. Servodidio, amounts represent the incremental cost to the Company of tax equalization and other related payments associated with long-term assignments to the United Kingdom, all in accordance with the Company’s standard policies. For 2019, estimates of these values are reported, and are based on currently available information. Actual 2019 values may differ, and are subject to change based on additional credits due to the Company or liabilities incurred by the Company related to filings for the 2019/2020 tax year in the United Kingdom. For 2019, amounts for Mr. De Shon primarily represent trailing liabilities related to stock awards that vested in 2019. Per the Company’s standard policy, expatriate benefits and reimbursements are discontinued at the end of an assignment. However, tax equalization and other tax related payments may continue, but only to the extent that liabilities related to the foreign assignment are incurred. For 2019, we have included $92,375 attributable to 2018 income which was not paid until after the Company’s 2019 proxy statement was filed.</w:t>
      </w:r>
    </w:p>
    <w:p>
      <w:pPr>
        <w:sectPr>
          <w:pgSz w:w="11900" w:h="16838" w:orient="portrait"/>
          <w:cols w:equalWidth="0" w:num="1">
            <w:col w:w="10880"/>
          </w:cols>
          <w:pgMar w:left="500" w:top="287" w:right="51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09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Perquisites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40" w:type="dxa"/>
            <w:vAlign w:val="bottom"/>
          </w:tcPr>
          <w:p>
            <w:pPr>
              <w:jc w:val="center"/>
              <w:ind w:left="8"/>
              <w:spacing w:after="0"/>
              <w:rPr>
                <w:sz w:val="20"/>
                <w:szCs w:val="20"/>
                <w:color w:val="auto"/>
              </w:rPr>
            </w:pPr>
            <w:r>
              <w:rPr>
                <w:rFonts w:ascii="Arial" w:cs="Arial" w:eastAsia="Arial" w:hAnsi="Arial"/>
                <w:sz w:val="14"/>
                <w:szCs w:val="14"/>
                <w:b w:val="1"/>
                <w:bCs w:val="1"/>
                <w:color w:val="auto"/>
              </w:rPr>
              <w:t>Personal</w:t>
            </w: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40" w:type="dxa"/>
            <w:vAlign w:val="bottom"/>
          </w:tcPr>
          <w:p>
            <w:pPr>
              <w:jc w:val="center"/>
              <w:ind w:left="28"/>
              <w:spacing w:after="0"/>
              <w:rPr>
                <w:sz w:val="20"/>
                <w:szCs w:val="20"/>
                <w:color w:val="auto"/>
              </w:rPr>
            </w:pPr>
            <w:r>
              <w:rPr>
                <w:rFonts w:ascii="Arial" w:cs="Arial" w:eastAsia="Arial" w:hAnsi="Arial"/>
                <w:sz w:val="14"/>
                <w:szCs w:val="14"/>
                <w:b w:val="1"/>
                <w:bCs w:val="1"/>
                <w:color w:val="auto"/>
              </w:rPr>
              <w:t>Use of</w:t>
            </w: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40" w:type="dxa"/>
            <w:vAlign w:val="bottom"/>
          </w:tcPr>
          <w:p>
            <w:pPr>
              <w:jc w:val="center"/>
              <w:ind w:left="8"/>
              <w:spacing w:after="0"/>
              <w:rPr>
                <w:sz w:val="20"/>
                <w:szCs w:val="20"/>
                <w:color w:val="auto"/>
              </w:rPr>
            </w:pPr>
            <w:r>
              <w:rPr>
                <w:rFonts w:ascii="Arial" w:cs="Arial" w:eastAsia="Arial" w:hAnsi="Arial"/>
                <w:sz w:val="14"/>
                <w:szCs w:val="14"/>
                <w:b w:val="1"/>
                <w:bCs w:val="1"/>
                <w:color w:val="auto"/>
              </w:rPr>
              <w:t>Company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15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2"/>
        </w:trPr>
        <w:tc>
          <w:tcPr>
            <w:tcW w:w="2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40" w:type="dxa"/>
            <w:vAlign w:val="bottom"/>
          </w:tcPr>
          <w:p>
            <w:pPr>
              <w:jc w:val="center"/>
              <w:ind w:left="8"/>
              <w:spacing w:after="0"/>
              <w:rPr>
                <w:sz w:val="20"/>
                <w:szCs w:val="20"/>
                <w:color w:val="auto"/>
              </w:rPr>
            </w:pPr>
            <w:r>
              <w:rPr>
                <w:rFonts w:ascii="Arial" w:cs="Arial" w:eastAsia="Arial" w:hAnsi="Arial"/>
                <w:sz w:val="14"/>
                <w:szCs w:val="14"/>
                <w:b w:val="1"/>
                <w:bCs w:val="1"/>
                <w:color w:val="auto"/>
              </w:rPr>
              <w:t>Aircraft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rPr>
              <w:t>Car</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Perquisites</w:t>
            </w:r>
          </w:p>
        </w:tc>
      </w:tr>
      <w:tr>
        <w:trPr>
          <w:trHeight w:val="190"/>
        </w:trPr>
        <w:tc>
          <w:tcPr>
            <w:tcW w:w="2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tcPr>
          <w:p>
            <w:pPr>
              <w:ind w:left="1620"/>
              <w:spacing w:after="0"/>
              <w:rPr>
                <w:sz w:val="20"/>
                <w:szCs w:val="20"/>
                <w:color w:val="auto"/>
              </w:rPr>
            </w:pPr>
            <w:r>
              <w:rPr>
                <w:rFonts w:ascii="Arial" w:cs="Arial" w:eastAsia="Arial" w:hAnsi="Arial"/>
                <w:sz w:val="14"/>
                <w:szCs w:val="14"/>
                <w:b w:val="1"/>
                <w:bCs w:val="1"/>
                <w:color w:val="auto"/>
              </w:rPr>
              <w:t>Year</w:t>
            </w:r>
          </w:p>
        </w:tc>
        <w:tc>
          <w:tcPr>
            <w:tcW w:w="1540" w:type="dxa"/>
            <w:vAlign w:val="bottom"/>
          </w:tcPr>
          <w:p>
            <w:pPr>
              <w:jc w:val="center"/>
              <w:ind w:left="8"/>
              <w:spacing w:after="0"/>
              <w:rPr>
                <w:sz w:val="20"/>
                <w:szCs w:val="20"/>
                <w:color w:val="auto"/>
              </w:rPr>
            </w:pPr>
            <w:r>
              <w:rPr>
                <w:rFonts w:ascii="Arial" w:cs="Arial" w:eastAsia="Arial" w:hAnsi="Arial"/>
                <w:sz w:val="14"/>
                <w:szCs w:val="14"/>
                <w:b w:val="1"/>
                <w:bCs w:val="1"/>
                <w:color w:val="auto"/>
                <w:w w:val="99"/>
              </w:rPr>
              <w:t>($)(a)</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rPr>
              <w:t>($)(c)</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w:t>
            </w:r>
          </w:p>
        </w:tc>
      </w:tr>
      <w:tr>
        <w:trPr>
          <w:trHeight w:val="33"/>
        </w:trPr>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7"/>
        </w:trPr>
        <w:tc>
          <w:tcPr>
            <w:tcW w:w="2540" w:type="dxa"/>
            <w:vAlign w:val="bottom"/>
            <w:shd w:val="clear" w:color="auto" w:fill="CCCCCC"/>
          </w:tcPr>
          <w:p>
            <w:pPr>
              <w:spacing w:after="0"/>
              <w:rPr>
                <w:sz w:val="20"/>
                <w:szCs w:val="20"/>
                <w:color w:val="auto"/>
              </w:rPr>
            </w:pPr>
            <w:r>
              <w:rPr>
                <w:rFonts w:ascii="Arial" w:cs="Arial" w:eastAsia="Arial" w:hAnsi="Arial"/>
                <w:sz w:val="14"/>
                <w:szCs w:val="14"/>
                <w:color w:val="auto"/>
              </w:rPr>
              <w:t>Mr. Ferraro</w:t>
            </w:r>
          </w:p>
        </w:tc>
        <w:tc>
          <w:tcPr>
            <w:tcW w:w="2400" w:type="dxa"/>
            <w:vAlign w:val="bottom"/>
            <w:shd w:val="clear" w:color="auto" w:fill="CCCCCC"/>
          </w:tcPr>
          <w:p>
            <w:pPr>
              <w:ind w:left="1620"/>
              <w:spacing w:after="0"/>
              <w:rPr>
                <w:sz w:val="20"/>
                <w:szCs w:val="20"/>
                <w:color w:val="auto"/>
              </w:rPr>
            </w:pPr>
            <w:r>
              <w:rPr>
                <w:rFonts w:ascii="Arial" w:cs="Arial" w:eastAsia="Arial" w:hAnsi="Arial"/>
                <w:sz w:val="14"/>
                <w:szCs w:val="14"/>
                <w:color w:val="auto"/>
              </w:rPr>
              <w:t>2019</w:t>
            </w:r>
          </w:p>
        </w:tc>
        <w:tc>
          <w:tcPr>
            <w:tcW w:w="1540" w:type="dxa"/>
            <w:vAlign w:val="bottom"/>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13,461</w:t>
            </w:r>
          </w:p>
        </w:tc>
        <w:tc>
          <w:tcPr>
            <w:tcW w:w="152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rPr>
              <w:t>21,770</w:t>
            </w:r>
          </w:p>
        </w:tc>
        <w:tc>
          <w:tcPr>
            <w:tcW w:w="1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39,081</w:t>
            </w:r>
          </w:p>
        </w:tc>
      </w:tr>
      <w:tr>
        <w:trPr>
          <w:trHeight w:val="162"/>
        </w:trPr>
        <w:tc>
          <w:tcPr>
            <w:tcW w:w="2540" w:type="dxa"/>
            <w:vAlign w:val="bottom"/>
            <w:shd w:val="clear" w:color="auto" w:fill="CCCCCC"/>
          </w:tcPr>
          <w:p>
            <w:pPr>
              <w:spacing w:after="0"/>
              <w:rPr>
                <w:sz w:val="14"/>
                <w:szCs w:val="14"/>
                <w:color w:val="auto"/>
              </w:rPr>
            </w:pPr>
          </w:p>
        </w:tc>
        <w:tc>
          <w:tcPr>
            <w:tcW w:w="2400" w:type="dxa"/>
            <w:vAlign w:val="bottom"/>
            <w:shd w:val="clear" w:color="auto" w:fill="CCCCCC"/>
          </w:tcPr>
          <w:p>
            <w:pPr>
              <w:ind w:left="1620"/>
              <w:spacing w:after="0"/>
              <w:rPr>
                <w:sz w:val="20"/>
                <w:szCs w:val="20"/>
                <w:color w:val="auto"/>
              </w:rPr>
            </w:pPr>
            <w:r>
              <w:rPr>
                <w:rFonts w:ascii="Arial" w:cs="Arial" w:eastAsia="Arial" w:hAnsi="Arial"/>
                <w:sz w:val="14"/>
                <w:szCs w:val="14"/>
                <w:color w:val="auto"/>
              </w:rPr>
              <w:t>2018</w:t>
            </w:r>
          </w:p>
        </w:tc>
        <w:tc>
          <w:tcPr>
            <w:tcW w:w="154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rPr>
              <w:t>2,461</w:t>
            </w:r>
          </w:p>
        </w:tc>
        <w:tc>
          <w:tcPr>
            <w:tcW w:w="14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12,953</w:t>
            </w:r>
          </w:p>
        </w:tc>
        <w:tc>
          <w:tcPr>
            <w:tcW w:w="152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rPr>
              <w:t>21,394</w:t>
            </w:r>
          </w:p>
        </w:tc>
        <w:tc>
          <w:tcPr>
            <w:tcW w:w="1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40,658</w:t>
            </w:r>
          </w:p>
        </w:tc>
      </w:tr>
      <w:tr>
        <w:trPr>
          <w:trHeight w:val="203"/>
        </w:trPr>
        <w:tc>
          <w:tcPr>
            <w:tcW w:w="2540" w:type="dxa"/>
            <w:vAlign w:val="bottom"/>
            <w:tcBorders>
              <w:bottom w:val="single" w:sz="8" w:color="CCCCCC"/>
            </w:tcBorders>
            <w:shd w:val="clear" w:color="auto" w:fill="CCCCCC"/>
          </w:tcPr>
          <w:p>
            <w:pPr>
              <w:spacing w:after="0"/>
              <w:rPr>
                <w:sz w:val="17"/>
                <w:szCs w:val="17"/>
                <w:color w:val="auto"/>
              </w:rPr>
            </w:pPr>
          </w:p>
        </w:tc>
        <w:tc>
          <w:tcPr>
            <w:tcW w:w="2400" w:type="dxa"/>
            <w:vAlign w:val="bottom"/>
            <w:tcBorders>
              <w:bottom w:val="single" w:sz="8" w:color="CCCCCC"/>
            </w:tcBorders>
            <w:shd w:val="clear" w:color="auto" w:fill="CCCCCC"/>
          </w:tcPr>
          <w:p>
            <w:pPr>
              <w:ind w:left="1620"/>
              <w:spacing w:after="0"/>
              <w:rPr>
                <w:sz w:val="20"/>
                <w:szCs w:val="20"/>
                <w:color w:val="auto"/>
              </w:rPr>
            </w:pPr>
            <w:r>
              <w:rPr>
                <w:rFonts w:ascii="Arial" w:cs="Arial" w:eastAsia="Arial" w:hAnsi="Arial"/>
                <w:sz w:val="14"/>
                <w:szCs w:val="14"/>
                <w:color w:val="auto"/>
              </w:rPr>
              <w:t>2017</w:t>
            </w:r>
          </w:p>
        </w:tc>
        <w:tc>
          <w:tcPr>
            <w:tcW w:w="1540" w:type="dxa"/>
            <w:vAlign w:val="bottom"/>
            <w:tcBorders>
              <w:bottom w:val="single" w:sz="8" w:color="CCCCCC"/>
            </w:tcBorders>
            <w:shd w:val="clear" w:color="auto" w:fill="CCCCCC"/>
          </w:tcPr>
          <w:p>
            <w:pPr>
              <w:jc w:val="center"/>
              <w:ind w:left="28"/>
              <w:spacing w:after="0"/>
              <w:rPr>
                <w:sz w:val="20"/>
                <w:szCs w:val="20"/>
                <w:color w:val="auto"/>
              </w:rPr>
            </w:pPr>
            <w:r>
              <w:rPr>
                <w:rFonts w:ascii="Arial" w:cs="Arial" w:eastAsia="Arial" w:hAnsi="Arial"/>
                <w:sz w:val="14"/>
                <w:szCs w:val="14"/>
                <w:color w:val="auto"/>
              </w:rPr>
              <w:t>2,334</w:t>
            </w:r>
          </w:p>
        </w:tc>
        <w:tc>
          <w:tcPr>
            <w:tcW w:w="14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15,155</w:t>
            </w:r>
          </w:p>
        </w:tc>
        <w:tc>
          <w:tcPr>
            <w:tcW w:w="1520" w:type="dxa"/>
            <w:vAlign w:val="bottom"/>
            <w:tcBorders>
              <w:bottom w:val="single" w:sz="8" w:color="CCCCCC"/>
            </w:tcBorders>
            <w:shd w:val="clear" w:color="auto" w:fill="CCCCCC"/>
          </w:tcPr>
          <w:p>
            <w:pPr>
              <w:jc w:val="center"/>
              <w:ind w:right="88"/>
              <w:spacing w:after="0"/>
              <w:rPr>
                <w:sz w:val="20"/>
                <w:szCs w:val="20"/>
                <w:color w:val="auto"/>
              </w:rPr>
            </w:pPr>
            <w:r>
              <w:rPr>
                <w:rFonts w:ascii="Arial" w:cs="Arial" w:eastAsia="Arial" w:hAnsi="Arial"/>
                <w:sz w:val="14"/>
                <w:szCs w:val="14"/>
                <w:color w:val="auto"/>
              </w:rPr>
              <w:t>20,342</w:t>
            </w:r>
          </w:p>
        </w:tc>
        <w:tc>
          <w:tcPr>
            <w:tcW w:w="14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37,831</w:t>
            </w:r>
          </w:p>
        </w:tc>
      </w:tr>
      <w:tr>
        <w:trPr>
          <w:trHeight w:val="170"/>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Mr. North</w:t>
            </w:r>
          </w:p>
        </w:tc>
        <w:tc>
          <w:tcPr>
            <w:tcW w:w="2400" w:type="dxa"/>
            <w:vAlign w:val="bottom"/>
            <w:tcBorders>
              <w:top w:val="single" w:sz="8" w:color="auto"/>
            </w:tcBorders>
          </w:tcPr>
          <w:p>
            <w:pPr>
              <w:ind w:left="1620"/>
              <w:spacing w:after="0"/>
              <w:rPr>
                <w:sz w:val="20"/>
                <w:szCs w:val="20"/>
                <w:color w:val="auto"/>
              </w:rPr>
            </w:pPr>
            <w:r>
              <w:rPr>
                <w:rFonts w:ascii="Arial" w:cs="Arial" w:eastAsia="Arial" w:hAnsi="Arial"/>
                <w:sz w:val="14"/>
                <w:szCs w:val="14"/>
                <w:color w:val="auto"/>
              </w:rPr>
              <w:t>2019</w:t>
            </w:r>
          </w:p>
        </w:tc>
        <w:tc>
          <w:tcPr>
            <w:tcW w:w="154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13,255</w:t>
            </w:r>
          </w:p>
        </w:tc>
        <w:tc>
          <w:tcPr>
            <w:tcW w:w="152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color w:val="auto"/>
              </w:rPr>
              <w:t>12,101</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29,206</w:t>
            </w:r>
          </w:p>
        </w:tc>
      </w:tr>
      <w:tr>
        <w:trPr>
          <w:trHeight w:val="93"/>
        </w:trPr>
        <w:tc>
          <w:tcPr>
            <w:tcW w:w="254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r>
        <w:trPr>
          <w:trHeight w:val="171"/>
        </w:trPr>
        <w:tc>
          <w:tcPr>
            <w:tcW w:w="2540" w:type="dxa"/>
            <w:vAlign w:val="bottom"/>
            <w:shd w:val="clear" w:color="auto" w:fill="CCCCCC"/>
          </w:tcPr>
          <w:p>
            <w:pPr>
              <w:spacing w:after="0"/>
              <w:rPr>
                <w:sz w:val="20"/>
                <w:szCs w:val="20"/>
                <w:color w:val="auto"/>
              </w:rPr>
            </w:pPr>
            <w:r>
              <w:rPr>
                <w:rFonts w:ascii="Arial" w:cs="Arial" w:eastAsia="Arial" w:hAnsi="Arial"/>
                <w:sz w:val="14"/>
                <w:szCs w:val="14"/>
                <w:color w:val="auto"/>
              </w:rPr>
              <w:t>Mr. Rankin</w:t>
            </w:r>
          </w:p>
        </w:tc>
        <w:tc>
          <w:tcPr>
            <w:tcW w:w="2400" w:type="dxa"/>
            <w:vAlign w:val="bottom"/>
            <w:shd w:val="clear" w:color="auto" w:fill="CCCCCC"/>
          </w:tcPr>
          <w:p>
            <w:pPr>
              <w:ind w:left="1620"/>
              <w:spacing w:after="0"/>
              <w:rPr>
                <w:sz w:val="20"/>
                <w:szCs w:val="20"/>
                <w:color w:val="auto"/>
              </w:rPr>
            </w:pPr>
            <w:r>
              <w:rPr>
                <w:rFonts w:ascii="Arial" w:cs="Arial" w:eastAsia="Arial" w:hAnsi="Arial"/>
                <w:sz w:val="14"/>
                <w:szCs w:val="14"/>
                <w:color w:val="auto"/>
              </w:rPr>
              <w:t>2019</w:t>
            </w:r>
          </w:p>
        </w:tc>
        <w:tc>
          <w:tcPr>
            <w:tcW w:w="1540" w:type="dxa"/>
            <w:vAlign w:val="bottom"/>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rPr>
              <w:t>11,038</w:t>
            </w:r>
          </w:p>
        </w:tc>
        <w:tc>
          <w:tcPr>
            <w:tcW w:w="1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11,038</w:t>
            </w:r>
          </w:p>
        </w:tc>
      </w:tr>
      <w:tr>
        <w:trPr>
          <w:trHeight w:val="93"/>
        </w:trPr>
        <w:tc>
          <w:tcPr>
            <w:tcW w:w="2540" w:type="dxa"/>
            <w:vAlign w:val="bottom"/>
            <w:tcBorders>
              <w:bottom w:val="single" w:sz="8" w:color="auto"/>
            </w:tcBorders>
            <w:shd w:val="clear" w:color="auto" w:fill="CCCCCC"/>
          </w:tcPr>
          <w:p>
            <w:pPr>
              <w:spacing w:after="0"/>
              <w:rPr>
                <w:sz w:val="8"/>
                <w:szCs w:val="8"/>
                <w:color w:val="auto"/>
              </w:rPr>
            </w:pPr>
          </w:p>
        </w:tc>
        <w:tc>
          <w:tcPr>
            <w:tcW w:w="2400" w:type="dxa"/>
            <w:vAlign w:val="bottom"/>
            <w:tcBorders>
              <w:bottom w:val="single" w:sz="8" w:color="auto"/>
            </w:tcBorders>
            <w:shd w:val="clear" w:color="auto" w:fill="CCCCCC"/>
          </w:tcPr>
          <w:p>
            <w:pPr>
              <w:spacing w:after="0"/>
              <w:rPr>
                <w:sz w:val="8"/>
                <w:szCs w:val="8"/>
                <w:color w:val="auto"/>
              </w:rPr>
            </w:pPr>
          </w:p>
        </w:tc>
        <w:tc>
          <w:tcPr>
            <w:tcW w:w="1540" w:type="dxa"/>
            <w:vAlign w:val="bottom"/>
            <w:tcBorders>
              <w:bottom w:val="single" w:sz="8" w:color="auto"/>
            </w:tcBorders>
            <w:shd w:val="clear" w:color="auto" w:fill="CCCCCC"/>
          </w:tcPr>
          <w:p>
            <w:pPr>
              <w:spacing w:after="0"/>
              <w:rPr>
                <w:sz w:val="8"/>
                <w:szCs w:val="8"/>
                <w:color w:val="auto"/>
              </w:rPr>
            </w:pPr>
          </w:p>
        </w:tc>
        <w:tc>
          <w:tcPr>
            <w:tcW w:w="1480" w:type="dxa"/>
            <w:vAlign w:val="bottom"/>
            <w:tcBorders>
              <w:bottom w:val="single" w:sz="8" w:color="auto"/>
            </w:tcBorders>
            <w:shd w:val="clear" w:color="auto" w:fill="CCCCCC"/>
          </w:tcPr>
          <w:p>
            <w:pPr>
              <w:spacing w:after="0"/>
              <w:rPr>
                <w:sz w:val="8"/>
                <w:szCs w:val="8"/>
                <w:color w:val="auto"/>
              </w:rPr>
            </w:pPr>
          </w:p>
        </w:tc>
        <w:tc>
          <w:tcPr>
            <w:tcW w:w="1520" w:type="dxa"/>
            <w:vAlign w:val="bottom"/>
            <w:tcBorders>
              <w:bottom w:val="single" w:sz="8" w:color="auto"/>
            </w:tcBorders>
            <w:shd w:val="clear" w:color="auto" w:fill="CCCCCC"/>
          </w:tcPr>
          <w:p>
            <w:pPr>
              <w:spacing w:after="0"/>
              <w:rPr>
                <w:sz w:val="8"/>
                <w:szCs w:val="8"/>
                <w:color w:val="auto"/>
              </w:rPr>
            </w:pPr>
          </w:p>
        </w:tc>
        <w:tc>
          <w:tcPr>
            <w:tcW w:w="1400" w:type="dxa"/>
            <w:vAlign w:val="bottom"/>
            <w:tcBorders>
              <w:bottom w:val="single" w:sz="8" w:color="auto"/>
            </w:tcBorders>
            <w:shd w:val="clear" w:color="auto" w:fill="CCCCCC"/>
          </w:tcPr>
          <w:p>
            <w:pPr>
              <w:spacing w:after="0"/>
              <w:rPr>
                <w:sz w:val="8"/>
                <w:szCs w:val="8"/>
                <w:color w:val="auto"/>
              </w:rPr>
            </w:pPr>
          </w:p>
        </w:tc>
      </w:tr>
      <w:tr>
        <w:trPr>
          <w:trHeight w:val="170"/>
        </w:trPr>
        <w:tc>
          <w:tcPr>
            <w:tcW w:w="2540" w:type="dxa"/>
            <w:vAlign w:val="bottom"/>
          </w:tcPr>
          <w:p>
            <w:pPr>
              <w:spacing w:after="0"/>
              <w:rPr>
                <w:sz w:val="20"/>
                <w:szCs w:val="20"/>
                <w:color w:val="auto"/>
              </w:rPr>
            </w:pPr>
            <w:r>
              <w:rPr>
                <w:rFonts w:ascii="Arial" w:cs="Arial" w:eastAsia="Arial" w:hAnsi="Arial"/>
                <w:sz w:val="14"/>
                <w:szCs w:val="14"/>
                <w:color w:val="auto"/>
              </w:rPr>
              <w:t>Mr. Linnen</w:t>
            </w:r>
          </w:p>
        </w:tc>
        <w:tc>
          <w:tcPr>
            <w:tcW w:w="2400" w:type="dxa"/>
            <w:vAlign w:val="bottom"/>
          </w:tcPr>
          <w:p>
            <w:pPr>
              <w:ind w:left="1620"/>
              <w:spacing w:after="0"/>
              <w:rPr>
                <w:sz w:val="20"/>
                <w:szCs w:val="20"/>
                <w:color w:val="auto"/>
              </w:rPr>
            </w:pPr>
            <w:r>
              <w:rPr>
                <w:rFonts w:ascii="Arial" w:cs="Arial" w:eastAsia="Arial" w:hAnsi="Arial"/>
                <w:sz w:val="14"/>
                <w:szCs w:val="14"/>
                <w:color w:val="auto"/>
              </w:rPr>
              <w:t>2019</w:t>
            </w:r>
          </w:p>
        </w:tc>
        <w:tc>
          <w:tcPr>
            <w:tcW w:w="1540" w:type="dxa"/>
            <w:vAlign w:val="bottom"/>
          </w:tcPr>
          <w:p>
            <w:pPr>
              <w:jc w:val="center"/>
              <w:ind w:left="28"/>
              <w:spacing w:after="0"/>
              <w:rPr>
                <w:sz w:val="20"/>
                <w:szCs w:val="20"/>
                <w:color w:val="auto"/>
              </w:rPr>
            </w:pPr>
            <w:r>
              <w:rPr>
                <w:rFonts w:ascii="Arial" w:cs="Arial" w:eastAsia="Arial" w:hAnsi="Arial"/>
                <w:sz w:val="14"/>
                <w:szCs w:val="14"/>
                <w:color w:val="auto"/>
              </w:rPr>
              <w:t>2,642</w:t>
            </w:r>
          </w:p>
        </w:tc>
        <w:tc>
          <w:tcPr>
            <w:tcW w:w="1480" w:type="dxa"/>
            <w:vAlign w:val="bottom"/>
          </w:tcPr>
          <w:p>
            <w:pPr>
              <w:jc w:val="center"/>
              <w:spacing w:after="0"/>
              <w:rPr>
                <w:sz w:val="20"/>
                <w:szCs w:val="20"/>
                <w:color w:val="auto"/>
              </w:rPr>
            </w:pPr>
            <w:r>
              <w:rPr>
                <w:rFonts w:ascii="Arial" w:cs="Arial" w:eastAsia="Arial" w:hAnsi="Arial"/>
                <w:sz w:val="14"/>
                <w:szCs w:val="14"/>
                <w:color w:val="auto"/>
              </w:rPr>
              <w:t>8,759</w:t>
            </w:r>
          </w:p>
        </w:tc>
        <w:tc>
          <w:tcPr>
            <w:tcW w:w="1520" w:type="dxa"/>
            <w:vAlign w:val="bottom"/>
          </w:tcPr>
          <w:p>
            <w:pPr>
              <w:jc w:val="center"/>
              <w:ind w:right="88"/>
              <w:spacing w:after="0"/>
              <w:rPr>
                <w:sz w:val="20"/>
                <w:szCs w:val="20"/>
                <w:color w:val="auto"/>
              </w:rPr>
            </w:pPr>
            <w:r>
              <w:rPr>
                <w:rFonts w:ascii="Arial" w:cs="Arial" w:eastAsia="Arial" w:hAnsi="Arial"/>
                <w:sz w:val="14"/>
                <w:szCs w:val="14"/>
                <w:color w:val="auto"/>
              </w:rPr>
              <w:t>13,230</w:t>
            </w:r>
          </w:p>
        </w:tc>
        <w:tc>
          <w:tcPr>
            <w:tcW w:w="1400" w:type="dxa"/>
            <w:vAlign w:val="bottom"/>
          </w:tcPr>
          <w:p>
            <w:pPr>
              <w:jc w:val="right"/>
              <w:spacing w:after="0"/>
              <w:rPr>
                <w:sz w:val="20"/>
                <w:szCs w:val="20"/>
                <w:color w:val="auto"/>
              </w:rPr>
            </w:pPr>
            <w:r>
              <w:rPr>
                <w:rFonts w:ascii="Arial" w:cs="Arial" w:eastAsia="Arial" w:hAnsi="Arial"/>
                <w:sz w:val="14"/>
                <w:szCs w:val="14"/>
                <w:color w:val="auto"/>
              </w:rPr>
              <w:t>28,481</w:t>
            </w:r>
          </w:p>
        </w:tc>
      </w:tr>
      <w:tr>
        <w:trPr>
          <w:trHeight w:val="93"/>
        </w:trPr>
        <w:tc>
          <w:tcPr>
            <w:tcW w:w="254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r>
        <w:trPr>
          <w:trHeight w:val="160"/>
        </w:trPr>
        <w:tc>
          <w:tcPr>
            <w:tcW w:w="2540" w:type="dxa"/>
            <w:vAlign w:val="bottom"/>
            <w:shd w:val="clear" w:color="auto" w:fill="CCCCCC"/>
          </w:tcPr>
          <w:p>
            <w:pPr>
              <w:spacing w:after="0"/>
              <w:rPr>
                <w:sz w:val="20"/>
                <w:szCs w:val="20"/>
                <w:color w:val="auto"/>
              </w:rPr>
            </w:pPr>
            <w:r>
              <w:rPr>
                <w:rFonts w:ascii="Arial" w:cs="Arial" w:eastAsia="Arial" w:hAnsi="Arial"/>
                <w:sz w:val="14"/>
                <w:szCs w:val="14"/>
                <w:color w:val="auto"/>
              </w:rPr>
              <w:t>Mr. De Shon</w:t>
            </w:r>
          </w:p>
        </w:tc>
        <w:tc>
          <w:tcPr>
            <w:tcW w:w="2400" w:type="dxa"/>
            <w:vAlign w:val="bottom"/>
            <w:shd w:val="clear" w:color="auto" w:fill="CCCCCC"/>
          </w:tcPr>
          <w:p>
            <w:pPr>
              <w:ind w:left="1620"/>
              <w:spacing w:after="0"/>
              <w:rPr>
                <w:sz w:val="20"/>
                <w:szCs w:val="20"/>
                <w:color w:val="auto"/>
              </w:rPr>
            </w:pPr>
            <w:r>
              <w:rPr>
                <w:rFonts w:ascii="Arial" w:cs="Arial" w:eastAsia="Arial" w:hAnsi="Arial"/>
                <w:sz w:val="14"/>
                <w:szCs w:val="14"/>
                <w:color w:val="auto"/>
              </w:rPr>
              <w:t>2019</w:t>
            </w:r>
          </w:p>
        </w:tc>
        <w:tc>
          <w:tcPr>
            <w:tcW w:w="154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rPr>
              <w:t>22,798</w:t>
            </w:r>
          </w:p>
        </w:tc>
        <w:tc>
          <w:tcPr>
            <w:tcW w:w="14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14,302</w:t>
            </w:r>
          </w:p>
        </w:tc>
        <w:tc>
          <w:tcPr>
            <w:tcW w:w="152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rPr>
              <w:t>9,750</w:t>
            </w:r>
          </w:p>
        </w:tc>
        <w:tc>
          <w:tcPr>
            <w:tcW w:w="1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50,700</w:t>
            </w:r>
          </w:p>
        </w:tc>
      </w:tr>
      <w:tr>
        <w:trPr>
          <w:trHeight w:val="162"/>
        </w:trPr>
        <w:tc>
          <w:tcPr>
            <w:tcW w:w="2540" w:type="dxa"/>
            <w:vAlign w:val="bottom"/>
            <w:shd w:val="clear" w:color="auto" w:fill="CCCCCC"/>
          </w:tcPr>
          <w:p>
            <w:pPr>
              <w:spacing w:after="0"/>
              <w:rPr>
                <w:sz w:val="14"/>
                <w:szCs w:val="14"/>
                <w:color w:val="auto"/>
              </w:rPr>
            </w:pPr>
          </w:p>
        </w:tc>
        <w:tc>
          <w:tcPr>
            <w:tcW w:w="2400" w:type="dxa"/>
            <w:vAlign w:val="bottom"/>
            <w:shd w:val="clear" w:color="auto" w:fill="CCCCCC"/>
          </w:tcPr>
          <w:p>
            <w:pPr>
              <w:ind w:left="1620"/>
              <w:spacing w:after="0"/>
              <w:rPr>
                <w:sz w:val="20"/>
                <w:szCs w:val="20"/>
                <w:color w:val="auto"/>
              </w:rPr>
            </w:pPr>
            <w:r>
              <w:rPr>
                <w:rFonts w:ascii="Arial" w:cs="Arial" w:eastAsia="Arial" w:hAnsi="Arial"/>
                <w:sz w:val="14"/>
                <w:szCs w:val="14"/>
                <w:color w:val="auto"/>
              </w:rPr>
              <w:t>2018</w:t>
            </w:r>
          </w:p>
        </w:tc>
        <w:tc>
          <w:tcPr>
            <w:tcW w:w="154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rPr>
              <w:t>23,926</w:t>
            </w:r>
          </w:p>
        </w:tc>
        <w:tc>
          <w:tcPr>
            <w:tcW w:w="14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13,703</w:t>
            </w:r>
          </w:p>
        </w:tc>
        <w:tc>
          <w:tcPr>
            <w:tcW w:w="152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rPr>
              <w:t>15,913</w:t>
            </w:r>
          </w:p>
        </w:tc>
        <w:tc>
          <w:tcPr>
            <w:tcW w:w="1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57,392</w:t>
            </w:r>
          </w:p>
        </w:tc>
      </w:tr>
      <w:tr>
        <w:trPr>
          <w:trHeight w:val="203"/>
        </w:trPr>
        <w:tc>
          <w:tcPr>
            <w:tcW w:w="2540" w:type="dxa"/>
            <w:vAlign w:val="bottom"/>
            <w:tcBorders>
              <w:bottom w:val="single" w:sz="8" w:color="CCCCCC"/>
            </w:tcBorders>
            <w:shd w:val="clear" w:color="auto" w:fill="CCCCCC"/>
          </w:tcPr>
          <w:p>
            <w:pPr>
              <w:spacing w:after="0"/>
              <w:rPr>
                <w:sz w:val="17"/>
                <w:szCs w:val="17"/>
                <w:color w:val="auto"/>
              </w:rPr>
            </w:pPr>
          </w:p>
        </w:tc>
        <w:tc>
          <w:tcPr>
            <w:tcW w:w="2400" w:type="dxa"/>
            <w:vAlign w:val="bottom"/>
            <w:tcBorders>
              <w:bottom w:val="single" w:sz="8" w:color="CCCCCC"/>
            </w:tcBorders>
            <w:shd w:val="clear" w:color="auto" w:fill="CCCCCC"/>
          </w:tcPr>
          <w:p>
            <w:pPr>
              <w:ind w:left="1620"/>
              <w:spacing w:after="0"/>
              <w:rPr>
                <w:sz w:val="20"/>
                <w:szCs w:val="20"/>
                <w:color w:val="auto"/>
              </w:rPr>
            </w:pPr>
            <w:r>
              <w:rPr>
                <w:rFonts w:ascii="Arial" w:cs="Arial" w:eastAsia="Arial" w:hAnsi="Arial"/>
                <w:sz w:val="14"/>
                <w:szCs w:val="14"/>
                <w:color w:val="auto"/>
              </w:rPr>
              <w:t>2017</w:t>
            </w:r>
          </w:p>
        </w:tc>
        <w:tc>
          <w:tcPr>
            <w:tcW w:w="1540" w:type="dxa"/>
            <w:vAlign w:val="bottom"/>
            <w:tcBorders>
              <w:bottom w:val="single" w:sz="8" w:color="CCCCCC"/>
            </w:tcBorders>
            <w:shd w:val="clear" w:color="auto" w:fill="CCCCCC"/>
          </w:tcPr>
          <w:p>
            <w:pPr>
              <w:jc w:val="center"/>
              <w:ind w:left="28"/>
              <w:spacing w:after="0"/>
              <w:rPr>
                <w:sz w:val="20"/>
                <w:szCs w:val="20"/>
                <w:color w:val="auto"/>
              </w:rPr>
            </w:pPr>
            <w:r>
              <w:rPr>
                <w:rFonts w:ascii="Arial" w:cs="Arial" w:eastAsia="Arial" w:hAnsi="Arial"/>
                <w:sz w:val="14"/>
                <w:szCs w:val="14"/>
                <w:color w:val="auto"/>
              </w:rPr>
              <w:t>8,694</w:t>
            </w:r>
          </w:p>
        </w:tc>
        <w:tc>
          <w:tcPr>
            <w:tcW w:w="14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13,226</w:t>
            </w:r>
          </w:p>
        </w:tc>
        <w:tc>
          <w:tcPr>
            <w:tcW w:w="1520" w:type="dxa"/>
            <w:vAlign w:val="bottom"/>
            <w:tcBorders>
              <w:bottom w:val="single" w:sz="8" w:color="CCCCCC"/>
            </w:tcBorders>
            <w:shd w:val="clear" w:color="auto" w:fill="CCCCCC"/>
          </w:tcPr>
          <w:p>
            <w:pPr>
              <w:jc w:val="center"/>
              <w:ind w:right="88"/>
              <w:spacing w:after="0"/>
              <w:rPr>
                <w:sz w:val="20"/>
                <w:szCs w:val="20"/>
                <w:color w:val="auto"/>
              </w:rPr>
            </w:pPr>
            <w:r>
              <w:rPr>
                <w:rFonts w:ascii="Arial" w:cs="Arial" w:eastAsia="Arial" w:hAnsi="Arial"/>
                <w:sz w:val="14"/>
                <w:szCs w:val="14"/>
                <w:color w:val="auto"/>
              </w:rPr>
              <w:t>18,207</w:t>
            </w:r>
          </w:p>
        </w:tc>
        <w:tc>
          <w:tcPr>
            <w:tcW w:w="14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43,977</w:t>
            </w:r>
          </w:p>
        </w:tc>
      </w:tr>
      <w:tr>
        <w:trPr>
          <w:trHeight w:val="160"/>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Mr. Smith</w:t>
            </w:r>
          </w:p>
        </w:tc>
        <w:tc>
          <w:tcPr>
            <w:tcW w:w="2400" w:type="dxa"/>
            <w:vAlign w:val="bottom"/>
            <w:tcBorders>
              <w:top w:val="single" w:sz="8" w:color="auto"/>
            </w:tcBorders>
          </w:tcPr>
          <w:p>
            <w:pPr>
              <w:ind w:left="1620"/>
              <w:spacing w:after="0"/>
              <w:rPr>
                <w:sz w:val="20"/>
                <w:szCs w:val="20"/>
                <w:color w:val="auto"/>
              </w:rPr>
            </w:pPr>
            <w:r>
              <w:rPr>
                <w:rFonts w:ascii="Arial" w:cs="Arial" w:eastAsia="Arial" w:hAnsi="Arial"/>
                <w:sz w:val="14"/>
                <w:szCs w:val="14"/>
                <w:color w:val="auto"/>
              </w:rPr>
              <w:t>2019</w:t>
            </w:r>
          </w:p>
        </w:tc>
        <w:tc>
          <w:tcPr>
            <w:tcW w:w="154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365</w:t>
            </w:r>
          </w:p>
        </w:tc>
        <w:tc>
          <w:tcPr>
            <w:tcW w:w="152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color w:val="auto"/>
              </w:rPr>
              <w:t>3,567</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3,932</w:t>
            </w:r>
          </w:p>
        </w:tc>
      </w:tr>
      <w:tr>
        <w:trPr>
          <w:trHeight w:val="162"/>
        </w:trPr>
        <w:tc>
          <w:tcPr>
            <w:tcW w:w="2540" w:type="dxa"/>
            <w:vAlign w:val="bottom"/>
          </w:tcPr>
          <w:p>
            <w:pPr>
              <w:spacing w:after="0"/>
              <w:rPr>
                <w:sz w:val="14"/>
                <w:szCs w:val="14"/>
                <w:color w:val="auto"/>
              </w:rPr>
            </w:pPr>
          </w:p>
        </w:tc>
        <w:tc>
          <w:tcPr>
            <w:tcW w:w="2400" w:type="dxa"/>
            <w:vAlign w:val="bottom"/>
          </w:tcPr>
          <w:p>
            <w:pPr>
              <w:ind w:left="1620"/>
              <w:spacing w:after="0"/>
              <w:rPr>
                <w:sz w:val="20"/>
                <w:szCs w:val="20"/>
                <w:color w:val="auto"/>
              </w:rPr>
            </w:pPr>
            <w:r>
              <w:rPr>
                <w:rFonts w:ascii="Arial" w:cs="Arial" w:eastAsia="Arial" w:hAnsi="Arial"/>
                <w:sz w:val="14"/>
                <w:szCs w:val="14"/>
                <w:color w:val="auto"/>
              </w:rPr>
              <w:t>2018</w:t>
            </w:r>
          </w:p>
        </w:tc>
        <w:tc>
          <w:tcPr>
            <w:tcW w:w="154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1,593</w:t>
            </w:r>
          </w:p>
        </w:tc>
        <w:tc>
          <w:tcPr>
            <w:tcW w:w="1520" w:type="dxa"/>
            <w:vAlign w:val="bottom"/>
          </w:tcPr>
          <w:p>
            <w:pPr>
              <w:jc w:val="center"/>
              <w:ind w:right="88"/>
              <w:spacing w:after="0"/>
              <w:rPr>
                <w:sz w:val="20"/>
                <w:szCs w:val="20"/>
                <w:color w:val="auto"/>
              </w:rPr>
            </w:pPr>
            <w:r>
              <w:rPr>
                <w:rFonts w:ascii="Arial" w:cs="Arial" w:eastAsia="Arial" w:hAnsi="Arial"/>
                <w:sz w:val="14"/>
                <w:szCs w:val="14"/>
                <w:color w:val="auto"/>
              </w:rPr>
              <w:t>11,250</w:t>
            </w:r>
          </w:p>
        </w:tc>
        <w:tc>
          <w:tcPr>
            <w:tcW w:w="1400" w:type="dxa"/>
            <w:vAlign w:val="bottom"/>
          </w:tcPr>
          <w:p>
            <w:pPr>
              <w:jc w:val="right"/>
              <w:spacing w:after="0"/>
              <w:rPr>
                <w:sz w:val="20"/>
                <w:szCs w:val="20"/>
                <w:color w:val="auto"/>
              </w:rPr>
            </w:pPr>
            <w:r>
              <w:rPr>
                <w:rFonts w:ascii="Arial" w:cs="Arial" w:eastAsia="Arial" w:hAnsi="Arial"/>
                <w:sz w:val="14"/>
                <w:szCs w:val="14"/>
                <w:color w:val="auto"/>
              </w:rPr>
              <w:t>12,843</w:t>
            </w:r>
          </w:p>
        </w:tc>
      </w:tr>
      <w:tr>
        <w:trPr>
          <w:trHeight w:val="172"/>
        </w:trPr>
        <w:tc>
          <w:tcPr>
            <w:tcW w:w="2540" w:type="dxa"/>
            <w:vAlign w:val="bottom"/>
          </w:tcPr>
          <w:p>
            <w:pPr>
              <w:spacing w:after="0"/>
              <w:rPr>
                <w:sz w:val="14"/>
                <w:szCs w:val="14"/>
                <w:color w:val="auto"/>
              </w:rPr>
            </w:pPr>
          </w:p>
        </w:tc>
        <w:tc>
          <w:tcPr>
            <w:tcW w:w="2400" w:type="dxa"/>
            <w:vAlign w:val="bottom"/>
          </w:tcPr>
          <w:p>
            <w:pPr>
              <w:ind w:left="1620"/>
              <w:spacing w:after="0"/>
              <w:rPr>
                <w:sz w:val="20"/>
                <w:szCs w:val="20"/>
                <w:color w:val="auto"/>
              </w:rPr>
            </w:pPr>
            <w:r>
              <w:rPr>
                <w:rFonts w:ascii="Arial" w:cs="Arial" w:eastAsia="Arial" w:hAnsi="Arial"/>
                <w:sz w:val="14"/>
                <w:szCs w:val="14"/>
                <w:color w:val="auto"/>
              </w:rPr>
              <w:t>2017</w:t>
            </w:r>
          </w:p>
        </w:tc>
        <w:tc>
          <w:tcPr>
            <w:tcW w:w="154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833</w:t>
            </w:r>
          </w:p>
        </w:tc>
        <w:tc>
          <w:tcPr>
            <w:tcW w:w="1520" w:type="dxa"/>
            <w:vAlign w:val="bottom"/>
          </w:tcPr>
          <w:p>
            <w:pPr>
              <w:jc w:val="center"/>
              <w:ind w:right="88"/>
              <w:spacing w:after="0"/>
              <w:rPr>
                <w:sz w:val="20"/>
                <w:szCs w:val="20"/>
                <w:color w:val="auto"/>
              </w:rPr>
            </w:pPr>
            <w:r>
              <w:rPr>
                <w:rFonts w:ascii="Arial" w:cs="Arial" w:eastAsia="Arial" w:hAnsi="Arial"/>
                <w:sz w:val="14"/>
                <w:szCs w:val="14"/>
                <w:color w:val="auto"/>
              </w:rPr>
              <w:t>13,020</w:t>
            </w:r>
          </w:p>
        </w:tc>
        <w:tc>
          <w:tcPr>
            <w:tcW w:w="1400" w:type="dxa"/>
            <w:vAlign w:val="bottom"/>
          </w:tcPr>
          <w:p>
            <w:pPr>
              <w:jc w:val="right"/>
              <w:spacing w:after="0"/>
              <w:rPr>
                <w:sz w:val="20"/>
                <w:szCs w:val="20"/>
                <w:color w:val="auto"/>
              </w:rPr>
            </w:pPr>
            <w:r>
              <w:rPr>
                <w:rFonts w:ascii="Arial" w:cs="Arial" w:eastAsia="Arial" w:hAnsi="Arial"/>
                <w:sz w:val="14"/>
                <w:szCs w:val="14"/>
                <w:color w:val="auto"/>
              </w:rPr>
              <w:t>13,853</w:t>
            </w:r>
          </w:p>
        </w:tc>
      </w:tr>
      <w:tr>
        <w:trPr>
          <w:trHeight w:val="26"/>
        </w:trPr>
        <w:tc>
          <w:tcPr>
            <w:tcW w:w="25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0"/>
        </w:trPr>
        <w:tc>
          <w:tcPr>
            <w:tcW w:w="2540" w:type="dxa"/>
            <w:vAlign w:val="bottom"/>
            <w:shd w:val="clear" w:color="auto" w:fill="CCCCCC"/>
          </w:tcPr>
          <w:p>
            <w:pPr>
              <w:spacing w:after="0"/>
              <w:rPr>
                <w:sz w:val="20"/>
                <w:szCs w:val="20"/>
                <w:color w:val="auto"/>
              </w:rPr>
            </w:pPr>
            <w:r>
              <w:rPr>
                <w:rFonts w:ascii="Arial" w:cs="Arial" w:eastAsia="Arial" w:hAnsi="Arial"/>
                <w:sz w:val="14"/>
                <w:szCs w:val="14"/>
                <w:color w:val="auto"/>
              </w:rPr>
              <w:t>Mr. Servodidio</w:t>
            </w:r>
          </w:p>
        </w:tc>
        <w:tc>
          <w:tcPr>
            <w:tcW w:w="2400" w:type="dxa"/>
            <w:vAlign w:val="bottom"/>
            <w:shd w:val="clear" w:color="auto" w:fill="CCCCCC"/>
          </w:tcPr>
          <w:p>
            <w:pPr>
              <w:ind w:left="1620"/>
              <w:spacing w:after="0"/>
              <w:rPr>
                <w:sz w:val="20"/>
                <w:szCs w:val="20"/>
                <w:color w:val="auto"/>
              </w:rPr>
            </w:pPr>
            <w:r>
              <w:rPr>
                <w:rFonts w:ascii="Arial" w:cs="Arial" w:eastAsia="Arial" w:hAnsi="Arial"/>
                <w:sz w:val="14"/>
                <w:szCs w:val="14"/>
                <w:color w:val="auto"/>
              </w:rPr>
              <w:t>2019</w:t>
            </w:r>
          </w:p>
        </w:tc>
        <w:tc>
          <w:tcPr>
            <w:tcW w:w="1540" w:type="dxa"/>
            <w:vAlign w:val="bottom"/>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7,112</w:t>
            </w:r>
          </w:p>
        </w:tc>
        <w:tc>
          <w:tcPr>
            <w:tcW w:w="152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rPr>
              <w:t>5,625</w:t>
            </w:r>
          </w:p>
        </w:tc>
        <w:tc>
          <w:tcPr>
            <w:tcW w:w="1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12,737</w:t>
            </w:r>
          </w:p>
        </w:tc>
      </w:tr>
      <w:tr>
        <w:trPr>
          <w:trHeight w:val="162"/>
        </w:trPr>
        <w:tc>
          <w:tcPr>
            <w:tcW w:w="2540" w:type="dxa"/>
            <w:vAlign w:val="bottom"/>
            <w:shd w:val="clear" w:color="auto" w:fill="CCCCCC"/>
          </w:tcPr>
          <w:p>
            <w:pPr>
              <w:spacing w:after="0"/>
              <w:rPr>
                <w:sz w:val="14"/>
                <w:szCs w:val="14"/>
                <w:color w:val="auto"/>
              </w:rPr>
            </w:pPr>
          </w:p>
        </w:tc>
        <w:tc>
          <w:tcPr>
            <w:tcW w:w="2400" w:type="dxa"/>
            <w:vAlign w:val="bottom"/>
            <w:shd w:val="clear" w:color="auto" w:fill="CCCCCC"/>
          </w:tcPr>
          <w:p>
            <w:pPr>
              <w:ind w:left="1620"/>
              <w:spacing w:after="0"/>
              <w:rPr>
                <w:sz w:val="20"/>
                <w:szCs w:val="20"/>
                <w:color w:val="auto"/>
              </w:rPr>
            </w:pPr>
            <w:r>
              <w:rPr>
                <w:rFonts w:ascii="Arial" w:cs="Arial" w:eastAsia="Arial" w:hAnsi="Arial"/>
                <w:sz w:val="14"/>
                <w:szCs w:val="14"/>
                <w:color w:val="auto"/>
              </w:rPr>
              <w:t>2018</w:t>
            </w:r>
          </w:p>
        </w:tc>
        <w:tc>
          <w:tcPr>
            <w:tcW w:w="1540" w:type="dxa"/>
            <w:vAlign w:val="bottom"/>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12,953</w:t>
            </w:r>
          </w:p>
        </w:tc>
        <w:tc>
          <w:tcPr>
            <w:tcW w:w="152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rPr>
              <w:t>11,250</w:t>
            </w:r>
          </w:p>
        </w:tc>
        <w:tc>
          <w:tcPr>
            <w:tcW w:w="1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24,203</w:t>
            </w:r>
          </w:p>
        </w:tc>
      </w:tr>
      <w:tr>
        <w:trPr>
          <w:trHeight w:val="178"/>
        </w:trPr>
        <w:tc>
          <w:tcPr>
            <w:tcW w:w="2540" w:type="dxa"/>
            <w:vAlign w:val="bottom"/>
            <w:tcBorders>
              <w:bottom w:val="single" w:sz="8" w:color="CCCCCC"/>
            </w:tcBorders>
            <w:shd w:val="clear" w:color="auto" w:fill="CCCCCC"/>
          </w:tcPr>
          <w:p>
            <w:pPr>
              <w:spacing w:after="0"/>
              <w:rPr>
                <w:sz w:val="15"/>
                <w:szCs w:val="15"/>
                <w:color w:val="auto"/>
              </w:rPr>
            </w:pPr>
          </w:p>
        </w:tc>
        <w:tc>
          <w:tcPr>
            <w:tcW w:w="2400" w:type="dxa"/>
            <w:vAlign w:val="bottom"/>
            <w:tcBorders>
              <w:bottom w:val="single" w:sz="8" w:color="CCCCCC"/>
            </w:tcBorders>
            <w:shd w:val="clear" w:color="auto" w:fill="CCCCCC"/>
          </w:tcPr>
          <w:p>
            <w:pPr>
              <w:ind w:left="1620"/>
              <w:spacing w:after="0"/>
              <w:rPr>
                <w:sz w:val="20"/>
                <w:szCs w:val="20"/>
                <w:color w:val="auto"/>
              </w:rPr>
            </w:pPr>
            <w:r>
              <w:rPr>
                <w:rFonts w:ascii="Arial" w:cs="Arial" w:eastAsia="Arial" w:hAnsi="Arial"/>
                <w:sz w:val="14"/>
                <w:szCs w:val="14"/>
                <w:color w:val="auto"/>
              </w:rPr>
              <w:t>2017</w:t>
            </w:r>
          </w:p>
        </w:tc>
        <w:tc>
          <w:tcPr>
            <w:tcW w:w="1540" w:type="dxa"/>
            <w:vAlign w:val="bottom"/>
            <w:tcBorders>
              <w:bottom w:val="single" w:sz="8" w:color="CCCCCC"/>
            </w:tcBorders>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12,540</w:t>
            </w:r>
          </w:p>
        </w:tc>
        <w:tc>
          <w:tcPr>
            <w:tcW w:w="1520" w:type="dxa"/>
            <w:vAlign w:val="bottom"/>
            <w:tcBorders>
              <w:bottom w:val="single" w:sz="8" w:color="CCCCCC"/>
            </w:tcBorders>
            <w:shd w:val="clear" w:color="auto" w:fill="CCCCCC"/>
          </w:tcPr>
          <w:p>
            <w:pPr>
              <w:jc w:val="center"/>
              <w:ind w:right="88"/>
              <w:spacing w:after="0"/>
              <w:rPr>
                <w:sz w:val="20"/>
                <w:szCs w:val="20"/>
                <w:color w:val="auto"/>
              </w:rPr>
            </w:pPr>
            <w:r>
              <w:rPr>
                <w:rFonts w:ascii="Arial" w:cs="Arial" w:eastAsia="Arial" w:hAnsi="Arial"/>
                <w:sz w:val="14"/>
                <w:szCs w:val="14"/>
                <w:color w:val="auto"/>
              </w:rPr>
              <w:t>11,250</w:t>
            </w:r>
          </w:p>
        </w:tc>
        <w:tc>
          <w:tcPr>
            <w:tcW w:w="14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27,640</w:t>
            </w:r>
          </w:p>
        </w:tc>
      </w:tr>
      <w:tr>
        <w:trPr>
          <w:trHeight w:val="27"/>
        </w:trPr>
        <w:tc>
          <w:tcPr>
            <w:tcW w:w="2540" w:type="dxa"/>
            <w:vAlign w:val="bottom"/>
            <w:shd w:val="clear" w:color="auto" w:fill="000000"/>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180" w:lineRule="exact"/>
        <w:rPr>
          <w:sz w:val="20"/>
          <w:szCs w:val="20"/>
          <w:color w:val="auto"/>
        </w:rPr>
      </w:pPr>
    </w:p>
    <w:p>
      <w:pPr>
        <w:jc w:val="both"/>
        <w:ind w:left="340" w:hanging="332"/>
        <w:spacing w:after="0" w:line="244" w:lineRule="auto"/>
        <w:tabs>
          <w:tab w:leader="none" w:pos="397" w:val="left"/>
        </w:tabs>
        <w:numPr>
          <w:ilvl w:val="0"/>
          <w:numId w:val="43"/>
        </w:numPr>
        <w:rPr>
          <w:rFonts w:ascii="Arial" w:cs="Arial" w:eastAsia="Arial" w:hAnsi="Arial"/>
          <w:sz w:val="14"/>
          <w:szCs w:val="14"/>
          <w:color w:val="auto"/>
        </w:rPr>
      </w:pPr>
      <w:r>
        <w:rPr>
          <w:rFonts w:ascii="Arial" w:cs="Arial" w:eastAsia="Arial" w:hAnsi="Arial"/>
          <w:sz w:val="14"/>
          <w:szCs w:val="14"/>
          <w:color w:val="auto"/>
        </w:rPr>
        <w:t>Under our aircraft policy, our CEO has reasonable non-business access to leased jet services, subject to prevailing market practices. For our other NEOs, non-business access is subject to approval by our CEO in his sole discretion.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such as crew salaries, training, hangaring, insurance and services support are not included. Spouses of NEOs are occasionally additional passengers on business flights provided by our leased jet services. In such cases, there is no incremental cost to the Company, and as a result, no amount is reflected in the table.</w:t>
      </w:r>
    </w:p>
    <w:p>
      <w:pPr>
        <w:spacing w:after="0" w:line="97" w:lineRule="exact"/>
        <w:rPr>
          <w:rFonts w:ascii="Arial" w:cs="Arial" w:eastAsia="Arial" w:hAnsi="Arial"/>
          <w:sz w:val="14"/>
          <w:szCs w:val="14"/>
          <w:color w:val="auto"/>
        </w:rPr>
      </w:pPr>
    </w:p>
    <w:p>
      <w:pPr>
        <w:jc w:val="both"/>
        <w:ind w:left="340" w:hanging="332"/>
        <w:spacing w:after="0" w:line="249" w:lineRule="auto"/>
        <w:tabs>
          <w:tab w:leader="none" w:pos="409"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Messrs. Ferraro, North, Linnen, De Shon and Servodidio, includes actual costs we incurred for financial services, including tax return preparation, financial planning and estate planning. Amounts also include Company-paid premiums in connection with a group excess liability umbrella insurance policy, which for 2019 did not exceed $2,700 for any NEO.</w:t>
      </w:r>
    </w:p>
    <w:p>
      <w:pPr>
        <w:spacing w:after="0" w:line="92" w:lineRule="exact"/>
        <w:rPr>
          <w:rFonts w:ascii="Arial" w:cs="Arial" w:eastAsia="Arial" w:hAnsi="Arial"/>
          <w:sz w:val="14"/>
          <w:szCs w:val="14"/>
          <w:color w:val="auto"/>
        </w:rPr>
      </w:pPr>
    </w:p>
    <w:p>
      <w:pPr>
        <w:jc w:val="both"/>
        <w:ind w:left="340" w:hanging="332"/>
        <w:spacing w:after="0" w:line="249" w:lineRule="auto"/>
        <w:tabs>
          <w:tab w:leader="none" w:pos="326"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or annual car allowance. For Messrs. Rankin and Servodidio, reflects a monthly average £/$exchange rate for the vehicle use period. NEOs are eligible to participate in the Company’s employee auto insurance program and employee car lease program; however, no amounts are included for these programs as the Company does not incur any associated incremental cost.</w:t>
      </w:r>
    </w:p>
    <w:p>
      <w:pPr>
        <w:spacing w:after="0" w:line="92"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Messrs. Ferraro, North, Linnen and De Shon, amounts include payments for annual physical examinations (annual costs for any NEO did not exceed $3,850).</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CEO Pay Ratio</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a review of our internal records, we believe that there has not been a change in our employee population or compensation arrangements that would significantly change our pay ratio disclosure as compared to last year. Therefore, for 2019, we relied on the same median employee identified for 2017 and 2018 (the “Median Employee”) to calculate this year’s pay ratio and calculated the total annual compensation for the Median Employee applying the same methodology used for our named executive officers, as set forth in the Summary Compensation Table above. Total compensation for 2019 for our Former CEO was $16,742,382. Our Median Employee’s total compensation for 2019 was $31,083. The ratio of our CEO’s pay to the pay of our Median Employee for 2019 is 538 to 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Pay Ratio Calculation Excluding Severance Payments to our Former CEO</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Summary Compensation Table includes one-time severance payments that were made to our Former CEO in addition to his salary, incentive awards and other compensation. Accordingly, we have prepared a supplemental calculation demonstrating the comparison of the compensation and ratio in which severance payments made to our Former CEO are excluded. We feel this calculation more accurately reflects the ratio of compensation of our Former CEO to the Median Employee. Total compensation for 2019 (excluding severance) for our Former CEO was $9,242,382. Based on the alternative calculation that excludes severance payments made to our Former CEO, the ratio of the annual total compensation of CEO pay to the pay of our Median Employee for 2019 is 297 to 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2019 Grants of Plan-Based Awards Table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All</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rPr>
              <w:t>Estimated Possible Payouts</w:t>
            </w:r>
          </w:p>
        </w:tc>
        <w:tc>
          <w:tcPr>
            <w:tcW w:w="226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rPr>
              <w:t>Estimated Future Payouts</w:t>
            </w: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Awards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Awards</w:t>
            </w: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rPr>
              <w:t>or Base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Number</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Price of</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rPr>
              <w:t>Under Non-Equity Incentive</w:t>
            </w:r>
          </w:p>
        </w:tc>
        <w:tc>
          <w:tcPr>
            <w:tcW w:w="226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rPr>
              <w:t>Under Equity Incentive</w:t>
            </w: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80" w:type="dxa"/>
            <w:vAlign w:val="bottom"/>
            <w:gridSpan w:val="4"/>
            <w:vMerge w:val="continue"/>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Securities</w:t>
            </w: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Options</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Plan Awards (a)</w:t>
            </w:r>
          </w:p>
        </w:tc>
        <w:tc>
          <w:tcPr>
            <w:tcW w:w="2260" w:type="dxa"/>
            <w:vAlign w:val="bottom"/>
            <w:gridSpan w:val="3"/>
            <w:vMerge w:val="restart"/>
          </w:tcPr>
          <w:p>
            <w:pPr>
              <w:jc w:val="center"/>
              <w:ind w:right="28"/>
              <w:spacing w:after="0"/>
              <w:rPr>
                <w:sz w:val="20"/>
                <w:szCs w:val="20"/>
                <w:color w:val="auto"/>
              </w:rPr>
            </w:pPr>
            <w:r>
              <w:rPr>
                <w:rFonts w:ascii="Arial" w:cs="Arial" w:eastAsia="Arial" w:hAnsi="Arial"/>
                <w:sz w:val="14"/>
                <w:szCs w:val="14"/>
                <w:b w:val="1"/>
                <w:bCs w:val="1"/>
                <w:color w:val="auto"/>
              </w:rPr>
              <w:t>Plan Awards (b)</w:t>
            </w: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vMerge w:val="restart"/>
          </w:tcPr>
          <w:p>
            <w:pPr>
              <w:jc w:val="center"/>
              <w:ind w:right="8"/>
              <w:spacing w:after="0" w:line="129" w:lineRule="exact"/>
              <w:rPr>
                <w:sz w:val="20"/>
                <w:szCs w:val="20"/>
                <w:color w:val="auto"/>
              </w:rPr>
            </w:pPr>
            <w:r>
              <w:rPr>
                <w:rFonts w:ascii="Arial" w:cs="Arial" w:eastAsia="Arial" w:hAnsi="Arial"/>
                <w:sz w:val="14"/>
                <w:szCs w:val="14"/>
                <w:b w:val="1"/>
                <w:bCs w:val="1"/>
                <w:color w:val="auto"/>
              </w:rPr>
              <w:t>Grant/</w:t>
            </w:r>
          </w:p>
        </w:tc>
        <w:tc>
          <w:tcPr>
            <w:tcW w:w="2380" w:type="dxa"/>
            <w:vAlign w:val="bottom"/>
            <w:gridSpan w:val="4"/>
            <w:vMerge w:val="continue"/>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740" w:type="dxa"/>
            <w:vAlign w:val="bottom"/>
            <w:vMerge w:val="restart"/>
          </w:tcPr>
          <w:p>
            <w:pPr>
              <w:jc w:val="center"/>
              <w:ind w:right="28"/>
              <w:spacing w:after="0" w:line="129" w:lineRule="exact"/>
              <w:rPr>
                <w:sz w:val="20"/>
                <w:szCs w:val="20"/>
                <w:color w:val="auto"/>
              </w:rPr>
            </w:pPr>
            <w:r>
              <w:rPr>
                <w:rFonts w:ascii="Arial" w:cs="Arial" w:eastAsia="Arial" w:hAnsi="Arial"/>
                <w:sz w:val="14"/>
                <w:szCs w:val="14"/>
                <w:b w:val="1"/>
                <w:bCs w:val="1"/>
                <w:color w:val="auto"/>
              </w:rPr>
              <w:t>of Stock</w:t>
            </w:r>
          </w:p>
        </w:tc>
        <w:tc>
          <w:tcPr>
            <w:tcW w:w="9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rPr>
              <w:t>Underlying</w:t>
            </w:r>
          </w:p>
        </w:tc>
        <w:tc>
          <w:tcPr>
            <w:tcW w:w="800" w:type="dxa"/>
            <w:vAlign w:val="bottom"/>
            <w:vMerge w:val="restart"/>
          </w:tcPr>
          <w:p>
            <w:pPr>
              <w:jc w:val="center"/>
              <w:ind w:right="48"/>
              <w:spacing w:after="0" w:line="129" w:lineRule="exact"/>
              <w:rPr>
                <w:sz w:val="20"/>
                <w:szCs w:val="20"/>
                <w:color w:val="auto"/>
              </w:rPr>
            </w:pPr>
            <w:r>
              <w:rPr>
                <w:rFonts w:ascii="Arial" w:cs="Arial" w:eastAsia="Arial" w:hAnsi="Arial"/>
                <w:sz w:val="14"/>
                <w:szCs w:val="14"/>
                <w:b w:val="1"/>
                <w:bCs w:val="1"/>
                <w:color w:val="auto"/>
              </w:rPr>
              <w:t>Awards</w:t>
            </w:r>
          </w:p>
        </w:tc>
        <w:tc>
          <w:tcPr>
            <w:tcW w:w="80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Approval</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Threshold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Target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Threshold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Target</w:t>
            </w: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Maximum</w:t>
            </w:r>
          </w:p>
        </w:tc>
        <w:tc>
          <w:tcPr>
            <w:tcW w:w="7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or Units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9"/>
              </w:rPr>
              <w:t>($ per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Award Type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share)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920" w:type="dxa"/>
            <w:vAlign w:val="bottom"/>
            <w:shd w:val="clear" w:color="auto" w:fill="CCCCCC"/>
          </w:tcPr>
          <w:p>
            <w:pPr>
              <w:spacing w:after="0"/>
              <w:rPr>
                <w:sz w:val="20"/>
                <w:szCs w:val="20"/>
                <w:color w:val="auto"/>
              </w:rPr>
            </w:pPr>
            <w:r>
              <w:rPr>
                <w:rFonts w:ascii="Arial" w:cs="Arial" w:eastAsia="Arial" w:hAnsi="Arial"/>
                <w:sz w:val="14"/>
                <w:szCs w:val="14"/>
                <w:color w:val="auto"/>
              </w:rPr>
              <w:t>Mr. Ferraro</w:t>
            </w: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Annual Incentive</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181,250</w:t>
            </w:r>
          </w:p>
        </w:tc>
        <w:tc>
          <w:tcPr>
            <w:tcW w:w="7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725,000</w:t>
            </w:r>
          </w:p>
        </w:tc>
        <w:tc>
          <w:tcPr>
            <w:tcW w:w="84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1,450,000</w:t>
            </w:r>
          </w:p>
        </w:tc>
        <w:tc>
          <w:tcPr>
            <w:tcW w:w="78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84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CCCC"/>
          </w:tcPr>
          <w:p>
            <w:pPr>
              <w:spacing w:after="0"/>
              <w:rPr>
                <w:sz w:val="14"/>
                <w:szCs w:val="14"/>
                <w:color w:val="auto"/>
              </w:rPr>
            </w:pP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RSU</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3/15/2019</w:t>
            </w:r>
          </w:p>
        </w:tc>
        <w:tc>
          <w:tcPr>
            <w:tcW w:w="78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840" w:type="dxa"/>
            <w:vAlign w:val="bottom"/>
            <w:shd w:val="clear" w:color="auto" w:fill="CCCCCC"/>
          </w:tcPr>
          <w:p>
            <w:pPr>
              <w:spacing w:after="0"/>
              <w:rPr>
                <w:sz w:val="14"/>
                <w:szCs w:val="14"/>
                <w:color w:val="auto"/>
              </w:rPr>
            </w:pPr>
          </w:p>
        </w:tc>
        <w:tc>
          <w:tcPr>
            <w:tcW w:w="740" w:type="dxa"/>
            <w:vAlign w:val="bottom"/>
            <w:shd w:val="clear" w:color="auto" w:fill="CCCCCC"/>
          </w:tcPr>
          <w:p>
            <w:pPr>
              <w:ind w:left="240"/>
              <w:spacing w:after="0"/>
              <w:rPr>
                <w:sz w:val="20"/>
                <w:szCs w:val="20"/>
                <w:color w:val="auto"/>
              </w:rPr>
            </w:pPr>
            <w:r>
              <w:rPr>
                <w:rFonts w:ascii="Arial" w:cs="Arial" w:eastAsia="Arial" w:hAnsi="Arial"/>
                <w:sz w:val="14"/>
                <w:szCs w:val="14"/>
                <w:color w:val="auto"/>
              </w:rPr>
              <w:t>21,539</w:t>
            </w:r>
          </w:p>
        </w:tc>
        <w:tc>
          <w:tcPr>
            <w:tcW w:w="920" w:type="dxa"/>
            <w:vAlign w:val="bottom"/>
            <w:shd w:val="clear" w:color="auto" w:fill="CCCCCC"/>
          </w:tcPr>
          <w:p>
            <w:pPr>
              <w:ind w:left="7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ind w:left="5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749,988</w:t>
            </w:r>
          </w:p>
        </w:tc>
        <w:tc>
          <w:tcPr>
            <w:tcW w:w="0" w:type="dxa"/>
            <w:vAlign w:val="bottom"/>
          </w:tcPr>
          <w:p>
            <w:pPr>
              <w:spacing w:after="0"/>
              <w:rPr>
                <w:sz w:val="1"/>
                <w:szCs w:val="1"/>
                <w:color w:val="auto"/>
              </w:rPr>
            </w:pPr>
          </w:p>
        </w:tc>
      </w:tr>
      <w:tr>
        <w:trPr>
          <w:trHeight w:val="162"/>
        </w:trPr>
        <w:tc>
          <w:tcPr>
            <w:tcW w:w="920" w:type="dxa"/>
            <w:vAlign w:val="bottom"/>
            <w:shd w:val="clear" w:color="auto" w:fill="CCCCCC"/>
          </w:tcPr>
          <w:p>
            <w:pPr>
              <w:spacing w:after="0"/>
              <w:rPr>
                <w:sz w:val="14"/>
                <w:szCs w:val="14"/>
                <w:color w:val="auto"/>
              </w:rPr>
            </w:pP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PSU</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3/15/2019</w:t>
            </w:r>
          </w:p>
        </w:tc>
        <w:tc>
          <w:tcPr>
            <w:tcW w:w="78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10,770</w:t>
            </w:r>
          </w:p>
        </w:tc>
        <w:tc>
          <w:tcPr>
            <w:tcW w:w="6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21,539</w:t>
            </w:r>
          </w:p>
        </w:tc>
        <w:tc>
          <w:tcPr>
            <w:tcW w:w="84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43,078</w:t>
            </w:r>
          </w:p>
        </w:tc>
        <w:tc>
          <w:tcPr>
            <w:tcW w:w="74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749,988</w:t>
            </w:r>
          </w:p>
        </w:tc>
        <w:tc>
          <w:tcPr>
            <w:tcW w:w="0" w:type="dxa"/>
            <w:vAlign w:val="bottom"/>
          </w:tcPr>
          <w:p>
            <w:pPr>
              <w:spacing w:after="0"/>
              <w:rPr>
                <w:sz w:val="1"/>
                <w:szCs w:val="1"/>
                <w:color w:val="auto"/>
              </w:rPr>
            </w:pPr>
          </w:p>
        </w:tc>
      </w:tr>
      <w:tr>
        <w:trPr>
          <w:trHeight w:val="203"/>
        </w:trPr>
        <w:tc>
          <w:tcPr>
            <w:tcW w:w="920" w:type="dxa"/>
            <w:vAlign w:val="bottom"/>
            <w:tcBorders>
              <w:bottom w:val="single" w:sz="8" w:color="CCCCCC"/>
            </w:tcBorders>
            <w:shd w:val="clear" w:color="auto" w:fill="CCCCCC"/>
          </w:tcPr>
          <w:p>
            <w:pPr>
              <w:spacing w:after="0"/>
              <w:rPr>
                <w:sz w:val="17"/>
                <w:szCs w:val="17"/>
                <w:color w:val="auto"/>
              </w:rPr>
            </w:pPr>
          </w:p>
        </w:tc>
        <w:tc>
          <w:tcPr>
            <w:tcW w:w="12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RSU</w:t>
            </w:r>
          </w:p>
        </w:tc>
        <w:tc>
          <w:tcPr>
            <w:tcW w:w="82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8/7/2019</w:t>
            </w:r>
          </w:p>
        </w:tc>
        <w:tc>
          <w:tcPr>
            <w:tcW w:w="780" w:type="dxa"/>
            <w:vAlign w:val="bottom"/>
            <w:tcBorders>
              <w:bottom w:val="single" w:sz="8" w:color="CCCCCC"/>
            </w:tcBorders>
            <w:shd w:val="clear" w:color="auto" w:fill="CCCCCC"/>
          </w:tcPr>
          <w:p>
            <w:pPr>
              <w:spacing w:after="0"/>
              <w:rPr>
                <w:sz w:val="17"/>
                <w:szCs w:val="17"/>
                <w:color w:val="auto"/>
              </w:rPr>
            </w:pPr>
          </w:p>
        </w:tc>
        <w:tc>
          <w:tcPr>
            <w:tcW w:w="760" w:type="dxa"/>
            <w:vAlign w:val="bottom"/>
            <w:tcBorders>
              <w:bottom w:val="single" w:sz="8" w:color="CCCCCC"/>
            </w:tcBorders>
            <w:shd w:val="clear" w:color="auto" w:fill="CCCCCC"/>
          </w:tcPr>
          <w:p>
            <w:pPr>
              <w:spacing w:after="0"/>
              <w:rPr>
                <w:sz w:val="17"/>
                <w:szCs w:val="17"/>
                <w:color w:val="auto"/>
              </w:rPr>
            </w:pPr>
          </w:p>
        </w:tc>
        <w:tc>
          <w:tcPr>
            <w:tcW w:w="740" w:type="dxa"/>
            <w:vAlign w:val="bottom"/>
            <w:tcBorders>
              <w:bottom w:val="single" w:sz="8" w:color="CCCCCC"/>
            </w:tcBorders>
            <w:shd w:val="clear" w:color="auto" w:fill="CCCCCC"/>
          </w:tcPr>
          <w:p>
            <w:pPr>
              <w:spacing w:after="0"/>
              <w:rPr>
                <w:sz w:val="17"/>
                <w:szCs w:val="17"/>
                <w:color w:val="auto"/>
              </w:rPr>
            </w:pPr>
          </w:p>
        </w:tc>
        <w:tc>
          <w:tcPr>
            <w:tcW w:w="100" w:type="dxa"/>
            <w:vAlign w:val="bottom"/>
            <w:tcBorders>
              <w:bottom w:val="single" w:sz="8" w:color="CCCCCC"/>
            </w:tcBorders>
            <w:shd w:val="clear" w:color="auto" w:fill="CCCCCC"/>
          </w:tcPr>
          <w:p>
            <w:pPr>
              <w:spacing w:after="0"/>
              <w:rPr>
                <w:sz w:val="17"/>
                <w:szCs w:val="17"/>
                <w:color w:val="auto"/>
              </w:rPr>
            </w:pPr>
          </w:p>
        </w:tc>
        <w:tc>
          <w:tcPr>
            <w:tcW w:w="780" w:type="dxa"/>
            <w:vAlign w:val="bottom"/>
            <w:tcBorders>
              <w:bottom w:val="single" w:sz="8" w:color="CCCCCC"/>
            </w:tcBorders>
            <w:shd w:val="clear" w:color="auto" w:fill="CCCCCC"/>
          </w:tcPr>
          <w:p>
            <w:pPr>
              <w:spacing w:after="0"/>
              <w:rPr>
                <w:sz w:val="17"/>
                <w:szCs w:val="17"/>
                <w:color w:val="auto"/>
              </w:rPr>
            </w:pPr>
          </w:p>
        </w:tc>
        <w:tc>
          <w:tcPr>
            <w:tcW w:w="640" w:type="dxa"/>
            <w:vAlign w:val="bottom"/>
            <w:tcBorders>
              <w:bottom w:val="single" w:sz="8" w:color="CCCCCC"/>
            </w:tcBorders>
            <w:shd w:val="clear" w:color="auto" w:fill="CCCCCC"/>
          </w:tcPr>
          <w:p>
            <w:pPr>
              <w:spacing w:after="0"/>
              <w:rPr>
                <w:sz w:val="17"/>
                <w:szCs w:val="17"/>
                <w:color w:val="auto"/>
              </w:rPr>
            </w:pPr>
          </w:p>
        </w:tc>
        <w:tc>
          <w:tcPr>
            <w:tcW w:w="840" w:type="dxa"/>
            <w:vAlign w:val="bottom"/>
            <w:tcBorders>
              <w:bottom w:val="single" w:sz="8" w:color="CCCCCC"/>
            </w:tcBorders>
            <w:shd w:val="clear" w:color="auto" w:fill="CCCCCC"/>
          </w:tcPr>
          <w:p>
            <w:pPr>
              <w:spacing w:after="0"/>
              <w:rPr>
                <w:sz w:val="17"/>
                <w:szCs w:val="17"/>
                <w:color w:val="auto"/>
              </w:rPr>
            </w:pPr>
          </w:p>
        </w:tc>
        <w:tc>
          <w:tcPr>
            <w:tcW w:w="740" w:type="dxa"/>
            <w:vAlign w:val="bottom"/>
            <w:tcBorders>
              <w:bottom w:val="single" w:sz="8" w:color="CCCCCC"/>
            </w:tcBorders>
            <w:shd w:val="clear" w:color="auto" w:fill="CCCCCC"/>
          </w:tcPr>
          <w:p>
            <w:pPr>
              <w:ind w:left="240"/>
              <w:spacing w:after="0"/>
              <w:rPr>
                <w:sz w:val="20"/>
                <w:szCs w:val="20"/>
                <w:color w:val="auto"/>
              </w:rPr>
            </w:pPr>
            <w:r>
              <w:rPr>
                <w:rFonts w:ascii="Arial" w:cs="Arial" w:eastAsia="Arial" w:hAnsi="Arial"/>
                <w:sz w:val="14"/>
                <w:szCs w:val="14"/>
                <w:color w:val="auto"/>
              </w:rPr>
              <w:t>48,062</w:t>
            </w:r>
          </w:p>
        </w:tc>
        <w:tc>
          <w:tcPr>
            <w:tcW w:w="920" w:type="dxa"/>
            <w:vAlign w:val="bottom"/>
            <w:tcBorders>
              <w:bottom w:val="single" w:sz="8" w:color="CCCCCC"/>
            </w:tcBorders>
            <w:shd w:val="clear" w:color="auto" w:fill="CCCCCC"/>
          </w:tcPr>
          <w:p>
            <w:pPr>
              <w:ind w:left="7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CCCCCC"/>
          </w:tcPr>
          <w:p>
            <w:pPr>
              <w:ind w:left="5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1,500,015</w:t>
            </w:r>
          </w:p>
        </w:tc>
        <w:tc>
          <w:tcPr>
            <w:tcW w:w="0" w:type="dxa"/>
            <w:vAlign w:val="bottom"/>
          </w:tcPr>
          <w:p>
            <w:pPr>
              <w:spacing w:after="0"/>
              <w:rPr>
                <w:sz w:val="1"/>
                <w:szCs w:val="1"/>
                <w:color w:val="auto"/>
              </w:rPr>
            </w:pPr>
          </w:p>
        </w:tc>
      </w:tr>
      <w:tr>
        <w:trPr>
          <w:trHeight w:val="160"/>
        </w:trPr>
        <w:tc>
          <w:tcPr>
            <w:tcW w:w="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Mr. North</w:t>
            </w: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Annual Incentive</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118,767</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475,069</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950,138</w:t>
            </w:r>
          </w:p>
        </w:tc>
        <w:tc>
          <w:tcPr>
            <w:tcW w:w="7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RSU</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4/17/2019</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ind w:left="240"/>
              <w:spacing w:after="0"/>
              <w:rPr>
                <w:sz w:val="20"/>
                <w:szCs w:val="20"/>
                <w:color w:val="auto"/>
              </w:rPr>
            </w:pPr>
            <w:r>
              <w:rPr>
                <w:rFonts w:ascii="Arial" w:cs="Arial" w:eastAsia="Arial" w:hAnsi="Arial"/>
                <w:sz w:val="14"/>
                <w:szCs w:val="14"/>
                <w:color w:val="auto"/>
              </w:rPr>
              <w:t>42,349</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1,500,002</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RSU</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4/17/2019</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ind w:left="240"/>
              <w:spacing w:after="0"/>
              <w:rPr>
                <w:sz w:val="20"/>
                <w:szCs w:val="20"/>
                <w:color w:val="auto"/>
              </w:rPr>
            </w:pPr>
            <w:r>
              <w:rPr>
                <w:rFonts w:ascii="Arial" w:cs="Arial" w:eastAsia="Arial" w:hAnsi="Arial"/>
                <w:sz w:val="14"/>
                <w:szCs w:val="14"/>
                <w:color w:val="auto"/>
              </w:rPr>
              <w:t>21,174</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749,983</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PSU</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4/17/2019</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749,983</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RSU</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8/7/2019</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10,587</w:t>
            </w:r>
          </w:p>
        </w:tc>
        <w:tc>
          <w:tcPr>
            <w:tcW w:w="640" w:type="dxa"/>
            <w:vAlign w:val="bottom"/>
          </w:tcPr>
          <w:p>
            <w:pPr>
              <w:jc w:val="right"/>
              <w:spacing w:after="0"/>
              <w:rPr>
                <w:sz w:val="20"/>
                <w:szCs w:val="20"/>
                <w:color w:val="auto"/>
              </w:rPr>
            </w:pPr>
            <w:r>
              <w:rPr>
                <w:rFonts w:ascii="Arial" w:cs="Arial" w:eastAsia="Arial" w:hAnsi="Arial"/>
                <w:sz w:val="14"/>
                <w:szCs w:val="14"/>
                <w:color w:val="auto"/>
              </w:rPr>
              <w:t>21,174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42,348</w:t>
            </w:r>
          </w:p>
        </w:tc>
        <w:tc>
          <w:tcPr>
            <w:tcW w:w="740" w:type="dxa"/>
            <w:vAlign w:val="bottom"/>
          </w:tcPr>
          <w:p>
            <w:pPr>
              <w:ind w:left="240"/>
              <w:spacing w:after="0"/>
              <w:rPr>
                <w:sz w:val="20"/>
                <w:szCs w:val="20"/>
                <w:color w:val="auto"/>
              </w:rPr>
            </w:pPr>
            <w:r>
              <w:rPr>
                <w:rFonts w:ascii="Arial" w:cs="Arial" w:eastAsia="Arial" w:hAnsi="Arial"/>
                <w:sz w:val="14"/>
                <w:szCs w:val="14"/>
                <w:color w:val="auto"/>
              </w:rPr>
              <w:t>32,041</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20" w:type="dxa"/>
            <w:vAlign w:val="bottom"/>
            <w:shd w:val="clear" w:color="auto" w:fill="CCCCCC"/>
          </w:tcPr>
          <w:p>
            <w:pPr>
              <w:spacing w:after="0"/>
              <w:rPr>
                <w:sz w:val="20"/>
                <w:szCs w:val="20"/>
                <w:color w:val="auto"/>
              </w:rPr>
            </w:pPr>
            <w:r>
              <w:rPr>
                <w:rFonts w:ascii="Arial" w:cs="Arial" w:eastAsia="Arial" w:hAnsi="Arial"/>
                <w:sz w:val="14"/>
                <w:szCs w:val="14"/>
                <w:color w:val="auto"/>
              </w:rPr>
              <w:t>Mr. Rankin</w:t>
            </w: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Annual Incentive</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77,335</w:t>
            </w:r>
          </w:p>
        </w:tc>
        <w:tc>
          <w:tcPr>
            <w:tcW w:w="7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309,338</w:t>
            </w:r>
          </w:p>
        </w:tc>
        <w:tc>
          <w:tcPr>
            <w:tcW w:w="84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618,676</w:t>
            </w:r>
          </w:p>
        </w:tc>
        <w:tc>
          <w:tcPr>
            <w:tcW w:w="780" w:type="dxa"/>
            <w:vAlign w:val="bottom"/>
            <w:shd w:val="clear" w:color="auto" w:fill="CCCCCC"/>
          </w:tcPr>
          <w:p>
            <w:pPr>
              <w:spacing w:after="0"/>
              <w:rPr>
                <w:sz w:val="13"/>
                <w:szCs w:val="13"/>
                <w:color w:val="auto"/>
              </w:rPr>
            </w:pPr>
          </w:p>
        </w:tc>
        <w:tc>
          <w:tcPr>
            <w:tcW w:w="640" w:type="dxa"/>
            <w:vAlign w:val="bottom"/>
            <w:shd w:val="clear" w:color="auto" w:fill="CCCCCC"/>
          </w:tcPr>
          <w:p>
            <w:pPr>
              <w:spacing w:after="0"/>
              <w:rPr>
                <w:sz w:val="13"/>
                <w:szCs w:val="13"/>
                <w:color w:val="auto"/>
              </w:rPr>
            </w:pPr>
          </w:p>
        </w:tc>
        <w:tc>
          <w:tcPr>
            <w:tcW w:w="840" w:type="dxa"/>
            <w:vAlign w:val="bottom"/>
            <w:shd w:val="clear" w:color="auto" w:fill="CCCCCC"/>
          </w:tcPr>
          <w:p>
            <w:pPr>
              <w:spacing w:after="0"/>
              <w:rPr>
                <w:sz w:val="13"/>
                <w:szCs w:val="13"/>
                <w:color w:val="auto"/>
              </w:rPr>
            </w:pPr>
          </w:p>
        </w:tc>
        <w:tc>
          <w:tcPr>
            <w:tcW w:w="740" w:type="dxa"/>
            <w:vAlign w:val="bottom"/>
            <w:shd w:val="clear" w:color="auto" w:fill="CCCCCC"/>
          </w:tcPr>
          <w:p>
            <w:pPr>
              <w:spacing w:after="0"/>
              <w:rPr>
                <w:sz w:val="13"/>
                <w:szCs w:val="13"/>
                <w:color w:val="auto"/>
              </w:rPr>
            </w:pPr>
          </w:p>
        </w:tc>
        <w:tc>
          <w:tcPr>
            <w:tcW w:w="920" w:type="dxa"/>
            <w:vAlign w:val="bottom"/>
            <w:shd w:val="clear" w:color="auto" w:fill="CCCCCC"/>
          </w:tcPr>
          <w:p>
            <w:pPr>
              <w:spacing w:after="0"/>
              <w:rPr>
                <w:sz w:val="13"/>
                <w:szCs w:val="13"/>
                <w:color w:val="auto"/>
              </w:rPr>
            </w:pPr>
          </w:p>
        </w:tc>
        <w:tc>
          <w:tcPr>
            <w:tcW w:w="800" w:type="dxa"/>
            <w:vAlign w:val="bottom"/>
            <w:shd w:val="clear" w:color="auto" w:fill="CCCCCC"/>
          </w:tcPr>
          <w:p>
            <w:pPr>
              <w:spacing w:after="0"/>
              <w:rPr>
                <w:sz w:val="13"/>
                <w:szCs w:val="13"/>
                <w:color w:val="auto"/>
              </w:rPr>
            </w:pPr>
          </w:p>
        </w:tc>
        <w:tc>
          <w:tcPr>
            <w:tcW w:w="80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CCCC"/>
          </w:tcPr>
          <w:p>
            <w:pPr>
              <w:spacing w:after="0"/>
              <w:rPr>
                <w:sz w:val="14"/>
                <w:szCs w:val="14"/>
                <w:color w:val="auto"/>
              </w:rPr>
            </w:pP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RSU</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8/7/2019</w:t>
            </w:r>
          </w:p>
        </w:tc>
        <w:tc>
          <w:tcPr>
            <w:tcW w:w="78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84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500,015</w:t>
            </w:r>
          </w:p>
        </w:tc>
        <w:tc>
          <w:tcPr>
            <w:tcW w:w="0" w:type="dxa"/>
            <w:vAlign w:val="bottom"/>
          </w:tcPr>
          <w:p>
            <w:pPr>
              <w:spacing w:after="0"/>
              <w:rPr>
                <w:sz w:val="1"/>
                <w:szCs w:val="1"/>
                <w:color w:val="auto"/>
              </w:rPr>
            </w:pPr>
          </w:p>
        </w:tc>
      </w:tr>
      <w:tr>
        <w:trPr>
          <w:trHeight w:val="162"/>
        </w:trPr>
        <w:tc>
          <w:tcPr>
            <w:tcW w:w="920" w:type="dxa"/>
            <w:vAlign w:val="bottom"/>
            <w:shd w:val="clear" w:color="auto" w:fill="CCCCCC"/>
          </w:tcPr>
          <w:p>
            <w:pPr>
              <w:spacing w:after="0"/>
              <w:rPr>
                <w:sz w:val="14"/>
                <w:szCs w:val="14"/>
                <w:color w:val="auto"/>
              </w:rPr>
            </w:pP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RSU</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8/7/2019</w:t>
            </w:r>
          </w:p>
        </w:tc>
        <w:tc>
          <w:tcPr>
            <w:tcW w:w="78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840" w:type="dxa"/>
            <w:vAlign w:val="bottom"/>
            <w:shd w:val="clear" w:color="auto" w:fill="CCCCCC"/>
          </w:tcPr>
          <w:p>
            <w:pPr>
              <w:spacing w:after="0"/>
              <w:rPr>
                <w:sz w:val="14"/>
                <w:szCs w:val="14"/>
                <w:color w:val="auto"/>
              </w:rPr>
            </w:pPr>
          </w:p>
        </w:tc>
        <w:tc>
          <w:tcPr>
            <w:tcW w:w="740" w:type="dxa"/>
            <w:vAlign w:val="bottom"/>
            <w:shd w:val="clear" w:color="auto" w:fill="CCCCCC"/>
          </w:tcPr>
          <w:p>
            <w:pPr>
              <w:ind w:left="240"/>
              <w:spacing w:after="0"/>
              <w:rPr>
                <w:sz w:val="20"/>
                <w:szCs w:val="20"/>
                <w:color w:val="auto"/>
              </w:rPr>
            </w:pPr>
            <w:r>
              <w:rPr>
                <w:rFonts w:ascii="Arial" w:cs="Arial" w:eastAsia="Arial" w:hAnsi="Arial"/>
                <w:sz w:val="14"/>
                <w:szCs w:val="14"/>
                <w:color w:val="auto"/>
              </w:rPr>
              <w:t>16,021</w:t>
            </w:r>
          </w:p>
        </w:tc>
        <w:tc>
          <w:tcPr>
            <w:tcW w:w="920" w:type="dxa"/>
            <w:vAlign w:val="bottom"/>
            <w:shd w:val="clear" w:color="auto" w:fill="CCCCCC"/>
          </w:tcPr>
          <w:p>
            <w:pPr>
              <w:ind w:left="7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ind w:left="5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750,008</w:t>
            </w:r>
          </w:p>
        </w:tc>
        <w:tc>
          <w:tcPr>
            <w:tcW w:w="0" w:type="dxa"/>
            <w:vAlign w:val="bottom"/>
          </w:tcPr>
          <w:p>
            <w:pPr>
              <w:spacing w:after="0"/>
              <w:rPr>
                <w:sz w:val="1"/>
                <w:szCs w:val="1"/>
                <w:color w:val="auto"/>
              </w:rPr>
            </w:pPr>
          </w:p>
        </w:tc>
      </w:tr>
      <w:tr>
        <w:trPr>
          <w:trHeight w:val="203"/>
        </w:trPr>
        <w:tc>
          <w:tcPr>
            <w:tcW w:w="920" w:type="dxa"/>
            <w:vAlign w:val="bottom"/>
            <w:tcBorders>
              <w:bottom w:val="single" w:sz="8" w:color="CCCCCC"/>
            </w:tcBorders>
            <w:shd w:val="clear" w:color="auto" w:fill="CCCCCC"/>
          </w:tcPr>
          <w:p>
            <w:pPr>
              <w:spacing w:after="0"/>
              <w:rPr>
                <w:sz w:val="17"/>
                <w:szCs w:val="17"/>
                <w:color w:val="auto"/>
              </w:rPr>
            </w:pPr>
          </w:p>
        </w:tc>
        <w:tc>
          <w:tcPr>
            <w:tcW w:w="12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PSU</w:t>
            </w:r>
          </w:p>
        </w:tc>
        <w:tc>
          <w:tcPr>
            <w:tcW w:w="82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8/7/2019</w:t>
            </w:r>
          </w:p>
        </w:tc>
        <w:tc>
          <w:tcPr>
            <w:tcW w:w="780" w:type="dxa"/>
            <w:vAlign w:val="bottom"/>
            <w:tcBorders>
              <w:bottom w:val="single" w:sz="8" w:color="CCCCCC"/>
            </w:tcBorders>
            <w:shd w:val="clear" w:color="auto" w:fill="CCCCCC"/>
          </w:tcPr>
          <w:p>
            <w:pPr>
              <w:spacing w:after="0"/>
              <w:rPr>
                <w:sz w:val="17"/>
                <w:szCs w:val="17"/>
                <w:color w:val="auto"/>
              </w:rPr>
            </w:pPr>
          </w:p>
        </w:tc>
        <w:tc>
          <w:tcPr>
            <w:tcW w:w="760" w:type="dxa"/>
            <w:vAlign w:val="bottom"/>
            <w:tcBorders>
              <w:bottom w:val="single" w:sz="8" w:color="CCCCCC"/>
            </w:tcBorders>
            <w:shd w:val="clear" w:color="auto" w:fill="CCCCCC"/>
          </w:tcPr>
          <w:p>
            <w:pPr>
              <w:spacing w:after="0"/>
              <w:rPr>
                <w:sz w:val="17"/>
                <w:szCs w:val="17"/>
                <w:color w:val="auto"/>
              </w:rPr>
            </w:pPr>
          </w:p>
        </w:tc>
        <w:tc>
          <w:tcPr>
            <w:tcW w:w="740" w:type="dxa"/>
            <w:vAlign w:val="bottom"/>
            <w:tcBorders>
              <w:bottom w:val="single" w:sz="8" w:color="CCCCCC"/>
            </w:tcBorders>
            <w:shd w:val="clear" w:color="auto" w:fill="CCCCCC"/>
          </w:tcPr>
          <w:p>
            <w:pPr>
              <w:spacing w:after="0"/>
              <w:rPr>
                <w:sz w:val="17"/>
                <w:szCs w:val="17"/>
                <w:color w:val="auto"/>
              </w:rPr>
            </w:pPr>
          </w:p>
        </w:tc>
        <w:tc>
          <w:tcPr>
            <w:tcW w:w="100" w:type="dxa"/>
            <w:vAlign w:val="bottom"/>
            <w:tcBorders>
              <w:bottom w:val="single" w:sz="8" w:color="CCCCCC"/>
            </w:tcBorders>
            <w:shd w:val="clear" w:color="auto" w:fill="CCCCCC"/>
          </w:tcPr>
          <w:p>
            <w:pPr>
              <w:spacing w:after="0"/>
              <w:rPr>
                <w:sz w:val="17"/>
                <w:szCs w:val="17"/>
                <w:color w:val="auto"/>
              </w:rPr>
            </w:pPr>
          </w:p>
        </w:tc>
        <w:tc>
          <w:tcPr>
            <w:tcW w:w="7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12,016</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24,031</w:t>
            </w:r>
          </w:p>
        </w:tc>
        <w:tc>
          <w:tcPr>
            <w:tcW w:w="8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48,062</w:t>
            </w:r>
          </w:p>
        </w:tc>
        <w:tc>
          <w:tcPr>
            <w:tcW w:w="740" w:type="dxa"/>
            <w:vAlign w:val="bottom"/>
            <w:tcBorders>
              <w:bottom w:val="single" w:sz="8" w:color="CCCCCC"/>
            </w:tcBorders>
            <w:shd w:val="clear" w:color="auto" w:fill="CCCCCC"/>
          </w:tcPr>
          <w:p>
            <w:pPr>
              <w:ind w:left="240"/>
              <w:spacing w:after="0"/>
              <w:rPr>
                <w:sz w:val="20"/>
                <w:szCs w:val="20"/>
                <w:color w:val="auto"/>
              </w:rPr>
            </w:pPr>
            <w:r>
              <w:rPr>
                <w:rFonts w:ascii="Arial" w:cs="Arial" w:eastAsia="Arial" w:hAnsi="Arial"/>
                <w:sz w:val="14"/>
                <w:szCs w:val="14"/>
                <w:color w:val="auto"/>
              </w:rPr>
              <w:t>24,031</w:t>
            </w:r>
          </w:p>
        </w:tc>
        <w:tc>
          <w:tcPr>
            <w:tcW w:w="920" w:type="dxa"/>
            <w:vAlign w:val="bottom"/>
            <w:tcBorders>
              <w:bottom w:val="single" w:sz="8" w:color="CCCCCC"/>
            </w:tcBorders>
            <w:shd w:val="clear" w:color="auto" w:fill="CCCCCC"/>
          </w:tcPr>
          <w:p>
            <w:pPr>
              <w:ind w:left="7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CCCCCC"/>
          </w:tcPr>
          <w:p>
            <w:pPr>
              <w:ind w:left="5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750,008</w:t>
            </w:r>
          </w:p>
        </w:tc>
        <w:tc>
          <w:tcPr>
            <w:tcW w:w="0" w:type="dxa"/>
            <w:vAlign w:val="bottom"/>
          </w:tcPr>
          <w:p>
            <w:pPr>
              <w:spacing w:after="0"/>
              <w:rPr>
                <w:sz w:val="1"/>
                <w:szCs w:val="1"/>
                <w:color w:val="auto"/>
              </w:rPr>
            </w:pPr>
          </w:p>
        </w:tc>
      </w:tr>
      <w:tr>
        <w:trPr>
          <w:trHeight w:val="160"/>
        </w:trPr>
        <w:tc>
          <w:tcPr>
            <w:tcW w:w="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Mr. Linnen</w:t>
            </w: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Annual Incentive</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93,750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375,000</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750,000</w:t>
            </w:r>
          </w:p>
        </w:tc>
        <w:tc>
          <w:tcPr>
            <w:tcW w:w="7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RSU</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3/15/2019</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385,005</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PSU</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3/15/2019</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2,370</w:t>
            </w:r>
          </w:p>
        </w:tc>
        <w:tc>
          <w:tcPr>
            <w:tcW w:w="640" w:type="dxa"/>
            <w:vAlign w:val="bottom"/>
          </w:tcPr>
          <w:p>
            <w:pPr>
              <w:jc w:val="right"/>
              <w:spacing w:after="0"/>
              <w:rPr>
                <w:sz w:val="20"/>
                <w:szCs w:val="20"/>
                <w:color w:val="auto"/>
              </w:rPr>
            </w:pPr>
            <w:r>
              <w:rPr>
                <w:rFonts w:ascii="Arial" w:cs="Arial" w:eastAsia="Arial" w:hAnsi="Arial"/>
                <w:sz w:val="14"/>
                <w:szCs w:val="14"/>
                <w:color w:val="auto"/>
              </w:rPr>
              <w:t>4,739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9,478</w:t>
            </w:r>
          </w:p>
        </w:tc>
        <w:tc>
          <w:tcPr>
            <w:tcW w:w="740" w:type="dxa"/>
            <w:vAlign w:val="bottom"/>
          </w:tcPr>
          <w:p>
            <w:pPr>
              <w:ind w:left="240"/>
              <w:spacing w:after="0"/>
              <w:rPr>
                <w:sz w:val="20"/>
                <w:szCs w:val="20"/>
                <w:color w:val="auto"/>
              </w:rPr>
            </w:pPr>
            <w:r>
              <w:rPr>
                <w:rFonts w:ascii="Arial" w:cs="Arial" w:eastAsia="Arial" w:hAnsi="Arial"/>
                <w:sz w:val="14"/>
                <w:szCs w:val="14"/>
                <w:color w:val="auto"/>
              </w:rPr>
              <w:t>11,057</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800" w:type="dxa"/>
            <w:vAlign w:val="bottom"/>
          </w:tcPr>
          <w:p>
            <w:pPr>
              <w:ind w:lef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165,012</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20" w:type="dxa"/>
            <w:vAlign w:val="bottom"/>
            <w:shd w:val="clear" w:color="auto" w:fill="CCCCCC"/>
          </w:tcPr>
          <w:p>
            <w:pPr>
              <w:spacing w:after="0"/>
              <w:rPr>
                <w:sz w:val="20"/>
                <w:szCs w:val="20"/>
                <w:color w:val="auto"/>
              </w:rPr>
            </w:pPr>
            <w:r>
              <w:rPr>
                <w:rFonts w:ascii="Arial" w:cs="Arial" w:eastAsia="Arial" w:hAnsi="Arial"/>
                <w:sz w:val="14"/>
                <w:szCs w:val="14"/>
                <w:color w:val="auto"/>
              </w:rPr>
              <w:t>Mr. De Shon</w:t>
            </w: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Annual Incentive</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450,000</w:t>
            </w:r>
          </w:p>
        </w:tc>
        <w:tc>
          <w:tcPr>
            <w:tcW w:w="7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1,800,000</w:t>
            </w:r>
          </w:p>
        </w:tc>
        <w:tc>
          <w:tcPr>
            <w:tcW w:w="84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3,600,000</w:t>
            </w:r>
          </w:p>
        </w:tc>
        <w:tc>
          <w:tcPr>
            <w:tcW w:w="780" w:type="dxa"/>
            <w:vAlign w:val="bottom"/>
            <w:shd w:val="clear" w:color="auto" w:fill="CCCCCC"/>
          </w:tcPr>
          <w:p>
            <w:pPr>
              <w:spacing w:after="0"/>
              <w:rPr>
                <w:sz w:val="13"/>
                <w:szCs w:val="13"/>
                <w:color w:val="auto"/>
              </w:rPr>
            </w:pPr>
          </w:p>
        </w:tc>
        <w:tc>
          <w:tcPr>
            <w:tcW w:w="640" w:type="dxa"/>
            <w:vAlign w:val="bottom"/>
            <w:shd w:val="clear" w:color="auto" w:fill="CCCCCC"/>
          </w:tcPr>
          <w:p>
            <w:pPr>
              <w:spacing w:after="0"/>
              <w:rPr>
                <w:sz w:val="13"/>
                <w:szCs w:val="13"/>
                <w:color w:val="auto"/>
              </w:rPr>
            </w:pPr>
          </w:p>
        </w:tc>
        <w:tc>
          <w:tcPr>
            <w:tcW w:w="840" w:type="dxa"/>
            <w:vAlign w:val="bottom"/>
            <w:shd w:val="clear" w:color="auto" w:fill="CCCCCC"/>
          </w:tcPr>
          <w:p>
            <w:pPr>
              <w:spacing w:after="0"/>
              <w:rPr>
                <w:sz w:val="13"/>
                <w:szCs w:val="13"/>
                <w:color w:val="auto"/>
              </w:rPr>
            </w:pPr>
          </w:p>
        </w:tc>
        <w:tc>
          <w:tcPr>
            <w:tcW w:w="740" w:type="dxa"/>
            <w:vAlign w:val="bottom"/>
            <w:shd w:val="clear" w:color="auto" w:fill="CCCCCC"/>
          </w:tcPr>
          <w:p>
            <w:pPr>
              <w:spacing w:after="0"/>
              <w:rPr>
                <w:sz w:val="13"/>
                <w:szCs w:val="13"/>
                <w:color w:val="auto"/>
              </w:rPr>
            </w:pPr>
          </w:p>
        </w:tc>
        <w:tc>
          <w:tcPr>
            <w:tcW w:w="920" w:type="dxa"/>
            <w:vAlign w:val="bottom"/>
            <w:shd w:val="clear" w:color="auto" w:fill="CCCCCC"/>
          </w:tcPr>
          <w:p>
            <w:pPr>
              <w:spacing w:after="0"/>
              <w:rPr>
                <w:sz w:val="13"/>
                <w:szCs w:val="13"/>
                <w:color w:val="auto"/>
              </w:rPr>
            </w:pPr>
          </w:p>
        </w:tc>
        <w:tc>
          <w:tcPr>
            <w:tcW w:w="800" w:type="dxa"/>
            <w:vAlign w:val="bottom"/>
            <w:shd w:val="clear" w:color="auto" w:fill="CCCCCC"/>
          </w:tcPr>
          <w:p>
            <w:pPr>
              <w:spacing w:after="0"/>
              <w:rPr>
                <w:sz w:val="13"/>
                <w:szCs w:val="13"/>
                <w:color w:val="auto"/>
              </w:rPr>
            </w:pPr>
          </w:p>
        </w:tc>
        <w:tc>
          <w:tcPr>
            <w:tcW w:w="80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CCCC"/>
          </w:tcPr>
          <w:p>
            <w:pPr>
              <w:spacing w:after="0"/>
              <w:rPr>
                <w:sz w:val="14"/>
                <w:szCs w:val="14"/>
                <w:color w:val="auto"/>
              </w:rPr>
            </w:pPr>
          </w:p>
        </w:tc>
        <w:tc>
          <w:tcPr>
            <w:tcW w:w="1240" w:type="dxa"/>
            <w:vAlign w:val="bottom"/>
            <w:shd w:val="clear" w:color="auto" w:fill="CCCCCC"/>
          </w:tcPr>
          <w:p>
            <w:pPr>
              <w:ind w:left="100"/>
              <w:spacing w:after="0"/>
              <w:rPr>
                <w:sz w:val="20"/>
                <w:szCs w:val="20"/>
                <w:color w:val="auto"/>
              </w:rPr>
            </w:pPr>
            <w:r>
              <w:rPr>
                <w:rFonts w:ascii="Arial" w:cs="Arial" w:eastAsia="Arial" w:hAnsi="Arial"/>
                <w:sz w:val="14"/>
                <w:szCs w:val="14"/>
                <w:color w:val="auto"/>
              </w:rPr>
              <w:t>RSU</w:t>
            </w:r>
          </w:p>
        </w:tc>
        <w:tc>
          <w:tcPr>
            <w:tcW w:w="8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3/15/2019</w:t>
            </w:r>
          </w:p>
        </w:tc>
        <w:tc>
          <w:tcPr>
            <w:tcW w:w="780" w:type="dxa"/>
            <w:vAlign w:val="bottom"/>
            <w:shd w:val="clear" w:color="auto" w:fill="CCCCCC"/>
          </w:tcPr>
          <w:p>
            <w:pPr>
              <w:spacing w:after="0"/>
              <w:rPr>
                <w:sz w:val="14"/>
                <w:szCs w:val="14"/>
                <w:color w:val="auto"/>
              </w:rPr>
            </w:pPr>
          </w:p>
        </w:tc>
        <w:tc>
          <w:tcPr>
            <w:tcW w:w="76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10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84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2,440,012</w:t>
            </w:r>
          </w:p>
        </w:tc>
        <w:tc>
          <w:tcPr>
            <w:tcW w:w="0" w:type="dxa"/>
            <w:vAlign w:val="bottom"/>
          </w:tcPr>
          <w:p>
            <w:pPr>
              <w:spacing w:after="0"/>
              <w:rPr>
                <w:sz w:val="1"/>
                <w:szCs w:val="1"/>
                <w:color w:val="auto"/>
              </w:rPr>
            </w:pPr>
          </w:p>
        </w:tc>
      </w:tr>
      <w:tr>
        <w:trPr>
          <w:trHeight w:val="203"/>
        </w:trPr>
        <w:tc>
          <w:tcPr>
            <w:tcW w:w="920" w:type="dxa"/>
            <w:vAlign w:val="bottom"/>
            <w:tcBorders>
              <w:bottom w:val="single" w:sz="8" w:color="CCCCCC"/>
            </w:tcBorders>
            <w:shd w:val="clear" w:color="auto" w:fill="CCCCCC"/>
          </w:tcPr>
          <w:p>
            <w:pPr>
              <w:spacing w:after="0"/>
              <w:rPr>
                <w:sz w:val="17"/>
                <w:szCs w:val="17"/>
                <w:color w:val="auto"/>
              </w:rPr>
            </w:pPr>
          </w:p>
        </w:tc>
        <w:tc>
          <w:tcPr>
            <w:tcW w:w="1240" w:type="dxa"/>
            <w:vAlign w:val="bottom"/>
            <w:tcBorders>
              <w:bottom w:val="single" w:sz="8" w:color="CCCCCC"/>
            </w:tcBorders>
            <w:shd w:val="clear" w:color="auto" w:fill="CCCCCC"/>
          </w:tcPr>
          <w:p>
            <w:pPr>
              <w:ind w:left="100"/>
              <w:spacing w:after="0"/>
              <w:rPr>
                <w:sz w:val="20"/>
                <w:szCs w:val="20"/>
                <w:color w:val="auto"/>
              </w:rPr>
            </w:pPr>
            <w:r>
              <w:rPr>
                <w:rFonts w:ascii="Arial" w:cs="Arial" w:eastAsia="Arial" w:hAnsi="Arial"/>
                <w:sz w:val="14"/>
                <w:szCs w:val="14"/>
                <w:color w:val="auto"/>
              </w:rPr>
              <w:t>PSU</w:t>
            </w:r>
          </w:p>
        </w:tc>
        <w:tc>
          <w:tcPr>
            <w:tcW w:w="82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3/15/2019</w:t>
            </w:r>
          </w:p>
        </w:tc>
        <w:tc>
          <w:tcPr>
            <w:tcW w:w="780" w:type="dxa"/>
            <w:vAlign w:val="bottom"/>
            <w:tcBorders>
              <w:bottom w:val="single" w:sz="8" w:color="CCCCCC"/>
            </w:tcBorders>
            <w:shd w:val="clear" w:color="auto" w:fill="CCCCCC"/>
          </w:tcPr>
          <w:p>
            <w:pPr>
              <w:spacing w:after="0"/>
              <w:rPr>
                <w:sz w:val="17"/>
                <w:szCs w:val="17"/>
                <w:color w:val="auto"/>
              </w:rPr>
            </w:pPr>
          </w:p>
        </w:tc>
        <w:tc>
          <w:tcPr>
            <w:tcW w:w="760" w:type="dxa"/>
            <w:vAlign w:val="bottom"/>
            <w:tcBorders>
              <w:bottom w:val="single" w:sz="8" w:color="CCCCCC"/>
            </w:tcBorders>
            <w:shd w:val="clear" w:color="auto" w:fill="CCCCCC"/>
          </w:tcPr>
          <w:p>
            <w:pPr>
              <w:spacing w:after="0"/>
              <w:rPr>
                <w:sz w:val="17"/>
                <w:szCs w:val="17"/>
                <w:color w:val="auto"/>
              </w:rPr>
            </w:pPr>
          </w:p>
        </w:tc>
        <w:tc>
          <w:tcPr>
            <w:tcW w:w="740" w:type="dxa"/>
            <w:vAlign w:val="bottom"/>
            <w:tcBorders>
              <w:bottom w:val="single" w:sz="8" w:color="CCCCCC"/>
            </w:tcBorders>
            <w:shd w:val="clear" w:color="auto" w:fill="CCCCCC"/>
          </w:tcPr>
          <w:p>
            <w:pPr>
              <w:spacing w:after="0"/>
              <w:rPr>
                <w:sz w:val="17"/>
                <w:szCs w:val="17"/>
                <w:color w:val="auto"/>
              </w:rPr>
            </w:pPr>
          </w:p>
        </w:tc>
        <w:tc>
          <w:tcPr>
            <w:tcW w:w="100" w:type="dxa"/>
            <w:vAlign w:val="bottom"/>
            <w:tcBorders>
              <w:bottom w:val="single" w:sz="8" w:color="CCCCCC"/>
            </w:tcBorders>
            <w:shd w:val="clear" w:color="auto" w:fill="CCCCCC"/>
          </w:tcPr>
          <w:p>
            <w:pPr>
              <w:spacing w:after="0"/>
              <w:rPr>
                <w:sz w:val="17"/>
                <w:szCs w:val="17"/>
                <w:color w:val="auto"/>
              </w:rPr>
            </w:pPr>
          </w:p>
        </w:tc>
        <w:tc>
          <w:tcPr>
            <w:tcW w:w="7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52,556</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105,112</w:t>
            </w:r>
          </w:p>
        </w:tc>
        <w:tc>
          <w:tcPr>
            <w:tcW w:w="840" w:type="dxa"/>
            <w:vAlign w:val="bottom"/>
            <w:tcBorders>
              <w:bottom w:val="single" w:sz="8" w:color="CCCCCC"/>
            </w:tcBorders>
            <w:shd w:val="clear" w:color="auto" w:fill="CCCCCC"/>
          </w:tcPr>
          <w:p>
            <w:pPr>
              <w:jc w:val="right"/>
              <w:ind w:right="28"/>
              <w:spacing w:after="0"/>
              <w:rPr>
                <w:sz w:val="20"/>
                <w:szCs w:val="20"/>
                <w:color w:val="auto"/>
              </w:rPr>
            </w:pPr>
            <w:r>
              <w:rPr>
                <w:rFonts w:ascii="Arial" w:cs="Arial" w:eastAsia="Arial" w:hAnsi="Arial"/>
                <w:sz w:val="14"/>
                <w:szCs w:val="14"/>
                <w:color w:val="auto"/>
              </w:rPr>
              <w:t>210,224</w:t>
            </w:r>
          </w:p>
        </w:tc>
        <w:tc>
          <w:tcPr>
            <w:tcW w:w="740" w:type="dxa"/>
            <w:vAlign w:val="bottom"/>
            <w:tcBorders>
              <w:bottom w:val="single" w:sz="8" w:color="CCCCCC"/>
            </w:tcBorders>
            <w:shd w:val="clear" w:color="auto" w:fill="CCCCCC"/>
          </w:tcPr>
          <w:p>
            <w:pPr>
              <w:ind w:left="240"/>
              <w:spacing w:after="0"/>
              <w:rPr>
                <w:sz w:val="20"/>
                <w:szCs w:val="20"/>
                <w:color w:val="auto"/>
              </w:rPr>
            </w:pPr>
            <w:r>
              <w:rPr>
                <w:rFonts w:ascii="Arial" w:cs="Arial" w:eastAsia="Arial" w:hAnsi="Arial"/>
                <w:sz w:val="14"/>
                <w:szCs w:val="14"/>
                <w:color w:val="auto"/>
              </w:rPr>
              <w:t>70,075</w:t>
            </w:r>
          </w:p>
        </w:tc>
        <w:tc>
          <w:tcPr>
            <w:tcW w:w="920" w:type="dxa"/>
            <w:vAlign w:val="bottom"/>
            <w:tcBorders>
              <w:bottom w:val="single" w:sz="8" w:color="CCCCCC"/>
            </w:tcBorders>
            <w:shd w:val="clear" w:color="auto" w:fill="CCCCCC"/>
          </w:tcPr>
          <w:p>
            <w:pPr>
              <w:ind w:left="7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CCCCCC"/>
          </w:tcPr>
          <w:p>
            <w:pPr>
              <w:ind w:left="5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3,660,000</w:t>
            </w:r>
          </w:p>
        </w:tc>
        <w:tc>
          <w:tcPr>
            <w:tcW w:w="0" w:type="dxa"/>
            <w:vAlign w:val="bottom"/>
          </w:tcPr>
          <w:p>
            <w:pPr>
              <w:spacing w:after="0"/>
              <w:rPr>
                <w:sz w:val="1"/>
                <w:szCs w:val="1"/>
                <w:color w:val="auto"/>
              </w:rPr>
            </w:pPr>
          </w:p>
        </w:tc>
      </w:tr>
      <w:tr>
        <w:trPr>
          <w:trHeight w:val="170"/>
        </w:trPr>
        <w:tc>
          <w:tcPr>
            <w:tcW w:w="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Mr. Smith</w:t>
            </w: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Annual Incentive</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38,072</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154,808</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309,616</w:t>
            </w:r>
          </w:p>
        </w:tc>
        <w:tc>
          <w:tcPr>
            <w:tcW w:w="7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9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58" w:lineRule="auto"/>
        <w:tabs>
          <w:tab w:leader="none" w:pos="334"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pay opportunity under the 2019 AIP, which is discussed in the CD&amp;A. Amounts earned under this program are set forth in the Summary Compensation Table. For Messrs. North, Rankin and Smith, 2019 AIP opportunity is prorated to reflect time in position in 2019.</w:t>
      </w:r>
    </w:p>
    <w:p>
      <w:pPr>
        <w:spacing w:after="0" w:line="85" w:lineRule="exact"/>
        <w:rPr>
          <w:rFonts w:ascii="Arial" w:cs="Arial" w:eastAsia="Arial" w:hAnsi="Arial"/>
          <w:sz w:val="14"/>
          <w:szCs w:val="14"/>
          <w:color w:val="auto"/>
        </w:rPr>
      </w:pPr>
    </w:p>
    <w:p>
      <w:pPr>
        <w:ind w:left="340" w:hanging="332"/>
        <w:spacing w:after="0" w:line="258" w:lineRule="auto"/>
        <w:tabs>
          <w:tab w:leader="none" w:pos="381"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awards of PSUs which are scheduled to vest on March 15, 2022, subject to continued service and based on three-year cumulative Adjusted EBITDA goals, as more fully described in the CD&amp;A under “2019 Long-Term Incentive Awards.”</w:t>
      </w:r>
    </w:p>
    <w:p>
      <w:pPr>
        <w:spacing w:after="0" w:line="85" w:lineRule="exact"/>
        <w:rPr>
          <w:rFonts w:ascii="Arial" w:cs="Arial" w:eastAsia="Arial" w:hAnsi="Arial"/>
          <w:sz w:val="14"/>
          <w:szCs w:val="14"/>
          <w:color w:val="auto"/>
        </w:rPr>
      </w:pPr>
    </w:p>
    <w:p>
      <w:pPr>
        <w:ind w:left="340" w:hanging="332"/>
        <w:spacing w:after="0" w:line="258" w:lineRule="auto"/>
        <w:tabs>
          <w:tab w:leader="none" w:pos="387"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awards for RSUs which are scheduled to vest in equal installments on each of the first three anniversaries of the date of grant, generally subject to continued service.</w:t>
      </w:r>
    </w:p>
    <w:p>
      <w:pPr>
        <w:spacing w:after="0" w:line="85" w:lineRule="exact"/>
        <w:rPr>
          <w:rFonts w:ascii="Arial" w:cs="Arial" w:eastAsia="Arial" w:hAnsi="Arial"/>
          <w:sz w:val="14"/>
          <w:szCs w:val="14"/>
          <w:color w:val="auto"/>
        </w:rPr>
      </w:pPr>
    </w:p>
    <w:p>
      <w:pPr>
        <w:jc w:val="both"/>
        <w:ind w:left="340" w:hanging="332"/>
        <w:spacing w:after="0" w:line="249" w:lineRule="auto"/>
        <w:tabs>
          <w:tab w:leader="none" w:pos="365"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17 to our audited financial statements for the fiscal year ended December 31, 2019, included in our 2019 Form 10-K. The grant date value of the stock underlying the PSUs assuming attainment of the highest level of performance conditions were: for Mr. Ferraro, $1,499,976; Mr. North, $1,149,966; Mr. Rankin, $1,500,015; Mr. Linnen, $330,024; and Mr. De Shon, $7,320,000.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gridSpan w:val="2"/>
          </w:tcPr>
          <w:p>
            <w:pPr>
              <w:ind w:left="1060"/>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Stock Awards(a)</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Equity</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Plan</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Equity</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Incentive Plan</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7"/>
              </w:rPr>
              <w:t>Number</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Unearned</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7"/>
              </w:rPr>
              <w:t>of</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Shares,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6"/>
              </w:rPr>
              <w:t>Shares</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Shares,</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7"/>
              </w:rPr>
              <w:t>or Units</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of Stock</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Rights</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Unexercisable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That Have</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That</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Options</w:t>
            </w:r>
          </w:p>
        </w:tc>
        <w:tc>
          <w:tcPr>
            <w:tcW w:w="6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2"/>
              </w:rPr>
              <w:t>Not</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Not</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Have Not</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Grant</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Price</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Expiration</w:t>
            </w:r>
          </w:p>
        </w:tc>
        <w:tc>
          <w:tcPr>
            <w:tcW w:w="62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3"/>
              </w:rPr>
              <w:t>Vested</w:t>
            </w:r>
          </w:p>
        </w:tc>
        <w:tc>
          <w:tcPr>
            <w:tcW w:w="2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Not Vested</w:t>
            </w:r>
          </w:p>
        </w:tc>
        <w:tc>
          <w:tcPr>
            <w:tcW w:w="0" w:type="dxa"/>
            <w:vAlign w:val="bottom"/>
          </w:tcPr>
          <w:p>
            <w:pPr>
              <w:spacing w:after="0"/>
              <w:rPr>
                <w:sz w:val="1"/>
                <w:szCs w:val="1"/>
                <w:color w:val="auto"/>
              </w:rPr>
            </w:pPr>
          </w:p>
        </w:tc>
      </w:tr>
      <w:tr>
        <w:trPr>
          <w:trHeight w:val="168"/>
        </w:trPr>
        <w:tc>
          <w:tcPr>
            <w:tcW w:w="9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tcPr>
          <w:p>
            <w:pPr>
              <w:ind w:left="280"/>
              <w:spacing w:after="0"/>
              <w:rPr>
                <w:sz w:val="20"/>
                <w:szCs w:val="20"/>
                <w:color w:val="auto"/>
              </w:rPr>
            </w:pPr>
            <w:r>
              <w:rPr>
                <w:rFonts w:ascii="Arial" w:cs="Arial" w:eastAsia="Arial" w:hAnsi="Arial"/>
                <w:sz w:val="13"/>
                <w:szCs w:val="13"/>
                <w:b w:val="1"/>
                <w:bCs w:val="1"/>
                <w:color w:val="auto"/>
              </w:rPr>
              <w:t>Date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8"/>
              </w:rPr>
              <w:t>(#) Exercisable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 Unexercisable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Date</w:t>
            </w:r>
          </w:p>
        </w:tc>
        <w:tc>
          <w:tcPr>
            <w:tcW w:w="620" w:type="dxa"/>
            <w:vAlign w:val="bottom"/>
          </w:tcPr>
          <w:p>
            <w:pPr>
              <w:jc w:val="center"/>
              <w:ind w:left="117"/>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9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Mr. Ferraro</w:t>
            </w:r>
          </w:p>
        </w:tc>
        <w:tc>
          <w:tcPr>
            <w:tcW w:w="760" w:type="dxa"/>
            <w:vAlign w:val="bottom"/>
            <w:shd w:val="clear" w:color="auto" w:fill="CCCCCC"/>
          </w:tcPr>
          <w:p>
            <w:pPr>
              <w:jc w:val="center"/>
              <w:ind w:left="17"/>
              <w:spacing w:after="0" w:line="129" w:lineRule="exact"/>
              <w:rPr>
                <w:sz w:val="20"/>
                <w:szCs w:val="20"/>
                <w:color w:val="auto"/>
              </w:rPr>
            </w:pPr>
            <w:r>
              <w:rPr>
                <w:rFonts w:ascii="Arial" w:cs="Arial" w:eastAsia="Arial" w:hAnsi="Arial"/>
                <w:sz w:val="13"/>
                <w:szCs w:val="13"/>
                <w:color w:val="auto"/>
                <w:w w:val="94"/>
              </w:rPr>
              <w:t>8/7/2019</w:t>
            </w:r>
          </w:p>
        </w:tc>
        <w:tc>
          <w:tcPr>
            <w:tcW w:w="1220" w:type="dxa"/>
            <w:vAlign w:val="bottom"/>
            <w:shd w:val="clear" w:color="auto" w:fill="CCCCCC"/>
          </w:tcPr>
          <w:p>
            <w:pPr>
              <w:spacing w:after="0"/>
              <w:rPr>
                <w:sz w:val="11"/>
                <w:szCs w:val="11"/>
                <w:color w:val="auto"/>
              </w:rPr>
            </w:pPr>
          </w:p>
        </w:tc>
        <w:tc>
          <w:tcPr>
            <w:tcW w:w="134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800" w:type="dxa"/>
            <w:vAlign w:val="bottom"/>
            <w:shd w:val="clear" w:color="auto" w:fill="CCCCCC"/>
          </w:tcPr>
          <w:p>
            <w:pPr>
              <w:spacing w:after="0"/>
              <w:rPr>
                <w:sz w:val="11"/>
                <w:szCs w:val="11"/>
                <w:color w:val="auto"/>
              </w:rPr>
            </w:pPr>
          </w:p>
        </w:tc>
        <w:tc>
          <w:tcPr>
            <w:tcW w:w="84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620" w:type="dxa"/>
            <w:vAlign w:val="bottom"/>
            <w:shd w:val="clear" w:color="auto" w:fill="CCCCCC"/>
          </w:tcPr>
          <w:p>
            <w:pPr>
              <w:jc w:val="right"/>
              <w:spacing w:after="0" w:line="129" w:lineRule="exact"/>
              <w:rPr>
                <w:sz w:val="20"/>
                <w:szCs w:val="20"/>
                <w:color w:val="auto"/>
              </w:rPr>
            </w:pPr>
            <w:r>
              <w:rPr>
                <w:rFonts w:ascii="Arial" w:cs="Arial" w:eastAsia="Arial" w:hAnsi="Arial"/>
                <w:sz w:val="13"/>
                <w:szCs w:val="13"/>
                <w:color w:val="auto"/>
              </w:rPr>
              <w:t>48,062</w:t>
            </w:r>
          </w:p>
        </w:tc>
        <w:tc>
          <w:tcPr>
            <w:tcW w:w="280" w:type="dxa"/>
            <w:vAlign w:val="bottom"/>
            <w:shd w:val="clear" w:color="auto" w:fill="CCCCCC"/>
          </w:tcPr>
          <w:p>
            <w:pPr>
              <w:jc w:val="right"/>
              <w:ind w:right="57"/>
              <w:spacing w:after="0" w:line="129" w:lineRule="exact"/>
              <w:rPr>
                <w:sz w:val="20"/>
                <w:szCs w:val="20"/>
                <w:color w:val="auto"/>
              </w:rPr>
            </w:pPr>
            <w:r>
              <w:rPr>
                <w:rFonts w:ascii="Arial" w:cs="Arial" w:eastAsia="Arial" w:hAnsi="Arial"/>
                <w:sz w:val="13"/>
                <w:szCs w:val="13"/>
                <w:color w:val="auto"/>
                <w:w w:val="87"/>
              </w:rPr>
              <w:t>(b)</w:t>
            </w:r>
          </w:p>
        </w:tc>
        <w:tc>
          <w:tcPr>
            <w:tcW w:w="880" w:type="dxa"/>
            <w:vAlign w:val="bottom"/>
            <w:shd w:val="clear" w:color="auto" w:fill="CCCCCC"/>
          </w:tcPr>
          <w:p>
            <w:pPr>
              <w:jc w:val="center"/>
              <w:spacing w:after="0" w:line="129" w:lineRule="exact"/>
              <w:rPr>
                <w:sz w:val="20"/>
                <w:szCs w:val="20"/>
                <w:color w:val="auto"/>
              </w:rPr>
            </w:pPr>
            <w:r>
              <w:rPr>
                <w:rFonts w:ascii="Arial" w:cs="Arial" w:eastAsia="Arial" w:hAnsi="Arial"/>
                <w:sz w:val="13"/>
                <w:szCs w:val="13"/>
                <w:color w:val="auto"/>
                <w:w w:val="96"/>
              </w:rPr>
              <w:t>1,549,519</w:t>
            </w:r>
          </w:p>
        </w:tc>
        <w:tc>
          <w:tcPr>
            <w:tcW w:w="980" w:type="dxa"/>
            <w:vAlign w:val="bottom"/>
            <w:shd w:val="clear" w:color="auto" w:fill="CCCCCC"/>
          </w:tcPr>
          <w:p>
            <w:pPr>
              <w:spacing w:after="0"/>
              <w:rPr>
                <w:sz w:val="11"/>
                <w:szCs w:val="11"/>
                <w:color w:val="auto"/>
              </w:rPr>
            </w:pPr>
          </w:p>
        </w:tc>
        <w:tc>
          <w:tcPr>
            <w:tcW w:w="980" w:type="dxa"/>
            <w:vAlign w:val="bottom"/>
            <w:shd w:val="clear" w:color="auto" w:fill="CCCCC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CCCC"/>
          </w:tcPr>
          <w:p>
            <w:pPr>
              <w:spacing w:after="0"/>
              <w:rPr>
                <w:sz w:val="11"/>
                <w:szCs w:val="11"/>
                <w:color w:val="auto"/>
              </w:rPr>
            </w:pPr>
          </w:p>
        </w:tc>
        <w:tc>
          <w:tcPr>
            <w:tcW w:w="760" w:type="dxa"/>
            <w:vAlign w:val="bottom"/>
            <w:shd w:val="clear" w:color="auto" w:fill="CCCCCC"/>
          </w:tcPr>
          <w:p>
            <w:pPr>
              <w:jc w:val="center"/>
              <w:ind w:left="17"/>
              <w:spacing w:after="0" w:line="135" w:lineRule="exact"/>
              <w:rPr>
                <w:sz w:val="20"/>
                <w:szCs w:val="20"/>
                <w:color w:val="auto"/>
              </w:rPr>
            </w:pPr>
            <w:r>
              <w:rPr>
                <w:rFonts w:ascii="Arial" w:cs="Arial" w:eastAsia="Arial" w:hAnsi="Arial"/>
                <w:sz w:val="13"/>
                <w:szCs w:val="13"/>
                <w:color w:val="auto"/>
                <w:w w:val="96"/>
              </w:rPr>
              <w:t>3/15/2019</w:t>
            </w:r>
          </w:p>
        </w:tc>
        <w:tc>
          <w:tcPr>
            <w:tcW w:w="1220" w:type="dxa"/>
            <w:vAlign w:val="bottom"/>
            <w:shd w:val="clear" w:color="auto" w:fill="CCCCCC"/>
          </w:tcPr>
          <w:p>
            <w:pPr>
              <w:spacing w:after="0"/>
              <w:rPr>
                <w:sz w:val="11"/>
                <w:szCs w:val="11"/>
                <w:color w:val="auto"/>
              </w:rPr>
            </w:pPr>
          </w:p>
        </w:tc>
        <w:tc>
          <w:tcPr>
            <w:tcW w:w="134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800" w:type="dxa"/>
            <w:vAlign w:val="bottom"/>
            <w:shd w:val="clear" w:color="auto" w:fill="CCCCCC"/>
          </w:tcPr>
          <w:p>
            <w:pPr>
              <w:spacing w:after="0"/>
              <w:rPr>
                <w:sz w:val="11"/>
                <w:szCs w:val="11"/>
                <w:color w:val="auto"/>
              </w:rPr>
            </w:pPr>
          </w:p>
        </w:tc>
        <w:tc>
          <w:tcPr>
            <w:tcW w:w="84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900" w:type="dxa"/>
            <w:vAlign w:val="bottom"/>
            <w:gridSpan w:val="2"/>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rPr>
              <w:t>21,539 (c)</w:t>
            </w:r>
          </w:p>
        </w:tc>
        <w:tc>
          <w:tcPr>
            <w:tcW w:w="88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7"/>
              </w:rPr>
              <w:t>694,417</w:t>
            </w:r>
          </w:p>
        </w:tc>
        <w:tc>
          <w:tcPr>
            <w:tcW w:w="980" w:type="dxa"/>
            <w:vAlign w:val="bottom"/>
            <w:shd w:val="clear" w:color="auto" w:fill="CCCCCC"/>
          </w:tcPr>
          <w:p>
            <w:pPr>
              <w:jc w:val="right"/>
              <w:ind w:right="77"/>
              <w:spacing w:after="0" w:line="135" w:lineRule="exact"/>
              <w:rPr>
                <w:sz w:val="20"/>
                <w:szCs w:val="20"/>
                <w:color w:val="auto"/>
              </w:rPr>
            </w:pPr>
            <w:r>
              <w:rPr>
                <w:rFonts w:ascii="Arial" w:cs="Arial" w:eastAsia="Arial" w:hAnsi="Arial"/>
                <w:sz w:val="13"/>
                <w:szCs w:val="13"/>
                <w:color w:val="auto"/>
              </w:rPr>
              <w:t>21,539 (h)</w:t>
            </w:r>
          </w:p>
        </w:tc>
        <w:tc>
          <w:tcPr>
            <w:tcW w:w="9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694,417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CCCC"/>
          </w:tcPr>
          <w:p>
            <w:pPr>
              <w:spacing w:after="0"/>
              <w:rPr>
                <w:sz w:val="11"/>
                <w:szCs w:val="11"/>
                <w:color w:val="auto"/>
              </w:rPr>
            </w:pPr>
          </w:p>
        </w:tc>
        <w:tc>
          <w:tcPr>
            <w:tcW w:w="760" w:type="dxa"/>
            <w:vAlign w:val="bottom"/>
            <w:shd w:val="clear" w:color="auto" w:fill="CCCCCC"/>
          </w:tcPr>
          <w:p>
            <w:pPr>
              <w:jc w:val="center"/>
              <w:ind w:left="17"/>
              <w:spacing w:after="0" w:line="135" w:lineRule="exact"/>
              <w:rPr>
                <w:sz w:val="20"/>
                <w:szCs w:val="20"/>
                <w:color w:val="auto"/>
              </w:rPr>
            </w:pPr>
            <w:r>
              <w:rPr>
                <w:rFonts w:ascii="Arial" w:cs="Arial" w:eastAsia="Arial" w:hAnsi="Arial"/>
                <w:sz w:val="13"/>
                <w:szCs w:val="13"/>
                <w:color w:val="auto"/>
                <w:w w:val="96"/>
              </w:rPr>
              <w:t>3/15/2018</w:t>
            </w:r>
          </w:p>
        </w:tc>
        <w:tc>
          <w:tcPr>
            <w:tcW w:w="1220" w:type="dxa"/>
            <w:vAlign w:val="bottom"/>
            <w:shd w:val="clear" w:color="auto" w:fill="CCCCCC"/>
          </w:tcPr>
          <w:p>
            <w:pPr>
              <w:spacing w:after="0"/>
              <w:rPr>
                <w:sz w:val="11"/>
                <w:szCs w:val="11"/>
                <w:color w:val="auto"/>
              </w:rPr>
            </w:pPr>
          </w:p>
        </w:tc>
        <w:tc>
          <w:tcPr>
            <w:tcW w:w="134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800" w:type="dxa"/>
            <w:vAlign w:val="bottom"/>
            <w:shd w:val="clear" w:color="auto" w:fill="CCCCCC"/>
          </w:tcPr>
          <w:p>
            <w:pPr>
              <w:spacing w:after="0"/>
              <w:rPr>
                <w:sz w:val="11"/>
                <w:szCs w:val="11"/>
                <w:color w:val="auto"/>
              </w:rPr>
            </w:pPr>
          </w:p>
        </w:tc>
        <w:tc>
          <w:tcPr>
            <w:tcW w:w="84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62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8,210</w:t>
            </w:r>
          </w:p>
        </w:tc>
        <w:tc>
          <w:tcPr>
            <w:tcW w:w="280" w:type="dxa"/>
            <w:vAlign w:val="bottom"/>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w w:val="87"/>
              </w:rPr>
              <w:t>(d)</w:t>
            </w:r>
          </w:p>
        </w:tc>
        <w:tc>
          <w:tcPr>
            <w:tcW w:w="88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7"/>
              </w:rPr>
              <w:t>264,690</w:t>
            </w:r>
          </w:p>
        </w:tc>
        <w:tc>
          <w:tcPr>
            <w:tcW w:w="980" w:type="dxa"/>
            <w:vAlign w:val="bottom"/>
            <w:shd w:val="clear" w:color="auto" w:fill="CCCCCC"/>
          </w:tcPr>
          <w:p>
            <w:pPr>
              <w:jc w:val="right"/>
              <w:ind w:right="77"/>
              <w:spacing w:after="0" w:line="135" w:lineRule="exact"/>
              <w:rPr>
                <w:sz w:val="20"/>
                <w:szCs w:val="20"/>
                <w:color w:val="auto"/>
              </w:rPr>
            </w:pPr>
            <w:r>
              <w:rPr>
                <w:rFonts w:ascii="Arial" w:cs="Arial" w:eastAsia="Arial" w:hAnsi="Arial"/>
                <w:sz w:val="13"/>
                <w:szCs w:val="13"/>
                <w:color w:val="auto"/>
              </w:rPr>
              <w:t>12,315 (i)</w:t>
            </w:r>
          </w:p>
        </w:tc>
        <w:tc>
          <w:tcPr>
            <w:tcW w:w="9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397,036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940" w:type="dxa"/>
            <w:vAlign w:val="bottom"/>
            <w:tcBorders>
              <w:bottom w:val="single" w:sz="8" w:color="CCCCCC"/>
            </w:tcBorders>
            <w:shd w:val="clear" w:color="auto" w:fill="CCCCCC"/>
          </w:tcPr>
          <w:p>
            <w:pPr>
              <w:spacing w:after="0"/>
              <w:rPr>
                <w:sz w:val="15"/>
                <w:szCs w:val="15"/>
                <w:color w:val="auto"/>
              </w:rPr>
            </w:pPr>
          </w:p>
        </w:tc>
        <w:tc>
          <w:tcPr>
            <w:tcW w:w="760" w:type="dxa"/>
            <w:vAlign w:val="bottom"/>
            <w:tcBorders>
              <w:bottom w:val="single" w:sz="8" w:color="CCCCCC"/>
            </w:tcBorders>
            <w:shd w:val="clear" w:color="auto" w:fill="CCCCCC"/>
          </w:tcPr>
          <w:p>
            <w:pPr>
              <w:jc w:val="center"/>
              <w:ind w:left="17"/>
              <w:spacing w:after="0"/>
              <w:rPr>
                <w:sz w:val="20"/>
                <w:szCs w:val="20"/>
                <w:color w:val="auto"/>
              </w:rPr>
            </w:pPr>
            <w:r>
              <w:rPr>
                <w:rFonts w:ascii="Arial" w:cs="Arial" w:eastAsia="Arial" w:hAnsi="Arial"/>
                <w:sz w:val="13"/>
                <w:szCs w:val="13"/>
                <w:color w:val="auto"/>
                <w:w w:val="94"/>
              </w:rPr>
              <w:t>3/1/2017</w:t>
            </w:r>
          </w:p>
        </w:tc>
        <w:tc>
          <w:tcPr>
            <w:tcW w:w="1220" w:type="dxa"/>
            <w:vAlign w:val="bottom"/>
            <w:tcBorders>
              <w:bottom w:val="single" w:sz="8" w:color="CCCCCC"/>
            </w:tcBorders>
            <w:shd w:val="clear" w:color="auto" w:fill="CCCCCC"/>
          </w:tcPr>
          <w:p>
            <w:pPr>
              <w:spacing w:after="0"/>
              <w:rPr>
                <w:sz w:val="15"/>
                <w:szCs w:val="15"/>
                <w:color w:val="auto"/>
              </w:rPr>
            </w:pPr>
          </w:p>
        </w:tc>
        <w:tc>
          <w:tcPr>
            <w:tcW w:w="1340" w:type="dxa"/>
            <w:vAlign w:val="bottom"/>
            <w:tcBorders>
              <w:bottom w:val="single" w:sz="8" w:color="CCCCCC"/>
            </w:tcBorders>
            <w:shd w:val="clear" w:color="auto" w:fill="CCCCCC"/>
          </w:tcPr>
          <w:p>
            <w:pPr>
              <w:spacing w:after="0"/>
              <w:rPr>
                <w:sz w:val="15"/>
                <w:szCs w:val="15"/>
                <w:color w:val="auto"/>
              </w:rPr>
            </w:pPr>
          </w:p>
        </w:tc>
        <w:tc>
          <w:tcPr>
            <w:tcW w:w="1140" w:type="dxa"/>
            <w:vAlign w:val="bottom"/>
            <w:tcBorders>
              <w:bottom w:val="single" w:sz="8" w:color="CCCCCC"/>
            </w:tcBorders>
            <w:shd w:val="clear" w:color="auto" w:fill="CCCCCC"/>
          </w:tcPr>
          <w:p>
            <w:pPr>
              <w:spacing w:after="0"/>
              <w:rPr>
                <w:sz w:val="15"/>
                <w:szCs w:val="15"/>
                <w:color w:val="auto"/>
              </w:rPr>
            </w:pPr>
          </w:p>
        </w:tc>
        <w:tc>
          <w:tcPr>
            <w:tcW w:w="800" w:type="dxa"/>
            <w:vAlign w:val="bottom"/>
            <w:tcBorders>
              <w:bottom w:val="single" w:sz="8" w:color="CCCCCC"/>
            </w:tcBorders>
            <w:shd w:val="clear" w:color="auto" w:fill="CCCCCC"/>
          </w:tcPr>
          <w:p>
            <w:pPr>
              <w:spacing w:after="0"/>
              <w:rPr>
                <w:sz w:val="15"/>
                <w:szCs w:val="15"/>
                <w:color w:val="auto"/>
              </w:rPr>
            </w:pPr>
          </w:p>
        </w:tc>
        <w:tc>
          <w:tcPr>
            <w:tcW w:w="840" w:type="dxa"/>
            <w:vAlign w:val="bottom"/>
            <w:tcBorders>
              <w:bottom w:val="single" w:sz="8" w:color="CCCCCC"/>
            </w:tcBorders>
            <w:shd w:val="clear" w:color="auto" w:fill="CCCCCC"/>
          </w:tcPr>
          <w:p>
            <w:pPr>
              <w:spacing w:after="0"/>
              <w:rPr>
                <w:sz w:val="15"/>
                <w:szCs w:val="15"/>
                <w:color w:val="auto"/>
              </w:rPr>
            </w:pPr>
          </w:p>
        </w:tc>
        <w:tc>
          <w:tcPr>
            <w:tcW w:w="100" w:type="dxa"/>
            <w:vAlign w:val="bottom"/>
            <w:tcBorders>
              <w:bottom w:val="single" w:sz="8" w:color="CCCCCC"/>
            </w:tcBorders>
            <w:shd w:val="clear" w:color="auto" w:fill="CCCCCC"/>
          </w:tcPr>
          <w:p>
            <w:pPr>
              <w:spacing w:after="0"/>
              <w:rPr>
                <w:sz w:val="15"/>
                <w:szCs w:val="15"/>
                <w:color w:val="auto"/>
              </w:rPr>
            </w:pPr>
          </w:p>
        </w:tc>
        <w:tc>
          <w:tcPr>
            <w:tcW w:w="6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5,813</w:t>
            </w:r>
          </w:p>
        </w:tc>
        <w:tc>
          <w:tcPr>
            <w:tcW w:w="280" w:type="dxa"/>
            <w:vAlign w:val="bottom"/>
            <w:tcBorders>
              <w:bottom w:val="single" w:sz="8" w:color="CCCCCC"/>
            </w:tcBorders>
            <w:shd w:val="clear" w:color="auto" w:fill="CCCCCC"/>
          </w:tcPr>
          <w:p>
            <w:pPr>
              <w:jc w:val="right"/>
              <w:ind w:right="57"/>
              <w:spacing w:after="0"/>
              <w:rPr>
                <w:sz w:val="20"/>
                <w:szCs w:val="20"/>
                <w:color w:val="auto"/>
              </w:rPr>
            </w:pPr>
            <w:r>
              <w:rPr>
                <w:rFonts w:ascii="Arial" w:cs="Arial" w:eastAsia="Arial" w:hAnsi="Arial"/>
                <w:sz w:val="13"/>
                <w:szCs w:val="13"/>
                <w:color w:val="auto"/>
                <w:w w:val="87"/>
              </w:rPr>
              <w:t>(e)</w:t>
            </w:r>
          </w:p>
        </w:tc>
        <w:tc>
          <w:tcPr>
            <w:tcW w:w="8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3"/>
                <w:szCs w:val="13"/>
                <w:color w:val="auto"/>
                <w:w w:val="97"/>
              </w:rPr>
              <w:t>187,411</w:t>
            </w:r>
          </w:p>
        </w:tc>
        <w:tc>
          <w:tcPr>
            <w:tcW w:w="980" w:type="dxa"/>
            <w:vAlign w:val="bottom"/>
            <w:tcBorders>
              <w:bottom w:val="single" w:sz="8" w:color="CCCCCC"/>
            </w:tcBorders>
            <w:shd w:val="clear" w:color="auto" w:fill="CCCCCC"/>
          </w:tcPr>
          <w:p>
            <w:pPr>
              <w:jc w:val="right"/>
              <w:ind w:right="77"/>
              <w:spacing w:after="0"/>
              <w:rPr>
                <w:sz w:val="20"/>
                <w:szCs w:val="20"/>
                <w:color w:val="auto"/>
              </w:rPr>
            </w:pPr>
            <w:r>
              <w:rPr>
                <w:rFonts w:ascii="Arial" w:cs="Arial" w:eastAsia="Arial" w:hAnsi="Arial"/>
                <w:sz w:val="13"/>
                <w:szCs w:val="13"/>
                <w:color w:val="auto"/>
              </w:rPr>
              <w:t>17,437 (j)</w:t>
            </w:r>
          </w:p>
        </w:tc>
        <w:tc>
          <w:tcPr>
            <w:tcW w:w="9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526,169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94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color w:val="auto"/>
              </w:rPr>
              <w:t>Mr. North</w:t>
            </w:r>
          </w:p>
        </w:tc>
        <w:tc>
          <w:tcPr>
            <w:tcW w:w="760" w:type="dxa"/>
            <w:vAlign w:val="bottom"/>
            <w:tcBorders>
              <w:top w:val="single" w:sz="8" w:color="auto"/>
            </w:tcBorders>
          </w:tcPr>
          <w:p>
            <w:pPr>
              <w:jc w:val="center"/>
              <w:ind w:left="17"/>
              <w:spacing w:after="0" w:line="123" w:lineRule="exact"/>
              <w:rPr>
                <w:sz w:val="20"/>
                <w:szCs w:val="20"/>
                <w:color w:val="auto"/>
              </w:rPr>
            </w:pPr>
            <w:r>
              <w:rPr>
                <w:rFonts w:ascii="Arial" w:cs="Arial" w:eastAsia="Arial" w:hAnsi="Arial"/>
                <w:sz w:val="13"/>
                <w:szCs w:val="13"/>
                <w:color w:val="auto"/>
                <w:w w:val="94"/>
              </w:rPr>
              <w:t>8/7/2019</w:t>
            </w:r>
          </w:p>
        </w:tc>
        <w:tc>
          <w:tcPr>
            <w:tcW w:w="1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32,041</w:t>
            </w:r>
          </w:p>
        </w:tc>
        <w:tc>
          <w:tcPr>
            <w:tcW w:w="280" w:type="dxa"/>
            <w:vAlign w:val="bottom"/>
            <w:tcBorders>
              <w:top w:val="single" w:sz="8" w:color="auto"/>
            </w:tcBorders>
          </w:tcPr>
          <w:p>
            <w:pPr>
              <w:jc w:val="right"/>
              <w:ind w:right="57"/>
              <w:spacing w:after="0" w:line="123" w:lineRule="exact"/>
              <w:rPr>
                <w:sz w:val="20"/>
                <w:szCs w:val="20"/>
                <w:color w:val="auto"/>
              </w:rPr>
            </w:pPr>
            <w:r>
              <w:rPr>
                <w:rFonts w:ascii="Arial" w:cs="Arial" w:eastAsia="Arial" w:hAnsi="Arial"/>
                <w:sz w:val="13"/>
                <w:szCs w:val="13"/>
                <w:color w:val="auto"/>
                <w:w w:val="87"/>
              </w:rPr>
              <w:t>(b)</w:t>
            </w: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color w:val="auto"/>
                <w:w w:val="96"/>
              </w:rPr>
              <w:t>1,033,002</w:t>
            </w:r>
          </w:p>
        </w:tc>
        <w:tc>
          <w:tcPr>
            <w:tcW w:w="9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760" w:type="dxa"/>
            <w:vAlign w:val="bottom"/>
          </w:tcPr>
          <w:p>
            <w:pPr>
              <w:jc w:val="center"/>
              <w:ind w:left="17"/>
              <w:spacing w:after="0"/>
              <w:rPr>
                <w:sz w:val="20"/>
                <w:szCs w:val="20"/>
                <w:color w:val="auto"/>
              </w:rPr>
            </w:pPr>
            <w:r>
              <w:rPr>
                <w:rFonts w:ascii="Arial" w:cs="Arial" w:eastAsia="Arial" w:hAnsi="Arial"/>
                <w:sz w:val="13"/>
                <w:szCs w:val="13"/>
                <w:color w:val="auto"/>
                <w:w w:val="96"/>
              </w:rPr>
              <w:t>4/17/2019</w:t>
            </w: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57"/>
              <w:spacing w:after="0"/>
              <w:rPr>
                <w:sz w:val="20"/>
                <w:szCs w:val="20"/>
                <w:color w:val="auto"/>
              </w:rPr>
            </w:pPr>
            <w:r>
              <w:rPr>
                <w:rFonts w:ascii="Arial" w:cs="Arial" w:eastAsia="Arial" w:hAnsi="Arial"/>
                <w:sz w:val="13"/>
                <w:szCs w:val="13"/>
                <w:color w:val="auto"/>
              </w:rPr>
              <w:t>63,523 (f)</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2,047,982</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21,174 (l)</w:t>
            </w:r>
          </w:p>
        </w:tc>
        <w:tc>
          <w:tcPr>
            <w:tcW w:w="980" w:type="dxa"/>
            <w:vAlign w:val="bottom"/>
          </w:tcPr>
          <w:p>
            <w:pPr>
              <w:jc w:val="right"/>
              <w:spacing w:after="0"/>
              <w:rPr>
                <w:sz w:val="20"/>
                <w:szCs w:val="20"/>
                <w:color w:val="auto"/>
              </w:rPr>
            </w:pPr>
            <w:r>
              <w:rPr>
                <w:rFonts w:ascii="Arial" w:cs="Arial" w:eastAsia="Arial" w:hAnsi="Arial"/>
                <w:sz w:val="13"/>
                <w:szCs w:val="13"/>
                <w:color w:val="auto"/>
              </w:rPr>
              <w:t>682,650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940" w:type="dxa"/>
            <w:vAlign w:val="bottom"/>
            <w:shd w:val="clear" w:color="auto" w:fill="CCCCCC"/>
          </w:tcPr>
          <w:p>
            <w:pPr>
              <w:spacing w:after="0" w:line="146" w:lineRule="exact"/>
              <w:rPr>
                <w:sz w:val="20"/>
                <w:szCs w:val="20"/>
                <w:color w:val="auto"/>
              </w:rPr>
            </w:pPr>
            <w:r>
              <w:rPr>
                <w:rFonts w:ascii="Arial" w:cs="Arial" w:eastAsia="Arial" w:hAnsi="Arial"/>
                <w:sz w:val="13"/>
                <w:szCs w:val="13"/>
                <w:color w:val="auto"/>
              </w:rPr>
              <w:t>Mr. Rankin</w:t>
            </w:r>
          </w:p>
        </w:tc>
        <w:tc>
          <w:tcPr>
            <w:tcW w:w="760" w:type="dxa"/>
            <w:vAlign w:val="bottom"/>
            <w:vMerge w:val="restart"/>
            <w:shd w:val="clear" w:color="auto" w:fill="CCCCCC"/>
          </w:tcPr>
          <w:p>
            <w:pPr>
              <w:jc w:val="center"/>
              <w:ind w:left="17"/>
              <w:spacing w:after="0"/>
              <w:rPr>
                <w:sz w:val="20"/>
                <w:szCs w:val="20"/>
                <w:color w:val="auto"/>
              </w:rPr>
            </w:pPr>
            <w:r>
              <w:rPr>
                <w:rFonts w:ascii="Arial" w:cs="Arial" w:eastAsia="Arial" w:hAnsi="Arial"/>
                <w:sz w:val="13"/>
                <w:szCs w:val="13"/>
                <w:color w:val="auto"/>
                <w:w w:val="94"/>
              </w:rPr>
              <w:t>8/7/2019</w:t>
            </w:r>
          </w:p>
        </w:tc>
        <w:tc>
          <w:tcPr>
            <w:tcW w:w="1220" w:type="dxa"/>
            <w:vAlign w:val="bottom"/>
            <w:shd w:val="clear" w:color="auto" w:fill="CCCCCC"/>
          </w:tcPr>
          <w:p>
            <w:pPr>
              <w:spacing w:after="0"/>
              <w:rPr>
                <w:sz w:val="12"/>
                <w:szCs w:val="12"/>
                <w:color w:val="auto"/>
              </w:rPr>
            </w:pPr>
          </w:p>
        </w:tc>
        <w:tc>
          <w:tcPr>
            <w:tcW w:w="1340" w:type="dxa"/>
            <w:vAlign w:val="bottom"/>
            <w:shd w:val="clear" w:color="auto" w:fill="CCCCCC"/>
          </w:tcPr>
          <w:p>
            <w:pPr>
              <w:spacing w:after="0"/>
              <w:rPr>
                <w:sz w:val="12"/>
                <w:szCs w:val="12"/>
                <w:color w:val="auto"/>
              </w:rPr>
            </w:pPr>
          </w:p>
        </w:tc>
        <w:tc>
          <w:tcPr>
            <w:tcW w:w="1140" w:type="dxa"/>
            <w:vAlign w:val="bottom"/>
            <w:shd w:val="clear" w:color="auto" w:fill="CCCCCC"/>
          </w:tcPr>
          <w:p>
            <w:pPr>
              <w:spacing w:after="0"/>
              <w:rPr>
                <w:sz w:val="12"/>
                <w:szCs w:val="12"/>
                <w:color w:val="auto"/>
              </w:rPr>
            </w:pPr>
          </w:p>
        </w:tc>
        <w:tc>
          <w:tcPr>
            <w:tcW w:w="8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620" w:type="dxa"/>
            <w:vAlign w:val="bottom"/>
            <w:vMerge w:val="restart"/>
            <w:shd w:val="clear" w:color="auto" w:fill="CCCCCC"/>
          </w:tcPr>
          <w:p>
            <w:pPr>
              <w:jc w:val="right"/>
              <w:spacing w:after="0"/>
              <w:rPr>
                <w:sz w:val="20"/>
                <w:szCs w:val="20"/>
                <w:color w:val="auto"/>
              </w:rPr>
            </w:pPr>
            <w:r>
              <w:rPr>
                <w:rFonts w:ascii="Arial" w:cs="Arial" w:eastAsia="Arial" w:hAnsi="Arial"/>
                <w:sz w:val="13"/>
                <w:szCs w:val="13"/>
                <w:color w:val="auto"/>
              </w:rPr>
              <w:t>40,052</w:t>
            </w:r>
          </w:p>
        </w:tc>
        <w:tc>
          <w:tcPr>
            <w:tcW w:w="280" w:type="dxa"/>
            <w:vAlign w:val="bottom"/>
            <w:vMerge w:val="restart"/>
            <w:shd w:val="clear" w:color="auto" w:fill="CCCCCC"/>
          </w:tcPr>
          <w:p>
            <w:pPr>
              <w:jc w:val="right"/>
              <w:ind w:right="57"/>
              <w:spacing w:after="0"/>
              <w:rPr>
                <w:sz w:val="20"/>
                <w:szCs w:val="20"/>
                <w:color w:val="auto"/>
              </w:rPr>
            </w:pPr>
            <w:r>
              <w:rPr>
                <w:rFonts w:ascii="Arial" w:cs="Arial" w:eastAsia="Arial" w:hAnsi="Arial"/>
                <w:sz w:val="13"/>
                <w:szCs w:val="13"/>
                <w:color w:val="auto"/>
                <w:w w:val="87"/>
              </w:rPr>
              <w:t>(b)</w:t>
            </w:r>
          </w:p>
        </w:tc>
        <w:tc>
          <w:tcPr>
            <w:tcW w:w="880" w:type="dxa"/>
            <w:vAlign w:val="bottom"/>
            <w:vMerge w:val="restart"/>
            <w:shd w:val="clear" w:color="auto" w:fill="CCCCCC"/>
          </w:tcPr>
          <w:p>
            <w:pPr>
              <w:jc w:val="center"/>
              <w:spacing w:after="0"/>
              <w:rPr>
                <w:sz w:val="20"/>
                <w:szCs w:val="20"/>
                <w:color w:val="auto"/>
              </w:rPr>
            </w:pPr>
            <w:r>
              <w:rPr>
                <w:rFonts w:ascii="Arial" w:cs="Arial" w:eastAsia="Arial" w:hAnsi="Arial"/>
                <w:sz w:val="13"/>
                <w:szCs w:val="13"/>
                <w:color w:val="auto"/>
                <w:w w:val="96"/>
              </w:rPr>
              <w:t>1,291,276</w:t>
            </w:r>
          </w:p>
        </w:tc>
        <w:tc>
          <w:tcPr>
            <w:tcW w:w="980" w:type="dxa"/>
            <w:vAlign w:val="bottom"/>
            <w:vMerge w:val="restart"/>
            <w:shd w:val="clear" w:color="auto" w:fill="CCCCCC"/>
          </w:tcPr>
          <w:p>
            <w:pPr>
              <w:jc w:val="right"/>
              <w:ind w:right="77"/>
              <w:spacing w:after="0"/>
              <w:rPr>
                <w:sz w:val="20"/>
                <w:szCs w:val="20"/>
                <w:color w:val="auto"/>
              </w:rPr>
            </w:pPr>
            <w:r>
              <w:rPr>
                <w:rFonts w:ascii="Arial" w:cs="Arial" w:eastAsia="Arial" w:hAnsi="Arial"/>
                <w:sz w:val="13"/>
                <w:szCs w:val="13"/>
                <w:color w:val="auto"/>
              </w:rPr>
              <w:t>24,031 (m)</w:t>
            </w:r>
          </w:p>
        </w:tc>
        <w:tc>
          <w:tcPr>
            <w:tcW w:w="980" w:type="dxa"/>
            <w:vAlign w:val="bottom"/>
            <w:vMerge w:val="restart"/>
            <w:shd w:val="clear" w:color="auto" w:fill="CCCCCC"/>
          </w:tcPr>
          <w:p>
            <w:pPr>
              <w:jc w:val="right"/>
              <w:spacing w:after="0"/>
              <w:rPr>
                <w:sz w:val="20"/>
                <w:szCs w:val="20"/>
                <w:color w:val="auto"/>
              </w:rPr>
            </w:pPr>
            <w:r>
              <w:rPr>
                <w:rFonts w:ascii="Arial" w:cs="Arial" w:eastAsia="Arial" w:hAnsi="Arial"/>
                <w:sz w:val="13"/>
                <w:szCs w:val="13"/>
                <w:color w:val="auto"/>
              </w:rPr>
              <w:t>774,759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40" w:type="dxa"/>
            <w:vAlign w:val="bottom"/>
            <w:tcBorders>
              <w:bottom w:val="single" w:sz="8" w:color="CCCCCC"/>
            </w:tcBorders>
            <w:shd w:val="clear" w:color="auto" w:fill="CCCCCC"/>
          </w:tcPr>
          <w:p>
            <w:pPr>
              <w:spacing w:after="0"/>
              <w:rPr>
                <w:sz w:val="10"/>
                <w:szCs w:val="10"/>
                <w:color w:val="auto"/>
              </w:rPr>
            </w:pPr>
          </w:p>
        </w:tc>
        <w:tc>
          <w:tcPr>
            <w:tcW w:w="760" w:type="dxa"/>
            <w:vAlign w:val="bottom"/>
            <w:tcBorders>
              <w:bottom w:val="single" w:sz="8" w:color="CCCCCC"/>
            </w:tcBorders>
            <w:vMerge w:val="continue"/>
            <w:shd w:val="clear" w:color="auto" w:fill="CCCCCC"/>
          </w:tcPr>
          <w:p>
            <w:pPr>
              <w:spacing w:after="0"/>
              <w:rPr>
                <w:sz w:val="10"/>
                <w:szCs w:val="10"/>
                <w:color w:val="auto"/>
              </w:rPr>
            </w:pPr>
          </w:p>
        </w:tc>
        <w:tc>
          <w:tcPr>
            <w:tcW w:w="1220" w:type="dxa"/>
            <w:vAlign w:val="bottom"/>
            <w:tcBorders>
              <w:bottom w:val="single" w:sz="8" w:color="CCCCCC"/>
            </w:tcBorders>
            <w:shd w:val="clear" w:color="auto" w:fill="CCCCCC"/>
          </w:tcPr>
          <w:p>
            <w:pPr>
              <w:spacing w:after="0"/>
              <w:rPr>
                <w:sz w:val="10"/>
                <w:szCs w:val="10"/>
                <w:color w:val="auto"/>
              </w:rPr>
            </w:pPr>
          </w:p>
        </w:tc>
        <w:tc>
          <w:tcPr>
            <w:tcW w:w="1340" w:type="dxa"/>
            <w:vAlign w:val="bottom"/>
            <w:tcBorders>
              <w:bottom w:val="single" w:sz="8" w:color="CCCCCC"/>
            </w:tcBorders>
            <w:shd w:val="clear" w:color="auto" w:fill="CCCCCC"/>
          </w:tcPr>
          <w:p>
            <w:pPr>
              <w:spacing w:after="0"/>
              <w:rPr>
                <w:sz w:val="10"/>
                <w:szCs w:val="10"/>
                <w:color w:val="auto"/>
              </w:rPr>
            </w:pPr>
          </w:p>
        </w:tc>
        <w:tc>
          <w:tcPr>
            <w:tcW w:w="1140" w:type="dxa"/>
            <w:vAlign w:val="bottom"/>
            <w:tcBorders>
              <w:bottom w:val="single" w:sz="8" w:color="CCCCCC"/>
            </w:tcBorders>
            <w:shd w:val="clear" w:color="auto" w:fill="CCCCCC"/>
          </w:tcPr>
          <w:p>
            <w:pPr>
              <w:spacing w:after="0"/>
              <w:rPr>
                <w:sz w:val="10"/>
                <w:szCs w:val="10"/>
                <w:color w:val="auto"/>
              </w:rPr>
            </w:pPr>
          </w:p>
        </w:tc>
        <w:tc>
          <w:tcPr>
            <w:tcW w:w="800" w:type="dxa"/>
            <w:vAlign w:val="bottom"/>
            <w:tcBorders>
              <w:bottom w:val="single" w:sz="8" w:color="CCCCCC"/>
            </w:tcBorders>
            <w:shd w:val="clear" w:color="auto" w:fill="CCCCCC"/>
          </w:tcPr>
          <w:p>
            <w:pPr>
              <w:spacing w:after="0"/>
              <w:rPr>
                <w:sz w:val="10"/>
                <w:szCs w:val="10"/>
                <w:color w:val="auto"/>
              </w:rPr>
            </w:pPr>
          </w:p>
        </w:tc>
        <w:tc>
          <w:tcPr>
            <w:tcW w:w="840" w:type="dxa"/>
            <w:vAlign w:val="bottom"/>
            <w:tcBorders>
              <w:bottom w:val="single" w:sz="8" w:color="CCCCCC"/>
            </w:tcBorders>
            <w:shd w:val="clear" w:color="auto" w:fill="CCCCCC"/>
          </w:tcPr>
          <w:p>
            <w:pPr>
              <w:spacing w:after="0"/>
              <w:rPr>
                <w:sz w:val="10"/>
                <w:szCs w:val="10"/>
                <w:color w:val="auto"/>
              </w:rPr>
            </w:pPr>
          </w:p>
        </w:tc>
        <w:tc>
          <w:tcPr>
            <w:tcW w:w="100" w:type="dxa"/>
            <w:vAlign w:val="bottom"/>
            <w:tcBorders>
              <w:bottom w:val="single" w:sz="8" w:color="CCCCCC"/>
            </w:tcBorders>
            <w:shd w:val="clear" w:color="auto" w:fill="CCCCCC"/>
          </w:tcPr>
          <w:p>
            <w:pPr>
              <w:spacing w:after="0"/>
              <w:rPr>
                <w:sz w:val="10"/>
                <w:szCs w:val="10"/>
                <w:color w:val="auto"/>
              </w:rPr>
            </w:pPr>
          </w:p>
        </w:tc>
        <w:tc>
          <w:tcPr>
            <w:tcW w:w="620" w:type="dxa"/>
            <w:vAlign w:val="bottom"/>
            <w:tcBorders>
              <w:bottom w:val="single" w:sz="8" w:color="CCCCCC"/>
            </w:tcBorders>
            <w:vMerge w:val="continue"/>
            <w:shd w:val="clear" w:color="auto" w:fill="CCCCCC"/>
          </w:tcPr>
          <w:p>
            <w:pPr>
              <w:spacing w:after="0"/>
              <w:rPr>
                <w:sz w:val="10"/>
                <w:szCs w:val="10"/>
                <w:color w:val="auto"/>
              </w:rPr>
            </w:pPr>
          </w:p>
        </w:tc>
        <w:tc>
          <w:tcPr>
            <w:tcW w:w="280" w:type="dxa"/>
            <w:vAlign w:val="bottom"/>
            <w:tcBorders>
              <w:bottom w:val="single" w:sz="8" w:color="CCCCCC"/>
            </w:tcBorders>
            <w:vMerge w:val="continue"/>
            <w:shd w:val="clear" w:color="auto" w:fill="CCCCCC"/>
          </w:tcPr>
          <w:p>
            <w:pPr>
              <w:spacing w:after="0"/>
              <w:rPr>
                <w:sz w:val="10"/>
                <w:szCs w:val="10"/>
                <w:color w:val="auto"/>
              </w:rPr>
            </w:pPr>
          </w:p>
        </w:tc>
        <w:tc>
          <w:tcPr>
            <w:tcW w:w="880" w:type="dxa"/>
            <w:vAlign w:val="bottom"/>
            <w:tcBorders>
              <w:bottom w:val="single" w:sz="8" w:color="CCCCCC"/>
            </w:tcBorders>
            <w:vMerge w:val="continue"/>
            <w:shd w:val="clear" w:color="auto" w:fill="CCCCCC"/>
          </w:tcPr>
          <w:p>
            <w:pPr>
              <w:spacing w:after="0"/>
              <w:rPr>
                <w:sz w:val="10"/>
                <w:szCs w:val="10"/>
                <w:color w:val="auto"/>
              </w:rPr>
            </w:pPr>
          </w:p>
        </w:tc>
        <w:tc>
          <w:tcPr>
            <w:tcW w:w="980" w:type="dxa"/>
            <w:vAlign w:val="bottom"/>
            <w:tcBorders>
              <w:bottom w:val="single" w:sz="8" w:color="CCCCCC"/>
            </w:tcBorders>
            <w:vMerge w:val="continue"/>
            <w:shd w:val="clear" w:color="auto" w:fill="CCCCCC"/>
          </w:tcPr>
          <w:p>
            <w:pPr>
              <w:spacing w:after="0"/>
              <w:rPr>
                <w:sz w:val="10"/>
                <w:szCs w:val="10"/>
                <w:color w:val="auto"/>
              </w:rPr>
            </w:pPr>
          </w:p>
        </w:tc>
        <w:tc>
          <w:tcPr>
            <w:tcW w:w="980" w:type="dxa"/>
            <w:vAlign w:val="bottom"/>
            <w:tcBorders>
              <w:bottom w:val="single" w:sz="8" w:color="CCCCCC"/>
            </w:tcBorders>
            <w:vMerge w:val="continue"/>
            <w:shd w:val="clear" w:color="auto" w:fill="CCCCC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94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color w:val="auto"/>
              </w:rPr>
              <w:t>Mr. Linnen</w:t>
            </w:r>
          </w:p>
        </w:tc>
        <w:tc>
          <w:tcPr>
            <w:tcW w:w="760" w:type="dxa"/>
            <w:vAlign w:val="bottom"/>
            <w:tcBorders>
              <w:top w:val="single" w:sz="8" w:color="auto"/>
            </w:tcBorders>
          </w:tcPr>
          <w:p>
            <w:pPr>
              <w:jc w:val="center"/>
              <w:ind w:left="17"/>
              <w:spacing w:after="0" w:line="123" w:lineRule="exact"/>
              <w:rPr>
                <w:sz w:val="20"/>
                <w:szCs w:val="20"/>
                <w:color w:val="auto"/>
              </w:rPr>
            </w:pPr>
            <w:r>
              <w:rPr>
                <w:rFonts w:ascii="Arial" w:cs="Arial" w:eastAsia="Arial" w:hAnsi="Arial"/>
                <w:sz w:val="13"/>
                <w:szCs w:val="13"/>
                <w:color w:val="auto"/>
                <w:w w:val="96"/>
              </w:rPr>
              <w:t>3/15/2019</w:t>
            </w:r>
          </w:p>
        </w:tc>
        <w:tc>
          <w:tcPr>
            <w:tcW w:w="1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57"/>
              <w:spacing w:after="0" w:line="123" w:lineRule="exact"/>
              <w:rPr>
                <w:sz w:val="20"/>
                <w:szCs w:val="20"/>
                <w:color w:val="auto"/>
              </w:rPr>
            </w:pPr>
            <w:r>
              <w:rPr>
                <w:rFonts w:ascii="Arial" w:cs="Arial" w:eastAsia="Arial" w:hAnsi="Arial"/>
                <w:sz w:val="13"/>
                <w:szCs w:val="13"/>
                <w:color w:val="auto"/>
              </w:rPr>
              <w:t>11,057 (c)</w:t>
            </w: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color w:val="auto"/>
                <w:w w:val="97"/>
              </w:rPr>
              <w:t>356,478</w:t>
            </w:r>
          </w:p>
        </w:tc>
        <w:tc>
          <w:tcPr>
            <w:tcW w:w="98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color w:val="auto"/>
              </w:rPr>
              <w:t>4,739 (h)</w:t>
            </w:r>
          </w:p>
        </w:tc>
        <w:tc>
          <w:tcPr>
            <w:tcW w:w="9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152,785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7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6"/>
              </w:rPr>
              <w:t>3/15/2018</w:t>
            </w:r>
          </w:p>
        </w:tc>
        <w:tc>
          <w:tcPr>
            <w:tcW w:w="1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4,790</w:t>
            </w:r>
          </w:p>
        </w:tc>
        <w:tc>
          <w:tcPr>
            <w:tcW w:w="2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7"/>
              </w:rPr>
              <w:t>(d)</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7"/>
              </w:rPr>
              <w:t>154,430</w:t>
            </w:r>
          </w:p>
        </w:tc>
        <w:tc>
          <w:tcPr>
            <w:tcW w:w="9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3,079 (i)</w:t>
            </w:r>
          </w:p>
        </w:tc>
        <w:tc>
          <w:tcPr>
            <w:tcW w:w="10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99,267</w:t>
            </w:r>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760" w:type="dxa"/>
            <w:vAlign w:val="bottom"/>
          </w:tcPr>
          <w:p>
            <w:pPr>
              <w:jc w:val="center"/>
              <w:ind w:left="17"/>
              <w:spacing w:after="0"/>
              <w:rPr>
                <w:sz w:val="20"/>
                <w:szCs w:val="20"/>
                <w:color w:val="auto"/>
              </w:rPr>
            </w:pPr>
            <w:r>
              <w:rPr>
                <w:rFonts w:ascii="Arial" w:cs="Arial" w:eastAsia="Arial" w:hAnsi="Arial"/>
                <w:sz w:val="13"/>
                <w:szCs w:val="13"/>
                <w:color w:val="auto"/>
                <w:w w:val="94"/>
              </w:rPr>
              <w:t>3/1/2017</w:t>
            </w: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3,391</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(e)</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109,326</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4,359 (k)</w:t>
            </w:r>
          </w:p>
        </w:tc>
        <w:tc>
          <w:tcPr>
            <w:tcW w:w="980" w:type="dxa"/>
            <w:vAlign w:val="bottom"/>
          </w:tcPr>
          <w:p>
            <w:pPr>
              <w:jc w:val="right"/>
              <w:spacing w:after="0"/>
              <w:rPr>
                <w:sz w:val="20"/>
                <w:szCs w:val="20"/>
                <w:color w:val="auto"/>
              </w:rPr>
            </w:pPr>
            <w:r>
              <w:rPr>
                <w:rFonts w:ascii="Arial" w:cs="Arial" w:eastAsia="Arial" w:hAnsi="Arial"/>
                <w:sz w:val="13"/>
                <w:szCs w:val="13"/>
                <w:color w:val="auto"/>
              </w:rPr>
              <w:t>140,534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940" w:type="dxa"/>
            <w:vAlign w:val="bottom"/>
            <w:shd w:val="clear" w:color="auto" w:fill="CCCCCC"/>
          </w:tcPr>
          <w:p>
            <w:pPr>
              <w:spacing w:after="0" w:line="123" w:lineRule="exact"/>
              <w:rPr>
                <w:sz w:val="20"/>
                <w:szCs w:val="20"/>
                <w:color w:val="auto"/>
              </w:rPr>
            </w:pPr>
            <w:r>
              <w:rPr>
                <w:rFonts w:ascii="Arial" w:cs="Arial" w:eastAsia="Arial" w:hAnsi="Arial"/>
                <w:sz w:val="13"/>
                <w:szCs w:val="13"/>
                <w:color w:val="auto"/>
              </w:rPr>
              <w:t>Mr. De Shon</w:t>
            </w:r>
          </w:p>
        </w:tc>
        <w:tc>
          <w:tcPr>
            <w:tcW w:w="760" w:type="dxa"/>
            <w:vAlign w:val="bottom"/>
            <w:shd w:val="clear" w:color="auto" w:fill="CCCCCC"/>
          </w:tcPr>
          <w:p>
            <w:pPr>
              <w:jc w:val="center"/>
              <w:ind w:left="17"/>
              <w:spacing w:after="0" w:line="123" w:lineRule="exact"/>
              <w:rPr>
                <w:sz w:val="20"/>
                <w:szCs w:val="20"/>
                <w:color w:val="auto"/>
              </w:rPr>
            </w:pPr>
            <w:r>
              <w:rPr>
                <w:rFonts w:ascii="Arial" w:cs="Arial" w:eastAsia="Arial" w:hAnsi="Arial"/>
                <w:sz w:val="13"/>
                <w:szCs w:val="13"/>
                <w:color w:val="auto"/>
                <w:w w:val="96"/>
              </w:rPr>
              <w:t>3/15/2019</w:t>
            </w:r>
          </w:p>
        </w:tc>
        <w:tc>
          <w:tcPr>
            <w:tcW w:w="1220" w:type="dxa"/>
            <w:vAlign w:val="bottom"/>
            <w:shd w:val="clear" w:color="auto" w:fill="CCCCCC"/>
          </w:tcPr>
          <w:p>
            <w:pPr>
              <w:spacing w:after="0"/>
              <w:rPr>
                <w:sz w:val="10"/>
                <w:szCs w:val="10"/>
                <w:color w:val="auto"/>
              </w:rPr>
            </w:pPr>
          </w:p>
        </w:tc>
        <w:tc>
          <w:tcPr>
            <w:tcW w:w="1340" w:type="dxa"/>
            <w:vAlign w:val="bottom"/>
            <w:shd w:val="clear" w:color="auto" w:fill="CCCCCC"/>
          </w:tcPr>
          <w:p>
            <w:pPr>
              <w:spacing w:after="0"/>
              <w:rPr>
                <w:sz w:val="10"/>
                <w:szCs w:val="10"/>
                <w:color w:val="auto"/>
              </w:rPr>
            </w:pPr>
          </w:p>
        </w:tc>
        <w:tc>
          <w:tcPr>
            <w:tcW w:w="1140" w:type="dxa"/>
            <w:vAlign w:val="bottom"/>
            <w:shd w:val="clear" w:color="auto" w:fill="CCCCCC"/>
          </w:tcPr>
          <w:p>
            <w:pPr>
              <w:spacing w:after="0"/>
              <w:rPr>
                <w:sz w:val="10"/>
                <w:szCs w:val="10"/>
                <w:color w:val="auto"/>
              </w:rPr>
            </w:pPr>
          </w:p>
        </w:tc>
        <w:tc>
          <w:tcPr>
            <w:tcW w:w="800" w:type="dxa"/>
            <w:vAlign w:val="bottom"/>
            <w:shd w:val="clear" w:color="auto" w:fill="CCCCCC"/>
          </w:tcPr>
          <w:p>
            <w:pPr>
              <w:spacing w:after="0"/>
              <w:rPr>
                <w:sz w:val="10"/>
                <w:szCs w:val="10"/>
                <w:color w:val="auto"/>
              </w:rPr>
            </w:pPr>
          </w:p>
        </w:tc>
        <w:tc>
          <w:tcPr>
            <w:tcW w:w="840" w:type="dxa"/>
            <w:vAlign w:val="bottom"/>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900" w:type="dxa"/>
            <w:vAlign w:val="bottom"/>
            <w:gridSpan w:val="2"/>
            <w:shd w:val="clear" w:color="auto" w:fill="CCCCCC"/>
          </w:tcPr>
          <w:p>
            <w:pPr>
              <w:jc w:val="right"/>
              <w:ind w:right="57"/>
              <w:spacing w:after="0" w:line="123" w:lineRule="exact"/>
              <w:rPr>
                <w:sz w:val="20"/>
                <w:szCs w:val="20"/>
                <w:color w:val="auto"/>
              </w:rPr>
            </w:pPr>
            <w:r>
              <w:rPr>
                <w:rFonts w:ascii="Arial" w:cs="Arial" w:eastAsia="Arial" w:hAnsi="Arial"/>
                <w:sz w:val="13"/>
                <w:szCs w:val="13"/>
                <w:color w:val="auto"/>
              </w:rPr>
              <w:t>70,075 (c)</w:t>
            </w:r>
          </w:p>
        </w:tc>
        <w:tc>
          <w:tcPr>
            <w:tcW w:w="880" w:type="dxa"/>
            <w:vAlign w:val="bottom"/>
            <w:shd w:val="clear" w:color="auto" w:fill="CCCCCC"/>
          </w:tcPr>
          <w:p>
            <w:pPr>
              <w:jc w:val="center"/>
              <w:spacing w:after="0" w:line="123" w:lineRule="exact"/>
              <w:rPr>
                <w:sz w:val="20"/>
                <w:szCs w:val="20"/>
                <w:color w:val="auto"/>
              </w:rPr>
            </w:pPr>
            <w:r>
              <w:rPr>
                <w:rFonts w:ascii="Arial" w:cs="Arial" w:eastAsia="Arial" w:hAnsi="Arial"/>
                <w:sz w:val="13"/>
                <w:szCs w:val="13"/>
                <w:color w:val="auto"/>
                <w:w w:val="96"/>
              </w:rPr>
              <w:t>2,259,218</w:t>
            </w:r>
          </w:p>
        </w:tc>
        <w:tc>
          <w:tcPr>
            <w:tcW w:w="980" w:type="dxa"/>
            <w:vAlign w:val="bottom"/>
            <w:shd w:val="clear" w:color="auto" w:fill="CCCCCC"/>
          </w:tcPr>
          <w:p>
            <w:pPr>
              <w:spacing w:after="0"/>
              <w:rPr>
                <w:sz w:val="10"/>
                <w:szCs w:val="10"/>
                <w:color w:val="auto"/>
              </w:rPr>
            </w:pPr>
          </w:p>
        </w:tc>
        <w:tc>
          <w:tcPr>
            <w:tcW w:w="980" w:type="dxa"/>
            <w:vAlign w:val="bottom"/>
            <w:shd w:val="clear" w:color="auto" w:fill="CCCCC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CCCC"/>
          </w:tcPr>
          <w:p>
            <w:pPr>
              <w:spacing w:after="0"/>
              <w:rPr>
                <w:sz w:val="11"/>
                <w:szCs w:val="11"/>
                <w:color w:val="auto"/>
              </w:rPr>
            </w:pPr>
          </w:p>
        </w:tc>
        <w:tc>
          <w:tcPr>
            <w:tcW w:w="760" w:type="dxa"/>
            <w:vAlign w:val="bottom"/>
            <w:shd w:val="clear" w:color="auto" w:fill="CCCCCC"/>
          </w:tcPr>
          <w:p>
            <w:pPr>
              <w:jc w:val="center"/>
              <w:ind w:left="17"/>
              <w:spacing w:after="0" w:line="135" w:lineRule="exact"/>
              <w:rPr>
                <w:sz w:val="20"/>
                <w:szCs w:val="20"/>
                <w:color w:val="auto"/>
              </w:rPr>
            </w:pPr>
            <w:r>
              <w:rPr>
                <w:rFonts w:ascii="Arial" w:cs="Arial" w:eastAsia="Arial" w:hAnsi="Arial"/>
                <w:sz w:val="13"/>
                <w:szCs w:val="13"/>
                <w:color w:val="auto"/>
                <w:w w:val="96"/>
              </w:rPr>
              <w:t>3/15/2018</w:t>
            </w:r>
          </w:p>
        </w:tc>
        <w:tc>
          <w:tcPr>
            <w:tcW w:w="1220" w:type="dxa"/>
            <w:vAlign w:val="bottom"/>
            <w:shd w:val="clear" w:color="auto" w:fill="CCCCCC"/>
          </w:tcPr>
          <w:p>
            <w:pPr>
              <w:spacing w:after="0"/>
              <w:rPr>
                <w:sz w:val="11"/>
                <w:szCs w:val="11"/>
                <w:color w:val="auto"/>
              </w:rPr>
            </w:pPr>
          </w:p>
        </w:tc>
        <w:tc>
          <w:tcPr>
            <w:tcW w:w="134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800" w:type="dxa"/>
            <w:vAlign w:val="bottom"/>
            <w:shd w:val="clear" w:color="auto" w:fill="CCCCCC"/>
          </w:tcPr>
          <w:p>
            <w:pPr>
              <w:spacing w:after="0"/>
              <w:rPr>
                <w:sz w:val="11"/>
                <w:szCs w:val="11"/>
                <w:color w:val="auto"/>
              </w:rPr>
            </w:pPr>
          </w:p>
        </w:tc>
        <w:tc>
          <w:tcPr>
            <w:tcW w:w="84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62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30,104</w:t>
            </w:r>
          </w:p>
        </w:tc>
        <w:tc>
          <w:tcPr>
            <w:tcW w:w="280" w:type="dxa"/>
            <w:vAlign w:val="bottom"/>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w w:val="87"/>
              </w:rPr>
              <w:t>(d)</w:t>
            </w:r>
          </w:p>
        </w:tc>
        <w:tc>
          <w:tcPr>
            <w:tcW w:w="88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7"/>
              </w:rPr>
              <w:t>970,553</w:t>
            </w:r>
          </w:p>
        </w:tc>
        <w:tc>
          <w:tcPr>
            <w:tcW w:w="980" w:type="dxa"/>
            <w:vAlign w:val="bottom"/>
            <w:shd w:val="clear" w:color="auto" w:fill="CCCCCC"/>
          </w:tcPr>
          <w:p>
            <w:pPr>
              <w:jc w:val="right"/>
              <w:ind w:right="77"/>
              <w:spacing w:after="0" w:line="135" w:lineRule="exact"/>
              <w:rPr>
                <w:sz w:val="20"/>
                <w:szCs w:val="20"/>
                <w:color w:val="auto"/>
              </w:rPr>
            </w:pPr>
            <w:r>
              <w:rPr>
                <w:rFonts w:ascii="Arial" w:cs="Arial" w:eastAsia="Arial" w:hAnsi="Arial"/>
                <w:sz w:val="13"/>
                <w:szCs w:val="13"/>
                <w:color w:val="auto"/>
              </w:rPr>
              <w:t>67,734 (i)</w:t>
            </w:r>
          </w:p>
        </w:tc>
        <w:tc>
          <w:tcPr>
            <w:tcW w:w="9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2,183,744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940" w:type="dxa"/>
            <w:vAlign w:val="bottom"/>
            <w:tcBorders>
              <w:bottom w:val="single" w:sz="8" w:color="CCCCCC"/>
            </w:tcBorders>
            <w:shd w:val="clear" w:color="auto" w:fill="CCCCCC"/>
          </w:tcPr>
          <w:p>
            <w:pPr>
              <w:spacing w:after="0"/>
              <w:rPr>
                <w:sz w:val="15"/>
                <w:szCs w:val="15"/>
                <w:color w:val="auto"/>
              </w:rPr>
            </w:pPr>
          </w:p>
        </w:tc>
        <w:tc>
          <w:tcPr>
            <w:tcW w:w="760" w:type="dxa"/>
            <w:vAlign w:val="bottom"/>
            <w:tcBorders>
              <w:bottom w:val="single" w:sz="8" w:color="CCCCCC"/>
            </w:tcBorders>
            <w:shd w:val="clear" w:color="auto" w:fill="CCCCCC"/>
          </w:tcPr>
          <w:p>
            <w:pPr>
              <w:jc w:val="center"/>
              <w:ind w:left="17"/>
              <w:spacing w:after="0"/>
              <w:rPr>
                <w:sz w:val="20"/>
                <w:szCs w:val="20"/>
                <w:color w:val="auto"/>
              </w:rPr>
            </w:pPr>
            <w:r>
              <w:rPr>
                <w:rFonts w:ascii="Arial" w:cs="Arial" w:eastAsia="Arial" w:hAnsi="Arial"/>
                <w:sz w:val="13"/>
                <w:szCs w:val="13"/>
                <w:color w:val="auto"/>
                <w:w w:val="94"/>
              </w:rPr>
              <w:t>3/1/2017</w:t>
            </w:r>
          </w:p>
        </w:tc>
        <w:tc>
          <w:tcPr>
            <w:tcW w:w="1220" w:type="dxa"/>
            <w:vAlign w:val="bottom"/>
            <w:tcBorders>
              <w:bottom w:val="single" w:sz="8" w:color="CCCCCC"/>
            </w:tcBorders>
            <w:shd w:val="clear" w:color="auto" w:fill="CCCCCC"/>
          </w:tcPr>
          <w:p>
            <w:pPr>
              <w:spacing w:after="0"/>
              <w:rPr>
                <w:sz w:val="15"/>
                <w:szCs w:val="15"/>
                <w:color w:val="auto"/>
              </w:rPr>
            </w:pPr>
          </w:p>
        </w:tc>
        <w:tc>
          <w:tcPr>
            <w:tcW w:w="1340" w:type="dxa"/>
            <w:vAlign w:val="bottom"/>
            <w:tcBorders>
              <w:bottom w:val="single" w:sz="8" w:color="CCCCCC"/>
            </w:tcBorders>
            <w:shd w:val="clear" w:color="auto" w:fill="CCCCCC"/>
          </w:tcPr>
          <w:p>
            <w:pPr>
              <w:spacing w:after="0"/>
              <w:rPr>
                <w:sz w:val="15"/>
                <w:szCs w:val="15"/>
                <w:color w:val="auto"/>
              </w:rPr>
            </w:pPr>
          </w:p>
        </w:tc>
        <w:tc>
          <w:tcPr>
            <w:tcW w:w="1140" w:type="dxa"/>
            <w:vAlign w:val="bottom"/>
            <w:tcBorders>
              <w:bottom w:val="single" w:sz="8" w:color="CCCCCC"/>
            </w:tcBorders>
            <w:shd w:val="clear" w:color="auto" w:fill="CCCCCC"/>
          </w:tcPr>
          <w:p>
            <w:pPr>
              <w:spacing w:after="0"/>
              <w:rPr>
                <w:sz w:val="15"/>
                <w:szCs w:val="15"/>
                <w:color w:val="auto"/>
              </w:rPr>
            </w:pPr>
          </w:p>
        </w:tc>
        <w:tc>
          <w:tcPr>
            <w:tcW w:w="800" w:type="dxa"/>
            <w:vAlign w:val="bottom"/>
            <w:tcBorders>
              <w:bottom w:val="single" w:sz="8" w:color="CCCCCC"/>
            </w:tcBorders>
            <w:shd w:val="clear" w:color="auto" w:fill="CCCCCC"/>
          </w:tcPr>
          <w:p>
            <w:pPr>
              <w:spacing w:after="0"/>
              <w:rPr>
                <w:sz w:val="15"/>
                <w:szCs w:val="15"/>
                <w:color w:val="auto"/>
              </w:rPr>
            </w:pPr>
          </w:p>
        </w:tc>
        <w:tc>
          <w:tcPr>
            <w:tcW w:w="840" w:type="dxa"/>
            <w:vAlign w:val="bottom"/>
            <w:tcBorders>
              <w:bottom w:val="single" w:sz="8" w:color="CCCCCC"/>
            </w:tcBorders>
            <w:shd w:val="clear" w:color="auto" w:fill="CCCCCC"/>
          </w:tcPr>
          <w:p>
            <w:pPr>
              <w:spacing w:after="0"/>
              <w:rPr>
                <w:sz w:val="15"/>
                <w:szCs w:val="15"/>
                <w:color w:val="auto"/>
              </w:rPr>
            </w:pPr>
          </w:p>
        </w:tc>
        <w:tc>
          <w:tcPr>
            <w:tcW w:w="100" w:type="dxa"/>
            <w:vAlign w:val="bottom"/>
            <w:tcBorders>
              <w:bottom w:val="single" w:sz="8" w:color="CCCCCC"/>
            </w:tcBorders>
            <w:shd w:val="clear" w:color="auto" w:fill="CCCCCC"/>
          </w:tcPr>
          <w:p>
            <w:pPr>
              <w:spacing w:after="0"/>
              <w:rPr>
                <w:sz w:val="15"/>
                <w:szCs w:val="15"/>
                <w:color w:val="auto"/>
              </w:rPr>
            </w:pPr>
          </w:p>
        </w:tc>
        <w:tc>
          <w:tcPr>
            <w:tcW w:w="6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21,312</w:t>
            </w:r>
          </w:p>
        </w:tc>
        <w:tc>
          <w:tcPr>
            <w:tcW w:w="280" w:type="dxa"/>
            <w:vAlign w:val="bottom"/>
            <w:tcBorders>
              <w:bottom w:val="single" w:sz="8" w:color="CCCCCC"/>
            </w:tcBorders>
            <w:shd w:val="clear" w:color="auto" w:fill="CCCCCC"/>
          </w:tcPr>
          <w:p>
            <w:pPr>
              <w:jc w:val="right"/>
              <w:ind w:right="57"/>
              <w:spacing w:after="0"/>
              <w:rPr>
                <w:sz w:val="20"/>
                <w:szCs w:val="20"/>
                <w:color w:val="auto"/>
              </w:rPr>
            </w:pPr>
            <w:r>
              <w:rPr>
                <w:rFonts w:ascii="Arial" w:cs="Arial" w:eastAsia="Arial" w:hAnsi="Arial"/>
                <w:sz w:val="13"/>
                <w:szCs w:val="13"/>
                <w:color w:val="auto"/>
                <w:w w:val="87"/>
              </w:rPr>
              <w:t>(e)</w:t>
            </w:r>
          </w:p>
        </w:tc>
        <w:tc>
          <w:tcPr>
            <w:tcW w:w="8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3"/>
                <w:szCs w:val="13"/>
                <w:color w:val="auto"/>
                <w:w w:val="97"/>
              </w:rPr>
              <w:t>687,099</w:t>
            </w:r>
          </w:p>
        </w:tc>
        <w:tc>
          <w:tcPr>
            <w:tcW w:w="980" w:type="dxa"/>
            <w:vAlign w:val="bottom"/>
            <w:tcBorders>
              <w:bottom w:val="single" w:sz="8" w:color="CCCCCC"/>
            </w:tcBorders>
            <w:shd w:val="clear" w:color="auto" w:fill="CCCCCC"/>
          </w:tcPr>
          <w:p>
            <w:pPr>
              <w:jc w:val="right"/>
              <w:ind w:right="77"/>
              <w:spacing w:after="0"/>
              <w:rPr>
                <w:sz w:val="20"/>
                <w:szCs w:val="20"/>
                <w:color w:val="auto"/>
              </w:rPr>
            </w:pPr>
            <w:r>
              <w:rPr>
                <w:rFonts w:ascii="Arial" w:cs="Arial" w:eastAsia="Arial" w:hAnsi="Arial"/>
                <w:sz w:val="13"/>
                <w:szCs w:val="13"/>
                <w:color w:val="auto"/>
              </w:rPr>
              <w:t>95,902 (j)</w:t>
            </w:r>
          </w:p>
        </w:tc>
        <w:tc>
          <w:tcPr>
            <w:tcW w:w="9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3"/>
                <w:szCs w:val="13"/>
                <w:color w:val="auto"/>
              </w:rPr>
              <w:t>3,091,880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940" w:type="dxa"/>
            <w:vAlign w:val="bottom"/>
            <w:tcBorders>
              <w:top w:val="single" w:sz="8" w:color="auto"/>
            </w:tcBorders>
          </w:tcPr>
          <w:p>
            <w:pPr>
              <w:spacing w:after="0" w:line="123" w:lineRule="exact"/>
              <w:rPr>
                <w:sz w:val="20"/>
                <w:szCs w:val="20"/>
                <w:color w:val="auto"/>
              </w:rPr>
            </w:pPr>
            <w:r>
              <w:rPr>
                <w:rFonts w:ascii="Arial" w:cs="Arial" w:eastAsia="Arial" w:hAnsi="Arial"/>
                <w:sz w:val="13"/>
                <w:szCs w:val="13"/>
                <w:color w:val="auto"/>
              </w:rPr>
              <w:t>Mr. Servodidio</w:t>
            </w:r>
          </w:p>
        </w:tc>
        <w:tc>
          <w:tcPr>
            <w:tcW w:w="760" w:type="dxa"/>
            <w:vAlign w:val="bottom"/>
            <w:tcBorders>
              <w:top w:val="single" w:sz="8" w:color="auto"/>
            </w:tcBorders>
          </w:tcPr>
          <w:p>
            <w:pPr>
              <w:jc w:val="center"/>
              <w:ind w:left="17"/>
              <w:spacing w:after="0" w:line="123" w:lineRule="exact"/>
              <w:rPr>
                <w:sz w:val="20"/>
                <w:szCs w:val="20"/>
                <w:color w:val="auto"/>
              </w:rPr>
            </w:pPr>
            <w:r>
              <w:rPr>
                <w:rFonts w:ascii="Arial" w:cs="Arial" w:eastAsia="Arial" w:hAnsi="Arial"/>
                <w:sz w:val="13"/>
                <w:szCs w:val="13"/>
                <w:color w:val="auto"/>
                <w:w w:val="96"/>
              </w:rPr>
              <w:t>3/15/2018</w:t>
            </w:r>
          </w:p>
        </w:tc>
        <w:tc>
          <w:tcPr>
            <w:tcW w:w="1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color w:val="auto"/>
              </w:rPr>
              <w:t>12,315 (i)</w:t>
            </w:r>
          </w:p>
        </w:tc>
        <w:tc>
          <w:tcPr>
            <w:tcW w:w="9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397,036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760" w:type="dxa"/>
            <w:vAlign w:val="bottom"/>
          </w:tcPr>
          <w:p>
            <w:pPr>
              <w:jc w:val="center"/>
              <w:ind w:left="17"/>
              <w:spacing w:after="0"/>
              <w:rPr>
                <w:sz w:val="20"/>
                <w:szCs w:val="20"/>
                <w:color w:val="auto"/>
              </w:rPr>
            </w:pPr>
            <w:r>
              <w:rPr>
                <w:rFonts w:ascii="Arial" w:cs="Arial" w:eastAsia="Arial" w:hAnsi="Arial"/>
                <w:sz w:val="13"/>
                <w:szCs w:val="13"/>
                <w:color w:val="auto"/>
                <w:w w:val="94"/>
              </w:rPr>
              <w:t>3/1/2017</w:t>
            </w:r>
          </w:p>
        </w:tc>
        <w:tc>
          <w:tcPr>
            <w:tcW w:w="1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17,437 (j)</w:t>
            </w:r>
          </w:p>
        </w:tc>
        <w:tc>
          <w:tcPr>
            <w:tcW w:w="980" w:type="dxa"/>
            <w:vAlign w:val="bottom"/>
          </w:tcPr>
          <w:p>
            <w:pPr>
              <w:jc w:val="right"/>
              <w:spacing w:after="0"/>
              <w:rPr>
                <w:sz w:val="20"/>
                <w:szCs w:val="20"/>
                <w:color w:val="auto"/>
              </w:rPr>
            </w:pPr>
            <w:r>
              <w:rPr>
                <w:rFonts w:ascii="Arial" w:cs="Arial" w:eastAsia="Arial" w:hAnsi="Arial"/>
                <w:sz w:val="13"/>
                <w:szCs w:val="13"/>
                <w:color w:val="auto"/>
              </w:rPr>
              <w:t>562,169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9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49" w:lineRule="auto"/>
        <w:tabs>
          <w:tab w:leader="none" w:pos="37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Stock awards include RSUs and PSUs. Values are based on the closing price of our Common Stock on December 31, 2019 of $32.24. Notes (b)-(m) are set forth below: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1120" w:type="dxa"/>
            <w:vAlign w:val="bottom"/>
          </w:tcPr>
          <w:p>
            <w:pPr>
              <w:ind w:left="300"/>
              <w:spacing w:after="0"/>
              <w:rPr>
                <w:sz w:val="20"/>
                <w:szCs w:val="20"/>
                <w:color w:val="auto"/>
              </w:rPr>
            </w:pPr>
            <w:r>
              <w:rPr>
                <w:rFonts w:ascii="Arial" w:cs="Arial" w:eastAsia="Arial" w:hAnsi="Arial"/>
                <w:sz w:val="14"/>
                <w:szCs w:val="14"/>
                <w:b w:val="1"/>
                <w:bCs w:val="1"/>
                <w:color w:val="auto"/>
              </w:rPr>
              <w:t>Award</w:t>
            </w:r>
          </w:p>
        </w:tc>
        <w:tc>
          <w:tcPr>
            <w:tcW w:w="9240" w:type="dxa"/>
            <w:vAlign w:val="bottom"/>
          </w:tcPr>
          <w:p>
            <w:pPr>
              <w:ind w:left="400"/>
              <w:spacing w:after="0"/>
              <w:rPr>
                <w:sz w:val="20"/>
                <w:szCs w:val="20"/>
                <w:color w:val="auto"/>
              </w:rPr>
            </w:pPr>
            <w:r>
              <w:rPr>
                <w:rFonts w:ascii="Arial" w:cs="Arial" w:eastAsia="Arial" w:hAnsi="Arial"/>
                <w:sz w:val="14"/>
                <w:szCs w:val="14"/>
                <w:b w:val="1"/>
                <w:bCs w:val="1"/>
                <w:color w:val="auto"/>
              </w:rPr>
              <w:t>Scheduled Vesting</w:t>
            </w:r>
          </w:p>
        </w:tc>
      </w:tr>
      <w:tr>
        <w:trPr>
          <w:trHeight w:val="192"/>
        </w:trPr>
        <w:tc>
          <w:tcPr>
            <w:tcW w:w="520" w:type="dxa"/>
            <w:vAlign w:val="bottom"/>
          </w:tcPr>
          <w:p>
            <w:pPr>
              <w:spacing w:after="0"/>
              <w:rPr>
                <w:sz w:val="20"/>
                <w:szCs w:val="20"/>
                <w:color w:val="auto"/>
              </w:rPr>
            </w:pPr>
            <w:r>
              <w:rPr>
                <w:rFonts w:ascii="Arial" w:cs="Arial" w:eastAsia="Arial" w:hAnsi="Arial"/>
                <w:sz w:val="14"/>
                <w:szCs w:val="14"/>
                <w:color w:val="auto"/>
              </w:rPr>
              <w:t>(b)</w:t>
            </w:r>
          </w:p>
        </w:tc>
        <w:tc>
          <w:tcPr>
            <w:tcW w:w="1120" w:type="dxa"/>
            <w:vAlign w:val="bottom"/>
          </w:tcPr>
          <w:p>
            <w:pPr>
              <w:ind w:left="300"/>
              <w:spacing w:after="0"/>
              <w:rPr>
                <w:sz w:val="20"/>
                <w:szCs w:val="20"/>
                <w:color w:val="auto"/>
              </w:rPr>
            </w:pPr>
            <w:r>
              <w:rPr>
                <w:rFonts w:ascii="Arial" w:cs="Arial" w:eastAsia="Arial" w:hAnsi="Arial"/>
                <w:sz w:val="14"/>
                <w:szCs w:val="14"/>
                <w:color w:val="auto"/>
              </w:rPr>
              <w:t>RSUs</w:t>
            </w:r>
          </w:p>
        </w:tc>
        <w:tc>
          <w:tcPr>
            <w:tcW w:w="9240" w:type="dxa"/>
            <w:vAlign w:val="bottom"/>
          </w:tcPr>
          <w:p>
            <w:pPr>
              <w:ind w:left="400"/>
              <w:spacing w:after="0"/>
              <w:rPr>
                <w:sz w:val="20"/>
                <w:szCs w:val="20"/>
                <w:color w:val="auto"/>
              </w:rPr>
            </w:pPr>
            <w:r>
              <w:rPr>
                <w:rFonts w:ascii="Arial" w:cs="Arial" w:eastAsia="Arial" w:hAnsi="Arial"/>
                <w:sz w:val="14"/>
                <w:szCs w:val="14"/>
                <w:color w:val="auto"/>
              </w:rPr>
              <w:t>August 7, 2021. For Mr. Rankin, 16,021 units will vest on August 7, 2021 and 24,031 units will vest in three equal installments on August 7,</w:t>
            </w:r>
          </w:p>
        </w:tc>
      </w:tr>
      <w:tr>
        <w:trPr>
          <w:trHeight w:val="172"/>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40" w:type="dxa"/>
            <w:vAlign w:val="bottom"/>
          </w:tcPr>
          <w:p>
            <w:pPr>
              <w:ind w:left="400"/>
              <w:spacing w:after="0"/>
              <w:rPr>
                <w:sz w:val="20"/>
                <w:szCs w:val="20"/>
                <w:color w:val="auto"/>
              </w:rPr>
            </w:pPr>
            <w:r>
              <w:rPr>
                <w:rFonts w:ascii="Arial" w:cs="Arial" w:eastAsia="Arial" w:hAnsi="Arial"/>
                <w:sz w:val="14"/>
                <w:szCs w:val="14"/>
                <w:color w:val="auto"/>
              </w:rPr>
              <w:t>2020, 2021 and 2022.</w:t>
            </w:r>
          </w:p>
        </w:tc>
      </w:tr>
      <w:tr>
        <w:trPr>
          <w:trHeight w:val="203"/>
        </w:trPr>
        <w:tc>
          <w:tcPr>
            <w:tcW w:w="520" w:type="dxa"/>
            <w:vAlign w:val="bottom"/>
          </w:tcPr>
          <w:p>
            <w:pPr>
              <w:spacing w:after="0"/>
              <w:rPr>
                <w:sz w:val="20"/>
                <w:szCs w:val="20"/>
                <w:color w:val="auto"/>
              </w:rPr>
            </w:pPr>
            <w:r>
              <w:rPr>
                <w:rFonts w:ascii="Arial" w:cs="Arial" w:eastAsia="Arial" w:hAnsi="Arial"/>
                <w:sz w:val="14"/>
                <w:szCs w:val="14"/>
                <w:color w:val="auto"/>
              </w:rPr>
              <w:t>(c)</w:t>
            </w:r>
          </w:p>
        </w:tc>
        <w:tc>
          <w:tcPr>
            <w:tcW w:w="1120" w:type="dxa"/>
            <w:vAlign w:val="bottom"/>
          </w:tcPr>
          <w:p>
            <w:pPr>
              <w:ind w:left="300"/>
              <w:spacing w:after="0"/>
              <w:rPr>
                <w:sz w:val="20"/>
                <w:szCs w:val="20"/>
                <w:color w:val="auto"/>
              </w:rPr>
            </w:pPr>
            <w:r>
              <w:rPr>
                <w:rFonts w:ascii="Arial" w:cs="Arial" w:eastAsia="Arial" w:hAnsi="Arial"/>
                <w:sz w:val="14"/>
                <w:szCs w:val="14"/>
                <w:color w:val="auto"/>
              </w:rPr>
              <w:t>RSUs</w:t>
            </w:r>
          </w:p>
        </w:tc>
        <w:tc>
          <w:tcPr>
            <w:tcW w:w="9240" w:type="dxa"/>
            <w:vAlign w:val="bottom"/>
          </w:tcPr>
          <w:p>
            <w:pPr>
              <w:ind w:left="400"/>
              <w:spacing w:after="0"/>
              <w:rPr>
                <w:sz w:val="20"/>
                <w:szCs w:val="20"/>
                <w:color w:val="auto"/>
              </w:rPr>
            </w:pPr>
            <w:r>
              <w:rPr>
                <w:rFonts w:ascii="Arial" w:cs="Arial" w:eastAsia="Arial" w:hAnsi="Arial"/>
                <w:sz w:val="14"/>
                <w:szCs w:val="14"/>
                <w:color w:val="auto"/>
              </w:rPr>
              <w:t>Three equal installments on March 15, 2020, 2021 and 2022. For Mr. De Shon, the units were accelerated in January 2020.</w:t>
            </w:r>
          </w:p>
        </w:tc>
      </w:tr>
      <w:tr>
        <w:trPr>
          <w:trHeight w:val="284"/>
        </w:trPr>
        <w:tc>
          <w:tcPr>
            <w:tcW w:w="520" w:type="dxa"/>
            <w:vAlign w:val="bottom"/>
          </w:tcPr>
          <w:p>
            <w:pPr>
              <w:spacing w:after="0"/>
              <w:rPr>
                <w:sz w:val="20"/>
                <w:szCs w:val="20"/>
                <w:color w:val="auto"/>
              </w:rPr>
            </w:pPr>
            <w:r>
              <w:rPr>
                <w:rFonts w:ascii="Arial" w:cs="Arial" w:eastAsia="Arial" w:hAnsi="Arial"/>
                <w:sz w:val="14"/>
                <w:szCs w:val="14"/>
                <w:color w:val="auto"/>
              </w:rPr>
              <w:t>(d)</w:t>
            </w:r>
          </w:p>
        </w:tc>
        <w:tc>
          <w:tcPr>
            <w:tcW w:w="1120" w:type="dxa"/>
            <w:vAlign w:val="bottom"/>
          </w:tcPr>
          <w:p>
            <w:pPr>
              <w:ind w:left="300"/>
              <w:spacing w:after="0"/>
              <w:rPr>
                <w:sz w:val="20"/>
                <w:szCs w:val="20"/>
                <w:color w:val="auto"/>
              </w:rPr>
            </w:pPr>
            <w:r>
              <w:rPr>
                <w:rFonts w:ascii="Arial" w:cs="Arial" w:eastAsia="Arial" w:hAnsi="Arial"/>
                <w:sz w:val="14"/>
                <w:szCs w:val="14"/>
                <w:color w:val="auto"/>
              </w:rPr>
              <w:t>RSUs</w:t>
            </w:r>
          </w:p>
        </w:tc>
        <w:tc>
          <w:tcPr>
            <w:tcW w:w="9240" w:type="dxa"/>
            <w:vAlign w:val="bottom"/>
          </w:tcPr>
          <w:p>
            <w:pPr>
              <w:ind w:left="400"/>
              <w:spacing w:after="0"/>
              <w:rPr>
                <w:sz w:val="20"/>
                <w:szCs w:val="20"/>
                <w:color w:val="auto"/>
              </w:rPr>
            </w:pPr>
            <w:r>
              <w:rPr>
                <w:rFonts w:ascii="Arial" w:cs="Arial" w:eastAsia="Arial" w:hAnsi="Arial"/>
                <w:sz w:val="14"/>
                <w:szCs w:val="14"/>
                <w:color w:val="auto"/>
              </w:rPr>
              <w:t>Two equal installments on March 15, 2020 and 2021. For Mr. De Shon, units were accelerated in January 2020.</w:t>
            </w:r>
          </w:p>
        </w:tc>
      </w:tr>
      <w:tr>
        <w:trPr>
          <w:trHeight w:val="283"/>
        </w:trPr>
        <w:tc>
          <w:tcPr>
            <w:tcW w:w="520" w:type="dxa"/>
            <w:vAlign w:val="bottom"/>
          </w:tcPr>
          <w:p>
            <w:pPr>
              <w:spacing w:after="0"/>
              <w:rPr>
                <w:sz w:val="20"/>
                <w:szCs w:val="20"/>
                <w:color w:val="auto"/>
              </w:rPr>
            </w:pPr>
            <w:r>
              <w:rPr>
                <w:rFonts w:ascii="Arial" w:cs="Arial" w:eastAsia="Arial" w:hAnsi="Arial"/>
                <w:sz w:val="14"/>
                <w:szCs w:val="14"/>
                <w:color w:val="auto"/>
              </w:rPr>
              <w:t>(e)</w:t>
            </w:r>
          </w:p>
        </w:tc>
        <w:tc>
          <w:tcPr>
            <w:tcW w:w="1120" w:type="dxa"/>
            <w:vAlign w:val="bottom"/>
          </w:tcPr>
          <w:p>
            <w:pPr>
              <w:ind w:left="300"/>
              <w:spacing w:after="0"/>
              <w:rPr>
                <w:sz w:val="20"/>
                <w:szCs w:val="20"/>
                <w:color w:val="auto"/>
              </w:rPr>
            </w:pPr>
            <w:r>
              <w:rPr>
                <w:rFonts w:ascii="Arial" w:cs="Arial" w:eastAsia="Arial" w:hAnsi="Arial"/>
                <w:sz w:val="14"/>
                <w:szCs w:val="14"/>
                <w:color w:val="auto"/>
              </w:rPr>
              <w:t>RSUs</w:t>
            </w:r>
          </w:p>
        </w:tc>
        <w:tc>
          <w:tcPr>
            <w:tcW w:w="9240" w:type="dxa"/>
            <w:vAlign w:val="bottom"/>
          </w:tcPr>
          <w:p>
            <w:pPr>
              <w:ind w:left="400"/>
              <w:spacing w:after="0"/>
              <w:rPr>
                <w:sz w:val="20"/>
                <w:szCs w:val="20"/>
                <w:color w:val="auto"/>
              </w:rPr>
            </w:pPr>
            <w:r>
              <w:rPr>
                <w:rFonts w:ascii="Arial" w:cs="Arial" w:eastAsia="Arial" w:hAnsi="Arial"/>
                <w:sz w:val="14"/>
                <w:szCs w:val="14"/>
                <w:color w:val="auto"/>
              </w:rPr>
              <w:t>March 1, 2020.</w:t>
            </w:r>
          </w:p>
        </w:tc>
      </w:tr>
      <w:tr>
        <w:trPr>
          <w:trHeight w:val="283"/>
        </w:trPr>
        <w:tc>
          <w:tcPr>
            <w:tcW w:w="520" w:type="dxa"/>
            <w:vAlign w:val="bottom"/>
          </w:tcPr>
          <w:p>
            <w:pPr>
              <w:spacing w:after="0"/>
              <w:rPr>
                <w:sz w:val="20"/>
                <w:szCs w:val="20"/>
                <w:color w:val="auto"/>
              </w:rPr>
            </w:pPr>
            <w:r>
              <w:rPr>
                <w:rFonts w:ascii="Arial" w:cs="Arial" w:eastAsia="Arial" w:hAnsi="Arial"/>
                <w:sz w:val="14"/>
                <w:szCs w:val="14"/>
                <w:color w:val="auto"/>
              </w:rPr>
              <w:t>(f)</w:t>
            </w:r>
          </w:p>
        </w:tc>
        <w:tc>
          <w:tcPr>
            <w:tcW w:w="1120" w:type="dxa"/>
            <w:vAlign w:val="bottom"/>
          </w:tcPr>
          <w:p>
            <w:pPr>
              <w:ind w:left="300"/>
              <w:spacing w:after="0"/>
              <w:rPr>
                <w:sz w:val="20"/>
                <w:szCs w:val="20"/>
                <w:color w:val="auto"/>
              </w:rPr>
            </w:pPr>
            <w:r>
              <w:rPr>
                <w:rFonts w:ascii="Arial" w:cs="Arial" w:eastAsia="Arial" w:hAnsi="Arial"/>
                <w:sz w:val="14"/>
                <w:szCs w:val="14"/>
                <w:color w:val="auto"/>
              </w:rPr>
              <w:t>RSUs</w:t>
            </w:r>
          </w:p>
        </w:tc>
        <w:tc>
          <w:tcPr>
            <w:tcW w:w="9240" w:type="dxa"/>
            <w:vAlign w:val="bottom"/>
          </w:tcPr>
          <w:p>
            <w:pPr>
              <w:ind w:left="400"/>
              <w:spacing w:after="0"/>
              <w:rPr>
                <w:sz w:val="20"/>
                <w:szCs w:val="20"/>
                <w:color w:val="auto"/>
              </w:rPr>
            </w:pPr>
            <w:r>
              <w:rPr>
                <w:rFonts w:ascii="Arial" w:cs="Arial" w:eastAsia="Arial" w:hAnsi="Arial"/>
                <w:sz w:val="14"/>
                <w:szCs w:val="14"/>
                <w:color w:val="auto"/>
              </w:rPr>
              <w:t>Three equal installments on April 17, 2020, 2021 and 2022.</w:t>
            </w:r>
          </w:p>
        </w:tc>
      </w:tr>
      <w:tr>
        <w:trPr>
          <w:trHeight w:val="284"/>
        </w:trPr>
        <w:tc>
          <w:tcPr>
            <w:tcW w:w="520" w:type="dxa"/>
            <w:vAlign w:val="bottom"/>
          </w:tcPr>
          <w:p>
            <w:pPr>
              <w:spacing w:after="0"/>
              <w:rPr>
                <w:sz w:val="20"/>
                <w:szCs w:val="20"/>
                <w:color w:val="auto"/>
              </w:rPr>
            </w:pPr>
            <w:r>
              <w:rPr>
                <w:rFonts w:ascii="Arial" w:cs="Arial" w:eastAsia="Arial" w:hAnsi="Arial"/>
                <w:sz w:val="14"/>
                <w:szCs w:val="14"/>
                <w:color w:val="auto"/>
              </w:rPr>
              <w:t>(g)</w:t>
            </w:r>
          </w:p>
        </w:tc>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Arial" w:cs="Arial" w:eastAsia="Arial" w:hAnsi="Arial"/>
                <w:sz w:val="14"/>
                <w:szCs w:val="14"/>
                <w:color w:val="auto"/>
              </w:rPr>
              <w:t>Intentionally left blank</w:t>
            </w:r>
          </w:p>
        </w:tc>
      </w:tr>
      <w:tr>
        <w:trPr>
          <w:trHeight w:val="283"/>
        </w:trPr>
        <w:tc>
          <w:tcPr>
            <w:tcW w:w="520" w:type="dxa"/>
            <w:vAlign w:val="bottom"/>
          </w:tcPr>
          <w:p>
            <w:pPr>
              <w:spacing w:after="0"/>
              <w:rPr>
                <w:sz w:val="20"/>
                <w:szCs w:val="20"/>
                <w:color w:val="auto"/>
              </w:rPr>
            </w:pPr>
            <w:r>
              <w:rPr>
                <w:rFonts w:ascii="Arial" w:cs="Arial" w:eastAsia="Arial" w:hAnsi="Arial"/>
                <w:sz w:val="14"/>
                <w:szCs w:val="14"/>
                <w:color w:val="auto"/>
              </w:rPr>
              <w:t>(h)</w:t>
            </w:r>
          </w:p>
        </w:tc>
        <w:tc>
          <w:tcPr>
            <w:tcW w:w="1120" w:type="dxa"/>
            <w:vAlign w:val="bottom"/>
          </w:tcPr>
          <w:p>
            <w:pPr>
              <w:ind w:left="300"/>
              <w:spacing w:after="0"/>
              <w:rPr>
                <w:sz w:val="20"/>
                <w:szCs w:val="20"/>
                <w:color w:val="auto"/>
              </w:rPr>
            </w:pPr>
            <w:r>
              <w:rPr>
                <w:rFonts w:ascii="Arial" w:cs="Arial" w:eastAsia="Arial" w:hAnsi="Arial"/>
                <w:sz w:val="14"/>
                <w:szCs w:val="14"/>
                <w:color w:val="auto"/>
              </w:rPr>
              <w:t>PSUs</w:t>
            </w:r>
          </w:p>
        </w:tc>
        <w:tc>
          <w:tcPr>
            <w:tcW w:w="9240" w:type="dxa"/>
            <w:vAlign w:val="bottom"/>
          </w:tcPr>
          <w:p>
            <w:pPr>
              <w:ind w:left="400"/>
              <w:spacing w:after="0"/>
              <w:rPr>
                <w:sz w:val="20"/>
                <w:szCs w:val="20"/>
                <w:color w:val="auto"/>
              </w:rPr>
            </w:pPr>
            <w:r>
              <w:rPr>
                <w:rFonts w:ascii="Arial" w:cs="Arial" w:eastAsia="Arial" w:hAnsi="Arial"/>
                <w:sz w:val="14"/>
                <w:szCs w:val="14"/>
                <w:color w:val="auto"/>
              </w:rPr>
              <w:t>March 15, 2022 based on three-year cumulative Adjusted EBITDA performance.</w:t>
            </w:r>
          </w:p>
        </w:tc>
      </w:tr>
      <w:tr>
        <w:trPr>
          <w:trHeight w:val="283"/>
        </w:trPr>
        <w:tc>
          <w:tcPr>
            <w:tcW w:w="520" w:type="dxa"/>
            <w:vAlign w:val="bottom"/>
          </w:tcPr>
          <w:p>
            <w:pPr>
              <w:spacing w:after="0"/>
              <w:rPr>
                <w:sz w:val="20"/>
                <w:szCs w:val="20"/>
                <w:color w:val="auto"/>
              </w:rPr>
            </w:pPr>
            <w:r>
              <w:rPr>
                <w:rFonts w:ascii="Arial" w:cs="Arial" w:eastAsia="Arial" w:hAnsi="Arial"/>
                <w:sz w:val="14"/>
                <w:szCs w:val="14"/>
                <w:color w:val="auto"/>
              </w:rPr>
              <w:t>(i)</w:t>
            </w:r>
          </w:p>
        </w:tc>
        <w:tc>
          <w:tcPr>
            <w:tcW w:w="1120" w:type="dxa"/>
            <w:vAlign w:val="bottom"/>
          </w:tcPr>
          <w:p>
            <w:pPr>
              <w:ind w:left="300"/>
              <w:spacing w:after="0"/>
              <w:rPr>
                <w:sz w:val="20"/>
                <w:szCs w:val="20"/>
                <w:color w:val="auto"/>
              </w:rPr>
            </w:pPr>
            <w:r>
              <w:rPr>
                <w:rFonts w:ascii="Arial" w:cs="Arial" w:eastAsia="Arial" w:hAnsi="Arial"/>
                <w:sz w:val="14"/>
                <w:szCs w:val="14"/>
                <w:color w:val="auto"/>
              </w:rPr>
              <w:t>PSUs</w:t>
            </w:r>
          </w:p>
        </w:tc>
        <w:tc>
          <w:tcPr>
            <w:tcW w:w="9240" w:type="dxa"/>
            <w:vAlign w:val="bottom"/>
          </w:tcPr>
          <w:p>
            <w:pPr>
              <w:ind w:left="400"/>
              <w:spacing w:after="0"/>
              <w:rPr>
                <w:sz w:val="20"/>
                <w:szCs w:val="20"/>
                <w:color w:val="auto"/>
              </w:rPr>
            </w:pPr>
            <w:r>
              <w:rPr>
                <w:rFonts w:ascii="Arial" w:cs="Arial" w:eastAsia="Arial" w:hAnsi="Arial"/>
                <w:sz w:val="14"/>
                <w:szCs w:val="14"/>
                <w:color w:val="auto"/>
              </w:rPr>
              <w:t>March 15, 2021 based on three-year cumulative Adjusted EBITDA performance.</w:t>
            </w:r>
          </w:p>
        </w:tc>
      </w:tr>
      <w:tr>
        <w:trPr>
          <w:trHeight w:val="273"/>
        </w:trPr>
        <w:tc>
          <w:tcPr>
            <w:tcW w:w="520" w:type="dxa"/>
            <w:vAlign w:val="bottom"/>
          </w:tcPr>
          <w:p>
            <w:pPr>
              <w:spacing w:after="0"/>
              <w:rPr>
                <w:sz w:val="20"/>
                <w:szCs w:val="20"/>
                <w:color w:val="auto"/>
              </w:rPr>
            </w:pPr>
            <w:r>
              <w:rPr>
                <w:rFonts w:ascii="Arial" w:cs="Arial" w:eastAsia="Arial" w:hAnsi="Arial"/>
                <w:sz w:val="14"/>
                <w:szCs w:val="14"/>
                <w:color w:val="auto"/>
              </w:rPr>
              <w:t>(j)</w:t>
            </w:r>
          </w:p>
        </w:tc>
        <w:tc>
          <w:tcPr>
            <w:tcW w:w="1120" w:type="dxa"/>
            <w:vAlign w:val="bottom"/>
          </w:tcPr>
          <w:p>
            <w:pPr>
              <w:ind w:left="300"/>
              <w:spacing w:after="0"/>
              <w:rPr>
                <w:sz w:val="20"/>
                <w:szCs w:val="20"/>
                <w:color w:val="auto"/>
              </w:rPr>
            </w:pPr>
            <w:r>
              <w:rPr>
                <w:rFonts w:ascii="Arial" w:cs="Arial" w:eastAsia="Arial" w:hAnsi="Arial"/>
                <w:sz w:val="14"/>
                <w:szCs w:val="14"/>
                <w:color w:val="auto"/>
              </w:rPr>
              <w:t>PSUs</w:t>
            </w:r>
          </w:p>
        </w:tc>
        <w:tc>
          <w:tcPr>
            <w:tcW w:w="9240" w:type="dxa"/>
            <w:vAlign w:val="bottom"/>
          </w:tcPr>
          <w:p>
            <w:pPr>
              <w:ind w:left="400"/>
              <w:spacing w:after="0"/>
              <w:rPr>
                <w:sz w:val="20"/>
                <w:szCs w:val="20"/>
                <w:color w:val="auto"/>
              </w:rPr>
            </w:pPr>
            <w:r>
              <w:rPr>
                <w:rFonts w:ascii="Arial" w:cs="Arial" w:eastAsia="Arial" w:hAnsi="Arial"/>
                <w:sz w:val="14"/>
                <w:szCs w:val="14"/>
                <w:color w:val="auto"/>
              </w:rPr>
              <w:t>March 1, 2020 based on Adjusted EBITDA Margin performance during the three-year performance period. These awards were forfeited as</w:t>
            </w:r>
          </w:p>
        </w:tc>
      </w:tr>
      <w:tr>
        <w:trPr>
          <w:trHeight w:val="172"/>
        </w:trPr>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40" w:type="dxa"/>
            <w:vAlign w:val="bottom"/>
          </w:tcPr>
          <w:p>
            <w:pPr>
              <w:ind w:left="400"/>
              <w:spacing w:after="0"/>
              <w:rPr>
                <w:sz w:val="20"/>
                <w:szCs w:val="20"/>
                <w:color w:val="auto"/>
              </w:rPr>
            </w:pPr>
            <w:r>
              <w:rPr>
                <w:rFonts w:ascii="Arial" w:cs="Arial" w:eastAsia="Arial" w:hAnsi="Arial"/>
                <w:sz w:val="14"/>
                <w:szCs w:val="14"/>
                <w:color w:val="auto"/>
              </w:rPr>
              <w:t>performance goals were not met.</w:t>
            </w:r>
          </w:p>
        </w:tc>
      </w:tr>
      <w:tr>
        <w:trPr>
          <w:trHeight w:val="203"/>
        </w:trPr>
        <w:tc>
          <w:tcPr>
            <w:tcW w:w="520" w:type="dxa"/>
            <w:vAlign w:val="bottom"/>
          </w:tcPr>
          <w:p>
            <w:pPr>
              <w:spacing w:after="0"/>
              <w:rPr>
                <w:sz w:val="20"/>
                <w:szCs w:val="20"/>
                <w:color w:val="auto"/>
              </w:rPr>
            </w:pPr>
            <w:r>
              <w:rPr>
                <w:rFonts w:ascii="Arial" w:cs="Arial" w:eastAsia="Arial" w:hAnsi="Arial"/>
                <w:sz w:val="14"/>
                <w:szCs w:val="14"/>
                <w:color w:val="auto"/>
              </w:rPr>
              <w:t>(k)</w:t>
            </w:r>
          </w:p>
        </w:tc>
        <w:tc>
          <w:tcPr>
            <w:tcW w:w="1120" w:type="dxa"/>
            <w:vAlign w:val="bottom"/>
          </w:tcPr>
          <w:p>
            <w:pPr>
              <w:ind w:left="300"/>
              <w:spacing w:after="0"/>
              <w:rPr>
                <w:sz w:val="20"/>
                <w:szCs w:val="20"/>
                <w:color w:val="auto"/>
              </w:rPr>
            </w:pPr>
            <w:r>
              <w:rPr>
                <w:rFonts w:ascii="Arial" w:cs="Arial" w:eastAsia="Arial" w:hAnsi="Arial"/>
                <w:sz w:val="14"/>
                <w:szCs w:val="14"/>
                <w:color w:val="auto"/>
              </w:rPr>
              <w:t>PSUs</w:t>
            </w:r>
          </w:p>
        </w:tc>
        <w:tc>
          <w:tcPr>
            <w:tcW w:w="9240" w:type="dxa"/>
            <w:vAlign w:val="bottom"/>
          </w:tcPr>
          <w:p>
            <w:pPr>
              <w:ind w:left="400"/>
              <w:spacing w:after="0"/>
              <w:rPr>
                <w:sz w:val="20"/>
                <w:szCs w:val="20"/>
                <w:color w:val="auto"/>
              </w:rPr>
            </w:pPr>
            <w:r>
              <w:rPr>
                <w:rFonts w:ascii="Arial" w:cs="Arial" w:eastAsia="Arial" w:hAnsi="Arial"/>
                <w:sz w:val="14"/>
                <w:szCs w:val="14"/>
                <w:color w:val="auto"/>
              </w:rPr>
              <w:t>March 1, 2020 based on three-year cumulative Adjusted EBITDA performance.</w:t>
            </w:r>
          </w:p>
        </w:tc>
      </w:tr>
      <w:tr>
        <w:trPr>
          <w:trHeight w:val="284"/>
        </w:trPr>
        <w:tc>
          <w:tcPr>
            <w:tcW w:w="520" w:type="dxa"/>
            <w:vAlign w:val="bottom"/>
          </w:tcPr>
          <w:p>
            <w:pPr>
              <w:spacing w:after="0"/>
              <w:rPr>
                <w:sz w:val="20"/>
                <w:szCs w:val="20"/>
                <w:color w:val="auto"/>
              </w:rPr>
            </w:pPr>
            <w:r>
              <w:rPr>
                <w:rFonts w:ascii="Arial" w:cs="Arial" w:eastAsia="Arial" w:hAnsi="Arial"/>
                <w:sz w:val="14"/>
                <w:szCs w:val="14"/>
                <w:color w:val="auto"/>
              </w:rPr>
              <w:t>(l)</w:t>
            </w:r>
          </w:p>
        </w:tc>
        <w:tc>
          <w:tcPr>
            <w:tcW w:w="1120" w:type="dxa"/>
            <w:vAlign w:val="bottom"/>
          </w:tcPr>
          <w:p>
            <w:pPr>
              <w:ind w:left="300"/>
              <w:spacing w:after="0"/>
              <w:rPr>
                <w:sz w:val="20"/>
                <w:szCs w:val="20"/>
                <w:color w:val="auto"/>
              </w:rPr>
            </w:pPr>
            <w:r>
              <w:rPr>
                <w:rFonts w:ascii="Arial" w:cs="Arial" w:eastAsia="Arial" w:hAnsi="Arial"/>
                <w:sz w:val="14"/>
                <w:szCs w:val="14"/>
                <w:color w:val="auto"/>
              </w:rPr>
              <w:t>PSUs</w:t>
            </w:r>
          </w:p>
        </w:tc>
        <w:tc>
          <w:tcPr>
            <w:tcW w:w="9240" w:type="dxa"/>
            <w:vAlign w:val="bottom"/>
          </w:tcPr>
          <w:p>
            <w:pPr>
              <w:ind w:left="400"/>
              <w:spacing w:after="0"/>
              <w:rPr>
                <w:sz w:val="20"/>
                <w:szCs w:val="20"/>
                <w:color w:val="auto"/>
              </w:rPr>
            </w:pPr>
            <w:r>
              <w:rPr>
                <w:rFonts w:ascii="Arial" w:cs="Arial" w:eastAsia="Arial" w:hAnsi="Arial"/>
                <w:sz w:val="14"/>
                <w:szCs w:val="14"/>
                <w:color w:val="auto"/>
              </w:rPr>
              <w:t>April 17, 2022 based on three-year cumulative Adjusted EBITDA performance.</w:t>
            </w:r>
          </w:p>
        </w:tc>
      </w:tr>
      <w:tr>
        <w:trPr>
          <w:trHeight w:val="283"/>
        </w:trPr>
        <w:tc>
          <w:tcPr>
            <w:tcW w:w="520" w:type="dxa"/>
            <w:vAlign w:val="bottom"/>
          </w:tcPr>
          <w:p>
            <w:pPr>
              <w:spacing w:after="0"/>
              <w:rPr>
                <w:sz w:val="20"/>
                <w:szCs w:val="20"/>
                <w:color w:val="auto"/>
              </w:rPr>
            </w:pPr>
            <w:r>
              <w:rPr>
                <w:rFonts w:ascii="Arial" w:cs="Arial" w:eastAsia="Arial" w:hAnsi="Arial"/>
                <w:sz w:val="14"/>
                <w:szCs w:val="14"/>
                <w:color w:val="auto"/>
              </w:rPr>
              <w:t>(m)</w:t>
            </w:r>
          </w:p>
        </w:tc>
        <w:tc>
          <w:tcPr>
            <w:tcW w:w="1120" w:type="dxa"/>
            <w:vAlign w:val="bottom"/>
          </w:tcPr>
          <w:p>
            <w:pPr>
              <w:ind w:left="300"/>
              <w:spacing w:after="0"/>
              <w:rPr>
                <w:sz w:val="20"/>
                <w:szCs w:val="20"/>
                <w:color w:val="auto"/>
              </w:rPr>
            </w:pPr>
            <w:r>
              <w:rPr>
                <w:rFonts w:ascii="Arial" w:cs="Arial" w:eastAsia="Arial" w:hAnsi="Arial"/>
                <w:sz w:val="14"/>
                <w:szCs w:val="14"/>
                <w:color w:val="auto"/>
              </w:rPr>
              <w:t>PSUs</w:t>
            </w:r>
          </w:p>
        </w:tc>
        <w:tc>
          <w:tcPr>
            <w:tcW w:w="9240" w:type="dxa"/>
            <w:vAlign w:val="bottom"/>
          </w:tcPr>
          <w:p>
            <w:pPr>
              <w:ind w:left="400"/>
              <w:spacing w:after="0"/>
              <w:rPr>
                <w:sz w:val="20"/>
                <w:szCs w:val="20"/>
                <w:color w:val="auto"/>
              </w:rPr>
            </w:pPr>
            <w:r>
              <w:rPr>
                <w:rFonts w:ascii="Arial" w:cs="Arial" w:eastAsia="Arial" w:hAnsi="Arial"/>
                <w:sz w:val="14"/>
                <w:szCs w:val="14"/>
                <w:color w:val="auto"/>
              </w:rPr>
              <w:t>August 7, 2022 based on three-year cumulative Adjusted EBITDA performance.</w:t>
            </w:r>
          </w:p>
        </w:tc>
      </w:tr>
      <w:tr>
        <w:trPr>
          <w:trHeight w:val="498"/>
        </w:trPr>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370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0880"/>
          </w:cols>
          <w:pgMar w:left="500" w:top="287" w:right="5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2019 Option Exercises and Stock Vested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980" w:type="dxa"/>
            <w:vAlign w:val="bottom"/>
            <w:gridSpan w:val="3"/>
          </w:tcPr>
          <w:p>
            <w:pPr>
              <w:ind w:left="920"/>
              <w:spacing w:after="0"/>
              <w:rPr>
                <w:sz w:val="20"/>
                <w:szCs w:val="20"/>
                <w:color w:val="auto"/>
              </w:rPr>
            </w:pPr>
            <w:r>
              <w:rPr>
                <w:rFonts w:ascii="Arial" w:cs="Arial" w:eastAsia="Arial" w:hAnsi="Arial"/>
                <w:sz w:val="16"/>
                <w:szCs w:val="16"/>
                <w:b w:val="1"/>
                <w:bCs w:val="1"/>
                <w:color w:val="auto"/>
              </w:rPr>
              <w:t>Option Awards</w:t>
            </w:r>
          </w:p>
        </w:tc>
        <w:tc>
          <w:tcPr>
            <w:tcW w:w="2940" w:type="dxa"/>
            <w:vAlign w:val="bottom"/>
            <w:gridSpan w:val="3"/>
          </w:tcPr>
          <w:p>
            <w:pPr>
              <w:ind w:left="920"/>
              <w:spacing w:after="0"/>
              <w:rPr>
                <w:sz w:val="20"/>
                <w:szCs w:val="20"/>
                <w:color w:val="auto"/>
              </w:rPr>
            </w:pPr>
            <w:r>
              <w:rPr>
                <w:rFonts w:ascii="Arial" w:cs="Arial" w:eastAsia="Arial" w:hAnsi="Arial"/>
                <w:sz w:val="16"/>
                <w:szCs w:val="16"/>
                <w:b w:val="1"/>
                <w:bCs w:val="1"/>
                <w:color w:val="auto"/>
              </w:rPr>
              <w:t>Stock Awards</w:t>
            </w:r>
          </w:p>
        </w:tc>
      </w:tr>
      <w:tr>
        <w:trPr>
          <w:trHeight w:val="40"/>
        </w:trPr>
        <w:tc>
          <w:tcPr>
            <w:tcW w:w="49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71"/>
        </w:trPr>
        <w:tc>
          <w:tcPr>
            <w:tcW w:w="4980" w:type="dxa"/>
            <w:vAlign w:val="bottom"/>
          </w:tcPr>
          <w:p>
            <w:pPr>
              <w:spacing w:after="0"/>
              <w:rPr>
                <w:sz w:val="14"/>
                <w:szCs w:val="14"/>
                <w:color w:val="auto"/>
              </w:rPr>
            </w:pPr>
          </w:p>
        </w:tc>
        <w:tc>
          <w:tcPr>
            <w:tcW w:w="15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Number of</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135"/>
              <w:spacing w:after="0" w:line="171" w:lineRule="exact"/>
              <w:rPr>
                <w:sz w:val="20"/>
                <w:szCs w:val="20"/>
                <w:color w:val="auto"/>
              </w:rPr>
            </w:pPr>
            <w:r>
              <w:rPr>
                <w:rFonts w:ascii="Arial" w:cs="Arial" w:eastAsia="Arial" w:hAnsi="Arial"/>
                <w:sz w:val="16"/>
                <w:szCs w:val="16"/>
                <w:b w:val="1"/>
                <w:bCs w:val="1"/>
                <w:color w:val="auto"/>
              </w:rPr>
              <w:t>Number of</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49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14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Value</w:t>
            </w:r>
          </w:p>
        </w:tc>
        <w:tc>
          <w:tcPr>
            <w:tcW w:w="1560" w:type="dxa"/>
            <w:vAlign w:val="bottom"/>
          </w:tcPr>
          <w:p>
            <w:pPr>
              <w:jc w:val="center"/>
              <w:ind w:right="135"/>
              <w:spacing w:after="0"/>
              <w:rPr>
                <w:sz w:val="20"/>
                <w:szCs w:val="20"/>
                <w:color w:val="auto"/>
              </w:rPr>
            </w:pPr>
            <w:r>
              <w:rPr>
                <w:rFonts w:ascii="Arial" w:cs="Arial" w:eastAsia="Arial" w:hAnsi="Arial"/>
                <w:sz w:val="16"/>
                <w:szCs w:val="16"/>
                <w:b w:val="1"/>
                <w:bCs w:val="1"/>
                <w:color w:val="auto"/>
              </w:rPr>
              <w:t>Shares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Value</w:t>
            </w:r>
          </w:p>
        </w:tc>
      </w:tr>
      <w:tr>
        <w:trPr>
          <w:trHeight w:val="189"/>
        </w:trPr>
        <w:tc>
          <w:tcPr>
            <w:tcW w:w="49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Acquired on</w:t>
            </w:r>
          </w:p>
        </w:tc>
        <w:tc>
          <w:tcPr>
            <w:tcW w:w="14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Realized</w:t>
            </w:r>
          </w:p>
        </w:tc>
        <w:tc>
          <w:tcPr>
            <w:tcW w:w="1560" w:type="dxa"/>
            <w:vAlign w:val="bottom"/>
          </w:tcPr>
          <w:p>
            <w:pPr>
              <w:jc w:val="center"/>
              <w:ind w:right="135"/>
              <w:spacing w:after="0"/>
              <w:rPr>
                <w:sz w:val="20"/>
                <w:szCs w:val="20"/>
                <w:color w:val="auto"/>
              </w:rPr>
            </w:pPr>
            <w:r>
              <w:rPr>
                <w:rFonts w:ascii="Arial" w:cs="Arial" w:eastAsia="Arial" w:hAnsi="Arial"/>
                <w:sz w:val="16"/>
                <w:szCs w:val="16"/>
                <w:b w:val="1"/>
                <w:bCs w:val="1"/>
                <w:color w:val="auto"/>
              </w:rPr>
              <w:t>Acquired on</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Realized</w:t>
            </w:r>
          </w:p>
        </w:tc>
      </w:tr>
      <w:tr>
        <w:trPr>
          <w:trHeight w:val="189"/>
        </w:trPr>
        <w:tc>
          <w:tcPr>
            <w:tcW w:w="49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on Exercise</w:t>
            </w:r>
          </w:p>
        </w:tc>
        <w:tc>
          <w:tcPr>
            <w:tcW w:w="1560" w:type="dxa"/>
            <w:vAlign w:val="bottom"/>
          </w:tcPr>
          <w:p>
            <w:pPr>
              <w:jc w:val="center"/>
              <w:ind w:right="135"/>
              <w:spacing w:after="0"/>
              <w:rPr>
                <w:sz w:val="20"/>
                <w:szCs w:val="20"/>
                <w:color w:val="auto"/>
              </w:rPr>
            </w:pPr>
            <w:r>
              <w:rPr>
                <w:rFonts w:ascii="Arial" w:cs="Arial" w:eastAsia="Arial" w:hAnsi="Arial"/>
                <w:sz w:val="16"/>
                <w:szCs w:val="16"/>
                <w:b w:val="1"/>
                <w:bCs w:val="1"/>
                <w:color w:val="auto"/>
              </w:rPr>
              <w:t>Vesting</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on Vesting</w:t>
            </w:r>
          </w:p>
        </w:tc>
      </w:t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560" w:type="dxa"/>
            <w:vAlign w:val="bottom"/>
          </w:tcPr>
          <w:p>
            <w:pPr>
              <w:jc w:val="center"/>
              <w:ind w:right="155"/>
              <w:spacing w:after="0"/>
              <w:rPr>
                <w:sz w:val="20"/>
                <w:szCs w:val="20"/>
                <w:color w:val="auto"/>
              </w:rPr>
            </w:pPr>
            <w:r>
              <w:rPr>
                <w:rFonts w:ascii="Arial" w:cs="Arial" w:eastAsia="Arial" w:hAnsi="Arial"/>
                <w:sz w:val="16"/>
                <w:szCs w:val="16"/>
                <w:b w:val="1"/>
                <w:bCs w:val="1"/>
                <w:color w:val="auto"/>
              </w:rPr>
              <w:t>(#)(a)</w:t>
            </w:r>
          </w:p>
        </w:tc>
        <w:tc>
          <w:tcPr>
            <w:tcW w:w="1360" w:type="dxa"/>
            <w:vAlign w:val="bottom"/>
          </w:tcPr>
          <w:p>
            <w:pPr>
              <w:jc w:val="center"/>
              <w:ind w:right="35"/>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r>
      <w:tr>
        <w:trPr>
          <w:trHeight w:val="40"/>
        </w:trPr>
        <w:tc>
          <w:tcPr>
            <w:tcW w:w="4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r>
      <w:tr>
        <w:trPr>
          <w:trHeight w:val="275"/>
        </w:trPr>
        <w:tc>
          <w:tcPr>
            <w:tcW w:w="4980" w:type="dxa"/>
            <w:vAlign w:val="bottom"/>
            <w:tcBorders>
              <w:top w:val="single" w:sz="8" w:color="auto"/>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Mr. Ferraro</w:t>
            </w:r>
          </w:p>
        </w:tc>
        <w:tc>
          <w:tcPr>
            <w:tcW w:w="1500" w:type="dxa"/>
            <w:vAlign w:val="bottom"/>
            <w:tcBorders>
              <w:top w:val="single" w:sz="8" w:color="auto"/>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CCCC"/>
            </w:tcBorders>
            <w:gridSpan w:val="2"/>
            <w:shd w:val="clear" w:color="auto" w:fill="CCCCCC"/>
          </w:tcPr>
          <w:p>
            <w:pPr>
              <w:jc w:val="center"/>
              <w:ind w:right="6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CCCC"/>
            </w:tcBorders>
            <w:shd w:val="clear" w:color="auto" w:fill="CCCCCC"/>
          </w:tcPr>
          <w:p>
            <w:pPr>
              <w:jc w:val="right"/>
              <w:ind w:right="135"/>
              <w:spacing w:after="0"/>
              <w:rPr>
                <w:sz w:val="20"/>
                <w:szCs w:val="20"/>
                <w:color w:val="auto"/>
              </w:rPr>
            </w:pPr>
            <w:r>
              <w:rPr>
                <w:rFonts w:ascii="Arial" w:cs="Arial" w:eastAsia="Arial" w:hAnsi="Arial"/>
                <w:sz w:val="18"/>
                <w:szCs w:val="18"/>
                <w:color w:val="auto"/>
              </w:rPr>
              <w:t>33,116</w:t>
            </w:r>
          </w:p>
        </w:tc>
        <w:tc>
          <w:tcPr>
            <w:tcW w:w="136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1,206,997</w:t>
            </w:r>
          </w:p>
        </w:tc>
        <w:tc>
          <w:tcPr>
            <w:tcW w:w="20" w:type="dxa"/>
            <w:vAlign w:val="bottom"/>
          </w:tcPr>
          <w:p>
            <w:pPr>
              <w:spacing w:after="0"/>
              <w:rPr>
                <w:sz w:val="23"/>
                <w:szCs w:val="23"/>
                <w:color w:val="auto"/>
              </w:rPr>
            </w:pPr>
          </w:p>
        </w:tc>
      </w:tr>
      <w:tr>
        <w:trPr>
          <w:trHeight w:val="237"/>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Mr. Linnen</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17,293</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530,967</w:t>
            </w:r>
          </w:p>
        </w:tc>
        <w:tc>
          <w:tcPr>
            <w:tcW w:w="2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68"/>
        </w:trPr>
        <w:tc>
          <w:tcPr>
            <w:tcW w:w="4980" w:type="dxa"/>
            <w:vAlign w:val="bottom"/>
            <w:tcBorders>
              <w:top w:val="single" w:sz="8" w:color="auto"/>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Mr. De Shon</w:t>
            </w:r>
          </w:p>
        </w:tc>
        <w:tc>
          <w:tcPr>
            <w:tcW w:w="1500" w:type="dxa"/>
            <w:vAlign w:val="bottom"/>
            <w:tcBorders>
              <w:top w:val="single" w:sz="8" w:color="auto"/>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CCCC"/>
            </w:tcBorders>
            <w:gridSpan w:val="2"/>
            <w:shd w:val="clear" w:color="auto" w:fill="CCCCCC"/>
          </w:tcPr>
          <w:p>
            <w:pPr>
              <w:jc w:val="center"/>
              <w:ind w:right="6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CCCC"/>
            </w:tcBorders>
            <w:shd w:val="clear" w:color="auto" w:fill="CCCCCC"/>
          </w:tcPr>
          <w:p>
            <w:pPr>
              <w:jc w:val="right"/>
              <w:ind w:right="135"/>
              <w:spacing w:after="0"/>
              <w:rPr>
                <w:sz w:val="20"/>
                <w:szCs w:val="20"/>
                <w:color w:val="auto"/>
              </w:rPr>
            </w:pPr>
            <w:r>
              <w:rPr>
                <w:rFonts w:ascii="Arial" w:cs="Arial" w:eastAsia="Arial" w:hAnsi="Arial"/>
                <w:sz w:val="18"/>
                <w:szCs w:val="18"/>
                <w:color w:val="auto"/>
              </w:rPr>
              <w:t>47,956</w:t>
            </w:r>
          </w:p>
        </w:tc>
        <w:tc>
          <w:tcPr>
            <w:tcW w:w="136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1,600,789</w:t>
            </w:r>
          </w:p>
        </w:tc>
        <w:tc>
          <w:tcPr>
            <w:tcW w:w="20" w:type="dxa"/>
            <w:vAlign w:val="bottom"/>
          </w:tcPr>
          <w:p>
            <w:pPr>
              <w:spacing w:after="0"/>
              <w:rPr>
                <w:sz w:val="22"/>
                <w:szCs w:val="22"/>
                <w:color w:val="auto"/>
              </w:rPr>
            </w:pPr>
          </w:p>
        </w:tc>
      </w:tr>
      <w:tr>
        <w:trPr>
          <w:trHeight w:val="210"/>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Mr. Servodidio</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31,040</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1,032,923</w:t>
            </w:r>
          </w:p>
        </w:tc>
        <w:tc>
          <w:tcPr>
            <w:tcW w:w="20" w:type="dxa"/>
            <w:vAlign w:val="bottom"/>
          </w:tcPr>
          <w:p>
            <w:pPr>
              <w:spacing w:after="0"/>
              <w:rPr>
                <w:sz w:val="18"/>
                <w:szCs w:val="18"/>
                <w:color w:val="auto"/>
              </w:rPr>
            </w:pPr>
          </w:p>
        </w:tc>
      </w:tr>
      <w:tr>
        <w:trPr>
          <w:trHeight w:val="60"/>
        </w:trPr>
        <w:tc>
          <w:tcPr>
            <w:tcW w:w="49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18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vesting of RSU awards granted in 2016, 2017 and 2018.</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Present Value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Payments</w:t>
            </w:r>
          </w:p>
        </w:tc>
      </w:tr>
      <w:tr>
        <w:trPr>
          <w:trHeight w:val="189"/>
        </w:trPr>
        <w:tc>
          <w:tcPr>
            <w:tcW w:w="1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140" w:type="dxa"/>
            <w:vAlign w:val="bottom"/>
          </w:tcPr>
          <w:p>
            <w:pPr>
              <w:jc w:val="center"/>
              <w:ind w:left="55"/>
              <w:spacing w:after="0"/>
              <w:rPr>
                <w:sz w:val="20"/>
                <w:szCs w:val="20"/>
                <w:color w:val="auto"/>
              </w:rPr>
            </w:pPr>
            <w:r>
              <w:rPr>
                <w:rFonts w:ascii="Arial" w:cs="Arial" w:eastAsia="Arial" w:hAnsi="Arial"/>
                <w:sz w:val="16"/>
                <w:szCs w:val="16"/>
                <w:b w:val="1"/>
                <w:bCs w:val="1"/>
                <w:color w:val="auto"/>
              </w:rPr>
              <w:t>Number of Years of</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of Accumulated</w:t>
            </w:r>
          </w:p>
        </w:tc>
        <w:tc>
          <w:tcPr>
            <w:tcW w:w="1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During Last</w:t>
            </w:r>
          </w:p>
        </w:tc>
      </w:tr>
      <w:tr>
        <w:trPr>
          <w:trHeight w:val="189"/>
        </w:trPr>
        <w:tc>
          <w:tcPr>
            <w:tcW w:w="1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140" w:type="dxa"/>
            <w:vAlign w:val="bottom"/>
          </w:tcPr>
          <w:p>
            <w:pPr>
              <w:jc w:val="center"/>
              <w:ind w:left="55"/>
              <w:spacing w:after="0"/>
              <w:rPr>
                <w:sz w:val="20"/>
                <w:szCs w:val="20"/>
                <w:color w:val="auto"/>
              </w:rPr>
            </w:pPr>
            <w:r>
              <w:rPr>
                <w:rFonts w:ascii="Arial" w:cs="Arial" w:eastAsia="Arial" w:hAnsi="Arial"/>
                <w:sz w:val="16"/>
                <w:szCs w:val="16"/>
                <w:b w:val="1"/>
                <w:bCs w:val="1"/>
                <w:color w:val="auto"/>
              </w:rPr>
              <w:t>Credited Service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Benefit</w:t>
            </w:r>
          </w:p>
        </w:tc>
        <w:tc>
          <w:tcPr>
            <w:tcW w:w="1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Fiscal Year</w:t>
            </w:r>
          </w:p>
        </w:tc>
      </w:tr>
      <w:tr>
        <w:trPr>
          <w:trHeight w:val="215"/>
        </w:trPr>
        <w:tc>
          <w:tcPr>
            <w:tcW w:w="13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6"/>
                <w:szCs w:val="16"/>
                <w:b w:val="1"/>
                <w:bCs w:val="1"/>
                <w:color w:val="auto"/>
              </w:rPr>
              <w:t>Plan Name (a)</w:t>
            </w:r>
          </w:p>
        </w:tc>
        <w:tc>
          <w:tcPr>
            <w:tcW w:w="2140" w:type="dxa"/>
            <w:vAlign w:val="bottom"/>
          </w:tcPr>
          <w:p>
            <w:pPr>
              <w:jc w:val="center"/>
              <w:ind w:left="55"/>
              <w:spacing w:after="0"/>
              <w:rPr>
                <w:sz w:val="20"/>
                <w:szCs w:val="20"/>
                <w:color w:val="auto"/>
              </w:rPr>
            </w:pPr>
            <w:r>
              <w:rPr>
                <w:rFonts w:ascii="Arial" w:cs="Arial" w:eastAsia="Arial" w:hAnsi="Arial"/>
                <w:sz w:val="16"/>
                <w:szCs w:val="16"/>
                <w:b w:val="1"/>
                <w:bCs w:val="1"/>
                <w:color w:val="auto"/>
              </w:rPr>
              <w:t>(#)(a)</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7"/>
              </w:rPr>
              <w:t>($)(a)</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r>
      <w:tr>
        <w:trPr>
          <w:trHeight w:val="40"/>
        </w:trPr>
        <w:tc>
          <w:tcPr>
            <w:tcW w:w="1360" w:type="dxa"/>
            <w:vAlign w:val="bottom"/>
          </w:tcPr>
          <w:p>
            <w:pPr>
              <w:spacing w:after="0"/>
              <w:rPr>
                <w:sz w:val="3"/>
                <w:szCs w:val="3"/>
                <w:color w:val="auto"/>
              </w:rPr>
            </w:pPr>
          </w:p>
        </w:tc>
        <w:tc>
          <w:tcPr>
            <w:tcW w:w="4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r>
      <w:tr>
        <w:trPr>
          <w:trHeight w:val="275"/>
        </w:trPr>
        <w:tc>
          <w:tcPr>
            <w:tcW w:w="1360" w:type="dxa"/>
            <w:vAlign w:val="bottom"/>
            <w:tcBorders>
              <w:top w:val="single" w:sz="8" w:color="auto"/>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Mr. Ferraro</w:t>
            </w:r>
          </w:p>
        </w:tc>
        <w:tc>
          <w:tcPr>
            <w:tcW w:w="4300" w:type="dxa"/>
            <w:vAlign w:val="bottom"/>
            <w:tcBorders>
              <w:top w:val="single" w:sz="8" w:color="auto"/>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rPr>
              <w:t>Avis Rent A Car System, LLC Pension Plan</w:t>
            </w:r>
          </w:p>
        </w:tc>
        <w:tc>
          <w:tcPr>
            <w:tcW w:w="2140" w:type="dxa"/>
            <w:vAlign w:val="bottom"/>
            <w:tcBorders>
              <w:top w:val="single" w:sz="8" w:color="auto"/>
              <w:bottom w:val="single" w:sz="8" w:color="CCCCCC"/>
            </w:tcBorders>
            <w:shd w:val="clear" w:color="auto" w:fill="CCCCCC"/>
          </w:tcPr>
          <w:p>
            <w:pPr>
              <w:jc w:val="center"/>
              <w:ind w:left="55"/>
              <w:spacing w:after="0"/>
              <w:rPr>
                <w:sz w:val="20"/>
                <w:szCs w:val="20"/>
                <w:color w:val="auto"/>
              </w:rPr>
            </w:pPr>
            <w:r>
              <w:rPr>
                <w:rFonts w:ascii="Arial" w:cs="Arial" w:eastAsia="Arial" w:hAnsi="Arial"/>
                <w:sz w:val="18"/>
                <w:szCs w:val="18"/>
                <w:color w:val="auto"/>
                <w:w w:val="99"/>
              </w:rPr>
              <w:t>21 years, 1 month</w:t>
            </w:r>
          </w:p>
        </w:tc>
        <w:tc>
          <w:tcPr>
            <w:tcW w:w="1800" w:type="dxa"/>
            <w:vAlign w:val="bottom"/>
            <w:tcBorders>
              <w:top w:val="single" w:sz="8" w:color="auto"/>
              <w:bottom w:val="single" w:sz="8" w:color="CCCCCC"/>
            </w:tcBorders>
            <w:shd w:val="clear" w:color="auto" w:fill="CCCCCC"/>
          </w:tcPr>
          <w:p>
            <w:pPr>
              <w:jc w:val="right"/>
              <w:ind w:right="76"/>
              <w:spacing w:after="0"/>
              <w:rPr>
                <w:sz w:val="20"/>
                <w:szCs w:val="20"/>
                <w:color w:val="auto"/>
              </w:rPr>
            </w:pPr>
            <w:r>
              <w:rPr>
                <w:rFonts w:ascii="Arial" w:cs="Arial" w:eastAsia="Arial" w:hAnsi="Arial"/>
                <w:sz w:val="18"/>
                <w:szCs w:val="18"/>
                <w:color w:val="auto"/>
              </w:rPr>
              <w:t>420,690</w:t>
            </w:r>
          </w:p>
        </w:tc>
        <w:tc>
          <w:tcPr>
            <w:tcW w:w="12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10"/>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Mr. Smith</w:t>
            </w: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Avis UK Pension Plan (b)</w:t>
            </w:r>
          </w:p>
        </w:tc>
        <w:tc>
          <w:tcPr>
            <w:tcW w:w="2140" w:type="dxa"/>
            <w:vAlign w:val="bottom"/>
            <w:tcBorders>
              <w:top w:val="single" w:sz="8" w:color="auto"/>
            </w:tcBorders>
          </w:tcPr>
          <w:p>
            <w:pPr>
              <w:jc w:val="center"/>
              <w:ind w:left="55"/>
              <w:spacing w:after="0"/>
              <w:rPr>
                <w:sz w:val="20"/>
                <w:szCs w:val="20"/>
                <w:color w:val="auto"/>
              </w:rPr>
            </w:pPr>
            <w:r>
              <w:rPr>
                <w:rFonts w:ascii="Arial" w:cs="Arial" w:eastAsia="Arial" w:hAnsi="Arial"/>
                <w:sz w:val="18"/>
                <w:szCs w:val="18"/>
                <w:color w:val="auto"/>
              </w:rPr>
              <w:t>3 years, 6 months</w:t>
            </w:r>
          </w:p>
        </w:tc>
        <w:tc>
          <w:tcPr>
            <w:tcW w:w="18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220,457</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7,928</w:t>
            </w:r>
          </w:p>
        </w:tc>
        <w:tc>
          <w:tcPr>
            <w:tcW w:w="20" w:type="dxa"/>
            <w:vAlign w:val="bottom"/>
          </w:tcPr>
          <w:p>
            <w:pPr>
              <w:spacing w:after="0"/>
              <w:rPr>
                <w:sz w:val="18"/>
                <w:szCs w:val="18"/>
                <w:color w:val="auto"/>
              </w:rPr>
            </w:pPr>
          </w:p>
        </w:tc>
      </w:tr>
      <w:tr>
        <w:trPr>
          <w:trHeight w:val="60"/>
        </w:trPr>
        <w:tc>
          <w:tcPr>
            <w:tcW w:w="1360" w:type="dxa"/>
            <w:vAlign w:val="bottom"/>
            <w:tcBorders>
              <w:bottom w:val="single" w:sz="8" w:color="auto"/>
            </w:tcBorders>
          </w:tcPr>
          <w:p>
            <w:pPr>
              <w:spacing w:after="0"/>
              <w:rPr>
                <w:sz w:val="5"/>
                <w:szCs w:val="5"/>
                <w:color w:val="auto"/>
              </w:rPr>
            </w:pPr>
          </w:p>
        </w:tc>
        <w:tc>
          <w:tcPr>
            <w:tcW w:w="43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180" w:lineRule="exact"/>
        <w:rPr>
          <w:sz w:val="20"/>
          <w:szCs w:val="20"/>
          <w:color w:val="auto"/>
        </w:rPr>
      </w:pPr>
    </w:p>
    <w:p>
      <w:pPr>
        <w:jc w:val="both"/>
        <w:ind w:left="340" w:hanging="332"/>
        <w:spacing w:after="0" w:line="247" w:lineRule="auto"/>
        <w:tabs>
          <w:tab w:leader="none" w:pos="392" w:val="left"/>
        </w:tabs>
        <w:numPr>
          <w:ilvl w:val="0"/>
          <w:numId w:val="47"/>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18 to our audited financial statements for the fiscal year ended December 31, 2019, included in our 2019 Form 10-K.</w:t>
      </w:r>
    </w:p>
    <w:p>
      <w:pPr>
        <w:spacing w:after="0" w:line="93" w:lineRule="exact"/>
        <w:rPr>
          <w:sz w:val="20"/>
          <w:szCs w:val="20"/>
          <w:color w:val="auto"/>
        </w:rPr>
      </w:pPr>
    </w:p>
    <w:p>
      <w:pPr>
        <w:jc w:val="both"/>
        <w:ind w:left="340" w:hanging="6"/>
        <w:spacing w:after="0" w:line="245" w:lineRule="auto"/>
        <w:rPr>
          <w:sz w:val="20"/>
          <w:szCs w:val="20"/>
          <w:color w:val="auto"/>
        </w:rPr>
      </w:pPr>
      <w:r>
        <w:rPr>
          <w:rFonts w:ascii="Arial" w:cs="Arial" w:eastAsia="Arial" w:hAnsi="Arial"/>
          <w:sz w:val="14"/>
          <w:szCs w:val="14"/>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96" w:lineRule="exact"/>
        <w:rPr>
          <w:sz w:val="20"/>
          <w:szCs w:val="20"/>
          <w:color w:val="auto"/>
        </w:rPr>
      </w:pPr>
    </w:p>
    <w:p>
      <w:pPr>
        <w:jc w:val="both"/>
        <w:ind w:left="340" w:hanging="332"/>
        <w:spacing w:after="0" w:line="244" w:lineRule="auto"/>
        <w:tabs>
          <w:tab w:leader="none" w:pos="334"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2019, Mr. Smith participated in the Avis UK Pension Plan, a funded pension plan, set up and administered under UK trust law and other relevant UK legislation. The plan has defined benefit and defined contribution sections. Mr. Smith participates in the defined benefit component of the Plan, which provides pension benefits based on service and final salary, and are payable to Mr. Smith upon attainment of age 62. Pension benefits increase in line with price inflation, subject to limits set out in the Plan’s governing documents. For Mr. Smith, the present value of accumulated benefits reflects £/$ exchange rate as of December 31, 2019, and payments during last fiscal year reflect a £/$ exchange rate as of the date paid, received or allocated. For a discussion of the calculation of retirement benefits, please see Note 18 to our audited financial statements for the fiscal year ended December 31, 2019, included in our 2019 Form 10-K.</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560" w:type="dxa"/>
            <w:vAlign w:val="bottom"/>
          </w:tcPr>
          <w:p>
            <w:pPr>
              <w:jc w:val="center"/>
              <w:ind w:left="1034"/>
              <w:spacing w:after="0"/>
              <w:rPr>
                <w:sz w:val="20"/>
                <w:szCs w:val="20"/>
                <w:color w:val="auto"/>
              </w:rPr>
            </w:pPr>
            <w:r>
              <w:rPr>
                <w:rFonts w:ascii="Arial" w:cs="Arial" w:eastAsia="Arial" w:hAnsi="Arial"/>
                <w:sz w:val="16"/>
                <w:szCs w:val="16"/>
                <w:b w:val="1"/>
                <w:bCs w:val="1"/>
                <w:color w:val="auto"/>
              </w:rPr>
              <w:t>Executive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Registrant</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2480" w:type="dxa"/>
            <w:vAlign w:val="bottom"/>
          </w:tcPr>
          <w:p>
            <w:pPr>
              <w:spacing w:after="0"/>
              <w:rPr>
                <w:sz w:val="16"/>
                <w:szCs w:val="16"/>
                <w:color w:val="auto"/>
              </w:rPr>
            </w:pPr>
          </w:p>
        </w:tc>
        <w:tc>
          <w:tcPr>
            <w:tcW w:w="2560" w:type="dxa"/>
            <w:vAlign w:val="bottom"/>
          </w:tcPr>
          <w:p>
            <w:pPr>
              <w:jc w:val="center"/>
              <w:ind w:left="1014"/>
              <w:spacing w:after="0"/>
              <w:rPr>
                <w:sz w:val="20"/>
                <w:szCs w:val="20"/>
                <w:color w:val="auto"/>
              </w:rPr>
            </w:pPr>
            <w:r>
              <w:rPr>
                <w:rFonts w:ascii="Arial" w:cs="Arial" w:eastAsia="Arial" w:hAnsi="Arial"/>
                <w:sz w:val="16"/>
                <w:szCs w:val="16"/>
                <w:b w:val="1"/>
                <w:bCs w:val="1"/>
                <w:color w:val="auto"/>
              </w:rPr>
              <w:t>Contributions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Contributions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Earnings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Withdrawals/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Balance at</w:t>
            </w:r>
          </w:p>
        </w:tc>
      </w:tr>
      <w:tr>
        <w:trPr>
          <w:trHeight w:val="189"/>
        </w:trPr>
        <w:tc>
          <w:tcPr>
            <w:tcW w:w="2480" w:type="dxa"/>
            <w:vAlign w:val="bottom"/>
          </w:tcPr>
          <w:p>
            <w:pPr>
              <w:spacing w:after="0"/>
              <w:rPr>
                <w:sz w:val="16"/>
                <w:szCs w:val="16"/>
                <w:color w:val="auto"/>
              </w:rPr>
            </w:pPr>
          </w:p>
        </w:tc>
        <w:tc>
          <w:tcPr>
            <w:tcW w:w="2560" w:type="dxa"/>
            <w:vAlign w:val="bottom"/>
          </w:tcPr>
          <w:p>
            <w:pPr>
              <w:jc w:val="center"/>
              <w:ind w:left="1014"/>
              <w:spacing w:after="0"/>
              <w:rPr>
                <w:sz w:val="20"/>
                <w:szCs w:val="20"/>
                <w:color w:val="auto"/>
              </w:rPr>
            </w:pPr>
            <w:r>
              <w:rPr>
                <w:rFonts w:ascii="Arial" w:cs="Arial" w:eastAsia="Arial" w:hAnsi="Arial"/>
                <w:sz w:val="16"/>
                <w:szCs w:val="16"/>
                <w:b w:val="1"/>
                <w:bCs w:val="1"/>
                <w:color w:val="auto"/>
              </w:rPr>
              <w:t>in Last FY</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in Last FY</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in Last FY</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Distributions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Last FYE</w:t>
            </w:r>
          </w:p>
        </w:tc>
      </w:tr>
      <w:tr>
        <w:trPr>
          <w:trHeight w:val="215"/>
        </w:trPr>
        <w:tc>
          <w:tcPr>
            <w:tcW w:w="2480" w:type="dxa"/>
            <w:vAlign w:val="bottom"/>
          </w:tcPr>
          <w:p>
            <w:pPr>
              <w:spacing w:after="0"/>
              <w:rPr>
                <w:sz w:val="18"/>
                <w:szCs w:val="18"/>
                <w:color w:val="auto"/>
              </w:rPr>
            </w:pPr>
          </w:p>
        </w:tc>
        <w:tc>
          <w:tcPr>
            <w:tcW w:w="2560" w:type="dxa"/>
            <w:vAlign w:val="bottom"/>
          </w:tcPr>
          <w:p>
            <w:pPr>
              <w:jc w:val="center"/>
              <w:ind w:left="1034"/>
              <w:spacing w:after="0"/>
              <w:rPr>
                <w:sz w:val="20"/>
                <w:szCs w:val="20"/>
                <w:color w:val="auto"/>
              </w:rPr>
            </w:pPr>
            <w:r>
              <w:rPr>
                <w:rFonts w:ascii="Arial" w:cs="Arial" w:eastAsia="Arial" w:hAnsi="Arial"/>
                <w:sz w:val="16"/>
                <w:szCs w:val="16"/>
                <w:b w:val="1"/>
                <w:bCs w:val="1"/>
                <w:color w:val="auto"/>
              </w:rPr>
              <w:t>($)(a)</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($)(b)</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9"/>
              </w:rPr>
              <w:t>($)(d)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($)(e)</w:t>
            </w:r>
          </w:p>
        </w:tc>
      </w:tr>
      <w:tr>
        <w:trPr>
          <w:trHeight w:val="40"/>
        </w:trPr>
        <w:tc>
          <w:tcPr>
            <w:tcW w:w="248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75"/>
        </w:trPr>
        <w:tc>
          <w:tcPr>
            <w:tcW w:w="24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Mr. Ferraro</w:t>
            </w:r>
          </w:p>
        </w:tc>
        <w:tc>
          <w:tcPr>
            <w:tcW w:w="2560" w:type="dxa"/>
            <w:vAlign w:val="bottom"/>
            <w:tcBorders>
              <w:bottom w:val="single" w:sz="8" w:color="CCCCCC"/>
            </w:tcBorders>
            <w:shd w:val="clear" w:color="auto" w:fill="CCCCCC"/>
          </w:tcPr>
          <w:p>
            <w:pPr>
              <w:jc w:val="center"/>
              <w:ind w:left="1014"/>
              <w:spacing w:after="0"/>
              <w:rPr>
                <w:sz w:val="20"/>
                <w:szCs w:val="20"/>
                <w:color w:val="auto"/>
              </w:rPr>
            </w:pPr>
            <w:r>
              <w:rPr>
                <w:rFonts w:ascii="Arial" w:cs="Arial" w:eastAsia="Arial" w:hAnsi="Arial"/>
                <w:sz w:val="18"/>
                <w:szCs w:val="18"/>
                <w:color w:val="auto"/>
                <w:w w:val="98"/>
              </w:rPr>
              <w:t>96,959</w:t>
            </w:r>
          </w:p>
        </w:tc>
        <w:tc>
          <w:tcPr>
            <w:tcW w:w="15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96,959</w:t>
            </w:r>
          </w:p>
        </w:tc>
        <w:tc>
          <w:tcPr>
            <w:tcW w:w="13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rPr>
              <w:t>28,240</w:t>
            </w:r>
          </w:p>
        </w:tc>
        <w:tc>
          <w:tcPr>
            <w:tcW w:w="15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rPr>
              <w:t>222,158</w:t>
            </w:r>
          </w:p>
        </w:tc>
      </w:tr>
      <w:tr>
        <w:trPr>
          <w:trHeight w:val="237"/>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Mr. De Shon</w:t>
            </w:r>
          </w:p>
        </w:tc>
        <w:tc>
          <w:tcPr>
            <w:tcW w:w="2560" w:type="dxa"/>
            <w:vAlign w:val="bottom"/>
            <w:tcBorders>
              <w:top w:val="single" w:sz="8" w:color="auto"/>
            </w:tcBorders>
          </w:tcPr>
          <w:p>
            <w:pPr>
              <w:jc w:val="center"/>
              <w:ind w:left="1014"/>
              <w:spacing w:after="0"/>
              <w:rPr>
                <w:sz w:val="20"/>
                <w:szCs w:val="20"/>
                <w:color w:val="auto"/>
              </w:rPr>
            </w:pPr>
            <w:r>
              <w:rPr>
                <w:rFonts w:ascii="Arial" w:cs="Arial" w:eastAsia="Arial" w:hAnsi="Arial"/>
                <w:sz w:val="18"/>
                <w:szCs w:val="18"/>
                <w:color w:val="auto"/>
              </w:rPr>
              <w:t>173,047</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173,047</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471,924</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3,496,770</w:t>
            </w:r>
          </w:p>
        </w:tc>
      </w:tr>
      <w:tr>
        <w:trPr>
          <w:trHeight w:val="27"/>
        </w:trPr>
        <w:tc>
          <w:tcPr>
            <w:tcW w:w="2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8"/>
        </w:trPr>
        <w:tc>
          <w:tcPr>
            <w:tcW w:w="24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Mr. Servodidio</w:t>
            </w:r>
          </w:p>
        </w:tc>
        <w:tc>
          <w:tcPr>
            <w:tcW w:w="2560" w:type="dxa"/>
            <w:vAlign w:val="bottom"/>
            <w:tcBorders>
              <w:bottom w:val="single" w:sz="8" w:color="CCCCCC"/>
            </w:tcBorders>
            <w:shd w:val="clear" w:color="auto" w:fill="CCCCCC"/>
          </w:tcPr>
          <w:p>
            <w:pPr>
              <w:jc w:val="center"/>
              <w:ind w:left="1014"/>
              <w:spacing w:after="0"/>
              <w:rPr>
                <w:sz w:val="20"/>
                <w:szCs w:val="20"/>
                <w:color w:val="auto"/>
              </w:rPr>
            </w:pPr>
            <w:r>
              <w:rPr>
                <w:rFonts w:ascii="Arial" w:cs="Arial" w:eastAsia="Arial" w:hAnsi="Arial"/>
                <w:sz w:val="18"/>
                <w:szCs w:val="18"/>
                <w:color w:val="auto"/>
                <w:w w:val="98"/>
              </w:rPr>
              <w:t>35,354</w:t>
            </w:r>
          </w:p>
        </w:tc>
        <w:tc>
          <w:tcPr>
            <w:tcW w:w="15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35,354</w:t>
            </w:r>
          </w:p>
        </w:tc>
        <w:tc>
          <w:tcPr>
            <w:tcW w:w="13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163,894</w:t>
            </w:r>
          </w:p>
        </w:tc>
        <w:tc>
          <w:tcPr>
            <w:tcW w:w="15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rPr>
              <w:t>748,575</w:t>
            </w:r>
          </w:p>
        </w:tc>
      </w:tr>
      <w:tr>
        <w:trPr>
          <w:trHeight w:val="237"/>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Mr. Linnen</w:t>
            </w:r>
          </w:p>
        </w:tc>
        <w:tc>
          <w:tcPr>
            <w:tcW w:w="2560" w:type="dxa"/>
            <w:vAlign w:val="bottom"/>
            <w:tcBorders>
              <w:top w:val="single" w:sz="8" w:color="auto"/>
            </w:tcBorders>
          </w:tcPr>
          <w:p>
            <w:pPr>
              <w:jc w:val="center"/>
              <w:ind w:left="1014"/>
              <w:spacing w:after="0"/>
              <w:rPr>
                <w:sz w:val="20"/>
                <w:szCs w:val="20"/>
                <w:color w:val="auto"/>
              </w:rPr>
            </w:pPr>
            <w:r>
              <w:rPr>
                <w:rFonts w:ascii="Arial" w:cs="Arial" w:eastAsia="Arial" w:hAnsi="Arial"/>
                <w:sz w:val="18"/>
                <w:szCs w:val="18"/>
                <w:color w:val="auto"/>
                <w:w w:val="98"/>
              </w:rPr>
              <w:t>49,615</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29,769</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31,552</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181,058</w:t>
            </w:r>
          </w:p>
        </w:tc>
      </w:tr>
      <w:tr>
        <w:trPr>
          <w:trHeight w:val="27"/>
        </w:trPr>
        <w:tc>
          <w:tcPr>
            <w:tcW w:w="24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6"/>
        </w:trPr>
        <w:tc>
          <w:tcPr>
            <w:tcW w:w="24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Mr. North</w:t>
            </w:r>
          </w:p>
        </w:tc>
        <w:tc>
          <w:tcPr>
            <w:tcW w:w="2560" w:type="dxa"/>
            <w:vAlign w:val="bottom"/>
            <w:tcBorders>
              <w:bottom w:val="single" w:sz="8" w:color="CCCCCC"/>
            </w:tcBorders>
            <w:shd w:val="clear" w:color="auto" w:fill="CCCCCC"/>
          </w:tcPr>
          <w:p>
            <w:pPr>
              <w:jc w:val="center"/>
              <w:ind w:left="1014"/>
              <w:spacing w:after="0"/>
              <w:rPr>
                <w:sz w:val="20"/>
                <w:szCs w:val="20"/>
                <w:color w:val="auto"/>
              </w:rPr>
            </w:pPr>
            <w:r>
              <w:rPr>
                <w:rFonts w:ascii="Arial" w:cs="Arial" w:eastAsia="Arial" w:hAnsi="Arial"/>
                <w:sz w:val="18"/>
                <w:szCs w:val="18"/>
                <w:color w:val="auto"/>
                <w:w w:val="98"/>
              </w:rPr>
              <w:t>23,539</w:t>
            </w:r>
          </w:p>
        </w:tc>
        <w:tc>
          <w:tcPr>
            <w:tcW w:w="15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23,539</w:t>
            </w:r>
          </w:p>
        </w:tc>
        <w:tc>
          <w:tcPr>
            <w:tcW w:w="13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7"/>
              </w:rPr>
              <w:t>4,250</w:t>
            </w:r>
          </w:p>
        </w:tc>
        <w:tc>
          <w:tcPr>
            <w:tcW w:w="15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51,327</w:t>
            </w:r>
          </w:p>
        </w:tc>
      </w:tr>
      <w:tr>
        <w:trPr>
          <w:trHeight w:val="391"/>
        </w:trPr>
        <w:tc>
          <w:tcPr>
            <w:tcW w:w="248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rPr>
              <w:t>38</w:t>
            </w:r>
          </w:p>
        </w:tc>
        <w:tc>
          <w:tcPr>
            <w:tcW w:w="132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0880"/>
          </w:cols>
          <w:pgMar w:left="500" w:top="287" w:right="5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7" w:lineRule="exact"/>
        <w:rPr>
          <w:sz w:val="20"/>
          <w:szCs w:val="20"/>
          <w:color w:val="auto"/>
        </w:rPr>
      </w:pPr>
    </w:p>
    <w:p>
      <w:pPr>
        <w:jc w:val="both"/>
        <w:ind w:left="340" w:hanging="332"/>
        <w:spacing w:after="0" w:line="241" w:lineRule="auto"/>
        <w:tabs>
          <w:tab w:leader="none" w:pos="407"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w:t>
      </w:r>
    </w:p>
    <w:p>
      <w:pPr>
        <w:jc w:val="both"/>
        <w:ind w:left="340" w:firstLine="10"/>
        <w:spacing w:after="0" w:line="244" w:lineRule="auto"/>
        <w:tabs>
          <w:tab w:leader="none" w:pos="562" w:val="left"/>
        </w:tabs>
        <w:numPr>
          <w:ilvl w:val="1"/>
          <w:numId w:val="49"/>
        </w:numPr>
        <w:rPr>
          <w:rFonts w:ascii="Arial" w:cs="Arial" w:eastAsia="Arial" w:hAnsi="Arial"/>
          <w:sz w:val="14"/>
          <w:szCs w:val="14"/>
          <w:color w:val="auto"/>
        </w:rPr>
      </w:pPr>
      <w:r>
        <w:rPr>
          <w:rFonts w:ascii="Arial" w:cs="Arial" w:eastAsia="Arial" w:hAnsi="Arial"/>
          <w:sz w:val="14"/>
          <w:szCs w:val="14"/>
          <w:color w:val="auto"/>
        </w:rPr>
        <w:t>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97"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109" w:lineRule="exact"/>
        <w:rPr>
          <w:rFonts w:ascii="Arial" w:cs="Arial" w:eastAsia="Arial" w:hAnsi="Arial"/>
          <w:sz w:val="14"/>
          <w:szCs w:val="14"/>
          <w:color w:val="auto"/>
        </w:rPr>
      </w:pPr>
    </w:p>
    <w:p>
      <w:pPr>
        <w:jc w:val="both"/>
        <w:ind w:left="340" w:hanging="332"/>
        <w:spacing w:after="0" w:line="249" w:lineRule="auto"/>
        <w:tabs>
          <w:tab w:leader="none" w:pos="398"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92" w:lineRule="exact"/>
        <w:rPr>
          <w:rFonts w:ascii="Arial" w:cs="Arial" w:eastAsia="Arial" w:hAnsi="Arial"/>
          <w:sz w:val="14"/>
          <w:szCs w:val="14"/>
          <w:color w:val="auto"/>
        </w:rPr>
      </w:pPr>
    </w:p>
    <w:p>
      <w:pPr>
        <w:ind w:left="340" w:right="20" w:hanging="332"/>
        <w:spacing w:after="0" w:line="258" w:lineRule="auto"/>
        <w:tabs>
          <w:tab w:leader="none" w:pos="326"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85" w:lineRule="exact"/>
        <w:rPr>
          <w:rFonts w:ascii="Arial" w:cs="Arial" w:eastAsia="Arial" w:hAnsi="Arial"/>
          <w:sz w:val="14"/>
          <w:szCs w:val="14"/>
          <w:color w:val="auto"/>
        </w:rPr>
      </w:pPr>
    </w:p>
    <w:p>
      <w:pPr>
        <w:ind w:left="340" w:hanging="332"/>
        <w:spacing w:after="0" w:line="258" w:lineRule="auto"/>
        <w:tabs>
          <w:tab w:leader="none" w:pos="405"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2019. The aggregate balance is the sum of all participant and registrant contributions and investment earnings less any withdrawals or distributions.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Agreements and Other Arrangements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NEO has a written agreement with the Company, as summarized below and discussed under “Employment and Change of Control Agreements; Severance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Former CEO</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2019, Mr. De Shon entered into a Separation and Consulting Agreement with the Company. Pursuant to the terms of Mr. De Shon’s employment agreement with the Company, the Separation Agreement provides for cash severance in the amount of $6,000,000 and that stock-based awards scheduled to vest by the two-year anniversary of the separation date will immediately vest following the separation date; provided that any such awards that vest based on the achievement of specific objective performance goals will not vest in full, but will remain outstanding and become vested or forfeited as provided in accordance with the terms and conditions of the applicable award agreement. The Separation Agreement also provides continuation of certain specified perquisites for two years as well as certain health benefits and tax services related to Mr. De Shon’s assignment in the United Kingdom from 2011 to 2015. Under the terms of the Separation Agreement, Mr. De Shon received an additional cash severance payment of $1,500,000, an additional 23,359 RSUs, granted in 2019, were accelerated following separation, and Mr. De Shon entered into certain post-termination restrictive covenants, including non-disparagement. The Separation Agreement also provides for a one-year post-employment consulting arrangement with aggregate consulting fees of $1.0 million. Mr. De Shon’s consulting fees will be paid in full if the consulting arrangement is terminated by the Company for any reason other than for “cause” or due to death or disability.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Former President, International</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2019, the Company entered into a Separation Agreement with Mr. Servodidio in connection with his separation from the Company, which became effective on June 14, 2019. Previously, Mr. Servodidio was party to a severance agreement on substantially the same terms as described below for other NEOs (the “Prior Agreement”). The Separation Agreement generally provides for severance in accordance with the Prior Agreement, subject to a release condition and continuation of restricted covenants for 24 months post-separation, including non-competition and non-solicitation.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Former Interim CFO</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2017, the Company entered into a letter agreement with Mr. Smith in connection with his appointment as Interim CFO. In addition to providing for a minimum base salary of $575,000 and benefits generally available to our executive officers, including expatriate benefits, Mr. Smith’s agreement provides for an annual incentive award with a target amount equal to 80% of his base salary for any portion of any year in which he holds the Interim CFO role, subject to attainment of performance goals. In February 2019, Mr. Smith’s agreement was amended to provide that for a period of six months following Mr. Smith’s resignation from the Interim CFO role, Mr. Smith will provide transition and advisory services and will continue to be paid his current base salary. At the end of his period of employment, Mr. Smith was also entitled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cash payment of $912,500, upon execution of a release of claims to include post-termination restrictive covenants. In September 2019, Mr. Smith’s agreement was further amended through January 2020 so that Mr. Smith could continue to provide advisory services at a rate that was 50% of the base salary provided in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NEOs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of our other NEOs currently employed by the Company is party to a severance agreement with the Company, which provides that if the executive’s employment is terminated by us other than for “Cause” (as described below), disability or death, he will receive a lump-sum severance payout equal to 200% of the sum of base salary plus target incentive bonus, and perquisites to include, if applicable, car usage and financial planning for a period of up to 24 months. In addition, for our NEOs (other than our CHRO) in connection with such termination, each agreement also generally provides for accelerated vesting on termination of the stock-based awards which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Severance is contingent upon execution of a separation agreement containing a release of claims against the Company and non-competition covenants.</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Rankin is also party to an employment agreement under English law, which provides customary terms and conditions for employment in the United Kingdom, including non-competition and confidentiality provisions. In addition, Mr. North received an offer letter in connection with his commencement of employment, which set out his compensation described in the CD&amp;A under “Pay Decisions Related to 2019 Management Changes,” as well as perquisites as set forth in the Summary Compensation 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no NEO is entitled to any tax gross-up or other payments for any “golden parachute” excise taxes, interest or penalties.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Cause</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all our NEOs, “cause” is defined in the agreement for each NEO and generally includes the willful failure to substantially perform duties, any act of fraud, embezzlement or similar conduct and conviction of a felony.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Change-in-Control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 Under the Equity Plan:</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“Change in Control” is generally defined as (a) any person or entity is or becomes the “beneficial owner” of 50% or more of the combined voting power of the Company’s then outstanding voting securities; (b) a change in the majority of the members of the Board unless approved or recommended by a vote of at least a majority of the directors then still in office; (c) there is a merger or consolidation of the Company (other than when 50% or more of the voting power remains the same or a recapitalization where no person owns more than 50% of the voting power); or (d) shareholders of the Company approve a plan of complete liquidation or dissolution of the Company or there is a sale or disposition by the Company, of all or substantially all of the Company’s assets; and</w:t>
      </w:r>
    </w:p>
    <w:p>
      <w:pPr>
        <w:spacing w:after="0" w:line="12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Potential severance payments are described above, none of which are payable solely due to a Change in Control (as defined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Severance and Change of Control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and narrative below describes the potential severance payments for each NEO, as of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jc w:val="center"/>
              <w:ind w:right="72"/>
              <w:spacing w:after="0"/>
              <w:rPr>
                <w:sz w:val="20"/>
                <w:szCs w:val="20"/>
                <w:color w:val="auto"/>
              </w:rPr>
            </w:pPr>
            <w:r>
              <w:rPr>
                <w:rFonts w:ascii="Arial" w:cs="Arial" w:eastAsia="Arial" w:hAnsi="Arial"/>
                <w:sz w:val="16"/>
                <w:szCs w:val="16"/>
                <w:b w:val="1"/>
                <w:bCs w:val="1"/>
                <w:color w:val="auto"/>
              </w:rPr>
              <w:t>Accelerated</w:t>
            </w:r>
          </w:p>
        </w:tc>
        <w:tc>
          <w:tcPr>
            <w:tcW w:w="1620" w:type="dxa"/>
            <w:vAlign w:val="bottom"/>
          </w:tcPr>
          <w:p>
            <w:pPr>
              <w:jc w:val="center"/>
              <w:ind w:right="292"/>
              <w:spacing w:after="0"/>
              <w:rPr>
                <w:sz w:val="20"/>
                <w:szCs w:val="20"/>
                <w:color w:val="auto"/>
              </w:rPr>
            </w:pPr>
            <w:r>
              <w:rPr>
                <w:rFonts w:ascii="Arial" w:cs="Arial" w:eastAsia="Arial" w:hAnsi="Arial"/>
                <w:sz w:val="16"/>
                <w:szCs w:val="16"/>
                <w:b w:val="1"/>
                <w:bCs w:val="1"/>
                <w:color w:val="auto"/>
              </w:rPr>
              <w:t>Continuation</w:t>
            </w:r>
          </w:p>
        </w:tc>
        <w:tc>
          <w:tcPr>
            <w:tcW w:w="1260" w:type="dxa"/>
            <w:vAlign w:val="bottom"/>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Lump-Sum</w:t>
            </w:r>
          </w:p>
        </w:tc>
        <w:tc>
          <w:tcPr>
            <w:tcW w:w="1480" w:type="dxa"/>
            <w:vAlign w:val="bottom"/>
          </w:tcPr>
          <w:p>
            <w:pPr>
              <w:jc w:val="center"/>
              <w:ind w:right="52"/>
              <w:spacing w:after="0"/>
              <w:rPr>
                <w:sz w:val="20"/>
                <w:szCs w:val="20"/>
                <w:color w:val="auto"/>
              </w:rPr>
            </w:pPr>
            <w:r>
              <w:rPr>
                <w:rFonts w:ascii="Arial" w:cs="Arial" w:eastAsia="Arial" w:hAnsi="Arial"/>
                <w:sz w:val="16"/>
                <w:szCs w:val="16"/>
                <w:b w:val="1"/>
                <w:bCs w:val="1"/>
                <w:color w:val="auto"/>
              </w:rPr>
              <w:t>Vesting of</w:t>
            </w:r>
          </w:p>
        </w:tc>
        <w:tc>
          <w:tcPr>
            <w:tcW w:w="1620" w:type="dxa"/>
            <w:vAlign w:val="bottom"/>
          </w:tcPr>
          <w:p>
            <w:pPr>
              <w:jc w:val="center"/>
              <w:ind w:right="292"/>
              <w:spacing w:after="0"/>
              <w:rPr>
                <w:sz w:val="20"/>
                <w:szCs w:val="20"/>
                <w:color w:val="auto"/>
              </w:rPr>
            </w:pPr>
            <w:r>
              <w:rPr>
                <w:rFonts w:ascii="Arial" w:cs="Arial" w:eastAsia="Arial" w:hAnsi="Arial"/>
                <w:sz w:val="16"/>
                <w:szCs w:val="16"/>
                <w:b w:val="1"/>
                <w:bCs w:val="1"/>
                <w:color w:val="auto"/>
              </w:rPr>
              <w:t>of Benefits</w:t>
            </w:r>
          </w:p>
        </w:tc>
        <w:tc>
          <w:tcPr>
            <w:tcW w:w="1260" w:type="dxa"/>
            <w:vAlign w:val="bottom"/>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Severance</w:t>
            </w:r>
          </w:p>
        </w:tc>
        <w:tc>
          <w:tcPr>
            <w:tcW w:w="1480" w:type="dxa"/>
            <w:vAlign w:val="bottom"/>
          </w:tcPr>
          <w:p>
            <w:pPr>
              <w:jc w:val="center"/>
              <w:ind w:right="72"/>
              <w:spacing w:after="0"/>
              <w:rPr>
                <w:sz w:val="20"/>
                <w:szCs w:val="20"/>
                <w:color w:val="auto"/>
              </w:rPr>
            </w:pPr>
            <w:r>
              <w:rPr>
                <w:rFonts w:ascii="Arial" w:cs="Arial" w:eastAsia="Arial" w:hAnsi="Arial"/>
                <w:sz w:val="16"/>
                <w:szCs w:val="16"/>
                <w:b w:val="1"/>
                <w:bCs w:val="1"/>
                <w:color w:val="auto"/>
              </w:rPr>
              <w:t>Stock-based</w:t>
            </w:r>
          </w:p>
        </w:tc>
        <w:tc>
          <w:tcPr>
            <w:tcW w:w="1620" w:type="dxa"/>
            <w:vAlign w:val="bottom"/>
          </w:tcPr>
          <w:p>
            <w:pPr>
              <w:jc w:val="center"/>
              <w:ind w:right="272"/>
              <w:spacing w:after="0"/>
              <w:rPr>
                <w:sz w:val="20"/>
                <w:szCs w:val="20"/>
                <w:color w:val="auto"/>
              </w:rPr>
            </w:pPr>
            <w:r>
              <w:rPr>
                <w:rFonts w:ascii="Arial" w:cs="Arial" w:eastAsia="Arial" w:hAnsi="Arial"/>
                <w:sz w:val="16"/>
                <w:szCs w:val="16"/>
                <w:b w:val="1"/>
                <w:bCs w:val="1"/>
                <w:color w:val="auto"/>
              </w:rPr>
              <w:t>and</w:t>
            </w:r>
          </w:p>
        </w:tc>
        <w:tc>
          <w:tcPr>
            <w:tcW w:w="1260" w:type="dxa"/>
            <w:vAlign w:val="bottom"/>
          </w:tcPr>
          <w:p>
            <w:pPr>
              <w:spacing w:after="0"/>
              <w:rPr>
                <w:sz w:val="16"/>
                <w:szCs w:val="16"/>
                <w:color w:val="auto"/>
              </w:rPr>
            </w:pPr>
          </w:p>
        </w:tc>
      </w:tr>
      <w:tr>
        <w:trPr>
          <w:trHeight w:val="189"/>
        </w:trPr>
        <w:tc>
          <w:tcPr>
            <w:tcW w:w="49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Payment</w:t>
            </w:r>
          </w:p>
        </w:tc>
        <w:tc>
          <w:tcPr>
            <w:tcW w:w="1480" w:type="dxa"/>
            <w:vAlign w:val="bottom"/>
          </w:tcPr>
          <w:p>
            <w:pPr>
              <w:jc w:val="center"/>
              <w:ind w:right="52"/>
              <w:spacing w:after="0"/>
              <w:rPr>
                <w:sz w:val="20"/>
                <w:szCs w:val="20"/>
                <w:color w:val="auto"/>
              </w:rPr>
            </w:pPr>
            <w:r>
              <w:rPr>
                <w:rFonts w:ascii="Arial" w:cs="Arial" w:eastAsia="Arial" w:hAnsi="Arial"/>
                <w:sz w:val="16"/>
                <w:szCs w:val="16"/>
                <w:b w:val="1"/>
                <w:bCs w:val="1"/>
                <w:color w:val="auto"/>
              </w:rPr>
              <w:t>Awards</w:t>
            </w:r>
          </w:p>
        </w:tc>
        <w:tc>
          <w:tcPr>
            <w:tcW w:w="1620" w:type="dxa"/>
            <w:vAlign w:val="bottom"/>
          </w:tcPr>
          <w:p>
            <w:pPr>
              <w:jc w:val="center"/>
              <w:ind w:right="272"/>
              <w:spacing w:after="0"/>
              <w:rPr>
                <w:sz w:val="20"/>
                <w:szCs w:val="20"/>
                <w:color w:val="auto"/>
              </w:rPr>
            </w:pPr>
            <w:r>
              <w:rPr>
                <w:rFonts w:ascii="Arial" w:cs="Arial" w:eastAsia="Arial" w:hAnsi="Arial"/>
                <w:sz w:val="16"/>
                <w:szCs w:val="16"/>
                <w:b w:val="1"/>
                <w:bCs w:val="1"/>
                <w:color w:val="auto"/>
                <w:w w:val="99"/>
              </w:rPr>
              <w:t>Perquisites</w:t>
            </w:r>
          </w:p>
        </w:tc>
        <w:tc>
          <w:tcPr>
            <w:tcW w:w="126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Name and Triggering Event(a)</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9"/>
              </w:rPr>
              <w:t>($)(b)</w:t>
            </w:r>
          </w:p>
        </w:tc>
        <w:tc>
          <w:tcPr>
            <w:tcW w:w="1480" w:type="dxa"/>
            <w:vAlign w:val="bottom"/>
          </w:tcPr>
          <w:p>
            <w:pPr>
              <w:jc w:val="center"/>
              <w:ind w:right="72"/>
              <w:spacing w:after="0"/>
              <w:rPr>
                <w:sz w:val="20"/>
                <w:szCs w:val="20"/>
                <w:color w:val="auto"/>
              </w:rPr>
            </w:pPr>
            <w:r>
              <w:rPr>
                <w:rFonts w:ascii="Arial" w:cs="Arial" w:eastAsia="Arial" w:hAnsi="Arial"/>
                <w:sz w:val="16"/>
                <w:szCs w:val="16"/>
                <w:b w:val="1"/>
                <w:bCs w:val="1"/>
                <w:color w:val="auto"/>
              </w:rPr>
              <w:t>($)(c)</w:t>
            </w:r>
          </w:p>
        </w:tc>
        <w:tc>
          <w:tcPr>
            <w:tcW w:w="1620" w:type="dxa"/>
            <w:vAlign w:val="bottom"/>
          </w:tcPr>
          <w:p>
            <w:pPr>
              <w:jc w:val="center"/>
              <w:ind w:right="272"/>
              <w:spacing w:after="0"/>
              <w:rPr>
                <w:sz w:val="20"/>
                <w:szCs w:val="20"/>
                <w:color w:val="auto"/>
              </w:rPr>
            </w:pPr>
            <w:r>
              <w:rPr>
                <w:rFonts w:ascii="Arial" w:cs="Arial" w:eastAsia="Arial" w:hAnsi="Arial"/>
                <w:sz w:val="16"/>
                <w:szCs w:val="16"/>
                <w:b w:val="1"/>
                <w:bCs w:val="1"/>
                <w:color w:val="auto"/>
              </w:rPr>
              <w:t>($)(d)</w:t>
            </w: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w:t>
            </w:r>
          </w:p>
        </w:tc>
      </w:tr>
      <w:tr>
        <w:trPr>
          <w:trHeight w:val="40"/>
        </w:trPr>
        <w:tc>
          <w:tcPr>
            <w:tcW w:w="4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4980" w:type="dxa"/>
            <w:vAlign w:val="bottom"/>
            <w:shd w:val="clear" w:color="auto" w:fill="D1D3D4"/>
          </w:tcPr>
          <w:p>
            <w:pPr>
              <w:spacing w:after="0"/>
              <w:rPr>
                <w:sz w:val="20"/>
                <w:szCs w:val="20"/>
                <w:color w:val="auto"/>
              </w:rPr>
            </w:pPr>
            <w:r>
              <w:rPr>
                <w:rFonts w:ascii="Arial" w:cs="Arial" w:eastAsia="Arial" w:hAnsi="Arial"/>
                <w:sz w:val="18"/>
                <w:szCs w:val="18"/>
                <w:b w:val="1"/>
                <w:bCs w:val="1"/>
                <w:color w:val="auto"/>
              </w:rPr>
              <w:t>Mr. Ferraro</w:t>
            </w:r>
          </w:p>
        </w:tc>
        <w:tc>
          <w:tcPr>
            <w:tcW w:w="1540" w:type="dxa"/>
            <w:vAlign w:val="bottom"/>
            <w:shd w:val="clear" w:color="auto" w:fill="D1D3D4"/>
          </w:tcPr>
          <w:p>
            <w:pPr>
              <w:spacing w:after="0"/>
              <w:rPr>
                <w:sz w:val="22"/>
                <w:szCs w:val="22"/>
                <w:color w:val="auto"/>
              </w:rPr>
            </w:pPr>
          </w:p>
        </w:tc>
        <w:tc>
          <w:tcPr>
            <w:tcW w:w="1480" w:type="dxa"/>
            <w:vAlign w:val="bottom"/>
            <w:shd w:val="clear" w:color="auto" w:fill="D1D3D4"/>
          </w:tcPr>
          <w:p>
            <w:pPr>
              <w:spacing w:after="0"/>
              <w:rPr>
                <w:sz w:val="22"/>
                <w:szCs w:val="22"/>
                <w:color w:val="auto"/>
              </w:rPr>
            </w:pPr>
          </w:p>
        </w:tc>
        <w:tc>
          <w:tcPr>
            <w:tcW w:w="1620" w:type="dxa"/>
            <w:vAlign w:val="bottom"/>
            <w:shd w:val="clear" w:color="auto" w:fill="D1D3D4"/>
          </w:tcPr>
          <w:p>
            <w:pPr>
              <w:spacing w:after="0"/>
              <w:rPr>
                <w:sz w:val="22"/>
                <w:szCs w:val="22"/>
                <w:color w:val="auto"/>
              </w:rPr>
            </w:pPr>
          </w:p>
        </w:tc>
        <w:tc>
          <w:tcPr>
            <w:tcW w:w="1260" w:type="dxa"/>
            <w:vAlign w:val="bottom"/>
            <w:shd w:val="clear" w:color="auto" w:fill="D1D3D4"/>
          </w:tcPr>
          <w:p>
            <w:pPr>
              <w:spacing w:after="0"/>
              <w:rPr>
                <w:sz w:val="22"/>
                <w:szCs w:val="22"/>
                <w:color w:val="auto"/>
              </w:rPr>
            </w:pPr>
          </w:p>
        </w:tc>
      </w:tr>
      <w:tr>
        <w:trPr>
          <w:trHeight w:val="28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Resignation or Termination by Company for Cause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Termination due to Death or Disability</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1,022,250</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4,349,660</w:t>
            </w:r>
          </w:p>
        </w:tc>
        <w:tc>
          <w:tcPr>
            <w:tcW w:w="1620" w:type="dxa"/>
            <w:vAlign w:val="bottom"/>
            <w:shd w:val="clear" w:color="auto" w:fill="D1D3D4"/>
          </w:tcPr>
          <w:p>
            <w:pPr>
              <w:spacing w:after="0"/>
              <w:rPr>
                <w:sz w:val="24"/>
                <w:szCs w:val="24"/>
                <w:color w:val="auto"/>
              </w:rPr>
            </w:pP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5,371,910</w:t>
            </w:r>
          </w:p>
        </w:tc>
      </w:tr>
      <w:tr>
        <w:trPr>
          <w:trHeight w:val="28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Termination by Company without Cause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3,000,000</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3,423,759</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93,269</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6,517,028</w:t>
            </w:r>
          </w:p>
        </w:tc>
      </w:tr>
      <w:tr>
        <w:trPr>
          <w:trHeight w:val="229"/>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Change of Control Transaction and Termination by Company</w:t>
            </w:r>
          </w:p>
        </w:tc>
        <w:tc>
          <w:tcPr>
            <w:tcW w:w="1540" w:type="dxa"/>
            <w:vAlign w:val="bottom"/>
            <w:shd w:val="clear" w:color="auto" w:fill="D1D3D4"/>
          </w:tcPr>
          <w:p>
            <w:pPr>
              <w:spacing w:after="0"/>
              <w:rPr>
                <w:sz w:val="19"/>
                <w:szCs w:val="19"/>
                <w:color w:val="auto"/>
              </w:rPr>
            </w:pPr>
          </w:p>
        </w:tc>
        <w:tc>
          <w:tcPr>
            <w:tcW w:w="1480" w:type="dxa"/>
            <w:vAlign w:val="bottom"/>
            <w:shd w:val="clear" w:color="auto" w:fill="D1D3D4"/>
          </w:tcPr>
          <w:p>
            <w:pPr>
              <w:spacing w:after="0"/>
              <w:rPr>
                <w:sz w:val="19"/>
                <w:szCs w:val="19"/>
                <w:color w:val="auto"/>
              </w:rPr>
            </w:pPr>
          </w:p>
        </w:tc>
        <w:tc>
          <w:tcPr>
            <w:tcW w:w="1620" w:type="dxa"/>
            <w:vAlign w:val="bottom"/>
            <w:shd w:val="clear" w:color="auto" w:fill="D1D3D4"/>
          </w:tcPr>
          <w:p>
            <w:pPr>
              <w:spacing w:after="0"/>
              <w:rPr>
                <w:sz w:val="19"/>
                <w:szCs w:val="19"/>
                <w:color w:val="auto"/>
              </w:rPr>
            </w:pPr>
          </w:p>
        </w:tc>
        <w:tc>
          <w:tcPr>
            <w:tcW w:w="1260" w:type="dxa"/>
            <w:vAlign w:val="bottom"/>
            <w:shd w:val="clear" w:color="auto" w:fill="D1D3D4"/>
          </w:tcPr>
          <w:p>
            <w:pPr>
              <w:spacing w:after="0"/>
              <w:rPr>
                <w:sz w:val="19"/>
                <w:szCs w:val="19"/>
                <w:color w:val="auto"/>
              </w:rPr>
            </w:pPr>
          </w:p>
        </w:tc>
      </w:tr>
      <w:tr>
        <w:trPr>
          <w:trHeight w:val="217"/>
        </w:trPr>
        <w:tc>
          <w:tcPr>
            <w:tcW w:w="4980" w:type="dxa"/>
            <w:vAlign w:val="bottom"/>
            <w:shd w:val="clear" w:color="auto" w:fill="D1D3D4"/>
          </w:tcPr>
          <w:p>
            <w:pPr>
              <w:ind w:left="340"/>
              <w:spacing w:after="0"/>
              <w:rPr>
                <w:sz w:val="20"/>
                <w:szCs w:val="20"/>
                <w:color w:val="auto"/>
              </w:rPr>
            </w:pPr>
            <w:r>
              <w:rPr>
                <w:rFonts w:ascii="Arial" w:cs="Arial" w:eastAsia="Arial" w:hAnsi="Arial"/>
                <w:sz w:val="18"/>
                <w:szCs w:val="18"/>
                <w:color w:val="auto"/>
              </w:rPr>
              <w:t>without Cause or due to a Constructive Discharge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3,000,000</w:t>
            </w:r>
          </w:p>
        </w:tc>
        <w:tc>
          <w:tcPr>
            <w:tcW w:w="1480" w:type="dxa"/>
            <w:vAlign w:val="bottom"/>
            <w:shd w:val="clear" w:color="auto" w:fill="D1D3D4"/>
          </w:tcPr>
          <w:p>
            <w:pPr>
              <w:jc w:val="right"/>
              <w:ind w:right="72"/>
              <w:spacing w:after="0"/>
              <w:rPr>
                <w:sz w:val="20"/>
                <w:szCs w:val="20"/>
                <w:color w:val="auto"/>
              </w:rPr>
            </w:pPr>
            <w:r>
              <w:rPr>
                <w:rFonts w:ascii="Arial" w:cs="Arial" w:eastAsia="Arial" w:hAnsi="Arial"/>
                <w:sz w:val="18"/>
                <w:szCs w:val="18"/>
                <w:color w:val="auto"/>
              </w:rPr>
              <w:t>4,349,660</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93,269</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7,442,929</w:t>
            </w:r>
          </w:p>
        </w:tc>
      </w:tr>
      <w:tr>
        <w:trPr>
          <w:trHeight w:val="302"/>
        </w:trPr>
        <w:tc>
          <w:tcPr>
            <w:tcW w:w="4980" w:type="dxa"/>
            <w:vAlign w:val="bottom"/>
            <w:tcBorders>
              <w:bottom w:val="single" w:sz="8" w:color="D1D3D4"/>
            </w:tcBorders>
            <w:shd w:val="clear" w:color="auto" w:fill="D1D3D4"/>
          </w:tcPr>
          <w:p>
            <w:pPr>
              <w:spacing w:after="0"/>
              <w:rPr>
                <w:sz w:val="20"/>
                <w:szCs w:val="20"/>
                <w:color w:val="auto"/>
              </w:rPr>
            </w:pPr>
            <w:r>
              <w:rPr>
                <w:rFonts w:ascii="Arial" w:cs="Arial" w:eastAsia="Arial" w:hAnsi="Arial"/>
                <w:sz w:val="18"/>
                <w:szCs w:val="18"/>
                <w:color w:val="auto"/>
              </w:rPr>
              <w:t>Change of Control Transaction without Termination</w:t>
            </w:r>
          </w:p>
        </w:tc>
        <w:tc>
          <w:tcPr>
            <w:tcW w:w="1540" w:type="dxa"/>
            <w:vAlign w:val="bottom"/>
            <w:tcBorders>
              <w:bottom w:val="single" w:sz="8" w:color="D1D3D4"/>
            </w:tcBorders>
            <w:shd w:val="clear" w:color="auto" w:fill="D1D3D4"/>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D1D3D4"/>
            </w:tcBorders>
            <w:shd w:val="clear" w:color="auto" w:fill="D1D3D4"/>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D1D3D4"/>
            </w:tcBorders>
            <w:shd w:val="clear" w:color="auto" w:fill="D1D3D4"/>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Mr. North</w:t>
            </w:r>
          </w:p>
        </w:tc>
        <w:tc>
          <w:tcPr>
            <w:tcW w:w="15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83"/>
        </w:trPr>
        <w:tc>
          <w:tcPr>
            <w:tcW w:w="4980" w:type="dxa"/>
            <w:vAlign w:val="bottom"/>
          </w:tcPr>
          <w:p>
            <w:pPr>
              <w:spacing w:after="0"/>
              <w:rPr>
                <w:sz w:val="20"/>
                <w:szCs w:val="20"/>
                <w:color w:val="auto"/>
              </w:rPr>
            </w:pPr>
            <w:r>
              <w:rPr>
                <w:rFonts w:ascii="Arial" w:cs="Arial" w:eastAsia="Arial" w:hAnsi="Arial"/>
                <w:sz w:val="18"/>
                <w:szCs w:val="18"/>
                <w:color w:val="auto"/>
              </w:rPr>
              <w:t>Resignation or Termination by Company for Cause</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4980" w:type="dxa"/>
            <w:vAlign w:val="bottom"/>
          </w:tcPr>
          <w:p>
            <w:pPr>
              <w:spacing w:after="0"/>
              <w:rPr>
                <w:sz w:val="20"/>
                <w:szCs w:val="20"/>
                <w:color w:val="auto"/>
              </w:rPr>
            </w:pPr>
            <w:r>
              <w:rPr>
                <w:rFonts w:ascii="Arial" w:cs="Arial" w:eastAsia="Arial" w:hAnsi="Arial"/>
                <w:sz w:val="18"/>
                <w:szCs w:val="18"/>
                <w:color w:val="auto"/>
              </w:rPr>
              <w:t>Termination due to Death or Disability</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481,007</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3,763,633</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4,244,640</w:t>
            </w:r>
          </w:p>
        </w:tc>
      </w:tr>
      <w:tr>
        <w:trPr>
          <w:trHeight w:val="284"/>
        </w:trPr>
        <w:tc>
          <w:tcPr>
            <w:tcW w:w="4980" w:type="dxa"/>
            <w:vAlign w:val="bottom"/>
          </w:tcPr>
          <w:p>
            <w:pPr>
              <w:spacing w:after="0"/>
              <w:rPr>
                <w:sz w:val="20"/>
                <w:szCs w:val="20"/>
                <w:color w:val="auto"/>
              </w:rPr>
            </w:pPr>
            <w:r>
              <w:rPr>
                <w:rFonts w:ascii="Arial" w:cs="Arial" w:eastAsia="Arial" w:hAnsi="Arial"/>
                <w:sz w:val="18"/>
                <w:szCs w:val="18"/>
                <w:color w:val="auto"/>
              </w:rPr>
              <w:t>Termination by Company without Cause</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2,400,000</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2,398,301</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46,594</w:t>
            </w:r>
          </w:p>
        </w:tc>
        <w:tc>
          <w:tcPr>
            <w:tcW w:w="1260" w:type="dxa"/>
            <w:vAlign w:val="bottom"/>
          </w:tcPr>
          <w:p>
            <w:pPr>
              <w:jc w:val="right"/>
              <w:spacing w:after="0"/>
              <w:rPr>
                <w:sz w:val="20"/>
                <w:szCs w:val="20"/>
                <w:color w:val="auto"/>
              </w:rPr>
            </w:pPr>
            <w:r>
              <w:rPr>
                <w:rFonts w:ascii="Arial" w:cs="Arial" w:eastAsia="Arial" w:hAnsi="Arial"/>
                <w:sz w:val="18"/>
                <w:szCs w:val="18"/>
                <w:color w:val="auto"/>
              </w:rPr>
              <w:t>4,844,895</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Change of Control Transaction and Termination by Company</w:t>
            </w: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7"/>
        </w:trPr>
        <w:tc>
          <w:tcPr>
            <w:tcW w:w="4980" w:type="dxa"/>
            <w:vAlign w:val="bottom"/>
          </w:tcPr>
          <w:p>
            <w:pPr>
              <w:ind w:left="340"/>
              <w:spacing w:after="0"/>
              <w:rPr>
                <w:sz w:val="20"/>
                <w:szCs w:val="20"/>
                <w:color w:val="auto"/>
              </w:rPr>
            </w:pPr>
            <w:r>
              <w:rPr>
                <w:rFonts w:ascii="Arial" w:cs="Arial" w:eastAsia="Arial" w:hAnsi="Arial"/>
                <w:sz w:val="18"/>
                <w:szCs w:val="18"/>
                <w:color w:val="auto"/>
              </w:rPr>
              <w:t>without Cause or due to Constructive Discharge</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2,400,000</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3,763,633</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46,594</w:t>
            </w:r>
          </w:p>
        </w:tc>
        <w:tc>
          <w:tcPr>
            <w:tcW w:w="1260" w:type="dxa"/>
            <w:vAlign w:val="bottom"/>
          </w:tcPr>
          <w:p>
            <w:pPr>
              <w:jc w:val="right"/>
              <w:spacing w:after="0"/>
              <w:rPr>
                <w:sz w:val="20"/>
                <w:szCs w:val="20"/>
                <w:color w:val="auto"/>
              </w:rPr>
            </w:pPr>
            <w:r>
              <w:rPr>
                <w:rFonts w:ascii="Arial" w:cs="Arial" w:eastAsia="Arial" w:hAnsi="Arial"/>
                <w:sz w:val="18"/>
                <w:szCs w:val="18"/>
                <w:color w:val="auto"/>
              </w:rPr>
              <w:t>6,210,227</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Change of Control Transaction without Termination</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D1D3D4"/>
          </w:tcPr>
          <w:p>
            <w:pPr>
              <w:spacing w:after="0"/>
              <w:rPr>
                <w:sz w:val="20"/>
                <w:szCs w:val="20"/>
                <w:color w:val="auto"/>
              </w:rPr>
            </w:pPr>
            <w:r>
              <w:rPr>
                <w:rFonts w:ascii="Arial" w:cs="Arial" w:eastAsia="Arial" w:hAnsi="Arial"/>
                <w:sz w:val="18"/>
                <w:szCs w:val="18"/>
                <w:b w:val="1"/>
                <w:bCs w:val="1"/>
                <w:color w:val="auto"/>
              </w:rPr>
              <w:t>Mr. Rankin</w:t>
            </w:r>
          </w:p>
        </w:tc>
        <w:tc>
          <w:tcPr>
            <w:tcW w:w="1540" w:type="dxa"/>
            <w:vAlign w:val="bottom"/>
            <w:shd w:val="clear" w:color="auto" w:fill="D1D3D4"/>
          </w:tcPr>
          <w:p>
            <w:pPr>
              <w:spacing w:after="0"/>
              <w:rPr>
                <w:sz w:val="21"/>
                <w:szCs w:val="21"/>
                <w:color w:val="auto"/>
              </w:rPr>
            </w:pPr>
          </w:p>
        </w:tc>
        <w:tc>
          <w:tcPr>
            <w:tcW w:w="1480" w:type="dxa"/>
            <w:vAlign w:val="bottom"/>
            <w:shd w:val="clear" w:color="auto" w:fill="D1D3D4"/>
          </w:tcPr>
          <w:p>
            <w:pPr>
              <w:spacing w:after="0"/>
              <w:rPr>
                <w:sz w:val="21"/>
                <w:szCs w:val="21"/>
                <w:color w:val="auto"/>
              </w:rPr>
            </w:pPr>
          </w:p>
        </w:tc>
        <w:tc>
          <w:tcPr>
            <w:tcW w:w="1620" w:type="dxa"/>
            <w:vAlign w:val="bottom"/>
            <w:shd w:val="clear" w:color="auto" w:fill="D1D3D4"/>
          </w:tcPr>
          <w:p>
            <w:pPr>
              <w:spacing w:after="0"/>
              <w:rPr>
                <w:sz w:val="21"/>
                <w:szCs w:val="21"/>
                <w:color w:val="auto"/>
              </w:rPr>
            </w:pPr>
          </w:p>
        </w:tc>
        <w:tc>
          <w:tcPr>
            <w:tcW w:w="1260" w:type="dxa"/>
            <w:vAlign w:val="bottom"/>
            <w:shd w:val="clear" w:color="auto" w:fill="D1D3D4"/>
          </w:tcPr>
          <w:p>
            <w:pPr>
              <w:spacing w:after="0"/>
              <w:rPr>
                <w:sz w:val="21"/>
                <w:szCs w:val="21"/>
                <w:color w:val="auto"/>
              </w:rPr>
            </w:pPr>
          </w:p>
        </w:tc>
      </w:tr>
      <w:tr>
        <w:trPr>
          <w:trHeight w:val="28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Resignation or Termination by Company for Cause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Termination due to Death or Disability</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2,066,036</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2,066,036</w:t>
            </w:r>
          </w:p>
        </w:tc>
      </w:tr>
      <w:tr>
        <w:trPr>
          <w:trHeight w:val="28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Termination by Company without Cause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2,121,172</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1,033,002</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58,718</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3,212,892</w:t>
            </w:r>
          </w:p>
        </w:tc>
      </w:tr>
      <w:tr>
        <w:trPr>
          <w:trHeight w:val="229"/>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Change of Control Transaction and Termination by Company</w:t>
            </w:r>
          </w:p>
        </w:tc>
        <w:tc>
          <w:tcPr>
            <w:tcW w:w="1540" w:type="dxa"/>
            <w:vAlign w:val="bottom"/>
            <w:shd w:val="clear" w:color="auto" w:fill="D1D3D4"/>
          </w:tcPr>
          <w:p>
            <w:pPr>
              <w:spacing w:after="0"/>
              <w:rPr>
                <w:sz w:val="19"/>
                <w:szCs w:val="19"/>
                <w:color w:val="auto"/>
              </w:rPr>
            </w:pPr>
          </w:p>
        </w:tc>
        <w:tc>
          <w:tcPr>
            <w:tcW w:w="1480" w:type="dxa"/>
            <w:vAlign w:val="bottom"/>
            <w:shd w:val="clear" w:color="auto" w:fill="D1D3D4"/>
          </w:tcPr>
          <w:p>
            <w:pPr>
              <w:spacing w:after="0"/>
              <w:rPr>
                <w:sz w:val="19"/>
                <w:szCs w:val="19"/>
                <w:color w:val="auto"/>
              </w:rPr>
            </w:pPr>
          </w:p>
        </w:tc>
        <w:tc>
          <w:tcPr>
            <w:tcW w:w="1620" w:type="dxa"/>
            <w:vAlign w:val="bottom"/>
            <w:shd w:val="clear" w:color="auto" w:fill="D1D3D4"/>
          </w:tcPr>
          <w:p>
            <w:pPr>
              <w:spacing w:after="0"/>
              <w:rPr>
                <w:sz w:val="19"/>
                <w:szCs w:val="19"/>
                <w:color w:val="auto"/>
              </w:rPr>
            </w:pPr>
          </w:p>
        </w:tc>
        <w:tc>
          <w:tcPr>
            <w:tcW w:w="1260" w:type="dxa"/>
            <w:vAlign w:val="bottom"/>
            <w:shd w:val="clear" w:color="auto" w:fill="D1D3D4"/>
          </w:tcPr>
          <w:p>
            <w:pPr>
              <w:spacing w:after="0"/>
              <w:rPr>
                <w:sz w:val="19"/>
                <w:szCs w:val="19"/>
                <w:color w:val="auto"/>
              </w:rPr>
            </w:pPr>
          </w:p>
        </w:tc>
      </w:tr>
      <w:tr>
        <w:trPr>
          <w:trHeight w:val="217"/>
        </w:trPr>
        <w:tc>
          <w:tcPr>
            <w:tcW w:w="4980" w:type="dxa"/>
            <w:vAlign w:val="bottom"/>
            <w:shd w:val="clear" w:color="auto" w:fill="D1D3D4"/>
          </w:tcPr>
          <w:p>
            <w:pPr>
              <w:ind w:left="340"/>
              <w:spacing w:after="0"/>
              <w:rPr>
                <w:sz w:val="20"/>
                <w:szCs w:val="20"/>
                <w:color w:val="auto"/>
              </w:rPr>
            </w:pPr>
            <w:r>
              <w:rPr>
                <w:rFonts w:ascii="Arial" w:cs="Arial" w:eastAsia="Arial" w:hAnsi="Arial"/>
                <w:sz w:val="18"/>
                <w:szCs w:val="18"/>
                <w:color w:val="auto"/>
              </w:rPr>
              <w:t>without Cause or due to a Constructive Discharge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2,121,172</w:t>
            </w:r>
          </w:p>
        </w:tc>
        <w:tc>
          <w:tcPr>
            <w:tcW w:w="1480" w:type="dxa"/>
            <w:vAlign w:val="bottom"/>
            <w:shd w:val="clear" w:color="auto" w:fill="D1D3D4"/>
          </w:tcPr>
          <w:p>
            <w:pPr>
              <w:jc w:val="right"/>
              <w:ind w:right="72"/>
              <w:spacing w:after="0"/>
              <w:rPr>
                <w:sz w:val="20"/>
                <w:szCs w:val="20"/>
                <w:color w:val="auto"/>
              </w:rPr>
            </w:pPr>
            <w:r>
              <w:rPr>
                <w:rFonts w:ascii="Arial" w:cs="Arial" w:eastAsia="Arial" w:hAnsi="Arial"/>
                <w:sz w:val="18"/>
                <w:szCs w:val="18"/>
                <w:color w:val="auto"/>
              </w:rPr>
              <w:t>2,066,036</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58,718</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4,245,926</w:t>
            </w:r>
          </w:p>
        </w:tc>
      </w:tr>
      <w:tr>
        <w:trPr>
          <w:trHeight w:val="302"/>
        </w:trPr>
        <w:tc>
          <w:tcPr>
            <w:tcW w:w="4980" w:type="dxa"/>
            <w:vAlign w:val="bottom"/>
            <w:tcBorders>
              <w:bottom w:val="single" w:sz="8" w:color="D1D3D4"/>
            </w:tcBorders>
            <w:shd w:val="clear" w:color="auto" w:fill="D1D3D4"/>
          </w:tcPr>
          <w:p>
            <w:pPr>
              <w:spacing w:after="0"/>
              <w:rPr>
                <w:sz w:val="20"/>
                <w:szCs w:val="20"/>
                <w:color w:val="auto"/>
              </w:rPr>
            </w:pPr>
            <w:r>
              <w:rPr>
                <w:rFonts w:ascii="Arial" w:cs="Arial" w:eastAsia="Arial" w:hAnsi="Arial"/>
                <w:sz w:val="18"/>
                <w:szCs w:val="18"/>
                <w:color w:val="auto"/>
              </w:rPr>
              <w:t>Change of Control Transaction without Termination</w:t>
            </w:r>
          </w:p>
        </w:tc>
        <w:tc>
          <w:tcPr>
            <w:tcW w:w="1540" w:type="dxa"/>
            <w:vAlign w:val="bottom"/>
            <w:tcBorders>
              <w:bottom w:val="single" w:sz="8" w:color="D1D3D4"/>
            </w:tcBorders>
            <w:shd w:val="clear" w:color="auto" w:fill="D1D3D4"/>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D1D3D4"/>
            </w:tcBorders>
            <w:shd w:val="clear" w:color="auto" w:fill="D1D3D4"/>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D1D3D4"/>
            </w:tcBorders>
            <w:shd w:val="clear" w:color="auto" w:fill="D1D3D4"/>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Mr. Linnen</w:t>
            </w:r>
          </w:p>
        </w:tc>
        <w:tc>
          <w:tcPr>
            <w:tcW w:w="15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83"/>
        </w:trPr>
        <w:tc>
          <w:tcPr>
            <w:tcW w:w="4980" w:type="dxa"/>
            <w:vAlign w:val="bottom"/>
          </w:tcPr>
          <w:p>
            <w:pPr>
              <w:spacing w:after="0"/>
              <w:rPr>
                <w:sz w:val="20"/>
                <w:szCs w:val="20"/>
                <w:color w:val="auto"/>
              </w:rPr>
            </w:pPr>
            <w:r>
              <w:rPr>
                <w:rFonts w:ascii="Arial" w:cs="Arial" w:eastAsia="Arial" w:hAnsi="Arial"/>
                <w:sz w:val="18"/>
                <w:szCs w:val="18"/>
                <w:color w:val="auto"/>
              </w:rPr>
              <w:t>Resignation or Termination by Company for Cause</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980" w:type="dxa"/>
            <w:vAlign w:val="bottom"/>
          </w:tcPr>
          <w:p>
            <w:pPr>
              <w:spacing w:after="0"/>
              <w:rPr>
                <w:sz w:val="20"/>
                <w:szCs w:val="20"/>
                <w:color w:val="auto"/>
              </w:rPr>
            </w:pPr>
            <w:r>
              <w:rPr>
                <w:rFonts w:ascii="Arial" w:cs="Arial" w:eastAsia="Arial" w:hAnsi="Arial"/>
                <w:sz w:val="18"/>
                <w:szCs w:val="18"/>
                <w:color w:val="auto"/>
              </w:rPr>
              <w:t>Termination due to Death or Disability</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398,438</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1,012,820</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1,411,258</w:t>
            </w:r>
          </w:p>
        </w:tc>
      </w:tr>
      <w:tr>
        <w:trPr>
          <w:trHeight w:val="283"/>
        </w:trPr>
        <w:tc>
          <w:tcPr>
            <w:tcW w:w="4980" w:type="dxa"/>
            <w:vAlign w:val="bottom"/>
          </w:tcPr>
          <w:p>
            <w:pPr>
              <w:spacing w:after="0"/>
              <w:rPr>
                <w:sz w:val="20"/>
                <w:szCs w:val="20"/>
                <w:color w:val="auto"/>
              </w:rPr>
            </w:pPr>
            <w:r>
              <w:rPr>
                <w:rFonts w:ascii="Arial" w:cs="Arial" w:eastAsia="Arial" w:hAnsi="Arial"/>
                <w:sz w:val="18"/>
                <w:szCs w:val="18"/>
                <w:color w:val="auto"/>
              </w:rPr>
              <w:t>Termination by Company without Cause</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1,750,000</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39,660</w:t>
            </w:r>
          </w:p>
        </w:tc>
        <w:tc>
          <w:tcPr>
            <w:tcW w:w="1260" w:type="dxa"/>
            <w:vAlign w:val="bottom"/>
          </w:tcPr>
          <w:p>
            <w:pPr>
              <w:jc w:val="right"/>
              <w:spacing w:after="0"/>
              <w:rPr>
                <w:sz w:val="20"/>
                <w:szCs w:val="20"/>
                <w:color w:val="auto"/>
              </w:rPr>
            </w:pPr>
            <w:r>
              <w:rPr>
                <w:rFonts w:ascii="Arial" w:cs="Arial" w:eastAsia="Arial" w:hAnsi="Arial"/>
                <w:sz w:val="18"/>
                <w:szCs w:val="18"/>
                <w:color w:val="auto"/>
              </w:rPr>
              <w:t>1,789,660</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Change of Control Transaction and Termination by Company</w:t>
            </w: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7"/>
        </w:trPr>
        <w:tc>
          <w:tcPr>
            <w:tcW w:w="4980" w:type="dxa"/>
            <w:vAlign w:val="bottom"/>
          </w:tcPr>
          <w:p>
            <w:pPr>
              <w:ind w:left="340"/>
              <w:spacing w:after="0"/>
              <w:rPr>
                <w:sz w:val="20"/>
                <w:szCs w:val="20"/>
                <w:color w:val="auto"/>
              </w:rPr>
            </w:pPr>
            <w:r>
              <w:rPr>
                <w:rFonts w:ascii="Arial" w:cs="Arial" w:eastAsia="Arial" w:hAnsi="Arial"/>
                <w:sz w:val="18"/>
                <w:szCs w:val="18"/>
                <w:color w:val="auto"/>
              </w:rPr>
              <w:t>without Cause or due to a Constructive Discharge</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1,750,000</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1,012,820</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39,660</w:t>
            </w:r>
          </w:p>
        </w:tc>
        <w:tc>
          <w:tcPr>
            <w:tcW w:w="1260" w:type="dxa"/>
            <w:vAlign w:val="bottom"/>
          </w:tcPr>
          <w:p>
            <w:pPr>
              <w:jc w:val="right"/>
              <w:spacing w:after="0"/>
              <w:rPr>
                <w:sz w:val="20"/>
                <w:szCs w:val="20"/>
                <w:color w:val="auto"/>
              </w:rPr>
            </w:pPr>
            <w:r>
              <w:rPr>
                <w:rFonts w:ascii="Arial" w:cs="Arial" w:eastAsia="Arial" w:hAnsi="Arial"/>
                <w:sz w:val="18"/>
                <w:szCs w:val="18"/>
                <w:color w:val="auto"/>
              </w:rPr>
              <w:t>2,802,480</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Change of Control Transaction without Termination</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D1D3D4"/>
          </w:tcPr>
          <w:p>
            <w:pPr>
              <w:spacing w:after="0"/>
              <w:rPr>
                <w:sz w:val="20"/>
                <w:szCs w:val="20"/>
                <w:color w:val="auto"/>
              </w:rPr>
            </w:pPr>
            <w:r>
              <w:rPr>
                <w:rFonts w:ascii="Arial" w:cs="Arial" w:eastAsia="Arial" w:hAnsi="Arial"/>
                <w:sz w:val="18"/>
                <w:szCs w:val="18"/>
                <w:b w:val="1"/>
                <w:bCs w:val="1"/>
                <w:color w:val="auto"/>
              </w:rPr>
              <w:t>Mr. De Shon</w:t>
            </w:r>
          </w:p>
        </w:tc>
        <w:tc>
          <w:tcPr>
            <w:tcW w:w="1540" w:type="dxa"/>
            <w:vAlign w:val="bottom"/>
            <w:shd w:val="clear" w:color="auto" w:fill="D1D3D4"/>
          </w:tcPr>
          <w:p>
            <w:pPr>
              <w:spacing w:after="0"/>
              <w:rPr>
                <w:sz w:val="21"/>
                <w:szCs w:val="21"/>
                <w:color w:val="auto"/>
              </w:rPr>
            </w:pPr>
          </w:p>
        </w:tc>
        <w:tc>
          <w:tcPr>
            <w:tcW w:w="1480" w:type="dxa"/>
            <w:vAlign w:val="bottom"/>
            <w:shd w:val="clear" w:color="auto" w:fill="D1D3D4"/>
          </w:tcPr>
          <w:p>
            <w:pPr>
              <w:spacing w:after="0"/>
              <w:rPr>
                <w:sz w:val="21"/>
                <w:szCs w:val="21"/>
                <w:color w:val="auto"/>
              </w:rPr>
            </w:pPr>
          </w:p>
        </w:tc>
        <w:tc>
          <w:tcPr>
            <w:tcW w:w="1620" w:type="dxa"/>
            <w:vAlign w:val="bottom"/>
            <w:shd w:val="clear" w:color="auto" w:fill="D1D3D4"/>
          </w:tcPr>
          <w:p>
            <w:pPr>
              <w:spacing w:after="0"/>
              <w:rPr>
                <w:sz w:val="21"/>
                <w:szCs w:val="21"/>
                <w:color w:val="auto"/>
              </w:rPr>
            </w:pPr>
          </w:p>
        </w:tc>
        <w:tc>
          <w:tcPr>
            <w:tcW w:w="1260" w:type="dxa"/>
            <w:vAlign w:val="bottom"/>
            <w:shd w:val="clear" w:color="auto" w:fill="D1D3D4"/>
          </w:tcPr>
          <w:p>
            <w:pPr>
              <w:spacing w:after="0"/>
              <w:rPr>
                <w:sz w:val="21"/>
                <w:szCs w:val="21"/>
                <w:color w:val="auto"/>
              </w:rPr>
            </w:pPr>
          </w:p>
        </w:tc>
      </w:tr>
      <w:tr>
        <w:trPr>
          <w:trHeight w:val="28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Resignation or Termination by Company for Cause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3D4"/>
          </w:tcPr>
          <w:p>
            <w:pPr>
              <w:spacing w:after="0"/>
              <w:rPr>
                <w:sz w:val="24"/>
                <w:szCs w:val="24"/>
                <w:color w:val="auto"/>
              </w:rPr>
            </w:pPr>
          </w:p>
        </w:tc>
      </w:tr>
      <w:tr>
        <w:trPr>
          <w:trHeight w:val="28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Termination due to Death or Disability</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1,800,000</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9,192,494</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29,263</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11,021,757</w:t>
            </w:r>
          </w:p>
        </w:tc>
      </w:tr>
      <w:tr>
        <w:trPr>
          <w:trHeight w:val="229"/>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Termination by Company without Cause or due to</w:t>
            </w:r>
          </w:p>
        </w:tc>
        <w:tc>
          <w:tcPr>
            <w:tcW w:w="1540" w:type="dxa"/>
            <w:vAlign w:val="bottom"/>
            <w:shd w:val="clear" w:color="auto" w:fill="D1D3D4"/>
          </w:tcPr>
          <w:p>
            <w:pPr>
              <w:spacing w:after="0"/>
              <w:rPr>
                <w:sz w:val="19"/>
                <w:szCs w:val="19"/>
                <w:color w:val="auto"/>
              </w:rPr>
            </w:pPr>
          </w:p>
        </w:tc>
        <w:tc>
          <w:tcPr>
            <w:tcW w:w="1480" w:type="dxa"/>
            <w:vAlign w:val="bottom"/>
            <w:shd w:val="clear" w:color="auto" w:fill="D1D3D4"/>
          </w:tcPr>
          <w:p>
            <w:pPr>
              <w:spacing w:after="0"/>
              <w:rPr>
                <w:sz w:val="19"/>
                <w:szCs w:val="19"/>
                <w:color w:val="auto"/>
              </w:rPr>
            </w:pPr>
          </w:p>
        </w:tc>
        <w:tc>
          <w:tcPr>
            <w:tcW w:w="1620" w:type="dxa"/>
            <w:vAlign w:val="bottom"/>
            <w:shd w:val="clear" w:color="auto" w:fill="D1D3D4"/>
          </w:tcPr>
          <w:p>
            <w:pPr>
              <w:spacing w:after="0"/>
              <w:rPr>
                <w:sz w:val="19"/>
                <w:szCs w:val="19"/>
                <w:color w:val="auto"/>
              </w:rPr>
            </w:pPr>
          </w:p>
        </w:tc>
        <w:tc>
          <w:tcPr>
            <w:tcW w:w="1260" w:type="dxa"/>
            <w:vAlign w:val="bottom"/>
            <w:shd w:val="clear" w:color="auto" w:fill="D1D3D4"/>
          </w:tcPr>
          <w:p>
            <w:pPr>
              <w:spacing w:after="0"/>
              <w:rPr>
                <w:sz w:val="19"/>
                <w:szCs w:val="19"/>
                <w:color w:val="auto"/>
              </w:rPr>
            </w:pPr>
          </w:p>
        </w:tc>
      </w:tr>
      <w:tr>
        <w:trPr>
          <w:trHeight w:val="217"/>
        </w:trPr>
        <w:tc>
          <w:tcPr>
            <w:tcW w:w="4980" w:type="dxa"/>
            <w:vAlign w:val="bottom"/>
            <w:shd w:val="clear" w:color="auto" w:fill="D1D3D4"/>
          </w:tcPr>
          <w:p>
            <w:pPr>
              <w:ind w:left="340"/>
              <w:spacing w:after="0"/>
              <w:rPr>
                <w:sz w:val="20"/>
                <w:szCs w:val="20"/>
                <w:color w:val="auto"/>
              </w:rPr>
            </w:pPr>
            <w:r>
              <w:rPr>
                <w:rFonts w:ascii="Arial" w:cs="Arial" w:eastAsia="Arial" w:hAnsi="Arial"/>
                <w:sz w:val="18"/>
                <w:szCs w:val="18"/>
                <w:color w:val="auto"/>
              </w:rPr>
              <w:t>Constructive Discharge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7,500,000</w:t>
            </w:r>
          </w:p>
        </w:tc>
        <w:tc>
          <w:tcPr>
            <w:tcW w:w="1480" w:type="dxa"/>
            <w:vAlign w:val="bottom"/>
            <w:shd w:val="clear" w:color="auto" w:fill="D1D3D4"/>
          </w:tcPr>
          <w:p>
            <w:pPr>
              <w:jc w:val="right"/>
              <w:ind w:right="52"/>
              <w:spacing w:after="0"/>
              <w:rPr>
                <w:sz w:val="20"/>
                <w:szCs w:val="20"/>
                <w:color w:val="auto"/>
              </w:rPr>
            </w:pPr>
            <w:r>
              <w:rPr>
                <w:rFonts w:ascii="Arial" w:cs="Arial" w:eastAsia="Arial" w:hAnsi="Arial"/>
                <w:sz w:val="18"/>
                <w:szCs w:val="18"/>
                <w:color w:val="auto"/>
              </w:rPr>
              <w:t>9,192,494</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70,272</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16,762,766</w:t>
            </w:r>
          </w:p>
        </w:tc>
      </w:tr>
      <w:tr>
        <w:trPr>
          <w:trHeight w:val="229"/>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Change of Control Transaction and Termination by Company</w:t>
            </w:r>
          </w:p>
        </w:tc>
        <w:tc>
          <w:tcPr>
            <w:tcW w:w="1540" w:type="dxa"/>
            <w:vAlign w:val="bottom"/>
            <w:shd w:val="clear" w:color="auto" w:fill="D1D3D4"/>
          </w:tcPr>
          <w:p>
            <w:pPr>
              <w:spacing w:after="0"/>
              <w:rPr>
                <w:sz w:val="19"/>
                <w:szCs w:val="19"/>
                <w:color w:val="auto"/>
              </w:rPr>
            </w:pPr>
          </w:p>
        </w:tc>
        <w:tc>
          <w:tcPr>
            <w:tcW w:w="1480" w:type="dxa"/>
            <w:vAlign w:val="bottom"/>
            <w:shd w:val="clear" w:color="auto" w:fill="D1D3D4"/>
          </w:tcPr>
          <w:p>
            <w:pPr>
              <w:spacing w:after="0"/>
              <w:rPr>
                <w:sz w:val="19"/>
                <w:szCs w:val="19"/>
                <w:color w:val="auto"/>
              </w:rPr>
            </w:pPr>
          </w:p>
        </w:tc>
        <w:tc>
          <w:tcPr>
            <w:tcW w:w="1620" w:type="dxa"/>
            <w:vAlign w:val="bottom"/>
            <w:shd w:val="clear" w:color="auto" w:fill="D1D3D4"/>
          </w:tcPr>
          <w:p>
            <w:pPr>
              <w:spacing w:after="0"/>
              <w:rPr>
                <w:sz w:val="19"/>
                <w:szCs w:val="19"/>
                <w:color w:val="auto"/>
              </w:rPr>
            </w:pPr>
          </w:p>
        </w:tc>
        <w:tc>
          <w:tcPr>
            <w:tcW w:w="1260" w:type="dxa"/>
            <w:vAlign w:val="bottom"/>
            <w:shd w:val="clear" w:color="auto" w:fill="D1D3D4"/>
          </w:tcPr>
          <w:p>
            <w:pPr>
              <w:spacing w:after="0"/>
              <w:rPr>
                <w:sz w:val="19"/>
                <w:szCs w:val="19"/>
                <w:color w:val="auto"/>
              </w:rPr>
            </w:pPr>
          </w:p>
        </w:tc>
      </w:tr>
      <w:tr>
        <w:trPr>
          <w:trHeight w:val="217"/>
        </w:trPr>
        <w:tc>
          <w:tcPr>
            <w:tcW w:w="4980" w:type="dxa"/>
            <w:vAlign w:val="bottom"/>
            <w:shd w:val="clear" w:color="auto" w:fill="D1D3D4"/>
          </w:tcPr>
          <w:p>
            <w:pPr>
              <w:ind w:left="340"/>
              <w:spacing w:after="0"/>
              <w:rPr>
                <w:sz w:val="20"/>
                <w:szCs w:val="20"/>
                <w:color w:val="auto"/>
              </w:rPr>
            </w:pPr>
            <w:r>
              <w:rPr>
                <w:rFonts w:ascii="Arial" w:cs="Arial" w:eastAsia="Arial" w:hAnsi="Arial"/>
                <w:sz w:val="18"/>
                <w:szCs w:val="18"/>
                <w:color w:val="auto"/>
              </w:rPr>
              <w:t>without Cause or due to Constructive Discharge</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7,500,000</w:t>
            </w:r>
          </w:p>
        </w:tc>
        <w:tc>
          <w:tcPr>
            <w:tcW w:w="1480" w:type="dxa"/>
            <w:vAlign w:val="bottom"/>
            <w:shd w:val="clear" w:color="auto" w:fill="D1D3D4"/>
          </w:tcPr>
          <w:p>
            <w:pPr>
              <w:jc w:val="right"/>
              <w:ind w:right="72"/>
              <w:spacing w:after="0"/>
              <w:rPr>
                <w:sz w:val="20"/>
                <w:szCs w:val="20"/>
                <w:color w:val="auto"/>
              </w:rPr>
            </w:pPr>
            <w:r>
              <w:rPr>
                <w:rFonts w:ascii="Arial" w:cs="Arial" w:eastAsia="Arial" w:hAnsi="Arial"/>
                <w:sz w:val="18"/>
                <w:szCs w:val="18"/>
                <w:color w:val="auto"/>
              </w:rPr>
              <w:t>9,192,494</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70,272</w:t>
            </w:r>
          </w:p>
        </w:tc>
        <w:tc>
          <w:tcPr>
            <w:tcW w:w="1260" w:type="dxa"/>
            <w:vAlign w:val="bottom"/>
            <w:shd w:val="clear" w:color="auto" w:fill="D1D3D4"/>
          </w:tcPr>
          <w:p>
            <w:pPr>
              <w:jc w:val="right"/>
              <w:spacing w:after="0"/>
              <w:rPr>
                <w:sz w:val="20"/>
                <w:szCs w:val="20"/>
                <w:color w:val="auto"/>
              </w:rPr>
            </w:pPr>
            <w:r>
              <w:rPr>
                <w:rFonts w:ascii="Arial" w:cs="Arial" w:eastAsia="Arial" w:hAnsi="Arial"/>
                <w:sz w:val="18"/>
                <w:szCs w:val="18"/>
                <w:color w:val="auto"/>
              </w:rPr>
              <w:t>16,762,766</w:t>
            </w:r>
          </w:p>
        </w:tc>
      </w:tr>
      <w:tr>
        <w:trPr>
          <w:trHeight w:val="243"/>
        </w:trPr>
        <w:tc>
          <w:tcPr>
            <w:tcW w:w="4980" w:type="dxa"/>
            <w:vAlign w:val="bottom"/>
            <w:shd w:val="clear" w:color="auto" w:fill="D1D3D4"/>
          </w:tcPr>
          <w:p>
            <w:pPr>
              <w:spacing w:after="0"/>
              <w:rPr>
                <w:sz w:val="20"/>
                <w:szCs w:val="20"/>
                <w:color w:val="auto"/>
              </w:rPr>
            </w:pPr>
            <w:r>
              <w:rPr>
                <w:rFonts w:ascii="Arial" w:cs="Arial" w:eastAsia="Arial" w:hAnsi="Arial"/>
                <w:sz w:val="18"/>
                <w:szCs w:val="18"/>
                <w:color w:val="auto"/>
              </w:rPr>
              <w:t>Change of Control Transaction without Termination</w:t>
            </w:r>
          </w:p>
        </w:tc>
        <w:tc>
          <w:tcPr>
            <w:tcW w:w="1540" w:type="dxa"/>
            <w:vAlign w:val="bottom"/>
            <w:shd w:val="clear" w:color="auto" w:fill="D1D3D4"/>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shd w:val="clear" w:color="auto" w:fill="D1D3D4"/>
          </w:tcPr>
          <w:p>
            <w:pPr>
              <w:jc w:val="right"/>
              <w:ind w:right="72"/>
              <w:spacing w:after="0"/>
              <w:rPr>
                <w:sz w:val="20"/>
                <w:szCs w:val="20"/>
                <w:color w:val="auto"/>
              </w:rPr>
            </w:pPr>
            <w:r>
              <w:rPr>
                <w:rFonts w:ascii="Arial" w:cs="Arial" w:eastAsia="Arial" w:hAnsi="Arial"/>
                <w:sz w:val="18"/>
                <w:szCs w:val="18"/>
                <w:color w:val="auto"/>
              </w:rPr>
              <w:t>—</w:t>
            </w:r>
          </w:p>
        </w:tc>
        <w:tc>
          <w:tcPr>
            <w:tcW w:w="1620" w:type="dxa"/>
            <w:vAlign w:val="bottom"/>
            <w:shd w:val="clear" w:color="auto" w:fill="D1D3D4"/>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3D4"/>
          </w:tcPr>
          <w:p>
            <w:pPr>
              <w:spacing w:after="0"/>
              <w:rPr>
                <w:sz w:val="21"/>
                <w:szCs w:val="21"/>
                <w:color w:val="auto"/>
              </w:rPr>
            </w:pPr>
          </w:p>
        </w:tc>
      </w:tr>
      <w:tr>
        <w:trPr>
          <w:trHeight w:val="74"/>
        </w:trPr>
        <w:tc>
          <w:tcPr>
            <w:tcW w:w="4980" w:type="dxa"/>
            <w:vAlign w:val="bottom"/>
            <w:tcBorders>
              <w:bottom w:val="single" w:sz="8" w:color="auto"/>
            </w:tcBorders>
            <w:shd w:val="clear" w:color="auto" w:fill="D1D3D4"/>
          </w:tcPr>
          <w:p>
            <w:pPr>
              <w:spacing w:after="0"/>
              <w:rPr>
                <w:sz w:val="6"/>
                <w:szCs w:val="6"/>
                <w:color w:val="auto"/>
              </w:rPr>
            </w:pPr>
          </w:p>
        </w:tc>
        <w:tc>
          <w:tcPr>
            <w:tcW w:w="1540" w:type="dxa"/>
            <w:vAlign w:val="bottom"/>
            <w:tcBorders>
              <w:bottom w:val="single" w:sz="8" w:color="auto"/>
            </w:tcBorders>
            <w:shd w:val="clear" w:color="auto" w:fill="D1D3D4"/>
          </w:tcPr>
          <w:p>
            <w:pPr>
              <w:spacing w:after="0"/>
              <w:rPr>
                <w:sz w:val="6"/>
                <w:szCs w:val="6"/>
                <w:color w:val="auto"/>
              </w:rPr>
            </w:pPr>
          </w:p>
        </w:tc>
        <w:tc>
          <w:tcPr>
            <w:tcW w:w="1480" w:type="dxa"/>
            <w:vAlign w:val="bottom"/>
            <w:tcBorders>
              <w:bottom w:val="single" w:sz="8" w:color="auto"/>
            </w:tcBorders>
            <w:shd w:val="clear" w:color="auto" w:fill="D1D3D4"/>
          </w:tcPr>
          <w:p>
            <w:pPr>
              <w:spacing w:after="0"/>
              <w:rPr>
                <w:sz w:val="6"/>
                <w:szCs w:val="6"/>
                <w:color w:val="auto"/>
              </w:rPr>
            </w:pPr>
          </w:p>
        </w:tc>
        <w:tc>
          <w:tcPr>
            <w:tcW w:w="1620" w:type="dxa"/>
            <w:vAlign w:val="bottom"/>
            <w:tcBorders>
              <w:bottom w:val="single" w:sz="8" w:color="auto"/>
            </w:tcBorders>
            <w:shd w:val="clear" w:color="auto" w:fill="D1D3D4"/>
          </w:tcPr>
          <w:p>
            <w:pPr>
              <w:spacing w:after="0"/>
              <w:rPr>
                <w:sz w:val="6"/>
                <w:szCs w:val="6"/>
                <w:color w:val="auto"/>
              </w:rPr>
            </w:pPr>
          </w:p>
        </w:tc>
        <w:tc>
          <w:tcPr>
            <w:tcW w:w="1260" w:type="dxa"/>
            <w:vAlign w:val="bottom"/>
            <w:tcBorders>
              <w:bottom w:val="single" w:sz="8" w:color="auto"/>
            </w:tcBorders>
            <w:shd w:val="clear" w:color="auto" w:fill="D1D3D4"/>
          </w:tcPr>
          <w:p>
            <w:pPr>
              <w:spacing w:after="0"/>
              <w:rPr>
                <w:sz w:val="6"/>
                <w:szCs w:val="6"/>
                <w:color w:val="auto"/>
              </w:rPr>
            </w:pPr>
          </w:p>
        </w:tc>
      </w:tr>
    </w:tbl>
    <w:p>
      <w:pPr>
        <w:spacing w:after="0" w:line="180"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Descriptions of the terms “Cause” and “Constructive Discharge” are provided above under the section captioned “Employment Agreements and Other Arrangements</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Certain Defined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jc w:val="both"/>
        <w:ind w:left="340" w:hanging="332"/>
        <w:spacing w:after="0" w:line="245" w:lineRule="auto"/>
        <w:tabs>
          <w:tab w:leader="none" w:pos="437"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each NEO listed above (other than Mr. De Shon), lump-sum severance payments, other than due to death or disability, were calculated based on each executive’s base salary and target annual incentive as of December 31, 2019 and multiplied by 200%. Severance due to death and disability is calculated based on actual annual incentives for Messrs. Ferraro, North, Rankin and Linnen and target annual incentive for Mr. De Shon. For Mr. De Shon, lump-sum severance payment was calculated based on the Separation Agreement between the Company and Mr. De Shon. Such agreement also provides for a one-year post-employment consulting arrangement with aggregate fees of $1 million as further described in “Employment Agreements and Other Arrangements.”</w:t>
      </w:r>
    </w:p>
    <w:p>
      <w:pPr>
        <w:spacing w:after="0" w:line="96" w:lineRule="exact"/>
        <w:rPr>
          <w:rFonts w:ascii="Arial" w:cs="Arial" w:eastAsia="Arial" w:hAnsi="Arial"/>
          <w:sz w:val="14"/>
          <w:szCs w:val="14"/>
          <w:color w:val="auto"/>
        </w:rPr>
      </w:pPr>
    </w:p>
    <w:p>
      <w:pPr>
        <w:ind w:left="340" w:hanging="332"/>
        <w:spacing w:after="0" w:line="258" w:lineRule="auto"/>
        <w:tabs>
          <w:tab w:leader="none" w:pos="372"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2019 and based on the closing price of our Common Stock of $32.24. Descriptions of the accelerated vesting provisions are provided under “Employment Agreements and Other Arrangements.”</w:t>
      </w:r>
    </w:p>
    <w:p>
      <w:pPr>
        <w:spacing w:after="0" w:line="85" w:lineRule="exact"/>
        <w:rPr>
          <w:rFonts w:ascii="Arial" w:cs="Arial" w:eastAsia="Arial" w:hAnsi="Arial"/>
          <w:sz w:val="14"/>
          <w:szCs w:val="14"/>
          <w:color w:val="auto"/>
        </w:rPr>
      </w:pPr>
    </w:p>
    <w:p>
      <w:pPr>
        <w:ind w:left="340" w:hanging="332"/>
        <w:spacing w:after="0" w:line="258" w:lineRule="auto"/>
        <w:tabs>
          <w:tab w:leader="none" w:pos="383"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Messrs. Ferraro, Linnen and De Shon, reflects 24 months of continued health and dental, car benefits and financial planning. For Messrs. North and Rankin, reflects 24 months of continued car benefits and financial planning.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compensated for their service on the Board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Compensation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2019, our directors received an annual director retainer of $225,000. To reflect their additional responsibilities, the Chairman of the Board and the chairs and members of the Audit, Compensation, Corporate Governance and Executive Committees received additional annual retainers. The current rates of these retainers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4880" w:type="dxa"/>
            <w:vAlign w:val="bottom"/>
          </w:tcPr>
          <w:p>
            <w:pPr>
              <w:jc w:val="right"/>
              <w:ind w:right="932"/>
              <w:spacing w:after="0"/>
              <w:rPr>
                <w:sz w:val="20"/>
                <w:szCs w:val="20"/>
                <w:color w:val="auto"/>
              </w:rPr>
            </w:pPr>
            <w:r>
              <w:rPr>
                <w:rFonts w:ascii="Arial" w:cs="Arial" w:eastAsia="Arial" w:hAnsi="Arial"/>
                <w:sz w:val="16"/>
                <w:szCs w:val="16"/>
                <w:b w:val="1"/>
                <w:bCs w:val="1"/>
                <w:color w:val="auto"/>
              </w:rPr>
              <w:t>Annual Retainers</w:t>
            </w:r>
          </w:p>
        </w:tc>
      </w:tr>
      <w:tr>
        <w:trPr>
          <w:trHeight w:val="215"/>
        </w:trPr>
        <w:tc>
          <w:tcPr>
            <w:tcW w:w="6000" w:type="dxa"/>
            <w:vAlign w:val="bottom"/>
          </w:tcPr>
          <w:p>
            <w:pPr>
              <w:spacing w:after="0"/>
              <w:rPr>
                <w:sz w:val="18"/>
                <w:szCs w:val="18"/>
                <w:color w:val="auto"/>
              </w:rPr>
            </w:pPr>
          </w:p>
        </w:tc>
        <w:tc>
          <w:tcPr>
            <w:tcW w:w="4880" w:type="dxa"/>
            <w:vAlign w:val="bottom"/>
          </w:tcPr>
          <w:p>
            <w:pPr>
              <w:jc w:val="right"/>
              <w:ind w:right="1492"/>
              <w:spacing w:after="0"/>
              <w:rPr>
                <w:sz w:val="20"/>
                <w:szCs w:val="20"/>
                <w:color w:val="auto"/>
              </w:rPr>
            </w:pPr>
            <w:r>
              <w:rPr>
                <w:rFonts w:ascii="Arial" w:cs="Arial" w:eastAsia="Arial" w:hAnsi="Arial"/>
                <w:sz w:val="16"/>
                <w:szCs w:val="16"/>
                <w:b w:val="1"/>
                <w:bCs w:val="1"/>
                <w:color w:val="auto"/>
              </w:rPr>
              <w:t>($)</w:t>
            </w:r>
          </w:p>
        </w:tc>
      </w:tr>
      <w:tr>
        <w:trPr>
          <w:trHeight w:val="40"/>
        </w:trPr>
        <w:tc>
          <w:tcPr>
            <w:tcW w:w="600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275"/>
        </w:trPr>
        <w:tc>
          <w:tcPr>
            <w:tcW w:w="60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Chairman of the Board</w:t>
            </w:r>
          </w:p>
        </w:tc>
        <w:tc>
          <w:tcPr>
            <w:tcW w:w="4880" w:type="dxa"/>
            <w:vAlign w:val="bottom"/>
            <w:tcBorders>
              <w:bottom w:val="single" w:sz="8" w:color="CCCCCC"/>
            </w:tcBorders>
            <w:shd w:val="clear" w:color="auto" w:fill="CCCCCC"/>
          </w:tcPr>
          <w:p>
            <w:pPr>
              <w:jc w:val="right"/>
              <w:ind w:right="1272"/>
              <w:spacing w:after="0"/>
              <w:rPr>
                <w:sz w:val="20"/>
                <w:szCs w:val="20"/>
                <w:color w:val="auto"/>
              </w:rPr>
            </w:pPr>
            <w:r>
              <w:rPr>
                <w:rFonts w:ascii="Arial" w:cs="Arial" w:eastAsia="Arial" w:hAnsi="Arial"/>
                <w:sz w:val="18"/>
                <w:szCs w:val="18"/>
                <w:color w:val="auto"/>
              </w:rPr>
              <w:t>125,000</w:t>
            </w:r>
          </w:p>
        </w:tc>
      </w:tr>
      <w:tr>
        <w:trPr>
          <w:trHeight w:val="237"/>
        </w:trPr>
        <w:tc>
          <w:tcPr>
            <w:tcW w:w="6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Audit Committee Chair</w:t>
            </w:r>
          </w:p>
        </w:tc>
        <w:tc>
          <w:tcPr>
            <w:tcW w:w="4880" w:type="dxa"/>
            <w:vAlign w:val="bottom"/>
            <w:tcBorders>
              <w:top w:val="single" w:sz="8" w:color="auto"/>
            </w:tcBorders>
          </w:tcPr>
          <w:p>
            <w:pPr>
              <w:jc w:val="right"/>
              <w:ind w:right="1272"/>
              <w:spacing w:after="0"/>
              <w:rPr>
                <w:sz w:val="20"/>
                <w:szCs w:val="20"/>
                <w:color w:val="auto"/>
              </w:rPr>
            </w:pPr>
            <w:r>
              <w:rPr>
                <w:rFonts w:ascii="Arial" w:cs="Arial" w:eastAsia="Arial" w:hAnsi="Arial"/>
                <w:sz w:val="18"/>
                <w:szCs w:val="18"/>
                <w:color w:val="auto"/>
              </w:rPr>
              <w:t>25,000</w:t>
            </w:r>
          </w:p>
        </w:tc>
      </w:tr>
      <w:tr>
        <w:trPr>
          <w:trHeight w:val="27"/>
        </w:trPr>
        <w:tc>
          <w:tcPr>
            <w:tcW w:w="60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68"/>
        </w:trPr>
        <w:tc>
          <w:tcPr>
            <w:tcW w:w="60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Audit Committee Member</w:t>
            </w:r>
          </w:p>
        </w:tc>
        <w:tc>
          <w:tcPr>
            <w:tcW w:w="4880" w:type="dxa"/>
            <w:vAlign w:val="bottom"/>
            <w:tcBorders>
              <w:bottom w:val="single" w:sz="8" w:color="CCCCCC"/>
            </w:tcBorders>
            <w:shd w:val="clear" w:color="auto" w:fill="CCCCCC"/>
          </w:tcPr>
          <w:p>
            <w:pPr>
              <w:jc w:val="right"/>
              <w:ind w:right="1272"/>
              <w:spacing w:after="0"/>
              <w:rPr>
                <w:sz w:val="20"/>
                <w:szCs w:val="20"/>
                <w:color w:val="auto"/>
              </w:rPr>
            </w:pPr>
            <w:r>
              <w:rPr>
                <w:rFonts w:ascii="Arial" w:cs="Arial" w:eastAsia="Arial" w:hAnsi="Arial"/>
                <w:sz w:val="18"/>
                <w:szCs w:val="18"/>
                <w:color w:val="auto"/>
              </w:rPr>
              <w:t>12,500</w:t>
            </w:r>
          </w:p>
        </w:tc>
      </w:tr>
      <w:tr>
        <w:trPr>
          <w:trHeight w:val="237"/>
        </w:trPr>
        <w:tc>
          <w:tcPr>
            <w:tcW w:w="6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Committee Chair</w:t>
            </w:r>
          </w:p>
        </w:tc>
        <w:tc>
          <w:tcPr>
            <w:tcW w:w="4880" w:type="dxa"/>
            <w:vAlign w:val="bottom"/>
            <w:tcBorders>
              <w:top w:val="single" w:sz="8" w:color="auto"/>
            </w:tcBorders>
          </w:tcPr>
          <w:p>
            <w:pPr>
              <w:jc w:val="right"/>
              <w:ind w:right="1272"/>
              <w:spacing w:after="0"/>
              <w:rPr>
                <w:sz w:val="20"/>
                <w:szCs w:val="20"/>
                <w:color w:val="auto"/>
              </w:rPr>
            </w:pPr>
            <w:r>
              <w:rPr>
                <w:rFonts w:ascii="Arial" w:cs="Arial" w:eastAsia="Arial" w:hAnsi="Arial"/>
                <w:sz w:val="18"/>
                <w:szCs w:val="18"/>
                <w:color w:val="auto"/>
              </w:rPr>
              <w:t>25,000</w:t>
            </w:r>
          </w:p>
        </w:tc>
      </w:tr>
      <w:tr>
        <w:trPr>
          <w:trHeight w:val="27"/>
        </w:trPr>
        <w:tc>
          <w:tcPr>
            <w:tcW w:w="60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Compensation Committee Member</w:t>
            </w:r>
          </w:p>
        </w:tc>
        <w:tc>
          <w:tcPr>
            <w:tcW w:w="4880" w:type="dxa"/>
            <w:vAlign w:val="bottom"/>
            <w:tcBorders>
              <w:bottom w:val="single" w:sz="8" w:color="CCCCCC"/>
            </w:tcBorders>
            <w:shd w:val="clear" w:color="auto" w:fill="CCCCCC"/>
          </w:tcPr>
          <w:p>
            <w:pPr>
              <w:jc w:val="right"/>
              <w:ind w:right="1272"/>
              <w:spacing w:after="0"/>
              <w:rPr>
                <w:sz w:val="20"/>
                <w:szCs w:val="20"/>
                <w:color w:val="auto"/>
              </w:rPr>
            </w:pPr>
            <w:r>
              <w:rPr>
                <w:rFonts w:ascii="Arial" w:cs="Arial" w:eastAsia="Arial" w:hAnsi="Arial"/>
                <w:sz w:val="18"/>
                <w:szCs w:val="18"/>
                <w:color w:val="auto"/>
              </w:rPr>
              <w:t>12,500</w:t>
            </w:r>
          </w:p>
        </w:tc>
      </w:tr>
      <w:tr>
        <w:trPr>
          <w:trHeight w:val="237"/>
        </w:trPr>
        <w:tc>
          <w:tcPr>
            <w:tcW w:w="6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Corporate Governance Committee Chair</w:t>
            </w:r>
          </w:p>
        </w:tc>
        <w:tc>
          <w:tcPr>
            <w:tcW w:w="4880" w:type="dxa"/>
            <w:vAlign w:val="bottom"/>
            <w:tcBorders>
              <w:top w:val="single" w:sz="8" w:color="auto"/>
            </w:tcBorders>
          </w:tcPr>
          <w:p>
            <w:pPr>
              <w:jc w:val="right"/>
              <w:ind w:right="1272"/>
              <w:spacing w:after="0"/>
              <w:rPr>
                <w:sz w:val="20"/>
                <w:szCs w:val="20"/>
                <w:color w:val="auto"/>
              </w:rPr>
            </w:pPr>
            <w:r>
              <w:rPr>
                <w:rFonts w:ascii="Arial" w:cs="Arial" w:eastAsia="Arial" w:hAnsi="Arial"/>
                <w:sz w:val="18"/>
                <w:szCs w:val="18"/>
                <w:color w:val="auto"/>
              </w:rPr>
              <w:t>18,000</w:t>
            </w:r>
          </w:p>
        </w:tc>
      </w:tr>
      <w:tr>
        <w:trPr>
          <w:trHeight w:val="27"/>
        </w:trPr>
        <w:tc>
          <w:tcPr>
            <w:tcW w:w="60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68"/>
        </w:trPr>
        <w:tc>
          <w:tcPr>
            <w:tcW w:w="60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Corporate Governance Committee Member</w:t>
            </w:r>
          </w:p>
        </w:tc>
        <w:tc>
          <w:tcPr>
            <w:tcW w:w="4880" w:type="dxa"/>
            <w:vAlign w:val="bottom"/>
            <w:tcBorders>
              <w:bottom w:val="single" w:sz="8" w:color="CCCCCC"/>
            </w:tcBorders>
            <w:shd w:val="clear" w:color="auto" w:fill="CCCCCC"/>
          </w:tcPr>
          <w:p>
            <w:pPr>
              <w:jc w:val="right"/>
              <w:ind w:right="1272"/>
              <w:spacing w:after="0"/>
              <w:rPr>
                <w:sz w:val="20"/>
                <w:szCs w:val="20"/>
                <w:color w:val="auto"/>
              </w:rPr>
            </w:pPr>
            <w:r>
              <w:rPr>
                <w:rFonts w:ascii="Arial" w:cs="Arial" w:eastAsia="Arial" w:hAnsi="Arial"/>
                <w:sz w:val="18"/>
                <w:szCs w:val="18"/>
                <w:color w:val="auto"/>
              </w:rPr>
              <w:t>9,000</w:t>
            </w:r>
          </w:p>
        </w:tc>
      </w:tr>
      <w:tr>
        <w:trPr>
          <w:trHeight w:val="210"/>
        </w:trPr>
        <w:tc>
          <w:tcPr>
            <w:tcW w:w="6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Executive Committee Member</w:t>
            </w:r>
          </w:p>
        </w:tc>
        <w:tc>
          <w:tcPr>
            <w:tcW w:w="4880" w:type="dxa"/>
            <w:vAlign w:val="bottom"/>
            <w:tcBorders>
              <w:top w:val="single" w:sz="8" w:color="auto"/>
            </w:tcBorders>
          </w:tcPr>
          <w:p>
            <w:pPr>
              <w:jc w:val="right"/>
              <w:ind w:right="1272"/>
              <w:spacing w:after="0"/>
              <w:rPr>
                <w:sz w:val="20"/>
                <w:szCs w:val="20"/>
                <w:color w:val="auto"/>
              </w:rPr>
            </w:pPr>
            <w:r>
              <w:rPr>
                <w:rFonts w:ascii="Arial" w:cs="Arial" w:eastAsia="Arial" w:hAnsi="Arial"/>
                <w:sz w:val="18"/>
                <w:szCs w:val="18"/>
                <w:color w:val="auto"/>
              </w:rPr>
              <w:t>9,000</w:t>
            </w:r>
          </w:p>
        </w:tc>
      </w:tr>
      <w:tr>
        <w:trPr>
          <w:trHeight w:val="60"/>
        </w:trPr>
        <w:tc>
          <w:tcPr>
            <w:tcW w:w="600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r>
    </w:tbl>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2019, the Board established an ad hoc Strategy Committee to assist the Board with oversight of the Company’s long-term strategy. Chair and member retainers for the Strategy Committee are the same as for the Corporate Governance Committee. For 2019, Strategy Committee members who received such retainers included Mr. Sparks (Chair), Mr. Lurie and Mr. Salerno.</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2019, the annual retainers, committee chair stipends and committee membership stipends (collectively, “Director Fees”) were paid 50% in cash and 50% in equity, subject to a cap of 30,000 shares. Cash payments are paid quarterly and the equity portion is awarded annually and generally vests on the one-year anniversary of the date of grant. Under the Company’s deferred compensation plan applicable to non-employee directors (the “NED Plan”), Directors may elect to defer all or a portion of their Director Fees. Directors who elect to defer Director Fees payable in cash may choose from various investment choices similar to those available to the NEOs under our executive deferred compensation plan or may elect to receive an increased equity award in lieu of some or all of such cash fees.</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NED Plan, the equity portion of director compensation is automatically deferred into the form of deferred stock units. Such units convert on a one-on-one basis into the Company’s Common Stock upon termination of service, a change in control, or at a different time based on a director’s election. In lieu of automatic deferral, directors may elect to receive the equity portion of their compensation in the form of the Company’s Common Stock.</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Directors do not receive any meeting fees or any benefits such as life or medical insurance. Any member of the Board who is also an officer or employee of our Company does not receive compensation for serving as a director, other than reimbursement of travel-related expenses for meetings held outside the Company’s headquarters. Directors are eligible for limited matching of charitable contributions through the Avis Budget Group Charitable Foundation. Directors are also eligible to purchase vehicles through the auto lease program we make available to our employees; however, such purchases do not result in an associated incremental cost to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Guidelines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stock owned indirectly through the NED Plan, and the “in-the-money” portion of vested stock options, if any. As of December 31, 2019, all current directors with more than five years of Board service who receive compensation for Board service had exceeded such minimum ownership threshold. Mr. Choi and Mr. Pahwa have each elected not to receive compensation for Board service. In addition, SRS’s policies do not allow either Mr. Choi or Mr. Pahwa to own any shares of the Company’s Common Stock, and they are therefore not subject to the Company’s stock ownership guidelines.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2019 Director Compensation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Arial" w:cs="Arial" w:eastAsia="Arial" w:hAnsi="Arial"/>
                <w:sz w:val="14"/>
                <w:szCs w:val="14"/>
                <w:b w:val="1"/>
                <w:bCs w:val="1"/>
                <w:color w:val="auto"/>
              </w:rPr>
              <w:t>Name of Director</w:t>
            </w: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160" w:type="dxa"/>
            <w:vAlign w:val="bottom"/>
          </w:tcPr>
          <w:p>
            <w:pPr>
              <w:jc w:val="center"/>
              <w:ind w:left="454"/>
              <w:spacing w:after="0"/>
              <w:rPr>
                <w:sz w:val="20"/>
                <w:szCs w:val="20"/>
                <w:color w:val="auto"/>
              </w:rPr>
            </w:pPr>
            <w:r>
              <w:rPr>
                <w:rFonts w:ascii="Arial" w:cs="Arial" w:eastAsia="Arial" w:hAnsi="Arial"/>
                <w:sz w:val="14"/>
                <w:szCs w:val="14"/>
                <w:b w:val="1"/>
                <w:bCs w:val="1"/>
                <w:color w:val="auto"/>
              </w:rPr>
              <w:t>Fees Earned</w:t>
            </w:r>
          </w:p>
        </w:tc>
        <w:tc>
          <w:tcPr>
            <w:tcW w:w="14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200" w:type="dxa"/>
            <w:vAlign w:val="bottom"/>
          </w:tcPr>
          <w:p>
            <w:pPr>
              <w:spacing w:after="0"/>
              <w:rPr>
                <w:sz w:val="14"/>
                <w:szCs w:val="14"/>
                <w:color w:val="auto"/>
              </w:rPr>
            </w:pPr>
          </w:p>
        </w:tc>
      </w:tr>
      <w:tr>
        <w:trPr>
          <w:trHeight w:val="162"/>
        </w:trPr>
        <w:tc>
          <w:tcPr>
            <w:tcW w:w="2560" w:type="dxa"/>
            <w:vAlign w:val="bottom"/>
          </w:tcPr>
          <w:p>
            <w:pPr>
              <w:spacing w:after="0"/>
              <w:rPr>
                <w:sz w:val="14"/>
                <w:szCs w:val="14"/>
                <w:color w:val="auto"/>
              </w:rPr>
            </w:pPr>
          </w:p>
        </w:tc>
        <w:tc>
          <w:tcPr>
            <w:tcW w:w="2160" w:type="dxa"/>
            <w:vAlign w:val="bottom"/>
          </w:tcPr>
          <w:p>
            <w:pPr>
              <w:jc w:val="center"/>
              <w:ind w:left="454"/>
              <w:spacing w:after="0"/>
              <w:rPr>
                <w:sz w:val="20"/>
                <w:szCs w:val="20"/>
                <w:color w:val="auto"/>
              </w:rPr>
            </w:pPr>
            <w:r>
              <w:rPr>
                <w:rFonts w:ascii="Arial" w:cs="Arial" w:eastAsia="Arial" w:hAnsi="Arial"/>
                <w:sz w:val="14"/>
                <w:szCs w:val="14"/>
                <w:b w:val="1"/>
                <w:bCs w:val="1"/>
                <w:color w:val="auto"/>
                <w:w w:val="99"/>
              </w:rPr>
              <w:t>or</w:t>
            </w:r>
          </w:p>
        </w:tc>
        <w:tc>
          <w:tcPr>
            <w:tcW w:w="1420" w:type="dxa"/>
            <w:vAlign w:val="bottom"/>
          </w:tcPr>
          <w:p>
            <w:pPr>
              <w:jc w:val="center"/>
              <w:ind w:right="13"/>
              <w:spacing w:after="0"/>
              <w:rPr>
                <w:sz w:val="20"/>
                <w:szCs w:val="20"/>
                <w:color w:val="auto"/>
              </w:rPr>
            </w:pPr>
            <w:r>
              <w:rPr>
                <w:rFonts w:ascii="Arial" w:cs="Arial" w:eastAsia="Arial" w:hAnsi="Arial"/>
                <w:sz w:val="14"/>
                <w:szCs w:val="14"/>
                <w:b w:val="1"/>
                <w:bCs w:val="1"/>
                <w:color w:val="auto"/>
              </w:rPr>
              <w:t>Stock Awards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190"/>
        </w:trPr>
        <w:tc>
          <w:tcPr>
            <w:tcW w:w="2560" w:type="dxa"/>
            <w:vAlign w:val="bottom"/>
          </w:tcPr>
          <w:p>
            <w:pPr>
              <w:spacing w:after="0"/>
              <w:rPr>
                <w:sz w:val="16"/>
                <w:szCs w:val="16"/>
                <w:color w:val="auto"/>
              </w:rPr>
            </w:pPr>
          </w:p>
        </w:tc>
        <w:tc>
          <w:tcPr>
            <w:tcW w:w="2160" w:type="dxa"/>
            <w:vAlign w:val="bottom"/>
          </w:tcPr>
          <w:p>
            <w:pPr>
              <w:jc w:val="center"/>
              <w:ind w:left="454"/>
              <w:spacing w:after="0"/>
              <w:rPr>
                <w:sz w:val="20"/>
                <w:szCs w:val="20"/>
                <w:color w:val="auto"/>
              </w:rPr>
            </w:pPr>
            <w:r>
              <w:rPr>
                <w:rFonts w:ascii="Arial" w:cs="Arial" w:eastAsia="Arial" w:hAnsi="Arial"/>
                <w:sz w:val="14"/>
                <w:szCs w:val="14"/>
                <w:b w:val="1"/>
                <w:bCs w:val="1"/>
                <w:color w:val="auto"/>
              </w:rPr>
              <w:t>Paid In Cash ($)(a)</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33"/>
        </w:trPr>
        <w:tc>
          <w:tcPr>
            <w:tcW w:w="2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5"/>
        </w:trPr>
        <w:tc>
          <w:tcPr>
            <w:tcW w:w="25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Choi, Brian J. (d)</w:t>
            </w:r>
          </w:p>
        </w:tc>
        <w:tc>
          <w:tcPr>
            <w:tcW w:w="2160" w:type="dxa"/>
            <w:vAlign w:val="bottom"/>
            <w:tcBorders>
              <w:bottom w:val="single" w:sz="8" w:color="CCCCCC"/>
            </w:tcBorders>
            <w:shd w:val="clear" w:color="auto" w:fill="CCCCCC"/>
          </w:tcPr>
          <w:p>
            <w:pPr>
              <w:jc w:val="right"/>
              <w:ind w:right="414"/>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CCCC"/>
            </w:tcBorders>
            <w:shd w:val="clear" w:color="auto" w:fill="CCCCCC"/>
          </w:tcPr>
          <w:p>
            <w:pPr>
              <w:ind w:left="8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CCCC"/>
            </w:tcBorders>
            <w:shd w:val="clear" w:color="auto" w:fill="CCCCCC"/>
          </w:tcPr>
          <w:p>
            <w:pPr>
              <w:ind w:left="8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CCCC"/>
            </w:tcBorders>
            <w:shd w:val="clear" w:color="auto" w:fill="CCCCCC"/>
          </w:tcPr>
          <w:p>
            <w:pPr>
              <w:ind w:left="760"/>
              <w:spacing w:after="0"/>
              <w:rPr>
                <w:sz w:val="20"/>
                <w:szCs w:val="20"/>
                <w:color w:val="auto"/>
              </w:rPr>
            </w:pPr>
            <w:r>
              <w:rPr>
                <w:rFonts w:ascii="Arial" w:cs="Arial" w:eastAsia="Arial" w:hAnsi="Arial"/>
                <w:sz w:val="18"/>
                <w:szCs w:val="18"/>
                <w:color w:val="auto"/>
              </w:rPr>
              <w:t>—</w:t>
            </w:r>
          </w:p>
        </w:tc>
      </w:tr>
      <w:tr>
        <w:trPr>
          <w:trHeight w:val="237"/>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Choksi, Mary C.</w:t>
            </w:r>
          </w:p>
        </w:tc>
        <w:tc>
          <w:tcPr>
            <w:tcW w:w="216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rPr>
              <w:t>125,000</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124,998</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254,998</w:t>
            </w:r>
          </w:p>
        </w:tc>
      </w:tr>
      <w:tr>
        <w:trPr>
          <w:trHeight w:val="27"/>
        </w:trPr>
        <w:tc>
          <w:tcPr>
            <w:tcW w:w="2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25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Coleman, Leonard S.</w:t>
            </w:r>
          </w:p>
        </w:tc>
        <w:tc>
          <w:tcPr>
            <w:tcW w:w="2160" w:type="dxa"/>
            <w:vAlign w:val="bottom"/>
            <w:tcBorders>
              <w:bottom w:val="single" w:sz="8" w:color="CCCCCC"/>
            </w:tcBorders>
            <w:shd w:val="clear" w:color="auto" w:fill="CCCCCC"/>
          </w:tcPr>
          <w:p>
            <w:pPr>
              <w:jc w:val="right"/>
              <w:ind w:right="394"/>
              <w:spacing w:after="0"/>
              <w:rPr>
                <w:sz w:val="20"/>
                <w:szCs w:val="20"/>
                <w:color w:val="auto"/>
              </w:rPr>
            </w:pPr>
            <w:r>
              <w:rPr>
                <w:rFonts w:ascii="Arial" w:cs="Arial" w:eastAsia="Arial" w:hAnsi="Arial"/>
                <w:sz w:val="18"/>
                <w:szCs w:val="18"/>
                <w:color w:val="auto"/>
              </w:rPr>
              <w:t>190,250</w:t>
            </w:r>
          </w:p>
        </w:tc>
        <w:tc>
          <w:tcPr>
            <w:tcW w:w="14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190,252</w:t>
            </w:r>
          </w:p>
        </w:tc>
        <w:tc>
          <w:tcPr>
            <w:tcW w:w="1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385,502</w:t>
            </w:r>
          </w:p>
        </w:tc>
      </w:tr>
      <w:tr>
        <w:trPr>
          <w:trHeight w:val="237"/>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Fox, Jeffrey H.</w:t>
            </w:r>
          </w:p>
        </w:tc>
        <w:tc>
          <w:tcPr>
            <w:tcW w:w="216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rPr>
              <w:t>118,750</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118,744</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242,494</w:t>
            </w:r>
          </w:p>
        </w:tc>
      </w:tr>
      <w:tr>
        <w:trPr>
          <w:trHeight w:val="27"/>
        </w:trPr>
        <w:tc>
          <w:tcPr>
            <w:tcW w:w="2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25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Krominga, Lynn</w:t>
            </w:r>
          </w:p>
        </w:tc>
        <w:tc>
          <w:tcPr>
            <w:tcW w:w="2160" w:type="dxa"/>
            <w:vAlign w:val="bottom"/>
            <w:tcBorders>
              <w:bottom w:val="single" w:sz="8" w:color="CCCCCC"/>
            </w:tcBorders>
            <w:shd w:val="clear" w:color="auto" w:fill="CCCCCC"/>
          </w:tcPr>
          <w:p>
            <w:pPr>
              <w:jc w:val="right"/>
              <w:ind w:right="394"/>
              <w:spacing w:after="0"/>
              <w:rPr>
                <w:sz w:val="20"/>
                <w:szCs w:val="20"/>
                <w:color w:val="auto"/>
              </w:rPr>
            </w:pPr>
            <w:r>
              <w:rPr>
                <w:rFonts w:ascii="Arial" w:cs="Arial" w:eastAsia="Arial" w:hAnsi="Arial"/>
                <w:sz w:val="18"/>
                <w:szCs w:val="18"/>
                <w:color w:val="auto"/>
              </w:rPr>
              <w:t>127,750</w:t>
            </w:r>
          </w:p>
        </w:tc>
        <w:tc>
          <w:tcPr>
            <w:tcW w:w="14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127,753</w:t>
            </w:r>
          </w:p>
        </w:tc>
        <w:tc>
          <w:tcPr>
            <w:tcW w:w="1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260,503</w:t>
            </w:r>
          </w:p>
        </w:tc>
      </w:tr>
      <w:tr>
        <w:trPr>
          <w:trHeight w:val="237"/>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Lurie, Glenn</w:t>
            </w:r>
          </w:p>
        </w:tc>
        <w:tc>
          <w:tcPr>
            <w:tcW w:w="216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rPr>
              <w:t>123,250</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123,266</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251,516</w:t>
            </w:r>
          </w:p>
        </w:tc>
      </w:tr>
      <w:tr>
        <w:trPr>
          <w:trHeight w:val="27"/>
        </w:trPr>
        <w:tc>
          <w:tcPr>
            <w:tcW w:w="2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25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Mestre, Eduardo G. (e)</w:t>
            </w:r>
          </w:p>
        </w:tc>
        <w:tc>
          <w:tcPr>
            <w:tcW w:w="2160" w:type="dxa"/>
            <w:vAlign w:val="bottom"/>
            <w:tcBorders>
              <w:bottom w:val="single" w:sz="8" w:color="CCCCCC"/>
            </w:tcBorders>
            <w:shd w:val="clear" w:color="auto" w:fill="CCCCCC"/>
          </w:tcPr>
          <w:p>
            <w:pPr>
              <w:jc w:val="right"/>
              <w:ind w:right="414"/>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rPr>
              <w:t>90,374</w:t>
            </w:r>
          </w:p>
        </w:tc>
        <w:tc>
          <w:tcPr>
            <w:tcW w:w="1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rPr>
              <w:t>95,374</w:t>
            </w:r>
          </w:p>
        </w:tc>
      </w:tr>
      <w:tr>
        <w:trPr>
          <w:trHeight w:val="237"/>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Pahwa, Jagdeep (d)</w:t>
            </w:r>
          </w:p>
        </w:tc>
        <w:tc>
          <w:tcPr>
            <w:tcW w:w="216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7"/>
        </w:trPr>
        <w:tc>
          <w:tcPr>
            <w:tcW w:w="2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25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Salerno, F. Robert (f)</w:t>
            </w:r>
          </w:p>
        </w:tc>
        <w:tc>
          <w:tcPr>
            <w:tcW w:w="2160" w:type="dxa"/>
            <w:vAlign w:val="bottom"/>
            <w:tcBorders>
              <w:bottom w:val="single" w:sz="8" w:color="CCCCCC"/>
            </w:tcBorders>
            <w:shd w:val="clear" w:color="auto" w:fill="CCCCCC"/>
          </w:tcPr>
          <w:p>
            <w:pPr>
              <w:jc w:val="right"/>
              <w:ind w:right="394"/>
              <w:spacing w:after="0"/>
              <w:rPr>
                <w:sz w:val="20"/>
                <w:szCs w:val="20"/>
                <w:color w:val="auto"/>
              </w:rPr>
            </w:pPr>
            <w:r>
              <w:rPr>
                <w:rFonts w:ascii="Arial" w:cs="Arial" w:eastAsia="Arial" w:hAnsi="Arial"/>
                <w:sz w:val="18"/>
                <w:szCs w:val="18"/>
                <w:color w:val="auto"/>
              </w:rPr>
              <w:t>133,242</w:t>
            </w:r>
          </w:p>
        </w:tc>
        <w:tc>
          <w:tcPr>
            <w:tcW w:w="14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127,753</w:t>
            </w:r>
          </w:p>
        </w:tc>
        <w:tc>
          <w:tcPr>
            <w:tcW w:w="1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265,995</w:t>
            </w:r>
          </w:p>
        </w:tc>
      </w:tr>
      <w:tr>
        <w:trPr>
          <w:trHeight w:val="237"/>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Shammo, Francis J.</w:t>
            </w:r>
          </w:p>
        </w:tc>
        <w:tc>
          <w:tcPr>
            <w:tcW w:w="216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rPr>
              <w:t>125,000</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124,998</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254,998</w:t>
            </w:r>
          </w:p>
        </w:tc>
      </w:tr>
      <w:tr>
        <w:trPr>
          <w:trHeight w:val="27"/>
        </w:trPr>
        <w:tc>
          <w:tcPr>
            <w:tcW w:w="2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25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Sparks, Carl</w:t>
            </w:r>
          </w:p>
        </w:tc>
        <w:tc>
          <w:tcPr>
            <w:tcW w:w="2160" w:type="dxa"/>
            <w:vAlign w:val="bottom"/>
            <w:tcBorders>
              <w:bottom w:val="single" w:sz="8" w:color="CCCCCC"/>
            </w:tcBorders>
            <w:shd w:val="clear" w:color="auto" w:fill="CCCCCC"/>
          </w:tcPr>
          <w:p>
            <w:pPr>
              <w:jc w:val="right"/>
              <w:ind w:right="394"/>
              <w:spacing w:after="0"/>
              <w:rPr>
                <w:sz w:val="20"/>
                <w:szCs w:val="20"/>
                <w:color w:val="auto"/>
              </w:rPr>
            </w:pPr>
            <w:r>
              <w:rPr>
                <w:rFonts w:ascii="Arial" w:cs="Arial" w:eastAsia="Arial" w:hAnsi="Arial"/>
                <w:sz w:val="18"/>
                <w:szCs w:val="18"/>
                <w:color w:val="auto"/>
              </w:rPr>
              <w:t>127,750</w:t>
            </w:r>
          </w:p>
        </w:tc>
        <w:tc>
          <w:tcPr>
            <w:tcW w:w="14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127,753</w:t>
            </w:r>
          </w:p>
        </w:tc>
        <w:tc>
          <w:tcPr>
            <w:tcW w:w="1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8"/>
              </w:rPr>
              <w:t>260,503</w:t>
            </w:r>
          </w:p>
        </w:tc>
      </w:tr>
      <w:tr>
        <w:trPr>
          <w:trHeight w:val="210"/>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Viswanathan, Sanoke</w:t>
            </w:r>
          </w:p>
        </w:tc>
        <w:tc>
          <w:tcPr>
            <w:tcW w:w="216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rPr>
              <w:t>112,500</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112,491</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5,000</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229,991</w:t>
            </w:r>
          </w:p>
        </w:tc>
      </w:tr>
      <w:tr>
        <w:trPr>
          <w:trHeight w:val="60"/>
        </w:trPr>
        <w:tc>
          <w:tcPr>
            <w:tcW w:w="256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bl>
    <w:p>
      <w:pPr>
        <w:spacing w:after="0" w:line="180" w:lineRule="exact"/>
        <w:rPr>
          <w:sz w:val="20"/>
          <w:szCs w:val="20"/>
          <w:color w:val="auto"/>
        </w:rPr>
      </w:pPr>
    </w:p>
    <w:p>
      <w:pPr>
        <w:ind w:left="460" w:hanging="344"/>
        <w:spacing w:after="0" w:line="258" w:lineRule="auto"/>
        <w:tabs>
          <w:tab w:leader="none" w:pos="459"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no more than 50% of non-employee director compensation. Directors may elect to defer some or all the compensation earned or paid in cash under the NED Plan. Until his retirement from the Board on May 21, 2019, Mr. Mestre elected to receive all cash compensation in the form of deferred stock units.</w:t>
      </w:r>
    </w:p>
    <w:p>
      <w:pPr>
        <w:spacing w:after="0" w:line="85" w:lineRule="exact"/>
        <w:rPr>
          <w:rFonts w:ascii="Arial" w:cs="Arial" w:eastAsia="Arial" w:hAnsi="Arial"/>
          <w:sz w:val="14"/>
          <w:szCs w:val="14"/>
          <w:color w:val="auto"/>
        </w:rPr>
      </w:pPr>
    </w:p>
    <w:p>
      <w:pPr>
        <w:jc w:val="both"/>
        <w:ind w:left="460" w:hanging="344"/>
        <w:spacing w:after="0" w:line="245" w:lineRule="auto"/>
        <w:tabs>
          <w:tab w:leader="none" w:pos="559"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stock awards represent a minimum of 50% non-employee director compensation. Amounts represent the aggregate grant date fair value computed in accordance with FASB ASC Topic 718. The number of deferred stock units or shares of Common Stock to be received pursuant to the equity portion of non-employee director compensation is equal to the value of the compensation being paid in the form of equity divided by the Company’s closing stock price on the date of grant. For 2019, directors have the opportunity to receive the equity portion of their compensation in the form of the Company’s Common Stock upon vesting in 2020. Mr. Coleman and Ms. Krominga made such an election. Each of the other directors received stock awards in the form of deferred stock units.</w:t>
      </w:r>
    </w:p>
    <w:p>
      <w:pPr>
        <w:spacing w:after="0" w:line="96" w:lineRule="exact"/>
        <w:rPr>
          <w:sz w:val="20"/>
          <w:szCs w:val="20"/>
          <w:color w:val="auto"/>
        </w:rPr>
      </w:pPr>
    </w:p>
    <w:p>
      <w:pPr>
        <w:jc w:val="both"/>
        <w:ind w:left="460"/>
        <w:spacing w:after="0" w:line="247" w:lineRule="auto"/>
        <w:rPr>
          <w:sz w:val="20"/>
          <w:szCs w:val="20"/>
          <w:color w:val="auto"/>
        </w:rPr>
      </w:pPr>
      <w:r>
        <w:rPr>
          <w:rFonts w:ascii="Arial" w:cs="Arial" w:eastAsia="Arial" w:hAnsi="Arial"/>
          <w:sz w:val="14"/>
          <w:szCs w:val="14"/>
          <w:color w:val="auto"/>
        </w:rPr>
        <w:t>Outstanding stock awards for the Company’s current non-employee directors at fiscal year-end were as follows: for Ms. Choksi, 72,687 deferred stock units; for Mr. Coleman, 74,672 deferred stock units; for Mr. Fox, 18,232 deferred stock units; for Ms. Krominga, 57,522 deferred stock units; for Mr. Lurie, 5,531 deferred stock units; for Mr. Salerno, 26,232 deferred stock units; for Mr. Shammo, 6,139 deferred stock units; for Mr. Sparks, 5,801 deferred stock units; and for Mr. Viswanathan, 11,521 deferred stock units.</w:t>
      </w:r>
    </w:p>
    <w:p>
      <w:pPr>
        <w:spacing w:after="0" w:line="93"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 for all non-employee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09" w:lineRule="exact"/>
        <w:rPr>
          <w:sz w:val="20"/>
          <w:szCs w:val="20"/>
          <w:color w:val="auto"/>
        </w:rPr>
      </w:pPr>
    </w:p>
    <w:p>
      <w:pPr>
        <w:ind w:left="460" w:hanging="344"/>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Choi and Mr. Pahwa have each elected not to receive compensation for Board service.</w:t>
      </w:r>
    </w:p>
    <w:p>
      <w:pPr>
        <w:spacing w:after="0" w:line="109" w:lineRule="exact"/>
        <w:rPr>
          <w:rFonts w:ascii="Arial" w:cs="Arial" w:eastAsia="Arial" w:hAnsi="Arial"/>
          <w:sz w:val="14"/>
          <w:szCs w:val="14"/>
          <w:color w:val="auto"/>
        </w:rPr>
      </w:pPr>
    </w:p>
    <w:p>
      <w:pPr>
        <w:ind w:left="460" w:hanging="344"/>
        <w:spacing w:after="0"/>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Mestre retired from the Board, effective May 21, 2019; as a result, he forfeited the portion of his 2019 equity award with a grant date value of $143,651.78.</w:t>
      </w:r>
    </w:p>
    <w:p>
      <w:pPr>
        <w:spacing w:after="0" w:line="109" w:lineRule="exact"/>
        <w:rPr>
          <w:rFonts w:ascii="Arial" w:cs="Arial" w:eastAsia="Arial" w:hAnsi="Arial"/>
          <w:sz w:val="14"/>
          <w:szCs w:val="14"/>
          <w:color w:val="auto"/>
        </w:rPr>
      </w:pPr>
    </w:p>
    <w:p>
      <w:pPr>
        <w:ind w:left="460" w:hanging="344"/>
        <w:spacing w:after="0" w:line="258" w:lineRule="auto"/>
        <w:tabs>
          <w:tab w:leader="none" w:pos="499"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addition to the compensation reflected above, Mr. Salerno was also paid the following amounts in 2019, which were previously earned and accrued during his prior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94615</wp:posOffset>
            </wp:positionV>
            <wp:extent cx="66008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241"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6660" w:type="dxa"/>
            <w:vAlign w:val="bottom"/>
          </w:tcPr>
          <w:p>
            <w:pPr>
              <w:spacing w:after="0"/>
              <w:rPr>
                <w:sz w:val="20"/>
                <w:szCs w:val="20"/>
                <w:color w:val="auto"/>
              </w:rPr>
            </w:pPr>
            <w:r>
              <w:rPr>
                <w:rFonts w:ascii="Arial" w:cs="Arial" w:eastAsia="Arial" w:hAnsi="Arial"/>
                <w:sz w:val="14"/>
                <w:szCs w:val="14"/>
                <w:color w:val="auto"/>
              </w:rPr>
              <w:t>Avis Rent A Car System, LLC Pension Plan</w:t>
            </w:r>
          </w:p>
        </w:tc>
        <w:tc>
          <w:tcPr>
            <w:tcW w:w="2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40,597</w:t>
            </w:r>
          </w:p>
        </w:tc>
      </w:tr>
      <w:tr>
        <w:trPr>
          <w:trHeight w:val="26"/>
        </w:trPr>
        <w:tc>
          <w:tcPr>
            <w:tcW w:w="6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7"/>
        </w:trPr>
        <w:tc>
          <w:tcPr>
            <w:tcW w:w="6660" w:type="dxa"/>
            <w:vAlign w:val="bottom"/>
            <w:shd w:val="clear" w:color="auto" w:fill="CCCCCC"/>
          </w:tcPr>
          <w:p>
            <w:pPr>
              <w:spacing w:after="0"/>
              <w:rPr>
                <w:sz w:val="20"/>
                <w:szCs w:val="20"/>
                <w:color w:val="auto"/>
              </w:rPr>
            </w:pPr>
            <w:r>
              <w:rPr>
                <w:rFonts w:ascii="Arial" w:cs="Arial" w:eastAsia="Arial" w:hAnsi="Arial"/>
                <w:sz w:val="14"/>
                <w:szCs w:val="14"/>
                <w:color w:val="auto"/>
              </w:rPr>
              <w:t>Avis Rent A Car System, LLC Retirement Equalization Benefit Plan</w:t>
            </w:r>
          </w:p>
        </w:tc>
        <w:tc>
          <w:tcPr>
            <w:tcW w:w="2880" w:type="dxa"/>
            <w:vAlign w:val="bottom"/>
            <w:shd w:val="clear" w:color="auto" w:fill="CCCCCC"/>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59,075</w:t>
            </w:r>
          </w:p>
        </w:tc>
      </w:tr>
      <w:tr>
        <w:trPr>
          <w:trHeight w:val="100"/>
        </w:trPr>
        <w:tc>
          <w:tcPr>
            <w:tcW w:w="6660" w:type="dxa"/>
            <w:vAlign w:val="bottom"/>
            <w:tcBorders>
              <w:bottom w:val="single" w:sz="8" w:color="auto"/>
            </w:tcBorders>
            <w:shd w:val="clear" w:color="auto" w:fill="CCCCCC"/>
          </w:tcPr>
          <w:p>
            <w:pPr>
              <w:spacing w:after="0"/>
              <w:rPr>
                <w:sz w:val="8"/>
                <w:szCs w:val="8"/>
                <w:color w:val="auto"/>
              </w:rPr>
            </w:pPr>
          </w:p>
        </w:tc>
        <w:tc>
          <w:tcPr>
            <w:tcW w:w="2880" w:type="dxa"/>
            <w:vAlign w:val="bottom"/>
            <w:tcBorders>
              <w:bottom w:val="single" w:sz="8" w:color="auto"/>
            </w:tcBorders>
            <w:shd w:val="clear" w:color="auto" w:fill="CCCCCC"/>
          </w:tcPr>
          <w:p>
            <w:pPr>
              <w:spacing w:after="0"/>
              <w:rPr>
                <w:sz w:val="8"/>
                <w:szCs w:val="8"/>
                <w:color w:val="auto"/>
              </w:rPr>
            </w:pPr>
          </w:p>
        </w:tc>
        <w:tc>
          <w:tcPr>
            <w:tcW w:w="860" w:type="dxa"/>
            <w:vAlign w:val="bottom"/>
            <w:tcBorders>
              <w:bottom w:val="single" w:sz="8" w:color="auto"/>
            </w:tcBorders>
            <w:shd w:val="clear" w:color="auto" w:fill="CCCCCC"/>
          </w:tcPr>
          <w:p>
            <w:pPr>
              <w:spacing w:after="0"/>
              <w:rPr>
                <w:sz w:val="8"/>
                <w:szCs w:val="8"/>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Compensation Committee is comprised entirely of independent directors and administers the Company’s executive compensation policies and programs. Brian J. Choi and Jeffrey H. Fox were appointed to the Compensation Committee in January 2016 and Mary Choksi was appointed to the Compensation Committee in May 2018. None of these Directors were officers or employees of the Company or any of the Company’s subsidiaries or had any relationship requiring disclosure by the Company under Item 404 of the SEC’s Regulation S-K during 2019 or before.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Audit Committee</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3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performing its oversight function, the Audit Committee reviewed and discussed the consolidated financial statements with management and the independent auditors. The Audit Committee also discussed with the independent auditors the matters required to be discussed under the rules adopted by the PCAOB and the SEC.</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2019 for filing with the SEC. The Audit Committee also has recommended the selection of the Company’s independent registered public accounting firm for fiscal year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AUDIT COMMITTEE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 Interim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Glenn Lurie</w:t>
      </w:r>
    </w:p>
    <w:p>
      <w:pPr>
        <w:jc w:val="center"/>
        <w:spacing w:after="0" w:line="234" w:lineRule="auto"/>
        <w:rPr>
          <w:sz w:val="20"/>
          <w:szCs w:val="20"/>
          <w:color w:val="auto"/>
        </w:rPr>
      </w:pPr>
      <w:r>
        <w:rPr>
          <w:rFonts w:ascii="Arial" w:cs="Arial" w:eastAsia="Arial" w:hAnsi="Arial"/>
          <w:sz w:val="18"/>
          <w:szCs w:val="18"/>
          <w:i w:val="1"/>
          <w:iCs w:val="1"/>
          <w:color w:val="auto"/>
        </w:rPr>
        <w:t>F. Robert Salerno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Carl Sparks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Proposal No. 2</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Ratification of Appointment of Auditors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171" w:lineRule="exact"/>
        <w:rPr>
          <w:sz w:val="20"/>
          <w:szCs w:val="20"/>
          <w:color w:val="auto"/>
        </w:rPr>
      </w:pPr>
    </w:p>
    <w:p>
      <w:pPr>
        <w:ind w:left="340" w:hanging="314"/>
        <w:spacing w:after="0" w:line="225" w:lineRule="auto"/>
        <w:tabs>
          <w:tab w:leader="none" w:pos="192" w:val="left"/>
        </w:tabs>
        <w:numPr>
          <w:ilvl w:val="0"/>
          <w:numId w:val="55"/>
        </w:numPr>
        <w:rPr>
          <w:rFonts w:ascii="Arial" w:cs="Arial" w:eastAsia="Arial" w:hAnsi="Arial"/>
          <w:sz w:val="22"/>
          <w:szCs w:val="22"/>
          <w:color w:val="auto"/>
        </w:rPr>
      </w:pPr>
      <w:r>
        <w:rPr>
          <w:rFonts w:ascii="Arial" w:cs="Arial" w:eastAsia="Arial" w:hAnsi="Arial"/>
          <w:sz w:val="18"/>
          <w:szCs w:val="18"/>
          <w:color w:val="auto"/>
        </w:rPr>
        <w:t>appointing, compensating and overseeing the work performed by our independent auditors related to the audit of our annual consolidated financial statements and internal controls over financial reporting; and</w:t>
      </w:r>
    </w:p>
    <w:p>
      <w:pPr>
        <w:spacing w:after="0" w:line="126" w:lineRule="exact"/>
        <w:rPr>
          <w:rFonts w:ascii="Arial" w:cs="Arial" w:eastAsia="Arial" w:hAnsi="Arial"/>
          <w:sz w:val="22"/>
          <w:szCs w:val="22"/>
          <w:color w:val="auto"/>
        </w:rPr>
      </w:pPr>
    </w:p>
    <w:p>
      <w:pPr>
        <w:ind w:left="160" w:hanging="134"/>
        <w:spacing w:after="0"/>
        <w:tabs>
          <w:tab w:leader="none" w:pos="160" w:val="left"/>
        </w:tabs>
        <w:numPr>
          <w:ilvl w:val="0"/>
          <w:numId w:val="55"/>
        </w:numPr>
        <w:rPr>
          <w:rFonts w:ascii="Arial" w:cs="Arial" w:eastAsia="Arial" w:hAnsi="Arial"/>
          <w:sz w:val="22"/>
          <w:szCs w:val="22"/>
          <w:color w:val="auto"/>
        </w:rPr>
      </w:pPr>
      <w:r>
        <w:rPr>
          <w:rFonts w:ascii="Arial" w:cs="Arial" w:eastAsia="Arial" w:hAnsi="Arial"/>
          <w:sz w:val="18"/>
          <w:szCs w:val="18"/>
          <w:color w:val="auto"/>
        </w:rPr>
        <w:t>evaluating the qualifications, performance and independence of our independent auditors with the assistance of management.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has appointed Deloitte &amp; Touche LLP (“Deloitte”) as the Company’s independent registered public accounting firm for the fiscal year ending December 31, 2020. Deloitte has served as our independent registered public accounting firm since 1997. Prior to appointing Deloitte for 2020,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lead engagement partner from Deloitte is required to be rotated every five years. The process for selecting a new lead engagement partner includes a meeting between the Chair of the Audit Committee and the candidate for this role, as well as discussion by the full Audit Committee and with senior management.</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shareholders.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Principal Accounting Firm Fees. </w:t>
      </w:r>
      <w:r>
        <w:rPr>
          <w:rFonts w:ascii="Arial" w:cs="Arial" w:eastAsia="Arial" w:hAnsi="Arial"/>
          <w:sz w:val="18"/>
          <w:szCs w:val="18"/>
          <w:color w:val="auto"/>
        </w:rPr>
        <w:t>Fees billed to the Company by Deloitte, the member firms of Deloitte Touche Tohmatsu,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(collectively, the “Deloitte Entities”) for the years ended December 31, 2019 and 2018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520" w:type="dxa"/>
            <w:vAlign w:val="bottom"/>
            <w:gridSpan w:val="2"/>
          </w:tcPr>
          <w:p>
            <w:pPr>
              <w:jc w:val="right"/>
              <w:ind w:right="732"/>
              <w:spacing w:after="0"/>
              <w:rPr>
                <w:sz w:val="20"/>
                <w:szCs w:val="20"/>
                <w:color w:val="auto"/>
              </w:rPr>
            </w:pPr>
            <w:r>
              <w:rPr>
                <w:rFonts w:ascii="Arial" w:cs="Arial" w:eastAsia="Arial" w:hAnsi="Arial"/>
                <w:sz w:val="16"/>
                <w:szCs w:val="16"/>
                <w:b w:val="1"/>
                <w:bCs w:val="1"/>
                <w:color w:val="auto"/>
              </w:rPr>
              <w:t>Fee</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47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gridSpan w:val="2"/>
          </w:tcPr>
          <w:p>
            <w:pPr>
              <w:jc w:val="right"/>
              <w:ind w:right="292"/>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
        </w:trPr>
        <w:tc>
          <w:tcPr>
            <w:tcW w:w="478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6"/>
                <w:szCs w:val="16"/>
                <w:b w:val="1"/>
                <w:bCs w:val="1"/>
                <w:color w:val="auto"/>
              </w:rPr>
              <w:t>Type of Fees</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478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5"/>
        </w:trPr>
        <w:tc>
          <w:tcPr>
            <w:tcW w:w="47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Audit Fees</w:t>
            </w:r>
          </w:p>
        </w:tc>
        <w:tc>
          <w:tcPr>
            <w:tcW w:w="4080" w:type="dxa"/>
            <w:vAlign w:val="bottom"/>
            <w:tcBorders>
              <w:bottom w:val="single" w:sz="8" w:color="CCCCCC"/>
            </w:tcBorders>
            <w:shd w:val="clear" w:color="auto" w:fill="CCCCCC"/>
          </w:tcPr>
          <w:p>
            <w:pPr>
              <w:jc w:val="right"/>
              <w:ind w:right="6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w w:val="97"/>
              </w:rPr>
              <w:t>7,822</w:t>
            </w:r>
          </w:p>
        </w:tc>
        <w:tc>
          <w:tcPr>
            <w:tcW w:w="1000" w:type="dxa"/>
            <w:vAlign w:val="bottom"/>
            <w:tcBorders>
              <w:bottom w:val="single" w:sz="8" w:color="CCCCCC"/>
            </w:tcBorders>
            <w:shd w:val="clear" w:color="auto" w:fill="CCCCCC"/>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8,203</w:t>
            </w:r>
          </w:p>
        </w:tc>
        <w:tc>
          <w:tcPr>
            <w:tcW w:w="20" w:type="dxa"/>
            <w:vAlign w:val="bottom"/>
          </w:tcPr>
          <w:p>
            <w:pPr>
              <w:spacing w:after="0"/>
              <w:rPr>
                <w:sz w:val="23"/>
                <w:szCs w:val="23"/>
                <w:color w:val="auto"/>
              </w:rPr>
            </w:pPr>
          </w:p>
        </w:tc>
      </w:tr>
      <w:tr>
        <w:trPr>
          <w:trHeight w:val="237"/>
        </w:trPr>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Audit-Related Fees</w:t>
            </w:r>
          </w:p>
        </w:tc>
        <w:tc>
          <w:tcPr>
            <w:tcW w:w="4080" w:type="dxa"/>
            <w:vAlign w:val="bottom"/>
            <w:tcBorders>
              <w:top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0" w:type="dxa"/>
            <w:vAlign w:val="bottom"/>
            <w:tcBorders>
              <w:top w:val="single" w:sz="8" w:color="auto"/>
            </w:tcBorders>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0"/>
                <w:szCs w:val="20"/>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47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Tax Fees</w:t>
            </w:r>
          </w:p>
        </w:tc>
        <w:tc>
          <w:tcPr>
            <w:tcW w:w="4080" w:type="dxa"/>
            <w:vAlign w:val="bottom"/>
            <w:tcBorders>
              <w:bottom w:val="single" w:sz="8" w:color="CCCCCC"/>
            </w:tcBorders>
            <w:shd w:val="clear" w:color="auto" w:fill="CCCCCC"/>
          </w:tcPr>
          <w:p>
            <w:pPr>
              <w:jc w:val="right"/>
              <w:ind w:right="6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w w:val="97"/>
              </w:rPr>
              <w:t>3,033</w:t>
            </w:r>
          </w:p>
        </w:tc>
        <w:tc>
          <w:tcPr>
            <w:tcW w:w="1000" w:type="dxa"/>
            <w:vAlign w:val="bottom"/>
            <w:tcBorders>
              <w:bottom w:val="single" w:sz="8" w:color="CCCCCC"/>
            </w:tcBorders>
            <w:shd w:val="clear" w:color="auto" w:fill="CCCCCC"/>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3,316</w:t>
            </w:r>
          </w:p>
        </w:tc>
        <w:tc>
          <w:tcPr>
            <w:tcW w:w="20" w:type="dxa"/>
            <w:vAlign w:val="bottom"/>
          </w:tcPr>
          <w:p>
            <w:pPr>
              <w:spacing w:after="0"/>
              <w:rPr>
                <w:sz w:val="22"/>
                <w:szCs w:val="22"/>
                <w:color w:val="auto"/>
              </w:rPr>
            </w:pPr>
          </w:p>
        </w:tc>
      </w:tr>
      <w:tr>
        <w:trPr>
          <w:trHeight w:val="210"/>
        </w:trPr>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 Other Fees</w:t>
            </w:r>
          </w:p>
        </w:tc>
        <w:tc>
          <w:tcPr>
            <w:tcW w:w="4080" w:type="dxa"/>
            <w:vAlign w:val="bottom"/>
            <w:tcBorders>
              <w:top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gridSpan w:val="2"/>
          </w:tcPr>
          <w:p>
            <w:pPr>
              <w:jc w:val="right"/>
              <w:ind w:right="752"/>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60"/>
        </w:trPr>
        <w:tc>
          <w:tcPr>
            <w:tcW w:w="4780" w:type="dxa"/>
            <w:vAlign w:val="bottom"/>
            <w:tcBorders>
              <w:bottom w:val="single" w:sz="8" w:color="auto"/>
            </w:tcBorders>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 financial statements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years ended December 31, 2019 and 2018 and for the reviews of the consolidated condensed financial statements included in the Company’s Quarterly Reports on Form 10-Q and for other attest services, including services related to regulatory and statutory filings and financings.</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2019 and 2018 primarily relate to services in connection with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or investments and audits of employee benefit plans.</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 fiscal years ended December 31, 2019 and 2018 relate to tax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tax advice and tax planning. For the fiscal year ended December 31, 2019, approximately $1.6 million of such fees related to tax compliance and approximately $1.4 million related to tax advice and tax planning. For the fiscal year ended December 31, 2018, approximately $1.6 million of such fees related to tax compliance and approximately $1.7 million related to tax advice and tax planning.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There were no other fees for the fiscal year ended December 31, 2019 or December 31, 2018.</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Audit Committee has established a policy for the pre-approval of all audit and permissible non-audit services to be provided by the independent registered public accounting firm, as described below.</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services performed by the independent registered public accounting firm in 2019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1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for the fiscal year.</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171"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b w:val="1"/>
          <w:bCs w:val="1"/>
          <w:color w:val="auto"/>
        </w:rPr>
        <w:t>THE BOARD OF DIRECTORS RECOMMENDS A VOTE “FOR” THE RATIFICATION OF DELOITTE &amp; TOUCHE LLP AS THE COMPANY’S INDEPENDENT REGISTERED PUBLIC ACCOUNTING FIRM FOR THE FISCAL YEAR ENDING DECEMBER 31, 2020.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Proposal No. 3</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Advisory Approval Of Executive Compensation</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required by Section 14A of the Exchange Act, the Company is asking its shareholders to approve an advisory resolution to approve the compensation of our named executive officers as follows: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1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as described in this Proxy Statement.</w:t>
      </w:r>
    </w:p>
    <w:p>
      <w:pPr>
        <w:spacing w:after="0" w:line="1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w:t>
      </w:r>
    </w:p>
    <w:p>
      <w:pPr>
        <w:spacing w:after="0" w:line="173"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6"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THE APPROVAL OF THE RESOLUTION SET FORTH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uto"/>
        </w:rPr>
        <w:t>Shareholder Proposals for 2021 Annual Meeting</w:t>
      </w:r>
    </w:p>
    <w:p>
      <w:pPr>
        <w:spacing w:after="0" w:line="1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Proposals received from shareholders are given careful consideration by the Company. Shareholder proposals submitted in accordance with Rule 14a-8 under the Exchange Act are eligible for consideration for inclusion in the Company’s proxy statement for the 2021 annual meeting of shareholders if they are received by the Company on or before November 26, 2020. Any proposal should be directed to the attention of the Corporate Secretary, Avis Budget Group, Inc., 6 Sylvan Way, Parsippany, N.J. 07054. In order for a shareholder proposal submitted outside of Rule 14a-8 to be considered at the 2021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8, 2021) nor more than ninety days (i.e., February 6, 2021) before the anniversary date of the immediately preceding annual meeting of shareholders. In order for a director nomination to be timely under the By-laws, it must be received not less than ninety days (i.e., February 6, 2021)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color w:val="auto"/>
        </w:rPr>
        <w:t>Additional Information</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Additional Copies. </w:t>
      </w:r>
      <w:r>
        <w:rPr>
          <w:rFonts w:ascii="Arial" w:cs="Arial" w:eastAsia="Arial" w:hAnsi="Arial"/>
          <w:sz w:val="18"/>
          <w:szCs w:val="18"/>
          <w:color w:val="auto"/>
        </w:rPr>
        <w:t>If you share an address with other shareholders of the Company, you may receive a single copy of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(including a copy of the Proxy Statement and the 2019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6 Sylvan Way, Parsippany, N.J. 07054, Attention: Corporate Secretary or by calling (973) 496-4700 and selecting the “Investor Relations” option.</w:t>
      </w:r>
    </w:p>
    <w:p>
      <w:pPr>
        <w:spacing w:after="0" w:line="10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Solicitation of Proxies. </w:t>
      </w:r>
      <w:r>
        <w:rPr>
          <w:rFonts w:ascii="Arial" w:cs="Arial" w:eastAsia="Arial" w:hAnsi="Arial"/>
          <w:sz w:val="18"/>
          <w:szCs w:val="18"/>
          <w:color w:val="auto"/>
        </w:rPr>
        <w:t>The accompanying form of proxy is being solicited on behalf of the Board of Directors of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solicitation of proxies for the Meeting will be paid by the Company. In addition to the mailing of the proxy materials,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It is estimated that the fee for Innisfree M&amp;A Incorporated will receive a fee of up to $15,000 plus the reimbursement of reasonable out-of-pocket costs and expenses. Such fee will be paid by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4" w:lineRule="auto"/>
        <w:rPr>
          <w:sz w:val="20"/>
          <w:szCs w:val="20"/>
          <w:color w:val="auto"/>
        </w:rPr>
      </w:pPr>
      <w:r>
        <w:rPr>
          <w:rFonts w:ascii="Arial" w:cs="Arial" w:eastAsia="Arial" w:hAnsi="Arial"/>
          <w:sz w:val="18"/>
          <w:szCs w:val="18"/>
          <w:color w:val="auto"/>
        </w:rPr>
        <w:t>JEAN M. SERA</w:t>
      </w:r>
    </w:p>
    <w:p>
      <w:pPr>
        <w:spacing w:after="0" w:line="235"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09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ectPr>
          <w:pgSz w:w="11900" w:h="16838" w:orient="portrait"/>
          <w:cols w:equalWidth="0" w:num="1">
            <w:col w:w="10880"/>
          </w:cols>
          <w:pgMar w:left="500" w:top="287" w:right="51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53275" cy="8154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815467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53275" cy="8154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8154670"/>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upperLetter"/>
      <w:start w:val="24"/>
    </w:lvl>
  </w:abstractNum>
  <w:abstractNum w:abstractNumId="2">
    <w:nsid w:val="2901D82"/>
    <w:multiLevelType w:val="hybridMultilevel"/>
    <w:lvl w:ilvl="0">
      <w:lvlJc w:val="left"/>
      <w:lvlText w:val="[%1]"/>
      <w:numFmt w:val="upperLetter"/>
      <w:start w:val="24"/>
    </w:lvl>
  </w:abstractNum>
  <w:abstractNum w:abstractNumId="3">
    <w:nsid w:val="3A95F874"/>
    <w:multiLevelType w:val="hybridMultilevel"/>
    <w:lvl w:ilvl="0">
      <w:lvlJc w:val="left"/>
      <w:lvlText w:val="["/>
      <w:numFmt w:val="bullet"/>
      <w:start w:val="1"/>
    </w:lvl>
    <w:lvl w:ilvl="1">
      <w:lvlJc w:val="left"/>
      <w:lvlText w:val="%2)"/>
      <w:numFmt w:val="decimal"/>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2"/>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4"/>
    </w:lvl>
  </w:abstractNum>
  <w:abstractNum w:abstractNumId="29">
    <w:nsid w:val="6A2342EC"/>
    <w:multiLevelType w:val="hybridMultilevel"/>
    <w:lvl w:ilvl="0">
      <w:lvlJc w:val="left"/>
      <w:lvlText w:val="(%1)"/>
      <w:numFmt w:val="decimal"/>
      <w:start w:val="10"/>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4"/>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2"/>
    </w:lvl>
  </w:abstractNum>
  <w:abstractNum w:abstractNumId="48">
    <w:nsid w:val="75C6C33A"/>
    <w:multiLevelType w:val="hybridMultilevel"/>
    <w:lvl w:ilvl="0">
      <w:lvlJc w:val="left"/>
      <w:lvlText w:val="(%1)"/>
      <w:numFmt w:val="lowerLetter"/>
      <w:start w:val="1"/>
    </w:lvl>
    <w:lvl w:ilvl="1">
      <w:lvlJc w:val="left"/>
      <w:lvlText w:val="(%2)"/>
      <w:numFmt w:val="decimal"/>
      <w:start w:val="3"/>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2"/>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3"/>
    </w:lvl>
  </w:abstractNum>
  <w:abstractNum w:abstractNumId="53">
    <w:nsid w:val="4F4EF005"/>
    <w:multiLevelType w:val="hybridMultilevel"/>
    <w:lvl w:ilvl="0">
      <w:lvlJc w:val="left"/>
      <w:lvlText w:val="(%1)"/>
      <w:numFmt w:val="lowerLetter"/>
      <w:start w:val="4"/>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2020-03-27T05:12:33Z</dcterms:created>
  <dcterms:modified xsi:type="dcterms:W3CDTF">2020-03-27T05:12:33Z</dcterms:modified>
</cp:coreProperties>
</file>